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二〇一七年一月十九日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10282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68618B" w:rsidRDefault="000076C5">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8618B" w:rsidRDefault="000076C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8618B" w:rsidRDefault="000076C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8618B" w:rsidRDefault="000076C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8618B" w:rsidRDefault="000076C5">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61,370,048.29</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076C5" w:rsidRPr="008640AE" w:rsidTr="000076C5">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0076C5" w:rsidRPr="008640AE" w:rsidTr="000076C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739,614.73</w:t>
            </w:r>
          </w:p>
        </w:tc>
      </w:tr>
      <w:tr w:rsidR="000076C5" w:rsidRPr="008640AE" w:rsidTr="000076C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2,735,886.62</w:t>
            </w:r>
          </w:p>
        </w:tc>
      </w:tr>
      <w:tr w:rsidR="000076C5" w:rsidRPr="008640AE" w:rsidTr="000076C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0.0459</w:t>
            </w:r>
          </w:p>
        </w:tc>
      </w:tr>
      <w:tr w:rsidR="000076C5" w:rsidRPr="008640AE" w:rsidTr="000076C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100,793,987.15</w:t>
            </w:r>
          </w:p>
        </w:tc>
      </w:tr>
      <w:tr w:rsidR="000076C5" w:rsidRPr="008640AE" w:rsidTr="000076C5">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1.642</w:t>
            </w:r>
          </w:p>
        </w:tc>
      </w:tr>
    </w:tbl>
    <w:p w:rsidR="0068618B" w:rsidRDefault="000076C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68618B">
        <w:trPr>
          <w:jc w:val="center"/>
        </w:trPr>
        <w:tc>
          <w:tcPr>
            <w:tcW w:w="1701" w:type="dxa"/>
            <w:vAlign w:val="center"/>
          </w:tcPr>
          <w:p w:rsidR="0068618B" w:rsidRDefault="000076C5">
            <w:pPr>
              <w:jc w:val="left"/>
            </w:pPr>
            <w:r>
              <w:rPr>
                <w:color w:val="000000"/>
                <w:sz w:val="24"/>
              </w:rPr>
              <w:t>过去三个月</w:t>
            </w:r>
          </w:p>
        </w:tc>
        <w:tc>
          <w:tcPr>
            <w:tcW w:w="1194" w:type="dxa"/>
            <w:vAlign w:val="center"/>
          </w:tcPr>
          <w:p w:rsidR="0068618B" w:rsidRDefault="000076C5">
            <w:pPr>
              <w:jc w:val="right"/>
            </w:pPr>
            <w:r>
              <w:rPr>
                <w:color w:val="000000"/>
                <w:sz w:val="24"/>
              </w:rPr>
              <w:t>2.88%</w:t>
            </w:r>
          </w:p>
        </w:tc>
        <w:tc>
          <w:tcPr>
            <w:tcW w:w="1194" w:type="dxa"/>
            <w:vAlign w:val="center"/>
          </w:tcPr>
          <w:p w:rsidR="0068618B" w:rsidRDefault="000076C5">
            <w:pPr>
              <w:jc w:val="right"/>
            </w:pPr>
            <w:r>
              <w:rPr>
                <w:color w:val="000000"/>
                <w:sz w:val="24"/>
              </w:rPr>
              <w:t>0.49%</w:t>
            </w:r>
          </w:p>
        </w:tc>
        <w:tc>
          <w:tcPr>
            <w:tcW w:w="1194" w:type="dxa"/>
            <w:vAlign w:val="center"/>
          </w:tcPr>
          <w:p w:rsidR="0068618B" w:rsidRDefault="000076C5">
            <w:pPr>
              <w:jc w:val="right"/>
            </w:pPr>
            <w:r>
              <w:rPr>
                <w:color w:val="000000"/>
                <w:sz w:val="24"/>
              </w:rPr>
              <w:t>-1.12%</w:t>
            </w:r>
          </w:p>
        </w:tc>
        <w:tc>
          <w:tcPr>
            <w:tcW w:w="1343" w:type="dxa"/>
            <w:vAlign w:val="center"/>
          </w:tcPr>
          <w:p w:rsidR="0068618B" w:rsidRDefault="000076C5">
            <w:pPr>
              <w:jc w:val="right"/>
            </w:pPr>
            <w:r>
              <w:rPr>
                <w:color w:val="000000"/>
                <w:sz w:val="24"/>
              </w:rPr>
              <w:t>0.51%</w:t>
            </w:r>
          </w:p>
        </w:tc>
        <w:tc>
          <w:tcPr>
            <w:tcW w:w="1194" w:type="dxa"/>
            <w:vAlign w:val="center"/>
          </w:tcPr>
          <w:p w:rsidR="0068618B" w:rsidRDefault="000076C5">
            <w:pPr>
              <w:jc w:val="right"/>
            </w:pPr>
            <w:r>
              <w:rPr>
                <w:color w:val="000000"/>
                <w:sz w:val="24"/>
              </w:rPr>
              <w:t>4.00%</w:t>
            </w:r>
          </w:p>
        </w:tc>
        <w:tc>
          <w:tcPr>
            <w:tcW w:w="1048" w:type="dxa"/>
            <w:vAlign w:val="center"/>
          </w:tcPr>
          <w:p w:rsidR="0068618B" w:rsidRDefault="000076C5">
            <w:pPr>
              <w:jc w:val="right"/>
            </w:pPr>
            <w:r>
              <w:rPr>
                <w:color w:val="000000"/>
                <w:sz w:val="24"/>
              </w:rPr>
              <w:t>-0.02%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68618B">
        <w:trPr>
          <w:jc w:val="center"/>
        </w:trPr>
        <w:tc>
          <w:tcPr>
            <w:tcW w:w="846" w:type="dxa"/>
            <w:vAlign w:val="center"/>
          </w:tcPr>
          <w:p w:rsidR="0068618B" w:rsidRDefault="000076C5">
            <w:pPr>
              <w:jc w:val="center"/>
            </w:pPr>
            <w:r>
              <w:rPr>
                <w:color w:val="000000"/>
                <w:sz w:val="24"/>
              </w:rPr>
              <w:t>蔡铮</w:t>
            </w:r>
          </w:p>
        </w:tc>
        <w:tc>
          <w:tcPr>
            <w:tcW w:w="845" w:type="dxa"/>
            <w:vAlign w:val="center"/>
          </w:tcPr>
          <w:p w:rsidR="0068618B" w:rsidRDefault="000076C5">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68618B" w:rsidRDefault="000076C5">
            <w:pPr>
              <w:jc w:val="center"/>
            </w:pPr>
            <w:r>
              <w:rPr>
                <w:color w:val="000000"/>
                <w:sz w:val="24"/>
              </w:rPr>
              <w:t>2015-04-22</w:t>
            </w:r>
          </w:p>
        </w:tc>
        <w:tc>
          <w:tcPr>
            <w:tcW w:w="1548" w:type="dxa"/>
            <w:vAlign w:val="center"/>
          </w:tcPr>
          <w:p w:rsidR="0068618B" w:rsidRDefault="000076C5">
            <w:pPr>
              <w:jc w:val="center"/>
            </w:pPr>
            <w:r>
              <w:rPr>
                <w:color w:val="000000"/>
                <w:sz w:val="24"/>
              </w:rPr>
              <w:t>-</w:t>
            </w:r>
          </w:p>
        </w:tc>
        <w:tc>
          <w:tcPr>
            <w:tcW w:w="1407" w:type="dxa"/>
            <w:vAlign w:val="center"/>
          </w:tcPr>
          <w:p w:rsidR="0068618B" w:rsidRDefault="000076C5">
            <w:pPr>
              <w:jc w:val="center"/>
            </w:pPr>
            <w:r>
              <w:rPr>
                <w:color w:val="000000"/>
                <w:sz w:val="24"/>
              </w:rPr>
              <w:t>7</w:t>
            </w:r>
            <w:r>
              <w:rPr>
                <w:color w:val="000000"/>
                <w:sz w:val="24"/>
              </w:rPr>
              <w:t>年</w:t>
            </w:r>
          </w:p>
        </w:tc>
        <w:tc>
          <w:tcPr>
            <w:tcW w:w="2673" w:type="dxa"/>
            <w:vAlign w:val="center"/>
          </w:tcPr>
          <w:p w:rsidR="0068618B" w:rsidRDefault="000076C5">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r w:rsidR="0068618B">
        <w:trPr>
          <w:jc w:val="center"/>
        </w:trPr>
        <w:tc>
          <w:tcPr>
            <w:tcW w:w="846" w:type="dxa"/>
            <w:vAlign w:val="center"/>
          </w:tcPr>
          <w:p w:rsidR="0068618B" w:rsidRDefault="000076C5">
            <w:pPr>
              <w:jc w:val="center"/>
            </w:pPr>
            <w:r>
              <w:rPr>
                <w:color w:val="000000"/>
                <w:sz w:val="24"/>
              </w:rPr>
              <w:t>陈俊华</w:t>
            </w:r>
          </w:p>
        </w:tc>
        <w:tc>
          <w:tcPr>
            <w:tcW w:w="845" w:type="dxa"/>
            <w:vAlign w:val="center"/>
          </w:tcPr>
          <w:p w:rsidR="0068618B" w:rsidRDefault="000076C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68618B" w:rsidRDefault="000076C5">
            <w:pPr>
              <w:jc w:val="center"/>
            </w:pPr>
            <w:r>
              <w:rPr>
                <w:color w:val="000000"/>
                <w:sz w:val="24"/>
              </w:rPr>
              <w:t>2015-11-21</w:t>
            </w:r>
          </w:p>
        </w:tc>
        <w:tc>
          <w:tcPr>
            <w:tcW w:w="1548" w:type="dxa"/>
            <w:vAlign w:val="center"/>
          </w:tcPr>
          <w:p w:rsidR="0068618B" w:rsidRDefault="000076C5">
            <w:pPr>
              <w:jc w:val="center"/>
            </w:pPr>
            <w:r>
              <w:rPr>
                <w:color w:val="000000"/>
                <w:sz w:val="24"/>
              </w:rPr>
              <w:t>-</w:t>
            </w:r>
          </w:p>
        </w:tc>
        <w:tc>
          <w:tcPr>
            <w:tcW w:w="1407" w:type="dxa"/>
            <w:vAlign w:val="center"/>
          </w:tcPr>
          <w:p w:rsidR="0068618B" w:rsidRDefault="000076C5">
            <w:pPr>
              <w:jc w:val="center"/>
            </w:pPr>
            <w:r>
              <w:rPr>
                <w:color w:val="000000"/>
                <w:sz w:val="24"/>
              </w:rPr>
              <w:t>11</w:t>
            </w:r>
            <w:r>
              <w:rPr>
                <w:color w:val="000000"/>
                <w:sz w:val="24"/>
              </w:rPr>
              <w:t>年</w:t>
            </w:r>
          </w:p>
        </w:tc>
        <w:tc>
          <w:tcPr>
            <w:tcW w:w="2673" w:type="dxa"/>
            <w:vAlign w:val="center"/>
          </w:tcPr>
          <w:p w:rsidR="0068618B" w:rsidRDefault="000076C5">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68618B">
        <w:trPr>
          <w:jc w:val="center"/>
        </w:trPr>
        <w:tc>
          <w:tcPr>
            <w:tcW w:w="846" w:type="dxa"/>
            <w:vAlign w:val="center"/>
          </w:tcPr>
          <w:p w:rsidR="0068618B" w:rsidRDefault="000076C5">
            <w:pPr>
              <w:jc w:val="center"/>
            </w:pPr>
            <w:r>
              <w:rPr>
                <w:color w:val="000000"/>
                <w:sz w:val="24"/>
              </w:rPr>
              <w:t>周中</w:t>
            </w:r>
          </w:p>
        </w:tc>
        <w:tc>
          <w:tcPr>
            <w:tcW w:w="845" w:type="dxa"/>
            <w:vAlign w:val="center"/>
          </w:tcPr>
          <w:p w:rsidR="0068618B" w:rsidRDefault="000076C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68618B" w:rsidRDefault="000076C5">
            <w:pPr>
              <w:jc w:val="center"/>
            </w:pPr>
            <w:r>
              <w:rPr>
                <w:color w:val="000000"/>
                <w:sz w:val="24"/>
              </w:rPr>
              <w:t>2015-12-12</w:t>
            </w:r>
          </w:p>
        </w:tc>
        <w:tc>
          <w:tcPr>
            <w:tcW w:w="1548" w:type="dxa"/>
            <w:vAlign w:val="center"/>
          </w:tcPr>
          <w:p w:rsidR="0068618B" w:rsidRDefault="000076C5">
            <w:pPr>
              <w:jc w:val="center"/>
            </w:pPr>
            <w:r>
              <w:rPr>
                <w:color w:val="000000"/>
                <w:sz w:val="24"/>
              </w:rPr>
              <w:t>-</w:t>
            </w:r>
          </w:p>
        </w:tc>
        <w:tc>
          <w:tcPr>
            <w:tcW w:w="1407" w:type="dxa"/>
            <w:vAlign w:val="center"/>
          </w:tcPr>
          <w:p w:rsidR="0068618B" w:rsidRDefault="000076C5">
            <w:pPr>
              <w:jc w:val="center"/>
            </w:pPr>
            <w:r>
              <w:rPr>
                <w:color w:val="000000"/>
                <w:sz w:val="24"/>
              </w:rPr>
              <w:t>7</w:t>
            </w:r>
            <w:r>
              <w:rPr>
                <w:color w:val="000000"/>
                <w:sz w:val="24"/>
              </w:rPr>
              <w:t>年</w:t>
            </w:r>
          </w:p>
        </w:tc>
        <w:tc>
          <w:tcPr>
            <w:tcW w:w="2673" w:type="dxa"/>
            <w:vAlign w:val="center"/>
          </w:tcPr>
          <w:p w:rsidR="0068618B" w:rsidRDefault="000076C5">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68618B">
        <w:trPr>
          <w:jc w:val="center"/>
        </w:trPr>
        <w:tc>
          <w:tcPr>
            <w:tcW w:w="2070" w:type="dxa"/>
            <w:vAlign w:val="center"/>
          </w:tcPr>
          <w:p w:rsidR="0068618B" w:rsidRDefault="000076C5">
            <w:pPr>
              <w:jc w:val="center"/>
            </w:pPr>
            <w:r>
              <w:rPr>
                <w:color w:val="000000"/>
                <w:sz w:val="24"/>
              </w:rPr>
              <w:t>Simon Webber</w:t>
            </w:r>
          </w:p>
        </w:tc>
        <w:tc>
          <w:tcPr>
            <w:tcW w:w="2465" w:type="dxa"/>
            <w:vAlign w:val="center"/>
          </w:tcPr>
          <w:p w:rsidR="0068618B" w:rsidRDefault="000076C5">
            <w:pPr>
              <w:jc w:val="center"/>
            </w:pPr>
            <w:r>
              <w:rPr>
                <w:color w:val="000000"/>
                <w:sz w:val="24"/>
              </w:rPr>
              <w:t>施罗德集团多区域（全球及国际）股票投资主管、全球和国际股票基金经理、全球气候变化股票基金经理</w:t>
            </w:r>
          </w:p>
        </w:tc>
        <w:tc>
          <w:tcPr>
            <w:tcW w:w="2116" w:type="dxa"/>
            <w:vAlign w:val="center"/>
          </w:tcPr>
          <w:p w:rsidR="0068618B" w:rsidRDefault="000076C5">
            <w:pPr>
              <w:jc w:val="center"/>
            </w:pPr>
            <w:r>
              <w:rPr>
                <w:color w:val="000000"/>
                <w:sz w:val="24"/>
              </w:rPr>
              <w:t>17</w:t>
            </w:r>
            <w:r>
              <w:rPr>
                <w:color w:val="000000"/>
                <w:sz w:val="24"/>
              </w:rPr>
              <w:t>年</w:t>
            </w:r>
          </w:p>
        </w:tc>
        <w:tc>
          <w:tcPr>
            <w:tcW w:w="2217" w:type="dxa"/>
            <w:vAlign w:val="center"/>
          </w:tcPr>
          <w:p w:rsidR="0068618B" w:rsidRDefault="000076C5">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68618B" w:rsidRDefault="000076C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8618B" w:rsidRDefault="000076C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618B" w:rsidRDefault="000076C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本基金于本报告期内未发现异常交易行为。本报告期内，本公司管理的所有投资组合参与的交易所公开竞价同日反向交易成交较少的单边交易量超过该证券当日总成交量</w:t>
      </w:r>
      <w:r w:rsidRPr="008640AE">
        <w:rPr>
          <w:color w:val="000000"/>
          <w:sz w:val="24"/>
        </w:rPr>
        <w:t>5%</w:t>
      </w:r>
      <w:r w:rsidRPr="008640AE">
        <w:rPr>
          <w:color w:val="000000"/>
          <w:sz w:val="24"/>
        </w:rPr>
        <w:t>的情况有</w:t>
      </w:r>
      <w:r w:rsidRPr="008640AE">
        <w:rPr>
          <w:color w:val="000000"/>
          <w:sz w:val="24"/>
        </w:rPr>
        <w:t>1</w:t>
      </w:r>
      <w:r w:rsidRPr="008640AE">
        <w:rPr>
          <w:color w:val="000000"/>
          <w:sz w:val="24"/>
        </w:rPr>
        <w:t>次，是投资组合因投资策略需要而发生同日反向交易，未发现不公平交易和利益输送的情况。本基金与本公司管理的其他投资组合在不同时间窗下（如日内、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日内）同向交易的交易价差未发现异常。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68618B" w:rsidRDefault="000076C5">
      <w:pPr>
        <w:spacing w:before="29" w:line="288" w:lineRule="auto"/>
        <w:ind w:firstLineChars="200" w:firstLine="480"/>
        <w:rPr>
          <w:color w:val="000000"/>
          <w:sz w:val="24"/>
        </w:rPr>
      </w:pPr>
      <w:r>
        <w:rPr>
          <w:color w:val="000000"/>
          <w:sz w:val="24"/>
        </w:rPr>
        <w:t>2016</w:t>
      </w:r>
      <w:r>
        <w:rPr>
          <w:color w:val="000000"/>
          <w:sz w:val="24"/>
        </w:rPr>
        <w:t>年四季度，欧美市场整体风险偏好回升，人民币贬值压力加大，欧美和香港市场表现出不同走势。</w:t>
      </w:r>
      <w:r>
        <w:rPr>
          <w:color w:val="000000"/>
          <w:sz w:val="24"/>
        </w:rPr>
        <w:t>10</w:t>
      </w:r>
      <w:r>
        <w:rPr>
          <w:color w:val="000000"/>
          <w:sz w:val="24"/>
        </w:rPr>
        <w:t>、</w:t>
      </w:r>
      <w:r>
        <w:rPr>
          <w:color w:val="000000"/>
          <w:sz w:val="24"/>
        </w:rPr>
        <w:t>11</w:t>
      </w:r>
      <w:r>
        <w:rPr>
          <w:color w:val="000000"/>
          <w:sz w:val="24"/>
        </w:rPr>
        <w:t>月份欧美市场</w:t>
      </w:r>
      <w:r>
        <w:rPr>
          <w:color w:val="000000"/>
          <w:sz w:val="24"/>
        </w:rPr>
        <w:t>整体震荡，美国大选明朗后，欧美股市普遍出现上涨。与此同时，美联储加息落地，并给予</w:t>
      </w:r>
      <w:r>
        <w:rPr>
          <w:color w:val="000000"/>
          <w:sz w:val="24"/>
        </w:rPr>
        <w:t>2017</w:t>
      </w:r>
      <w:r>
        <w:rPr>
          <w:color w:val="000000"/>
          <w:sz w:val="24"/>
        </w:rPr>
        <w:t>年</w:t>
      </w:r>
      <w:r>
        <w:rPr>
          <w:color w:val="000000"/>
          <w:sz w:val="24"/>
        </w:rPr>
        <w:t>3</w:t>
      </w:r>
      <w:r>
        <w:rPr>
          <w:color w:val="000000"/>
          <w:sz w:val="24"/>
        </w:rPr>
        <w:t>次加息的预期，使得人民币贬值压力增大，</w:t>
      </w:r>
      <w:r>
        <w:rPr>
          <w:color w:val="000000"/>
          <w:sz w:val="24"/>
        </w:rPr>
        <w:t>A</w:t>
      </w:r>
      <w:r>
        <w:rPr>
          <w:color w:val="000000"/>
          <w:sz w:val="24"/>
        </w:rPr>
        <w:t>股和港股市场出现了较大幅度回撤，</w:t>
      </w:r>
      <w:r>
        <w:rPr>
          <w:color w:val="000000"/>
          <w:sz w:val="24"/>
        </w:rPr>
        <w:t>A</w:t>
      </w:r>
      <w:r>
        <w:rPr>
          <w:color w:val="000000"/>
          <w:sz w:val="24"/>
        </w:rPr>
        <w:t>股、港股单月股指回撤幅度仅小于年初</w:t>
      </w:r>
      <w:r>
        <w:rPr>
          <w:color w:val="000000"/>
          <w:sz w:val="24"/>
        </w:rPr>
        <w:t>1</w:t>
      </w:r>
      <w:r>
        <w:rPr>
          <w:color w:val="000000"/>
          <w:sz w:val="24"/>
        </w:rPr>
        <w:t>月的水平。港股方面，总体呈现资金回流欧美态势，带动股指持续</w:t>
      </w:r>
      <w:r>
        <w:rPr>
          <w:color w:val="000000"/>
          <w:sz w:val="24"/>
        </w:rPr>
        <w:t>3</w:t>
      </w:r>
      <w:r>
        <w:rPr>
          <w:color w:val="000000"/>
          <w:sz w:val="24"/>
        </w:rPr>
        <w:t>个月回落，</w:t>
      </w:r>
      <w:r>
        <w:rPr>
          <w:color w:val="000000"/>
          <w:sz w:val="24"/>
        </w:rPr>
        <w:t>12</w:t>
      </w:r>
      <w:r>
        <w:rPr>
          <w:color w:val="000000"/>
          <w:sz w:val="24"/>
        </w:rPr>
        <w:t>月，深港通的开通，一定程度缓解了港股资金流出压力。</w:t>
      </w:r>
    </w:p>
    <w:p w:rsidR="0068618B" w:rsidRDefault="000076C5">
      <w:pPr>
        <w:spacing w:before="29" w:line="288" w:lineRule="auto"/>
        <w:ind w:firstLineChars="200" w:firstLine="480"/>
        <w:rPr>
          <w:color w:val="000000"/>
          <w:sz w:val="24"/>
        </w:rPr>
      </w:pPr>
      <w:r>
        <w:rPr>
          <w:color w:val="000000"/>
          <w:sz w:val="24"/>
        </w:rPr>
        <w:t>本基金在</w:t>
      </w:r>
      <w:r>
        <w:rPr>
          <w:color w:val="000000"/>
          <w:sz w:val="24"/>
        </w:rPr>
        <w:t>2016</w:t>
      </w:r>
      <w:r>
        <w:rPr>
          <w:color w:val="000000"/>
          <w:sz w:val="24"/>
        </w:rPr>
        <w:t>年四季度总体中性仓位，对欧美股市仍持谨慎乐观态度，持续减少香港股市的配置比重。在板块配置方面，我们更趋向于稳健和性价比的权衡，更加偏好医药、风电等板块，而对于前期涨幅较</w:t>
      </w:r>
      <w:r>
        <w:rPr>
          <w:color w:val="000000"/>
          <w:sz w:val="24"/>
        </w:rPr>
        <w:t>多的汽车等板块保持谨慎。此外，我们前瞻性的去寻求价格触底，并且出现一定反转的能源行业和龙头公司，为</w:t>
      </w:r>
      <w:r>
        <w:rPr>
          <w:color w:val="000000"/>
          <w:sz w:val="24"/>
        </w:rPr>
        <w:t>2017</w:t>
      </w:r>
      <w:r>
        <w:rPr>
          <w:color w:val="000000"/>
          <w:sz w:val="24"/>
        </w:rPr>
        <w:t>年的投资进行准备。</w:t>
      </w:r>
    </w:p>
    <w:p w:rsidR="00B0116D" w:rsidRPr="008640AE" w:rsidRDefault="00B0116D" w:rsidP="005546C0">
      <w:pPr>
        <w:spacing w:before="29" w:line="288" w:lineRule="auto"/>
        <w:ind w:firstLineChars="200" w:firstLine="480"/>
        <w:rPr>
          <w:color w:val="000000"/>
          <w:sz w:val="24"/>
        </w:rPr>
      </w:pPr>
      <w:r w:rsidRPr="008640AE">
        <w:rPr>
          <w:color w:val="000000"/>
          <w:sz w:val="24"/>
        </w:rPr>
        <w:t>2017</w:t>
      </w:r>
      <w:r w:rsidRPr="008640AE">
        <w:rPr>
          <w:color w:val="000000"/>
          <w:sz w:val="24"/>
        </w:rPr>
        <w:t>年一季度，我们总体谨慎：海外的不确定性增加。整个</w:t>
      </w:r>
      <w:r w:rsidRPr="008640AE">
        <w:rPr>
          <w:color w:val="000000"/>
          <w:sz w:val="24"/>
        </w:rPr>
        <w:t>2016</w:t>
      </w:r>
      <w:r w:rsidRPr="008640AE">
        <w:rPr>
          <w:color w:val="000000"/>
          <w:sz w:val="24"/>
        </w:rPr>
        <w:t>年四季度，欧美市场对于美国大选、经济恢复都给予乐观的预期，股市上涨。进入</w:t>
      </w:r>
      <w:r w:rsidRPr="008640AE">
        <w:rPr>
          <w:color w:val="000000"/>
          <w:sz w:val="24"/>
        </w:rPr>
        <w:t>2017</w:t>
      </w:r>
      <w:r w:rsidRPr="008640AE">
        <w:rPr>
          <w:color w:val="000000"/>
          <w:sz w:val="24"/>
        </w:rPr>
        <w:t>年，前期预期能否得以兑现？加息步伐是否如期落实？都到了检验成果的阶段，市场面临更多的考验和不确定性。港股方面，我们预计市场短期仍呈震荡态势，中长期我们仍相对看好。短期的资金流出步伐告一段落，考虑中国整体经济增速仍好于其他，我们认为香港的中长期优势仍十分显著，但短期海外不确定性仍影响资金回流港股的速度。乐观的是，伴随深港通的开通，越来越多的国内投资者进入港股市场，为港股带来了新的动力。综上，我们认为港股短期震荡，长期来看向好。我们仍将一如既往的勤勉、努力地为投资者赚取较为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1.642</w:t>
      </w:r>
      <w:r w:rsidRPr="008640AE">
        <w:rPr>
          <w:color w:val="000000"/>
          <w:sz w:val="24"/>
        </w:rPr>
        <w:t>元，本报告期份额净值增长率为</w:t>
      </w:r>
      <w:r w:rsidRPr="008640AE">
        <w:rPr>
          <w:color w:val="000000"/>
          <w:sz w:val="24"/>
        </w:rPr>
        <w:t>2.88%</w:t>
      </w:r>
      <w:r w:rsidRPr="008640AE">
        <w:rPr>
          <w:color w:val="000000"/>
          <w:sz w:val="24"/>
        </w:rPr>
        <w:t>，同期业绩比较基准增长率为</w:t>
      </w:r>
      <w:r w:rsidRPr="008640AE">
        <w:rPr>
          <w:color w:val="000000"/>
          <w:sz w:val="24"/>
        </w:rPr>
        <w:t>-1.12%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85,673,428.11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84.74</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84,505,390.20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83.58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1,168,037.91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1.16</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12,816,813.45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12.68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2,614,520.72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2.59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101,104,762.28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8618B">
        <w:trPr>
          <w:jc w:val="center"/>
        </w:trPr>
        <w:tc>
          <w:tcPr>
            <w:tcW w:w="2484" w:type="dxa"/>
            <w:vAlign w:val="center"/>
          </w:tcPr>
          <w:p w:rsidR="0068618B" w:rsidRDefault="000076C5">
            <w:pPr>
              <w:jc w:val="left"/>
            </w:pPr>
            <w:r>
              <w:rPr>
                <w:color w:val="000000"/>
                <w:sz w:val="24"/>
              </w:rPr>
              <w:t>美国</w:t>
            </w:r>
          </w:p>
        </w:tc>
        <w:tc>
          <w:tcPr>
            <w:tcW w:w="3214" w:type="dxa"/>
            <w:vAlign w:val="center"/>
          </w:tcPr>
          <w:p w:rsidR="0068618B" w:rsidRDefault="000076C5">
            <w:pPr>
              <w:jc w:val="right"/>
            </w:pPr>
            <w:r>
              <w:rPr>
                <w:color w:val="000000"/>
                <w:sz w:val="24"/>
              </w:rPr>
              <w:t>45,084,966.76</w:t>
            </w:r>
          </w:p>
        </w:tc>
        <w:tc>
          <w:tcPr>
            <w:tcW w:w="3170" w:type="dxa"/>
            <w:vAlign w:val="center"/>
          </w:tcPr>
          <w:p w:rsidR="0068618B" w:rsidRDefault="000076C5">
            <w:pPr>
              <w:jc w:val="right"/>
            </w:pPr>
            <w:r>
              <w:rPr>
                <w:color w:val="000000"/>
                <w:sz w:val="24"/>
              </w:rPr>
              <w:t>44.73</w:t>
            </w:r>
          </w:p>
        </w:tc>
      </w:tr>
      <w:tr w:rsidR="0068618B">
        <w:trPr>
          <w:jc w:val="center"/>
        </w:trPr>
        <w:tc>
          <w:tcPr>
            <w:tcW w:w="2484" w:type="dxa"/>
            <w:vAlign w:val="center"/>
          </w:tcPr>
          <w:p w:rsidR="0068618B" w:rsidRDefault="000076C5">
            <w:pPr>
              <w:jc w:val="left"/>
            </w:pPr>
            <w:r>
              <w:rPr>
                <w:color w:val="000000"/>
                <w:sz w:val="24"/>
              </w:rPr>
              <w:t>香港</w:t>
            </w:r>
          </w:p>
        </w:tc>
        <w:tc>
          <w:tcPr>
            <w:tcW w:w="3214" w:type="dxa"/>
            <w:vAlign w:val="center"/>
          </w:tcPr>
          <w:p w:rsidR="0068618B" w:rsidRDefault="000076C5">
            <w:pPr>
              <w:jc w:val="right"/>
            </w:pPr>
            <w:r>
              <w:rPr>
                <w:color w:val="000000"/>
                <w:sz w:val="24"/>
              </w:rPr>
              <w:t>17,068,166.28</w:t>
            </w:r>
          </w:p>
        </w:tc>
        <w:tc>
          <w:tcPr>
            <w:tcW w:w="3170" w:type="dxa"/>
            <w:vAlign w:val="center"/>
          </w:tcPr>
          <w:p w:rsidR="0068618B" w:rsidRDefault="000076C5">
            <w:pPr>
              <w:jc w:val="right"/>
            </w:pPr>
            <w:r>
              <w:rPr>
                <w:color w:val="000000"/>
                <w:sz w:val="24"/>
              </w:rPr>
              <w:t>16.93</w:t>
            </w:r>
          </w:p>
        </w:tc>
      </w:tr>
      <w:tr w:rsidR="0068618B">
        <w:trPr>
          <w:jc w:val="center"/>
        </w:trPr>
        <w:tc>
          <w:tcPr>
            <w:tcW w:w="2484" w:type="dxa"/>
            <w:vAlign w:val="center"/>
          </w:tcPr>
          <w:p w:rsidR="0068618B" w:rsidRDefault="000076C5">
            <w:pPr>
              <w:jc w:val="left"/>
            </w:pPr>
            <w:r>
              <w:rPr>
                <w:color w:val="000000"/>
                <w:sz w:val="24"/>
              </w:rPr>
              <w:t>英国</w:t>
            </w:r>
          </w:p>
        </w:tc>
        <w:tc>
          <w:tcPr>
            <w:tcW w:w="3214" w:type="dxa"/>
            <w:vAlign w:val="center"/>
          </w:tcPr>
          <w:p w:rsidR="0068618B" w:rsidRDefault="000076C5">
            <w:pPr>
              <w:jc w:val="right"/>
            </w:pPr>
            <w:r>
              <w:rPr>
                <w:color w:val="000000"/>
                <w:sz w:val="24"/>
              </w:rPr>
              <w:t>5,309,773.53</w:t>
            </w:r>
          </w:p>
        </w:tc>
        <w:tc>
          <w:tcPr>
            <w:tcW w:w="3170" w:type="dxa"/>
            <w:vAlign w:val="center"/>
          </w:tcPr>
          <w:p w:rsidR="0068618B" w:rsidRDefault="000076C5">
            <w:pPr>
              <w:jc w:val="right"/>
            </w:pPr>
            <w:r>
              <w:rPr>
                <w:color w:val="000000"/>
                <w:sz w:val="24"/>
              </w:rPr>
              <w:t>5.27</w:t>
            </w:r>
          </w:p>
        </w:tc>
      </w:tr>
      <w:tr w:rsidR="0068618B">
        <w:trPr>
          <w:jc w:val="center"/>
        </w:trPr>
        <w:tc>
          <w:tcPr>
            <w:tcW w:w="2484" w:type="dxa"/>
            <w:vAlign w:val="center"/>
          </w:tcPr>
          <w:p w:rsidR="0068618B" w:rsidRDefault="000076C5">
            <w:pPr>
              <w:jc w:val="left"/>
            </w:pPr>
            <w:r>
              <w:rPr>
                <w:color w:val="000000"/>
                <w:sz w:val="24"/>
              </w:rPr>
              <w:t>日本</w:t>
            </w:r>
          </w:p>
        </w:tc>
        <w:tc>
          <w:tcPr>
            <w:tcW w:w="3214" w:type="dxa"/>
            <w:vAlign w:val="center"/>
          </w:tcPr>
          <w:p w:rsidR="0068618B" w:rsidRDefault="000076C5">
            <w:pPr>
              <w:jc w:val="right"/>
            </w:pPr>
            <w:r>
              <w:rPr>
                <w:color w:val="000000"/>
                <w:sz w:val="24"/>
              </w:rPr>
              <w:t>5,232,361.11</w:t>
            </w:r>
          </w:p>
        </w:tc>
        <w:tc>
          <w:tcPr>
            <w:tcW w:w="3170" w:type="dxa"/>
            <w:vAlign w:val="center"/>
          </w:tcPr>
          <w:p w:rsidR="0068618B" w:rsidRDefault="000076C5">
            <w:pPr>
              <w:jc w:val="right"/>
            </w:pPr>
            <w:r>
              <w:rPr>
                <w:color w:val="000000"/>
                <w:sz w:val="24"/>
              </w:rPr>
              <w:t>5.19</w:t>
            </w:r>
          </w:p>
        </w:tc>
      </w:tr>
      <w:tr w:rsidR="0068618B">
        <w:trPr>
          <w:jc w:val="center"/>
        </w:trPr>
        <w:tc>
          <w:tcPr>
            <w:tcW w:w="2484" w:type="dxa"/>
            <w:vAlign w:val="center"/>
          </w:tcPr>
          <w:p w:rsidR="0068618B" w:rsidRDefault="000076C5">
            <w:pPr>
              <w:jc w:val="left"/>
            </w:pPr>
            <w:r>
              <w:rPr>
                <w:color w:val="000000"/>
                <w:sz w:val="24"/>
              </w:rPr>
              <w:t>德国</w:t>
            </w:r>
          </w:p>
        </w:tc>
        <w:tc>
          <w:tcPr>
            <w:tcW w:w="3214" w:type="dxa"/>
            <w:vAlign w:val="center"/>
          </w:tcPr>
          <w:p w:rsidR="0068618B" w:rsidRDefault="000076C5">
            <w:pPr>
              <w:jc w:val="right"/>
            </w:pPr>
            <w:r>
              <w:rPr>
                <w:color w:val="000000"/>
                <w:sz w:val="24"/>
              </w:rPr>
              <w:t>4,588,392.55</w:t>
            </w:r>
          </w:p>
        </w:tc>
        <w:tc>
          <w:tcPr>
            <w:tcW w:w="3170" w:type="dxa"/>
            <w:vAlign w:val="center"/>
          </w:tcPr>
          <w:p w:rsidR="0068618B" w:rsidRDefault="000076C5">
            <w:pPr>
              <w:jc w:val="right"/>
            </w:pPr>
            <w:r>
              <w:rPr>
                <w:color w:val="000000"/>
                <w:sz w:val="24"/>
              </w:rPr>
              <w:t>4.55</w:t>
            </w:r>
          </w:p>
        </w:tc>
      </w:tr>
      <w:tr w:rsidR="0068618B">
        <w:trPr>
          <w:jc w:val="center"/>
        </w:trPr>
        <w:tc>
          <w:tcPr>
            <w:tcW w:w="2484" w:type="dxa"/>
            <w:vAlign w:val="center"/>
          </w:tcPr>
          <w:p w:rsidR="0068618B" w:rsidRDefault="000076C5">
            <w:pPr>
              <w:jc w:val="left"/>
            </w:pPr>
            <w:r>
              <w:rPr>
                <w:color w:val="000000"/>
                <w:sz w:val="24"/>
              </w:rPr>
              <w:t>挪威</w:t>
            </w:r>
          </w:p>
        </w:tc>
        <w:tc>
          <w:tcPr>
            <w:tcW w:w="3214" w:type="dxa"/>
            <w:vAlign w:val="center"/>
          </w:tcPr>
          <w:p w:rsidR="0068618B" w:rsidRDefault="000076C5">
            <w:pPr>
              <w:jc w:val="right"/>
            </w:pPr>
            <w:r>
              <w:rPr>
                <w:color w:val="000000"/>
                <w:sz w:val="24"/>
              </w:rPr>
              <w:t>1,534,366.33</w:t>
            </w:r>
          </w:p>
        </w:tc>
        <w:tc>
          <w:tcPr>
            <w:tcW w:w="3170" w:type="dxa"/>
            <w:vAlign w:val="center"/>
          </w:tcPr>
          <w:p w:rsidR="0068618B" w:rsidRDefault="000076C5">
            <w:pPr>
              <w:jc w:val="right"/>
            </w:pPr>
            <w:r>
              <w:rPr>
                <w:color w:val="000000"/>
                <w:sz w:val="24"/>
              </w:rPr>
              <w:t>1.52</w:t>
            </w:r>
          </w:p>
        </w:tc>
      </w:tr>
      <w:tr w:rsidR="0068618B">
        <w:trPr>
          <w:jc w:val="center"/>
        </w:trPr>
        <w:tc>
          <w:tcPr>
            <w:tcW w:w="2484" w:type="dxa"/>
            <w:vAlign w:val="center"/>
          </w:tcPr>
          <w:p w:rsidR="0068618B" w:rsidRDefault="000076C5">
            <w:pPr>
              <w:jc w:val="left"/>
            </w:pPr>
            <w:r>
              <w:rPr>
                <w:color w:val="000000"/>
                <w:sz w:val="24"/>
              </w:rPr>
              <w:t>瑞士</w:t>
            </w:r>
          </w:p>
        </w:tc>
        <w:tc>
          <w:tcPr>
            <w:tcW w:w="3214" w:type="dxa"/>
            <w:vAlign w:val="center"/>
          </w:tcPr>
          <w:p w:rsidR="0068618B" w:rsidRDefault="000076C5">
            <w:pPr>
              <w:jc w:val="right"/>
            </w:pPr>
            <w:r>
              <w:rPr>
                <w:color w:val="000000"/>
                <w:sz w:val="24"/>
              </w:rPr>
              <w:t>1,485,750.14</w:t>
            </w:r>
          </w:p>
        </w:tc>
        <w:tc>
          <w:tcPr>
            <w:tcW w:w="3170" w:type="dxa"/>
            <w:vAlign w:val="center"/>
          </w:tcPr>
          <w:p w:rsidR="0068618B" w:rsidRDefault="000076C5">
            <w:pPr>
              <w:jc w:val="right"/>
            </w:pPr>
            <w:r>
              <w:rPr>
                <w:color w:val="000000"/>
                <w:sz w:val="24"/>
              </w:rPr>
              <w:t>1.47</w:t>
            </w:r>
          </w:p>
        </w:tc>
      </w:tr>
      <w:tr w:rsidR="0068618B">
        <w:trPr>
          <w:jc w:val="center"/>
        </w:trPr>
        <w:tc>
          <w:tcPr>
            <w:tcW w:w="2484" w:type="dxa"/>
            <w:vAlign w:val="center"/>
          </w:tcPr>
          <w:p w:rsidR="0068618B" w:rsidRDefault="000076C5">
            <w:pPr>
              <w:jc w:val="left"/>
            </w:pPr>
            <w:r>
              <w:rPr>
                <w:color w:val="000000"/>
                <w:sz w:val="24"/>
              </w:rPr>
              <w:t>西班牙</w:t>
            </w:r>
          </w:p>
        </w:tc>
        <w:tc>
          <w:tcPr>
            <w:tcW w:w="3214" w:type="dxa"/>
            <w:vAlign w:val="center"/>
          </w:tcPr>
          <w:p w:rsidR="0068618B" w:rsidRDefault="000076C5">
            <w:pPr>
              <w:jc w:val="right"/>
            </w:pPr>
            <w:r>
              <w:rPr>
                <w:color w:val="000000"/>
                <w:sz w:val="24"/>
              </w:rPr>
              <w:t>1,129,026.95</w:t>
            </w:r>
          </w:p>
        </w:tc>
        <w:tc>
          <w:tcPr>
            <w:tcW w:w="3170" w:type="dxa"/>
            <w:vAlign w:val="center"/>
          </w:tcPr>
          <w:p w:rsidR="0068618B" w:rsidRDefault="000076C5">
            <w:pPr>
              <w:jc w:val="right"/>
            </w:pPr>
            <w:r>
              <w:rPr>
                <w:color w:val="000000"/>
                <w:sz w:val="24"/>
              </w:rPr>
              <w:t>1.12</w:t>
            </w:r>
          </w:p>
        </w:tc>
      </w:tr>
      <w:tr w:rsidR="0068618B">
        <w:trPr>
          <w:jc w:val="center"/>
        </w:trPr>
        <w:tc>
          <w:tcPr>
            <w:tcW w:w="2484" w:type="dxa"/>
            <w:vAlign w:val="center"/>
          </w:tcPr>
          <w:p w:rsidR="0068618B" w:rsidRDefault="000076C5">
            <w:pPr>
              <w:jc w:val="left"/>
            </w:pPr>
            <w:r>
              <w:rPr>
                <w:color w:val="000000"/>
                <w:sz w:val="24"/>
              </w:rPr>
              <w:t>法国</w:t>
            </w:r>
          </w:p>
        </w:tc>
        <w:tc>
          <w:tcPr>
            <w:tcW w:w="3214" w:type="dxa"/>
            <w:vAlign w:val="center"/>
          </w:tcPr>
          <w:p w:rsidR="0068618B" w:rsidRDefault="000076C5">
            <w:pPr>
              <w:jc w:val="right"/>
            </w:pPr>
            <w:r>
              <w:rPr>
                <w:color w:val="000000"/>
                <w:sz w:val="24"/>
              </w:rPr>
              <w:t>1,043,479.65</w:t>
            </w:r>
          </w:p>
        </w:tc>
        <w:tc>
          <w:tcPr>
            <w:tcW w:w="3170" w:type="dxa"/>
            <w:vAlign w:val="center"/>
          </w:tcPr>
          <w:p w:rsidR="0068618B" w:rsidRDefault="000076C5">
            <w:pPr>
              <w:jc w:val="right"/>
            </w:pPr>
            <w:r>
              <w:rPr>
                <w:color w:val="000000"/>
                <w:sz w:val="24"/>
              </w:rPr>
              <w:t>1.04</w:t>
            </w:r>
          </w:p>
        </w:tc>
      </w:tr>
      <w:tr w:rsidR="0068618B">
        <w:trPr>
          <w:jc w:val="center"/>
        </w:trPr>
        <w:tc>
          <w:tcPr>
            <w:tcW w:w="2484" w:type="dxa"/>
            <w:vAlign w:val="center"/>
          </w:tcPr>
          <w:p w:rsidR="0068618B" w:rsidRDefault="000076C5">
            <w:pPr>
              <w:jc w:val="left"/>
            </w:pPr>
            <w:r>
              <w:rPr>
                <w:color w:val="000000"/>
                <w:sz w:val="24"/>
              </w:rPr>
              <w:t>新加坡</w:t>
            </w:r>
          </w:p>
        </w:tc>
        <w:tc>
          <w:tcPr>
            <w:tcW w:w="3214" w:type="dxa"/>
            <w:vAlign w:val="center"/>
          </w:tcPr>
          <w:p w:rsidR="0068618B" w:rsidRDefault="000076C5">
            <w:pPr>
              <w:jc w:val="right"/>
            </w:pPr>
            <w:r>
              <w:rPr>
                <w:color w:val="000000"/>
                <w:sz w:val="24"/>
              </w:rPr>
              <w:t>836,710.42</w:t>
            </w:r>
          </w:p>
        </w:tc>
        <w:tc>
          <w:tcPr>
            <w:tcW w:w="3170" w:type="dxa"/>
            <w:vAlign w:val="center"/>
          </w:tcPr>
          <w:p w:rsidR="0068618B" w:rsidRDefault="000076C5">
            <w:pPr>
              <w:jc w:val="right"/>
            </w:pPr>
            <w:r>
              <w:rPr>
                <w:color w:val="000000"/>
                <w:sz w:val="24"/>
              </w:rPr>
              <w:t>0.83</w:t>
            </w:r>
          </w:p>
        </w:tc>
      </w:tr>
      <w:tr w:rsidR="0068618B">
        <w:trPr>
          <w:jc w:val="center"/>
        </w:trPr>
        <w:tc>
          <w:tcPr>
            <w:tcW w:w="2484" w:type="dxa"/>
            <w:vAlign w:val="center"/>
          </w:tcPr>
          <w:p w:rsidR="0068618B" w:rsidRDefault="000076C5">
            <w:pPr>
              <w:jc w:val="left"/>
            </w:pPr>
            <w:r>
              <w:rPr>
                <w:color w:val="000000"/>
                <w:sz w:val="24"/>
              </w:rPr>
              <w:t>泰国</w:t>
            </w:r>
          </w:p>
        </w:tc>
        <w:tc>
          <w:tcPr>
            <w:tcW w:w="3214" w:type="dxa"/>
            <w:vAlign w:val="center"/>
          </w:tcPr>
          <w:p w:rsidR="0068618B" w:rsidRDefault="000076C5">
            <w:pPr>
              <w:jc w:val="right"/>
            </w:pPr>
            <w:r>
              <w:rPr>
                <w:color w:val="000000"/>
                <w:sz w:val="24"/>
              </w:rPr>
              <w:t>812,085.41</w:t>
            </w:r>
          </w:p>
        </w:tc>
        <w:tc>
          <w:tcPr>
            <w:tcW w:w="3170" w:type="dxa"/>
            <w:vAlign w:val="center"/>
          </w:tcPr>
          <w:p w:rsidR="0068618B" w:rsidRDefault="000076C5">
            <w:pPr>
              <w:jc w:val="right"/>
            </w:pPr>
            <w:r>
              <w:rPr>
                <w:color w:val="000000"/>
                <w:sz w:val="24"/>
              </w:rPr>
              <w:t>0.81</w:t>
            </w:r>
          </w:p>
        </w:tc>
      </w:tr>
      <w:tr w:rsidR="0068618B">
        <w:trPr>
          <w:jc w:val="center"/>
        </w:trPr>
        <w:tc>
          <w:tcPr>
            <w:tcW w:w="2484" w:type="dxa"/>
            <w:vAlign w:val="center"/>
          </w:tcPr>
          <w:p w:rsidR="0068618B" w:rsidRDefault="000076C5">
            <w:pPr>
              <w:jc w:val="left"/>
            </w:pPr>
            <w:r>
              <w:rPr>
                <w:color w:val="000000"/>
                <w:sz w:val="24"/>
              </w:rPr>
              <w:t>巴西</w:t>
            </w:r>
          </w:p>
        </w:tc>
        <w:tc>
          <w:tcPr>
            <w:tcW w:w="3214" w:type="dxa"/>
            <w:vAlign w:val="center"/>
          </w:tcPr>
          <w:p w:rsidR="0068618B" w:rsidRDefault="000076C5">
            <w:pPr>
              <w:jc w:val="right"/>
            </w:pPr>
            <w:r>
              <w:rPr>
                <w:color w:val="000000"/>
                <w:sz w:val="24"/>
              </w:rPr>
              <w:t>789,066.81</w:t>
            </w:r>
          </w:p>
        </w:tc>
        <w:tc>
          <w:tcPr>
            <w:tcW w:w="3170" w:type="dxa"/>
            <w:vAlign w:val="center"/>
          </w:tcPr>
          <w:p w:rsidR="0068618B" w:rsidRDefault="000076C5">
            <w:pPr>
              <w:jc w:val="right"/>
            </w:pPr>
            <w:r>
              <w:rPr>
                <w:color w:val="000000"/>
                <w:sz w:val="24"/>
              </w:rPr>
              <w:t>0.78</w:t>
            </w:r>
          </w:p>
        </w:tc>
      </w:tr>
      <w:tr w:rsidR="0068618B">
        <w:trPr>
          <w:jc w:val="center"/>
        </w:trPr>
        <w:tc>
          <w:tcPr>
            <w:tcW w:w="2484" w:type="dxa"/>
            <w:vAlign w:val="center"/>
          </w:tcPr>
          <w:p w:rsidR="0068618B" w:rsidRDefault="000076C5">
            <w:pPr>
              <w:jc w:val="left"/>
            </w:pPr>
            <w:r>
              <w:rPr>
                <w:color w:val="000000"/>
                <w:sz w:val="24"/>
              </w:rPr>
              <w:t>瑞典</w:t>
            </w:r>
          </w:p>
        </w:tc>
        <w:tc>
          <w:tcPr>
            <w:tcW w:w="3214" w:type="dxa"/>
            <w:vAlign w:val="center"/>
          </w:tcPr>
          <w:p w:rsidR="0068618B" w:rsidRDefault="000076C5">
            <w:pPr>
              <w:jc w:val="right"/>
            </w:pPr>
            <w:r>
              <w:rPr>
                <w:color w:val="000000"/>
                <w:sz w:val="24"/>
              </w:rPr>
              <w:t>759,282.17</w:t>
            </w:r>
          </w:p>
        </w:tc>
        <w:tc>
          <w:tcPr>
            <w:tcW w:w="3170" w:type="dxa"/>
            <w:vAlign w:val="center"/>
          </w:tcPr>
          <w:p w:rsidR="0068618B" w:rsidRDefault="000076C5">
            <w:pPr>
              <w:jc w:val="right"/>
            </w:pPr>
            <w:r>
              <w:rPr>
                <w:color w:val="000000"/>
                <w:sz w:val="24"/>
              </w:rPr>
              <w:t>0.75</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85,673,428.11</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85.00</w:t>
            </w:r>
          </w:p>
        </w:tc>
      </w:tr>
    </w:tbl>
    <w:p w:rsidR="0068618B" w:rsidRDefault="000076C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8618B">
        <w:trPr>
          <w:jc w:val="center"/>
        </w:trPr>
        <w:tc>
          <w:tcPr>
            <w:tcW w:w="2904" w:type="dxa"/>
            <w:vAlign w:val="center"/>
          </w:tcPr>
          <w:p w:rsidR="0068618B" w:rsidRDefault="000076C5">
            <w:pPr>
              <w:jc w:val="left"/>
            </w:pPr>
            <w:r>
              <w:rPr>
                <w:color w:val="000000"/>
                <w:sz w:val="24"/>
              </w:rPr>
              <w:t>信息技术</w:t>
            </w:r>
          </w:p>
        </w:tc>
        <w:tc>
          <w:tcPr>
            <w:tcW w:w="2657" w:type="dxa"/>
            <w:vAlign w:val="center"/>
          </w:tcPr>
          <w:p w:rsidR="0068618B" w:rsidRDefault="000076C5">
            <w:pPr>
              <w:jc w:val="right"/>
            </w:pPr>
            <w:r>
              <w:rPr>
                <w:color w:val="000000"/>
                <w:sz w:val="24"/>
              </w:rPr>
              <w:t>14,309,447.87</w:t>
            </w:r>
          </w:p>
        </w:tc>
        <w:tc>
          <w:tcPr>
            <w:tcW w:w="3307" w:type="dxa"/>
            <w:vAlign w:val="center"/>
          </w:tcPr>
          <w:p w:rsidR="0068618B" w:rsidRDefault="000076C5">
            <w:pPr>
              <w:jc w:val="right"/>
            </w:pPr>
            <w:r>
              <w:rPr>
                <w:color w:val="000000"/>
                <w:sz w:val="24"/>
              </w:rPr>
              <w:t>14.20</w:t>
            </w:r>
          </w:p>
        </w:tc>
      </w:tr>
      <w:tr w:rsidR="0068618B">
        <w:trPr>
          <w:jc w:val="center"/>
        </w:trPr>
        <w:tc>
          <w:tcPr>
            <w:tcW w:w="2904" w:type="dxa"/>
            <w:vAlign w:val="center"/>
          </w:tcPr>
          <w:p w:rsidR="0068618B" w:rsidRDefault="000076C5">
            <w:pPr>
              <w:jc w:val="left"/>
            </w:pPr>
            <w:r>
              <w:rPr>
                <w:color w:val="000000"/>
                <w:sz w:val="24"/>
              </w:rPr>
              <w:t>金融</w:t>
            </w:r>
          </w:p>
        </w:tc>
        <w:tc>
          <w:tcPr>
            <w:tcW w:w="2657" w:type="dxa"/>
            <w:vAlign w:val="center"/>
          </w:tcPr>
          <w:p w:rsidR="0068618B" w:rsidRDefault="000076C5">
            <w:pPr>
              <w:jc w:val="right"/>
            </w:pPr>
            <w:r>
              <w:rPr>
                <w:color w:val="000000"/>
                <w:sz w:val="24"/>
              </w:rPr>
              <w:t>14,153,343.96</w:t>
            </w:r>
          </w:p>
        </w:tc>
        <w:tc>
          <w:tcPr>
            <w:tcW w:w="3307" w:type="dxa"/>
            <w:vAlign w:val="center"/>
          </w:tcPr>
          <w:p w:rsidR="0068618B" w:rsidRDefault="000076C5">
            <w:pPr>
              <w:jc w:val="right"/>
            </w:pPr>
            <w:r>
              <w:rPr>
                <w:color w:val="000000"/>
                <w:sz w:val="24"/>
              </w:rPr>
              <w:t>14.04</w:t>
            </w:r>
          </w:p>
        </w:tc>
      </w:tr>
      <w:tr w:rsidR="0068618B">
        <w:trPr>
          <w:jc w:val="center"/>
        </w:trPr>
        <w:tc>
          <w:tcPr>
            <w:tcW w:w="2904" w:type="dxa"/>
            <w:vAlign w:val="center"/>
          </w:tcPr>
          <w:p w:rsidR="0068618B" w:rsidRDefault="000076C5">
            <w:pPr>
              <w:jc w:val="left"/>
            </w:pPr>
            <w:r>
              <w:rPr>
                <w:color w:val="000000"/>
                <w:sz w:val="24"/>
              </w:rPr>
              <w:t>保健</w:t>
            </w:r>
          </w:p>
        </w:tc>
        <w:tc>
          <w:tcPr>
            <w:tcW w:w="2657" w:type="dxa"/>
            <w:vAlign w:val="center"/>
          </w:tcPr>
          <w:p w:rsidR="0068618B" w:rsidRDefault="000076C5">
            <w:pPr>
              <w:jc w:val="right"/>
            </w:pPr>
            <w:r>
              <w:rPr>
                <w:color w:val="000000"/>
                <w:sz w:val="24"/>
              </w:rPr>
              <w:t>11,969,762.54</w:t>
            </w:r>
          </w:p>
        </w:tc>
        <w:tc>
          <w:tcPr>
            <w:tcW w:w="3307" w:type="dxa"/>
            <w:vAlign w:val="center"/>
          </w:tcPr>
          <w:p w:rsidR="0068618B" w:rsidRDefault="000076C5">
            <w:pPr>
              <w:jc w:val="right"/>
            </w:pPr>
            <w:r>
              <w:rPr>
                <w:color w:val="000000"/>
                <w:sz w:val="24"/>
              </w:rPr>
              <w:t>11.88</w:t>
            </w:r>
          </w:p>
        </w:tc>
      </w:tr>
      <w:tr w:rsidR="0068618B">
        <w:trPr>
          <w:jc w:val="center"/>
        </w:trPr>
        <w:tc>
          <w:tcPr>
            <w:tcW w:w="2904" w:type="dxa"/>
            <w:vAlign w:val="center"/>
          </w:tcPr>
          <w:p w:rsidR="0068618B" w:rsidRDefault="000076C5">
            <w:pPr>
              <w:jc w:val="left"/>
            </w:pPr>
            <w:r>
              <w:rPr>
                <w:color w:val="000000"/>
                <w:sz w:val="24"/>
              </w:rPr>
              <w:t>工业</w:t>
            </w:r>
          </w:p>
        </w:tc>
        <w:tc>
          <w:tcPr>
            <w:tcW w:w="2657" w:type="dxa"/>
            <w:vAlign w:val="center"/>
          </w:tcPr>
          <w:p w:rsidR="0068618B" w:rsidRDefault="000076C5">
            <w:pPr>
              <w:jc w:val="right"/>
            </w:pPr>
            <w:r>
              <w:rPr>
                <w:color w:val="000000"/>
                <w:sz w:val="24"/>
              </w:rPr>
              <w:t>9,809,808.48</w:t>
            </w:r>
          </w:p>
        </w:tc>
        <w:tc>
          <w:tcPr>
            <w:tcW w:w="3307" w:type="dxa"/>
            <w:vAlign w:val="center"/>
          </w:tcPr>
          <w:p w:rsidR="0068618B" w:rsidRDefault="000076C5">
            <w:pPr>
              <w:jc w:val="right"/>
            </w:pPr>
            <w:r>
              <w:rPr>
                <w:color w:val="000000"/>
                <w:sz w:val="24"/>
              </w:rPr>
              <w:t>9.73</w:t>
            </w:r>
          </w:p>
        </w:tc>
      </w:tr>
      <w:tr w:rsidR="0068618B">
        <w:trPr>
          <w:jc w:val="center"/>
        </w:trPr>
        <w:tc>
          <w:tcPr>
            <w:tcW w:w="2904" w:type="dxa"/>
            <w:vAlign w:val="center"/>
          </w:tcPr>
          <w:p w:rsidR="0068618B" w:rsidRDefault="000076C5">
            <w:pPr>
              <w:jc w:val="left"/>
            </w:pPr>
            <w:r>
              <w:rPr>
                <w:color w:val="000000"/>
                <w:sz w:val="24"/>
              </w:rPr>
              <w:t>非必需消费品</w:t>
            </w:r>
          </w:p>
        </w:tc>
        <w:tc>
          <w:tcPr>
            <w:tcW w:w="2657" w:type="dxa"/>
            <w:vAlign w:val="center"/>
          </w:tcPr>
          <w:p w:rsidR="0068618B" w:rsidRDefault="000076C5">
            <w:pPr>
              <w:jc w:val="right"/>
            </w:pPr>
            <w:r>
              <w:rPr>
                <w:color w:val="000000"/>
                <w:sz w:val="24"/>
              </w:rPr>
              <w:t>9,731,947.16</w:t>
            </w:r>
          </w:p>
        </w:tc>
        <w:tc>
          <w:tcPr>
            <w:tcW w:w="3307" w:type="dxa"/>
            <w:vAlign w:val="center"/>
          </w:tcPr>
          <w:p w:rsidR="0068618B" w:rsidRDefault="000076C5">
            <w:pPr>
              <w:jc w:val="right"/>
            </w:pPr>
            <w:r>
              <w:rPr>
                <w:color w:val="000000"/>
                <w:sz w:val="24"/>
              </w:rPr>
              <w:t>9.66</w:t>
            </w:r>
          </w:p>
        </w:tc>
      </w:tr>
      <w:tr w:rsidR="0068618B">
        <w:trPr>
          <w:jc w:val="center"/>
        </w:trPr>
        <w:tc>
          <w:tcPr>
            <w:tcW w:w="2904" w:type="dxa"/>
            <w:vAlign w:val="center"/>
          </w:tcPr>
          <w:p w:rsidR="0068618B" w:rsidRDefault="000076C5">
            <w:pPr>
              <w:jc w:val="left"/>
            </w:pPr>
            <w:r>
              <w:rPr>
                <w:color w:val="000000"/>
                <w:sz w:val="24"/>
              </w:rPr>
              <w:t>必需消费品</w:t>
            </w:r>
          </w:p>
        </w:tc>
        <w:tc>
          <w:tcPr>
            <w:tcW w:w="2657" w:type="dxa"/>
            <w:vAlign w:val="center"/>
          </w:tcPr>
          <w:p w:rsidR="0068618B" w:rsidRDefault="000076C5">
            <w:pPr>
              <w:jc w:val="right"/>
            </w:pPr>
            <w:r>
              <w:rPr>
                <w:color w:val="000000"/>
                <w:sz w:val="24"/>
              </w:rPr>
              <w:t>7,788,094.35</w:t>
            </w:r>
          </w:p>
        </w:tc>
        <w:tc>
          <w:tcPr>
            <w:tcW w:w="3307" w:type="dxa"/>
            <w:vAlign w:val="center"/>
          </w:tcPr>
          <w:p w:rsidR="0068618B" w:rsidRDefault="000076C5">
            <w:pPr>
              <w:jc w:val="right"/>
            </w:pPr>
            <w:r>
              <w:rPr>
                <w:color w:val="000000"/>
                <w:sz w:val="24"/>
              </w:rPr>
              <w:t>7.73</w:t>
            </w:r>
          </w:p>
        </w:tc>
      </w:tr>
      <w:tr w:rsidR="0068618B">
        <w:trPr>
          <w:jc w:val="center"/>
        </w:trPr>
        <w:tc>
          <w:tcPr>
            <w:tcW w:w="2904" w:type="dxa"/>
            <w:vAlign w:val="center"/>
          </w:tcPr>
          <w:p w:rsidR="0068618B" w:rsidRDefault="000076C5">
            <w:pPr>
              <w:jc w:val="left"/>
            </w:pPr>
            <w:r>
              <w:rPr>
                <w:color w:val="000000"/>
                <w:sz w:val="24"/>
              </w:rPr>
              <w:t>材料</w:t>
            </w:r>
          </w:p>
        </w:tc>
        <w:tc>
          <w:tcPr>
            <w:tcW w:w="2657" w:type="dxa"/>
            <w:vAlign w:val="center"/>
          </w:tcPr>
          <w:p w:rsidR="0068618B" w:rsidRDefault="000076C5">
            <w:pPr>
              <w:jc w:val="right"/>
            </w:pPr>
            <w:r>
              <w:rPr>
                <w:color w:val="000000"/>
                <w:sz w:val="24"/>
              </w:rPr>
              <w:t>6,091,084.35</w:t>
            </w:r>
          </w:p>
        </w:tc>
        <w:tc>
          <w:tcPr>
            <w:tcW w:w="3307" w:type="dxa"/>
            <w:vAlign w:val="center"/>
          </w:tcPr>
          <w:p w:rsidR="0068618B" w:rsidRDefault="000076C5">
            <w:pPr>
              <w:jc w:val="right"/>
            </w:pPr>
            <w:r>
              <w:rPr>
                <w:color w:val="000000"/>
                <w:sz w:val="24"/>
              </w:rPr>
              <w:t>6.04</w:t>
            </w:r>
          </w:p>
        </w:tc>
      </w:tr>
      <w:tr w:rsidR="0068618B">
        <w:trPr>
          <w:jc w:val="center"/>
        </w:trPr>
        <w:tc>
          <w:tcPr>
            <w:tcW w:w="2904" w:type="dxa"/>
            <w:vAlign w:val="center"/>
          </w:tcPr>
          <w:p w:rsidR="0068618B" w:rsidRDefault="000076C5">
            <w:pPr>
              <w:jc w:val="left"/>
            </w:pPr>
            <w:r>
              <w:rPr>
                <w:color w:val="000000"/>
                <w:sz w:val="24"/>
              </w:rPr>
              <w:t>能源</w:t>
            </w:r>
          </w:p>
        </w:tc>
        <w:tc>
          <w:tcPr>
            <w:tcW w:w="2657" w:type="dxa"/>
            <w:vAlign w:val="center"/>
          </w:tcPr>
          <w:p w:rsidR="0068618B" w:rsidRDefault="000076C5">
            <w:pPr>
              <w:jc w:val="right"/>
            </w:pPr>
            <w:r>
              <w:rPr>
                <w:color w:val="000000"/>
                <w:sz w:val="24"/>
              </w:rPr>
              <w:t>5,999,816.74</w:t>
            </w:r>
          </w:p>
        </w:tc>
        <w:tc>
          <w:tcPr>
            <w:tcW w:w="3307" w:type="dxa"/>
            <w:vAlign w:val="center"/>
          </w:tcPr>
          <w:p w:rsidR="0068618B" w:rsidRDefault="000076C5">
            <w:pPr>
              <w:jc w:val="right"/>
            </w:pPr>
            <w:r>
              <w:rPr>
                <w:color w:val="000000"/>
                <w:sz w:val="24"/>
              </w:rPr>
              <w:t>5.95</w:t>
            </w:r>
          </w:p>
        </w:tc>
      </w:tr>
      <w:tr w:rsidR="0068618B">
        <w:trPr>
          <w:jc w:val="center"/>
        </w:trPr>
        <w:tc>
          <w:tcPr>
            <w:tcW w:w="2904" w:type="dxa"/>
            <w:vAlign w:val="center"/>
          </w:tcPr>
          <w:p w:rsidR="0068618B" w:rsidRDefault="000076C5">
            <w:pPr>
              <w:jc w:val="left"/>
            </w:pPr>
            <w:r>
              <w:rPr>
                <w:color w:val="000000"/>
                <w:sz w:val="24"/>
              </w:rPr>
              <w:t>电信服务</w:t>
            </w:r>
          </w:p>
        </w:tc>
        <w:tc>
          <w:tcPr>
            <w:tcW w:w="2657" w:type="dxa"/>
            <w:vAlign w:val="center"/>
          </w:tcPr>
          <w:p w:rsidR="0068618B" w:rsidRDefault="000076C5">
            <w:pPr>
              <w:jc w:val="right"/>
            </w:pPr>
            <w:r>
              <w:rPr>
                <w:color w:val="000000"/>
                <w:sz w:val="24"/>
              </w:rPr>
              <w:t>4,266,268.68</w:t>
            </w:r>
          </w:p>
        </w:tc>
        <w:tc>
          <w:tcPr>
            <w:tcW w:w="3307" w:type="dxa"/>
            <w:vAlign w:val="center"/>
          </w:tcPr>
          <w:p w:rsidR="0068618B" w:rsidRDefault="000076C5">
            <w:pPr>
              <w:jc w:val="right"/>
            </w:pPr>
            <w:r>
              <w:rPr>
                <w:color w:val="000000"/>
                <w:sz w:val="24"/>
              </w:rPr>
              <w:t>4.23</w:t>
            </w:r>
          </w:p>
        </w:tc>
      </w:tr>
      <w:tr w:rsidR="0068618B">
        <w:trPr>
          <w:jc w:val="center"/>
        </w:trPr>
        <w:tc>
          <w:tcPr>
            <w:tcW w:w="2904" w:type="dxa"/>
            <w:vAlign w:val="center"/>
          </w:tcPr>
          <w:p w:rsidR="0068618B" w:rsidRDefault="000076C5">
            <w:pPr>
              <w:jc w:val="left"/>
            </w:pPr>
            <w:r>
              <w:rPr>
                <w:color w:val="000000"/>
                <w:sz w:val="24"/>
              </w:rPr>
              <w:t>房地产</w:t>
            </w:r>
          </w:p>
        </w:tc>
        <w:tc>
          <w:tcPr>
            <w:tcW w:w="2657" w:type="dxa"/>
            <w:vAlign w:val="center"/>
          </w:tcPr>
          <w:p w:rsidR="0068618B" w:rsidRDefault="000076C5">
            <w:pPr>
              <w:jc w:val="right"/>
            </w:pPr>
            <w:r>
              <w:rPr>
                <w:color w:val="000000"/>
                <w:sz w:val="24"/>
              </w:rPr>
              <w:t>1,328,398.43</w:t>
            </w:r>
          </w:p>
        </w:tc>
        <w:tc>
          <w:tcPr>
            <w:tcW w:w="3307" w:type="dxa"/>
            <w:vAlign w:val="center"/>
          </w:tcPr>
          <w:p w:rsidR="0068618B" w:rsidRDefault="000076C5">
            <w:pPr>
              <w:jc w:val="right"/>
            </w:pPr>
            <w:r>
              <w:rPr>
                <w:color w:val="000000"/>
                <w:sz w:val="24"/>
              </w:rPr>
              <w:t>1.32</w:t>
            </w:r>
          </w:p>
        </w:tc>
      </w:tr>
      <w:tr w:rsidR="0068618B">
        <w:trPr>
          <w:jc w:val="center"/>
        </w:trPr>
        <w:tc>
          <w:tcPr>
            <w:tcW w:w="2904" w:type="dxa"/>
            <w:vAlign w:val="center"/>
          </w:tcPr>
          <w:p w:rsidR="0068618B" w:rsidRDefault="000076C5">
            <w:pPr>
              <w:jc w:val="left"/>
            </w:pPr>
            <w:r>
              <w:rPr>
                <w:color w:val="000000"/>
                <w:sz w:val="24"/>
              </w:rPr>
              <w:t>公共事业</w:t>
            </w:r>
          </w:p>
        </w:tc>
        <w:tc>
          <w:tcPr>
            <w:tcW w:w="2657" w:type="dxa"/>
            <w:vAlign w:val="center"/>
          </w:tcPr>
          <w:p w:rsidR="0068618B" w:rsidRDefault="000076C5">
            <w:pPr>
              <w:jc w:val="right"/>
            </w:pPr>
            <w:r>
              <w:rPr>
                <w:color w:val="000000"/>
                <w:sz w:val="24"/>
              </w:rPr>
              <w:t>225,455.55</w:t>
            </w:r>
          </w:p>
        </w:tc>
        <w:tc>
          <w:tcPr>
            <w:tcW w:w="3307" w:type="dxa"/>
            <w:vAlign w:val="center"/>
          </w:tcPr>
          <w:p w:rsidR="0068618B" w:rsidRDefault="000076C5">
            <w:pPr>
              <w:jc w:val="right"/>
            </w:pPr>
            <w:r>
              <w:rPr>
                <w:color w:val="000000"/>
                <w:sz w:val="24"/>
              </w:rPr>
              <w:t>0.22</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85,673,428.11</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85.00</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68618B">
        <w:trPr>
          <w:jc w:val="center"/>
        </w:trPr>
        <w:tc>
          <w:tcPr>
            <w:tcW w:w="1243" w:type="dxa"/>
            <w:vAlign w:val="center"/>
          </w:tcPr>
          <w:p w:rsidR="0068618B" w:rsidRDefault="000076C5">
            <w:pPr>
              <w:jc w:val="center"/>
            </w:pPr>
            <w:r>
              <w:rPr>
                <w:color w:val="000000"/>
                <w:sz w:val="24"/>
              </w:rPr>
              <w:t>1</w:t>
            </w:r>
          </w:p>
        </w:tc>
        <w:tc>
          <w:tcPr>
            <w:tcW w:w="971" w:type="dxa"/>
            <w:vAlign w:val="center"/>
          </w:tcPr>
          <w:p w:rsidR="0068618B" w:rsidRDefault="000076C5">
            <w:pPr>
              <w:jc w:val="center"/>
            </w:pPr>
            <w:r>
              <w:rPr>
                <w:color w:val="000000"/>
                <w:sz w:val="24"/>
              </w:rPr>
              <w:t>Alphabet Inc</w:t>
            </w:r>
          </w:p>
        </w:tc>
        <w:tc>
          <w:tcPr>
            <w:tcW w:w="993" w:type="dxa"/>
            <w:vAlign w:val="center"/>
          </w:tcPr>
          <w:p w:rsidR="0068618B" w:rsidRDefault="000076C5">
            <w:pPr>
              <w:jc w:val="center"/>
            </w:pPr>
            <w:r>
              <w:rPr>
                <w:color w:val="000000"/>
                <w:sz w:val="24"/>
              </w:rPr>
              <w:t>Alphabet</w:t>
            </w:r>
            <w:r>
              <w:rPr>
                <w:color w:val="000000"/>
                <w:sz w:val="24"/>
              </w:rPr>
              <w:t>公司</w:t>
            </w:r>
          </w:p>
        </w:tc>
        <w:tc>
          <w:tcPr>
            <w:tcW w:w="725" w:type="dxa"/>
            <w:vAlign w:val="center"/>
          </w:tcPr>
          <w:p w:rsidR="0068618B" w:rsidRDefault="000076C5">
            <w:pPr>
              <w:jc w:val="center"/>
            </w:pPr>
            <w:r>
              <w:rPr>
                <w:color w:val="000000"/>
                <w:sz w:val="24"/>
              </w:rPr>
              <w:t>GOOGL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396</w:t>
            </w:r>
          </w:p>
        </w:tc>
        <w:tc>
          <w:tcPr>
            <w:tcW w:w="975" w:type="dxa"/>
            <w:vAlign w:val="center"/>
          </w:tcPr>
          <w:p w:rsidR="0068618B" w:rsidRDefault="000076C5">
            <w:pPr>
              <w:jc w:val="right"/>
            </w:pPr>
            <w:r>
              <w:rPr>
                <w:color w:val="000000"/>
                <w:sz w:val="24"/>
              </w:rPr>
              <w:t>2,176,901.36</w:t>
            </w:r>
          </w:p>
        </w:tc>
        <w:tc>
          <w:tcPr>
            <w:tcW w:w="1175" w:type="dxa"/>
            <w:vAlign w:val="center"/>
          </w:tcPr>
          <w:p w:rsidR="0068618B" w:rsidRDefault="000076C5">
            <w:pPr>
              <w:jc w:val="right"/>
            </w:pPr>
            <w:r>
              <w:rPr>
                <w:color w:val="000000"/>
                <w:sz w:val="24"/>
              </w:rPr>
              <w:t>2.16</w:t>
            </w:r>
          </w:p>
        </w:tc>
      </w:tr>
      <w:tr w:rsidR="0068618B">
        <w:trPr>
          <w:jc w:val="center"/>
        </w:trPr>
        <w:tc>
          <w:tcPr>
            <w:tcW w:w="1243" w:type="dxa"/>
            <w:vAlign w:val="center"/>
          </w:tcPr>
          <w:p w:rsidR="0068618B" w:rsidRDefault="000076C5">
            <w:pPr>
              <w:jc w:val="center"/>
            </w:pPr>
            <w:r>
              <w:rPr>
                <w:color w:val="000000"/>
                <w:sz w:val="24"/>
              </w:rPr>
              <w:t>2</w:t>
            </w:r>
          </w:p>
        </w:tc>
        <w:tc>
          <w:tcPr>
            <w:tcW w:w="971" w:type="dxa"/>
            <w:vAlign w:val="center"/>
          </w:tcPr>
          <w:p w:rsidR="0068618B" w:rsidRDefault="000076C5">
            <w:pPr>
              <w:jc w:val="center"/>
            </w:pPr>
            <w:r>
              <w:rPr>
                <w:color w:val="000000"/>
                <w:sz w:val="24"/>
              </w:rPr>
              <w:t>Citigroup Inc</w:t>
            </w:r>
          </w:p>
        </w:tc>
        <w:tc>
          <w:tcPr>
            <w:tcW w:w="993" w:type="dxa"/>
            <w:vAlign w:val="center"/>
          </w:tcPr>
          <w:p w:rsidR="0068618B" w:rsidRDefault="000076C5">
            <w:pPr>
              <w:jc w:val="center"/>
            </w:pPr>
            <w:r>
              <w:rPr>
                <w:color w:val="000000"/>
                <w:sz w:val="24"/>
              </w:rPr>
              <w:t>花旗集团</w:t>
            </w:r>
          </w:p>
        </w:tc>
        <w:tc>
          <w:tcPr>
            <w:tcW w:w="725" w:type="dxa"/>
            <w:vAlign w:val="center"/>
          </w:tcPr>
          <w:p w:rsidR="0068618B" w:rsidRDefault="000076C5">
            <w:pPr>
              <w:jc w:val="center"/>
            </w:pPr>
            <w:r>
              <w:rPr>
                <w:color w:val="000000"/>
                <w:sz w:val="24"/>
              </w:rPr>
              <w:t>C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5,229</w:t>
            </w:r>
          </w:p>
        </w:tc>
        <w:tc>
          <w:tcPr>
            <w:tcW w:w="975" w:type="dxa"/>
            <w:vAlign w:val="center"/>
          </w:tcPr>
          <w:p w:rsidR="0068618B" w:rsidRDefault="000076C5">
            <w:pPr>
              <w:jc w:val="right"/>
            </w:pPr>
            <w:r>
              <w:rPr>
                <w:color w:val="000000"/>
                <w:sz w:val="24"/>
              </w:rPr>
              <w:t>2,155,738.44</w:t>
            </w:r>
          </w:p>
        </w:tc>
        <w:tc>
          <w:tcPr>
            <w:tcW w:w="1175" w:type="dxa"/>
            <w:vAlign w:val="center"/>
          </w:tcPr>
          <w:p w:rsidR="0068618B" w:rsidRDefault="000076C5">
            <w:pPr>
              <w:jc w:val="right"/>
            </w:pPr>
            <w:r>
              <w:rPr>
                <w:color w:val="000000"/>
                <w:sz w:val="24"/>
              </w:rPr>
              <w:t>2.14</w:t>
            </w:r>
          </w:p>
        </w:tc>
      </w:tr>
      <w:tr w:rsidR="0068618B">
        <w:trPr>
          <w:jc w:val="center"/>
        </w:trPr>
        <w:tc>
          <w:tcPr>
            <w:tcW w:w="1243" w:type="dxa"/>
            <w:vAlign w:val="center"/>
          </w:tcPr>
          <w:p w:rsidR="0068618B" w:rsidRDefault="000076C5">
            <w:pPr>
              <w:jc w:val="center"/>
            </w:pPr>
            <w:r>
              <w:rPr>
                <w:color w:val="000000"/>
                <w:sz w:val="24"/>
              </w:rPr>
              <w:t>3</w:t>
            </w:r>
          </w:p>
        </w:tc>
        <w:tc>
          <w:tcPr>
            <w:tcW w:w="971" w:type="dxa"/>
            <w:vAlign w:val="center"/>
          </w:tcPr>
          <w:p w:rsidR="0068618B" w:rsidRDefault="000076C5">
            <w:pPr>
              <w:jc w:val="center"/>
            </w:pPr>
            <w:r>
              <w:rPr>
                <w:color w:val="000000"/>
                <w:sz w:val="24"/>
              </w:rPr>
              <w:t>Unitedhealth Group Inc</w:t>
            </w:r>
          </w:p>
        </w:tc>
        <w:tc>
          <w:tcPr>
            <w:tcW w:w="993" w:type="dxa"/>
            <w:vAlign w:val="center"/>
          </w:tcPr>
          <w:p w:rsidR="0068618B" w:rsidRDefault="000076C5">
            <w:pPr>
              <w:jc w:val="center"/>
            </w:pPr>
            <w:r>
              <w:rPr>
                <w:color w:val="000000"/>
                <w:sz w:val="24"/>
              </w:rPr>
              <w:t>美国联合健康集团</w:t>
            </w:r>
          </w:p>
        </w:tc>
        <w:tc>
          <w:tcPr>
            <w:tcW w:w="725" w:type="dxa"/>
            <w:vAlign w:val="center"/>
          </w:tcPr>
          <w:p w:rsidR="0068618B" w:rsidRDefault="000076C5">
            <w:pPr>
              <w:jc w:val="center"/>
            </w:pPr>
            <w:r>
              <w:rPr>
                <w:color w:val="000000"/>
                <w:sz w:val="24"/>
              </w:rPr>
              <w:t>UNH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1,861</w:t>
            </w:r>
          </w:p>
        </w:tc>
        <w:tc>
          <w:tcPr>
            <w:tcW w:w="975" w:type="dxa"/>
            <w:vAlign w:val="center"/>
          </w:tcPr>
          <w:p w:rsidR="0068618B" w:rsidRDefault="000076C5">
            <w:pPr>
              <w:jc w:val="right"/>
            </w:pPr>
            <w:r>
              <w:rPr>
                <w:color w:val="000000"/>
                <w:sz w:val="24"/>
              </w:rPr>
              <w:t>2,066,077.51</w:t>
            </w:r>
          </w:p>
        </w:tc>
        <w:tc>
          <w:tcPr>
            <w:tcW w:w="1175" w:type="dxa"/>
            <w:vAlign w:val="center"/>
          </w:tcPr>
          <w:p w:rsidR="0068618B" w:rsidRDefault="000076C5">
            <w:pPr>
              <w:jc w:val="right"/>
            </w:pPr>
            <w:r>
              <w:rPr>
                <w:color w:val="000000"/>
                <w:sz w:val="24"/>
              </w:rPr>
              <w:t>2.05</w:t>
            </w:r>
          </w:p>
        </w:tc>
      </w:tr>
      <w:tr w:rsidR="0068618B">
        <w:trPr>
          <w:jc w:val="center"/>
        </w:trPr>
        <w:tc>
          <w:tcPr>
            <w:tcW w:w="1243" w:type="dxa"/>
            <w:vAlign w:val="center"/>
          </w:tcPr>
          <w:p w:rsidR="0068618B" w:rsidRDefault="000076C5">
            <w:pPr>
              <w:jc w:val="center"/>
            </w:pPr>
            <w:r>
              <w:rPr>
                <w:color w:val="000000"/>
                <w:sz w:val="24"/>
              </w:rPr>
              <w:t>4</w:t>
            </w:r>
          </w:p>
        </w:tc>
        <w:tc>
          <w:tcPr>
            <w:tcW w:w="971" w:type="dxa"/>
            <w:vAlign w:val="center"/>
          </w:tcPr>
          <w:p w:rsidR="0068618B" w:rsidRDefault="000076C5">
            <w:pPr>
              <w:jc w:val="center"/>
            </w:pPr>
            <w:r>
              <w:rPr>
                <w:color w:val="000000"/>
                <w:sz w:val="24"/>
              </w:rPr>
              <w:t>Comcast Corporation</w:t>
            </w:r>
          </w:p>
        </w:tc>
        <w:tc>
          <w:tcPr>
            <w:tcW w:w="993" w:type="dxa"/>
            <w:vAlign w:val="center"/>
          </w:tcPr>
          <w:p w:rsidR="0068618B" w:rsidRDefault="000076C5">
            <w:pPr>
              <w:jc w:val="center"/>
            </w:pPr>
            <w:r>
              <w:rPr>
                <w:color w:val="000000"/>
                <w:sz w:val="24"/>
              </w:rPr>
              <w:t>康卡斯特公司</w:t>
            </w:r>
          </w:p>
        </w:tc>
        <w:tc>
          <w:tcPr>
            <w:tcW w:w="725" w:type="dxa"/>
            <w:vAlign w:val="center"/>
          </w:tcPr>
          <w:p w:rsidR="0068618B" w:rsidRDefault="000076C5">
            <w:pPr>
              <w:jc w:val="center"/>
            </w:pPr>
            <w:r>
              <w:rPr>
                <w:color w:val="000000"/>
                <w:sz w:val="24"/>
              </w:rPr>
              <w:t>CMCSA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4,144</w:t>
            </w:r>
          </w:p>
        </w:tc>
        <w:tc>
          <w:tcPr>
            <w:tcW w:w="975" w:type="dxa"/>
            <w:vAlign w:val="center"/>
          </w:tcPr>
          <w:p w:rsidR="0068618B" w:rsidRDefault="000076C5">
            <w:pPr>
              <w:jc w:val="right"/>
            </w:pPr>
            <w:r>
              <w:rPr>
                <w:color w:val="000000"/>
                <w:sz w:val="24"/>
              </w:rPr>
              <w:t>1,984,975.38</w:t>
            </w:r>
          </w:p>
        </w:tc>
        <w:tc>
          <w:tcPr>
            <w:tcW w:w="1175" w:type="dxa"/>
            <w:vAlign w:val="center"/>
          </w:tcPr>
          <w:p w:rsidR="0068618B" w:rsidRDefault="000076C5">
            <w:pPr>
              <w:jc w:val="right"/>
            </w:pPr>
            <w:r>
              <w:rPr>
                <w:color w:val="000000"/>
                <w:sz w:val="24"/>
              </w:rPr>
              <w:t>1.97</w:t>
            </w:r>
          </w:p>
        </w:tc>
      </w:tr>
      <w:tr w:rsidR="0068618B">
        <w:trPr>
          <w:jc w:val="center"/>
        </w:trPr>
        <w:tc>
          <w:tcPr>
            <w:tcW w:w="1243" w:type="dxa"/>
            <w:vAlign w:val="center"/>
          </w:tcPr>
          <w:p w:rsidR="0068618B" w:rsidRDefault="000076C5">
            <w:pPr>
              <w:jc w:val="center"/>
            </w:pPr>
            <w:r>
              <w:rPr>
                <w:color w:val="000000"/>
                <w:sz w:val="24"/>
              </w:rPr>
              <w:t>5</w:t>
            </w:r>
          </w:p>
        </w:tc>
        <w:tc>
          <w:tcPr>
            <w:tcW w:w="971" w:type="dxa"/>
            <w:vAlign w:val="center"/>
          </w:tcPr>
          <w:p w:rsidR="0068618B" w:rsidRDefault="000076C5">
            <w:pPr>
              <w:jc w:val="center"/>
            </w:pPr>
            <w:r>
              <w:rPr>
                <w:color w:val="000000"/>
                <w:sz w:val="24"/>
              </w:rPr>
              <w:t>Union Pacific Corp</w:t>
            </w:r>
          </w:p>
        </w:tc>
        <w:tc>
          <w:tcPr>
            <w:tcW w:w="993" w:type="dxa"/>
            <w:vAlign w:val="center"/>
          </w:tcPr>
          <w:p w:rsidR="0068618B" w:rsidRDefault="000076C5">
            <w:pPr>
              <w:jc w:val="center"/>
            </w:pPr>
            <w:r>
              <w:rPr>
                <w:color w:val="000000"/>
                <w:sz w:val="24"/>
              </w:rPr>
              <w:t>联合太平洋公司</w:t>
            </w:r>
          </w:p>
        </w:tc>
        <w:tc>
          <w:tcPr>
            <w:tcW w:w="725" w:type="dxa"/>
            <w:vAlign w:val="center"/>
          </w:tcPr>
          <w:p w:rsidR="0068618B" w:rsidRDefault="000076C5">
            <w:pPr>
              <w:jc w:val="center"/>
            </w:pPr>
            <w:r>
              <w:rPr>
                <w:color w:val="000000"/>
                <w:sz w:val="24"/>
              </w:rPr>
              <w:t>UNP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2,555</w:t>
            </w:r>
          </w:p>
        </w:tc>
        <w:tc>
          <w:tcPr>
            <w:tcW w:w="975" w:type="dxa"/>
            <w:vAlign w:val="center"/>
          </w:tcPr>
          <w:p w:rsidR="0068618B" w:rsidRDefault="000076C5">
            <w:pPr>
              <w:jc w:val="right"/>
            </w:pPr>
            <w:r>
              <w:rPr>
                <w:color w:val="000000"/>
                <w:sz w:val="24"/>
              </w:rPr>
              <w:t>1,837,627.95</w:t>
            </w:r>
          </w:p>
        </w:tc>
        <w:tc>
          <w:tcPr>
            <w:tcW w:w="1175" w:type="dxa"/>
            <w:vAlign w:val="center"/>
          </w:tcPr>
          <w:p w:rsidR="0068618B" w:rsidRDefault="000076C5">
            <w:pPr>
              <w:jc w:val="right"/>
            </w:pPr>
            <w:r>
              <w:rPr>
                <w:color w:val="000000"/>
                <w:sz w:val="24"/>
              </w:rPr>
              <w:t>1.82</w:t>
            </w:r>
          </w:p>
        </w:tc>
      </w:tr>
      <w:tr w:rsidR="0068618B">
        <w:trPr>
          <w:jc w:val="center"/>
        </w:trPr>
        <w:tc>
          <w:tcPr>
            <w:tcW w:w="1243" w:type="dxa"/>
            <w:vAlign w:val="center"/>
          </w:tcPr>
          <w:p w:rsidR="0068618B" w:rsidRDefault="000076C5">
            <w:pPr>
              <w:jc w:val="center"/>
            </w:pPr>
            <w:r>
              <w:rPr>
                <w:color w:val="000000"/>
                <w:sz w:val="24"/>
              </w:rPr>
              <w:t>6</w:t>
            </w:r>
          </w:p>
        </w:tc>
        <w:tc>
          <w:tcPr>
            <w:tcW w:w="971" w:type="dxa"/>
            <w:vAlign w:val="center"/>
          </w:tcPr>
          <w:p w:rsidR="0068618B" w:rsidRDefault="000076C5">
            <w:pPr>
              <w:jc w:val="center"/>
            </w:pPr>
            <w:r>
              <w:rPr>
                <w:color w:val="000000"/>
                <w:sz w:val="24"/>
              </w:rPr>
              <w:t>Amazon.Com Inc</w:t>
            </w:r>
          </w:p>
        </w:tc>
        <w:tc>
          <w:tcPr>
            <w:tcW w:w="993" w:type="dxa"/>
            <w:vAlign w:val="center"/>
          </w:tcPr>
          <w:p w:rsidR="0068618B" w:rsidRDefault="000076C5">
            <w:pPr>
              <w:jc w:val="center"/>
            </w:pPr>
            <w:r>
              <w:rPr>
                <w:color w:val="000000"/>
                <w:sz w:val="24"/>
              </w:rPr>
              <w:t>亚马逊公司</w:t>
            </w:r>
          </w:p>
        </w:tc>
        <w:tc>
          <w:tcPr>
            <w:tcW w:w="725" w:type="dxa"/>
            <w:vAlign w:val="center"/>
          </w:tcPr>
          <w:p w:rsidR="0068618B" w:rsidRDefault="000076C5">
            <w:pPr>
              <w:jc w:val="center"/>
            </w:pPr>
            <w:r>
              <w:rPr>
                <w:color w:val="000000"/>
                <w:sz w:val="24"/>
              </w:rPr>
              <w:t>AMZN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345</w:t>
            </w:r>
          </w:p>
        </w:tc>
        <w:tc>
          <w:tcPr>
            <w:tcW w:w="975" w:type="dxa"/>
            <w:vAlign w:val="center"/>
          </w:tcPr>
          <w:p w:rsidR="0068618B" w:rsidRDefault="000076C5">
            <w:pPr>
              <w:jc w:val="right"/>
            </w:pPr>
            <w:r>
              <w:rPr>
                <w:color w:val="000000"/>
                <w:sz w:val="24"/>
              </w:rPr>
              <w:t>1,794,637.63</w:t>
            </w:r>
          </w:p>
        </w:tc>
        <w:tc>
          <w:tcPr>
            <w:tcW w:w="1175" w:type="dxa"/>
            <w:vAlign w:val="center"/>
          </w:tcPr>
          <w:p w:rsidR="0068618B" w:rsidRDefault="000076C5">
            <w:pPr>
              <w:jc w:val="right"/>
            </w:pPr>
            <w:r>
              <w:rPr>
                <w:color w:val="000000"/>
                <w:sz w:val="24"/>
              </w:rPr>
              <w:t>1.78</w:t>
            </w:r>
          </w:p>
        </w:tc>
      </w:tr>
      <w:tr w:rsidR="0068618B">
        <w:trPr>
          <w:jc w:val="center"/>
        </w:trPr>
        <w:tc>
          <w:tcPr>
            <w:tcW w:w="1243" w:type="dxa"/>
            <w:vAlign w:val="center"/>
          </w:tcPr>
          <w:p w:rsidR="0068618B" w:rsidRDefault="000076C5">
            <w:pPr>
              <w:jc w:val="center"/>
            </w:pPr>
            <w:r>
              <w:rPr>
                <w:color w:val="000000"/>
                <w:sz w:val="24"/>
              </w:rPr>
              <w:t>7</w:t>
            </w:r>
          </w:p>
        </w:tc>
        <w:tc>
          <w:tcPr>
            <w:tcW w:w="971" w:type="dxa"/>
            <w:vAlign w:val="center"/>
          </w:tcPr>
          <w:p w:rsidR="0068618B" w:rsidRDefault="000076C5">
            <w:pPr>
              <w:jc w:val="center"/>
            </w:pPr>
            <w:r>
              <w:rPr>
                <w:color w:val="000000"/>
                <w:sz w:val="24"/>
              </w:rPr>
              <w:t>US Bancorp</w:t>
            </w:r>
          </w:p>
        </w:tc>
        <w:tc>
          <w:tcPr>
            <w:tcW w:w="993" w:type="dxa"/>
            <w:vAlign w:val="center"/>
          </w:tcPr>
          <w:p w:rsidR="0068618B" w:rsidRDefault="000076C5">
            <w:pPr>
              <w:jc w:val="center"/>
            </w:pPr>
            <w:r>
              <w:rPr>
                <w:color w:val="000000"/>
                <w:sz w:val="24"/>
              </w:rPr>
              <w:t>美国合众银行</w:t>
            </w:r>
          </w:p>
        </w:tc>
        <w:tc>
          <w:tcPr>
            <w:tcW w:w="725" w:type="dxa"/>
            <w:vAlign w:val="center"/>
          </w:tcPr>
          <w:p w:rsidR="0068618B" w:rsidRDefault="000076C5">
            <w:pPr>
              <w:jc w:val="center"/>
            </w:pPr>
            <w:r>
              <w:rPr>
                <w:color w:val="000000"/>
                <w:sz w:val="24"/>
              </w:rPr>
              <w:t>USB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5,020</w:t>
            </w:r>
          </w:p>
        </w:tc>
        <w:tc>
          <w:tcPr>
            <w:tcW w:w="975" w:type="dxa"/>
            <w:vAlign w:val="center"/>
          </w:tcPr>
          <w:p w:rsidR="0068618B" w:rsidRDefault="000076C5">
            <w:pPr>
              <w:jc w:val="right"/>
            </w:pPr>
            <w:r>
              <w:rPr>
                <w:color w:val="000000"/>
                <w:sz w:val="24"/>
              </w:rPr>
              <w:t>1,788,895.52</w:t>
            </w:r>
          </w:p>
        </w:tc>
        <w:tc>
          <w:tcPr>
            <w:tcW w:w="1175" w:type="dxa"/>
            <w:vAlign w:val="center"/>
          </w:tcPr>
          <w:p w:rsidR="0068618B" w:rsidRDefault="000076C5">
            <w:pPr>
              <w:jc w:val="right"/>
            </w:pPr>
            <w:r>
              <w:rPr>
                <w:color w:val="000000"/>
                <w:sz w:val="24"/>
              </w:rPr>
              <w:t>1.77</w:t>
            </w:r>
          </w:p>
        </w:tc>
      </w:tr>
      <w:tr w:rsidR="0068618B">
        <w:trPr>
          <w:jc w:val="center"/>
        </w:trPr>
        <w:tc>
          <w:tcPr>
            <w:tcW w:w="1243" w:type="dxa"/>
            <w:vAlign w:val="center"/>
          </w:tcPr>
          <w:p w:rsidR="0068618B" w:rsidRDefault="000076C5">
            <w:pPr>
              <w:jc w:val="center"/>
            </w:pPr>
            <w:r>
              <w:rPr>
                <w:color w:val="000000"/>
                <w:sz w:val="24"/>
              </w:rPr>
              <w:t>8</w:t>
            </w:r>
          </w:p>
        </w:tc>
        <w:tc>
          <w:tcPr>
            <w:tcW w:w="971" w:type="dxa"/>
            <w:vAlign w:val="center"/>
          </w:tcPr>
          <w:p w:rsidR="0068618B" w:rsidRDefault="000076C5">
            <w:pPr>
              <w:jc w:val="center"/>
            </w:pPr>
            <w:r>
              <w:rPr>
                <w:color w:val="000000"/>
                <w:sz w:val="24"/>
              </w:rPr>
              <w:t>JPMorgan Chase &amp; Co</w:t>
            </w:r>
          </w:p>
        </w:tc>
        <w:tc>
          <w:tcPr>
            <w:tcW w:w="993" w:type="dxa"/>
            <w:vAlign w:val="center"/>
          </w:tcPr>
          <w:p w:rsidR="0068618B" w:rsidRDefault="000076C5">
            <w:pPr>
              <w:jc w:val="center"/>
            </w:pPr>
            <w:r>
              <w:rPr>
                <w:color w:val="000000"/>
                <w:sz w:val="24"/>
              </w:rPr>
              <w:t>摩根大通集团</w:t>
            </w:r>
          </w:p>
        </w:tc>
        <w:tc>
          <w:tcPr>
            <w:tcW w:w="725" w:type="dxa"/>
            <w:vAlign w:val="center"/>
          </w:tcPr>
          <w:p w:rsidR="0068618B" w:rsidRDefault="000076C5">
            <w:pPr>
              <w:jc w:val="center"/>
            </w:pPr>
            <w:r>
              <w:rPr>
                <w:color w:val="000000"/>
                <w:sz w:val="24"/>
              </w:rPr>
              <w:t>JPM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2,744</w:t>
            </w:r>
          </w:p>
        </w:tc>
        <w:tc>
          <w:tcPr>
            <w:tcW w:w="975" w:type="dxa"/>
            <w:vAlign w:val="center"/>
          </w:tcPr>
          <w:p w:rsidR="0068618B" w:rsidRDefault="000076C5">
            <w:pPr>
              <w:jc w:val="right"/>
            </w:pPr>
            <w:r>
              <w:rPr>
                <w:color w:val="000000"/>
                <w:sz w:val="24"/>
              </w:rPr>
              <w:t>1,642,541.20</w:t>
            </w:r>
          </w:p>
        </w:tc>
        <w:tc>
          <w:tcPr>
            <w:tcW w:w="1175" w:type="dxa"/>
            <w:vAlign w:val="center"/>
          </w:tcPr>
          <w:p w:rsidR="0068618B" w:rsidRDefault="000076C5">
            <w:pPr>
              <w:jc w:val="right"/>
            </w:pPr>
            <w:r>
              <w:rPr>
                <w:color w:val="000000"/>
                <w:sz w:val="24"/>
              </w:rPr>
              <w:t>1.63</w:t>
            </w:r>
          </w:p>
        </w:tc>
      </w:tr>
      <w:tr w:rsidR="0068618B">
        <w:trPr>
          <w:jc w:val="center"/>
        </w:trPr>
        <w:tc>
          <w:tcPr>
            <w:tcW w:w="1243" w:type="dxa"/>
            <w:vAlign w:val="center"/>
          </w:tcPr>
          <w:p w:rsidR="0068618B" w:rsidRDefault="000076C5">
            <w:pPr>
              <w:jc w:val="center"/>
            </w:pPr>
            <w:r>
              <w:rPr>
                <w:color w:val="000000"/>
                <w:sz w:val="24"/>
              </w:rPr>
              <w:t>9</w:t>
            </w:r>
          </w:p>
        </w:tc>
        <w:tc>
          <w:tcPr>
            <w:tcW w:w="971" w:type="dxa"/>
            <w:vAlign w:val="center"/>
          </w:tcPr>
          <w:p w:rsidR="0068618B" w:rsidRDefault="000076C5">
            <w:pPr>
              <w:jc w:val="center"/>
            </w:pPr>
            <w:r>
              <w:rPr>
                <w:color w:val="000000"/>
                <w:sz w:val="24"/>
              </w:rPr>
              <w:t>Apple Inc</w:t>
            </w:r>
          </w:p>
        </w:tc>
        <w:tc>
          <w:tcPr>
            <w:tcW w:w="993" w:type="dxa"/>
            <w:vAlign w:val="center"/>
          </w:tcPr>
          <w:p w:rsidR="0068618B" w:rsidRDefault="000076C5">
            <w:pPr>
              <w:jc w:val="center"/>
            </w:pPr>
            <w:r>
              <w:rPr>
                <w:color w:val="000000"/>
                <w:sz w:val="24"/>
              </w:rPr>
              <w:t>苹果公司</w:t>
            </w:r>
          </w:p>
        </w:tc>
        <w:tc>
          <w:tcPr>
            <w:tcW w:w="725" w:type="dxa"/>
            <w:vAlign w:val="center"/>
          </w:tcPr>
          <w:p w:rsidR="0068618B" w:rsidRDefault="000076C5">
            <w:pPr>
              <w:jc w:val="center"/>
            </w:pPr>
            <w:r>
              <w:rPr>
                <w:color w:val="000000"/>
                <w:sz w:val="24"/>
              </w:rPr>
              <w:t>AAPL US</w:t>
            </w:r>
          </w:p>
        </w:tc>
        <w:tc>
          <w:tcPr>
            <w:tcW w:w="747" w:type="dxa"/>
            <w:vAlign w:val="center"/>
          </w:tcPr>
          <w:p w:rsidR="0068618B" w:rsidRDefault="000076C5">
            <w:pPr>
              <w:jc w:val="center"/>
            </w:pPr>
            <w:r>
              <w:rPr>
                <w:color w:val="000000"/>
                <w:sz w:val="24"/>
              </w:rPr>
              <w:t>美国证券交易所</w:t>
            </w:r>
          </w:p>
        </w:tc>
        <w:tc>
          <w:tcPr>
            <w:tcW w:w="975" w:type="dxa"/>
            <w:vAlign w:val="center"/>
          </w:tcPr>
          <w:p w:rsidR="0068618B" w:rsidRDefault="000076C5">
            <w:pPr>
              <w:jc w:val="center"/>
            </w:pPr>
            <w:r>
              <w:rPr>
                <w:color w:val="000000"/>
                <w:sz w:val="24"/>
              </w:rPr>
              <w:t>美国</w:t>
            </w:r>
          </w:p>
        </w:tc>
        <w:tc>
          <w:tcPr>
            <w:tcW w:w="1175" w:type="dxa"/>
            <w:vAlign w:val="center"/>
          </w:tcPr>
          <w:p w:rsidR="0068618B" w:rsidRDefault="000076C5">
            <w:pPr>
              <w:jc w:val="right"/>
            </w:pPr>
            <w:r>
              <w:rPr>
                <w:color w:val="000000"/>
                <w:sz w:val="24"/>
              </w:rPr>
              <w:t>1,985</w:t>
            </w:r>
          </w:p>
        </w:tc>
        <w:tc>
          <w:tcPr>
            <w:tcW w:w="975" w:type="dxa"/>
            <w:vAlign w:val="center"/>
          </w:tcPr>
          <w:p w:rsidR="0068618B" w:rsidRDefault="000076C5">
            <w:pPr>
              <w:jc w:val="right"/>
            </w:pPr>
            <w:r>
              <w:rPr>
                <w:color w:val="000000"/>
                <w:sz w:val="24"/>
              </w:rPr>
              <w:t>1,594,835.03</w:t>
            </w:r>
          </w:p>
        </w:tc>
        <w:tc>
          <w:tcPr>
            <w:tcW w:w="1175" w:type="dxa"/>
            <w:vAlign w:val="center"/>
          </w:tcPr>
          <w:p w:rsidR="0068618B" w:rsidRDefault="000076C5">
            <w:pPr>
              <w:jc w:val="right"/>
            </w:pPr>
            <w:r>
              <w:rPr>
                <w:color w:val="000000"/>
                <w:sz w:val="24"/>
              </w:rPr>
              <w:t>1.58</w:t>
            </w:r>
          </w:p>
        </w:tc>
      </w:tr>
      <w:tr w:rsidR="0068618B">
        <w:trPr>
          <w:jc w:val="center"/>
        </w:trPr>
        <w:tc>
          <w:tcPr>
            <w:tcW w:w="1243" w:type="dxa"/>
            <w:vAlign w:val="center"/>
          </w:tcPr>
          <w:p w:rsidR="0068618B" w:rsidRDefault="000076C5">
            <w:pPr>
              <w:jc w:val="center"/>
            </w:pPr>
            <w:r>
              <w:rPr>
                <w:color w:val="000000"/>
                <w:sz w:val="24"/>
              </w:rPr>
              <w:t>10</w:t>
            </w:r>
          </w:p>
        </w:tc>
        <w:tc>
          <w:tcPr>
            <w:tcW w:w="971" w:type="dxa"/>
            <w:vAlign w:val="center"/>
          </w:tcPr>
          <w:p w:rsidR="0068618B" w:rsidRDefault="000076C5">
            <w:pPr>
              <w:jc w:val="center"/>
            </w:pPr>
            <w:r>
              <w:rPr>
                <w:color w:val="000000"/>
                <w:sz w:val="24"/>
              </w:rPr>
              <w:t>Statoil ASA</w:t>
            </w:r>
          </w:p>
        </w:tc>
        <w:tc>
          <w:tcPr>
            <w:tcW w:w="993" w:type="dxa"/>
            <w:vAlign w:val="center"/>
          </w:tcPr>
          <w:p w:rsidR="0068618B" w:rsidRDefault="000076C5">
            <w:pPr>
              <w:jc w:val="center"/>
            </w:pPr>
            <w:r>
              <w:rPr>
                <w:color w:val="000000"/>
                <w:sz w:val="24"/>
              </w:rPr>
              <w:t>挪威国家石油公司</w:t>
            </w:r>
          </w:p>
        </w:tc>
        <w:tc>
          <w:tcPr>
            <w:tcW w:w="725" w:type="dxa"/>
            <w:vAlign w:val="center"/>
          </w:tcPr>
          <w:p w:rsidR="0068618B" w:rsidRDefault="000076C5">
            <w:pPr>
              <w:jc w:val="center"/>
            </w:pPr>
            <w:r>
              <w:rPr>
                <w:color w:val="000000"/>
                <w:sz w:val="24"/>
              </w:rPr>
              <w:t>STL NO</w:t>
            </w:r>
          </w:p>
        </w:tc>
        <w:tc>
          <w:tcPr>
            <w:tcW w:w="747" w:type="dxa"/>
            <w:vAlign w:val="center"/>
          </w:tcPr>
          <w:p w:rsidR="0068618B" w:rsidRDefault="000076C5">
            <w:pPr>
              <w:jc w:val="center"/>
            </w:pPr>
            <w:r>
              <w:rPr>
                <w:color w:val="000000"/>
                <w:sz w:val="24"/>
              </w:rPr>
              <w:t>挪威证券交易所</w:t>
            </w:r>
          </w:p>
        </w:tc>
        <w:tc>
          <w:tcPr>
            <w:tcW w:w="975" w:type="dxa"/>
            <w:vAlign w:val="center"/>
          </w:tcPr>
          <w:p w:rsidR="0068618B" w:rsidRDefault="000076C5">
            <w:pPr>
              <w:jc w:val="center"/>
            </w:pPr>
            <w:r>
              <w:rPr>
                <w:color w:val="000000"/>
                <w:sz w:val="24"/>
              </w:rPr>
              <w:t>挪威</w:t>
            </w:r>
          </w:p>
        </w:tc>
        <w:tc>
          <w:tcPr>
            <w:tcW w:w="1175" w:type="dxa"/>
            <w:vAlign w:val="center"/>
          </w:tcPr>
          <w:p w:rsidR="0068618B" w:rsidRDefault="000076C5">
            <w:pPr>
              <w:jc w:val="right"/>
            </w:pPr>
            <w:r>
              <w:rPr>
                <w:color w:val="000000"/>
                <w:sz w:val="24"/>
              </w:rPr>
              <w:t>12,017</w:t>
            </w:r>
          </w:p>
        </w:tc>
        <w:tc>
          <w:tcPr>
            <w:tcW w:w="975" w:type="dxa"/>
            <w:vAlign w:val="center"/>
          </w:tcPr>
          <w:p w:rsidR="0068618B" w:rsidRDefault="000076C5">
            <w:pPr>
              <w:jc w:val="right"/>
            </w:pPr>
            <w:r>
              <w:rPr>
                <w:color w:val="000000"/>
                <w:sz w:val="24"/>
              </w:rPr>
              <w:t>1,534,366.33</w:t>
            </w:r>
          </w:p>
        </w:tc>
        <w:tc>
          <w:tcPr>
            <w:tcW w:w="1175" w:type="dxa"/>
            <w:vAlign w:val="center"/>
          </w:tcPr>
          <w:p w:rsidR="0068618B" w:rsidRDefault="000076C5">
            <w:pPr>
              <w:jc w:val="right"/>
            </w:pPr>
            <w:r>
              <w:rPr>
                <w:color w:val="000000"/>
                <w:sz w:val="24"/>
              </w:rPr>
              <w:t>1.52</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bookmarkStart w:id="0" w:name="_GoBack"/>
      <w:bookmarkEnd w:id="0"/>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1,101,594.65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106,583.52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767.18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1,405,575.37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2,614,520.72</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59,871,127.29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4,329,461.04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2,830,540.04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61,370,048.29</w:t>
            </w:r>
          </w:p>
        </w:tc>
      </w:tr>
    </w:tbl>
    <w:p w:rsidR="0068618B" w:rsidRDefault="000076C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24,959,634.69</w:t>
      </w:r>
      <w:r w:rsidRPr="008640AE">
        <w:rPr>
          <w:color w:val="000000"/>
          <w:sz w:val="24"/>
        </w:rPr>
        <w:t>份，占本基金期末总份额的</w:t>
      </w:r>
      <w:r w:rsidRPr="008640AE">
        <w:rPr>
          <w:color w:val="000000"/>
          <w:sz w:val="24"/>
        </w:rPr>
        <w:t>40.67%</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68618B" w:rsidRDefault="000076C5">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68618B" w:rsidRDefault="000076C5">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68618B" w:rsidRDefault="000076C5">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68618B" w:rsidRDefault="000076C5">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68618B" w:rsidRDefault="000076C5">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68618B" w:rsidRDefault="000076C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8618B" w:rsidRDefault="000076C5">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68618B" w:rsidRDefault="000076C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AF" w:rsidRDefault="00516FAF">
      <w:r>
        <w:separator/>
      </w:r>
    </w:p>
  </w:endnote>
  <w:endnote w:type="continuationSeparator" w:id="0">
    <w:p w:rsidR="00516FAF" w:rsidRDefault="005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0076C5">
      <w:rPr>
        <w:noProof/>
        <w:kern w:val="0"/>
        <w:szCs w:val="21"/>
      </w:rPr>
      <w:t>11</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0076C5">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AF" w:rsidRDefault="00516FAF">
      <w:r>
        <w:separator/>
      </w:r>
    </w:p>
  </w:footnote>
  <w:footnote w:type="continuationSeparator" w:id="0">
    <w:p w:rsidR="00516FAF" w:rsidRDefault="0051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32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076C5"/>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18B"/>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2097"/>
    <o:shapelayout v:ext="edit">
      <o:idmap v:ext="edit" data="1"/>
    </o:shapelayout>
  </w:shapeDefaults>
  <w:decimalSymbol w:val="."/>
  <w:listSeparator w:val=","/>
  <w15:docId w15:val="{26AE8CA8-A7D7-42BB-A50B-6CD726EF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102</TotalTime>
  <Pages>14</Pages>
  <Words>1194</Words>
  <Characters>6806</Characters>
  <Application>Microsoft Office Word</Application>
  <DocSecurity>0</DocSecurity>
  <Lines>56</Lines>
  <Paragraphs>15</Paragraphs>
  <ScaleCrop>false</ScaleCrop>
  <Company>TRT. Ltd. Co.</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237</cp:revision>
  <cp:lastPrinted>2007-07-19T00:46:00Z</cp:lastPrinted>
  <dcterms:created xsi:type="dcterms:W3CDTF">2013-08-01T05:26:00Z</dcterms:created>
  <dcterms:modified xsi:type="dcterms:W3CDTF">2017-01-10T10:27:00Z</dcterms:modified>
</cp:coreProperties>
</file>