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6B402C" w:rsidRDefault="00C935DF" w:rsidP="004A631B">
      <w:pPr>
        <w:widowControl/>
        <w:jc w:val="center"/>
        <w:rPr>
          <w:rFonts w:asciiTheme="minorEastAsia" w:eastAsiaTheme="minorEastAsia" w:hAnsiTheme="minorEastAsia" w:cs="宋体"/>
          <w:b/>
          <w:kern w:val="0"/>
          <w:sz w:val="30"/>
          <w:szCs w:val="30"/>
        </w:rPr>
      </w:pPr>
      <w:r w:rsidRPr="006B402C">
        <w:rPr>
          <w:rFonts w:asciiTheme="minorEastAsia" w:eastAsiaTheme="minorEastAsia" w:hAnsiTheme="minorEastAsia" w:cs="宋体" w:hint="eastAsia"/>
          <w:b/>
          <w:kern w:val="0"/>
          <w:sz w:val="30"/>
          <w:szCs w:val="30"/>
        </w:rPr>
        <w:t>交银施罗德基金管理有限公司</w:t>
      </w:r>
      <w:r w:rsidR="00551804" w:rsidRPr="006B402C">
        <w:rPr>
          <w:rFonts w:asciiTheme="minorEastAsia" w:eastAsiaTheme="minorEastAsia" w:hAnsiTheme="minorEastAsia" w:cs="宋体" w:hint="eastAsia"/>
          <w:b/>
          <w:kern w:val="0"/>
          <w:sz w:val="30"/>
          <w:szCs w:val="30"/>
        </w:rPr>
        <w:t>关于</w:t>
      </w:r>
      <w:r w:rsidRPr="006B402C">
        <w:rPr>
          <w:rFonts w:asciiTheme="minorEastAsia" w:eastAsiaTheme="minorEastAsia" w:hAnsiTheme="minorEastAsia" w:cs="宋体" w:hint="eastAsia"/>
          <w:b/>
          <w:kern w:val="0"/>
          <w:sz w:val="30"/>
          <w:szCs w:val="30"/>
        </w:rPr>
        <w:t>交银施罗德</w:t>
      </w:r>
      <w:r w:rsidR="000D209F" w:rsidRPr="006B402C">
        <w:rPr>
          <w:rFonts w:asciiTheme="minorEastAsia" w:eastAsiaTheme="minorEastAsia" w:hAnsiTheme="minorEastAsia" w:cs="宋体" w:hint="eastAsia"/>
          <w:b/>
          <w:kern w:val="0"/>
          <w:sz w:val="30"/>
          <w:szCs w:val="30"/>
        </w:rPr>
        <w:t>裕盈</w:t>
      </w:r>
      <w:r w:rsidRPr="006B402C">
        <w:rPr>
          <w:rFonts w:asciiTheme="minorEastAsia" w:eastAsiaTheme="minorEastAsia" w:hAnsiTheme="minorEastAsia" w:cs="宋体" w:hint="eastAsia"/>
          <w:b/>
          <w:kern w:val="0"/>
          <w:sz w:val="30"/>
          <w:szCs w:val="30"/>
        </w:rPr>
        <w:t>纯债债券型证券投资基金基金合同生效公告</w:t>
      </w:r>
    </w:p>
    <w:p w:rsidR="00C935DF" w:rsidRPr="006B402C" w:rsidRDefault="00C935DF" w:rsidP="00EC181E">
      <w:pPr>
        <w:jc w:val="center"/>
        <w:rPr>
          <w:rFonts w:asciiTheme="minorEastAsia" w:eastAsiaTheme="minorEastAsia" w:hAnsiTheme="minorEastAsia" w:cs="宋体"/>
          <w:kern w:val="0"/>
          <w:sz w:val="24"/>
          <w:szCs w:val="24"/>
        </w:rPr>
      </w:pPr>
      <w:r w:rsidRPr="006B402C">
        <w:rPr>
          <w:rFonts w:asciiTheme="minorEastAsia" w:eastAsiaTheme="minorEastAsia" w:hAnsiTheme="minorEastAsia"/>
          <w:color w:val="000000"/>
          <w:sz w:val="24"/>
          <w:szCs w:val="24"/>
        </w:rPr>
        <w:t>公告送出日期：</w:t>
      </w:r>
      <w:r w:rsidR="00027356" w:rsidRPr="006B402C">
        <w:rPr>
          <w:rFonts w:asciiTheme="minorEastAsia" w:eastAsiaTheme="minorEastAsia" w:hAnsiTheme="minorEastAsia" w:cs="宋体"/>
          <w:bCs/>
          <w:sz w:val="24"/>
          <w:szCs w:val="24"/>
        </w:rPr>
        <w:t>201</w:t>
      </w:r>
      <w:r w:rsidR="00027356" w:rsidRPr="006B402C">
        <w:rPr>
          <w:rFonts w:asciiTheme="minorEastAsia" w:eastAsiaTheme="minorEastAsia" w:hAnsiTheme="minorEastAsia" w:cs="宋体" w:hint="eastAsia"/>
          <w:bCs/>
          <w:sz w:val="24"/>
          <w:szCs w:val="24"/>
        </w:rPr>
        <w:t>6</w:t>
      </w:r>
      <w:r w:rsidR="00027356" w:rsidRPr="006B402C">
        <w:rPr>
          <w:rFonts w:asciiTheme="minorEastAsia" w:eastAsiaTheme="minorEastAsia" w:hAnsiTheme="minorEastAsia" w:cs="宋体"/>
          <w:bCs/>
          <w:sz w:val="24"/>
          <w:szCs w:val="24"/>
        </w:rPr>
        <w:t>年</w:t>
      </w:r>
      <w:r w:rsidR="000D209F" w:rsidRPr="006B402C">
        <w:rPr>
          <w:rFonts w:asciiTheme="minorEastAsia" w:eastAsiaTheme="minorEastAsia" w:hAnsiTheme="minorEastAsia" w:cs="宋体" w:hint="eastAsia"/>
          <w:bCs/>
          <w:sz w:val="24"/>
          <w:szCs w:val="24"/>
        </w:rPr>
        <w:t>11</w:t>
      </w:r>
      <w:r w:rsidR="000D209F" w:rsidRPr="006B402C">
        <w:rPr>
          <w:rFonts w:asciiTheme="minorEastAsia" w:eastAsiaTheme="minorEastAsia" w:hAnsiTheme="minorEastAsia" w:cs="宋体"/>
          <w:bCs/>
          <w:sz w:val="24"/>
          <w:szCs w:val="24"/>
        </w:rPr>
        <w:t>月</w:t>
      </w:r>
      <w:r w:rsidR="006B402C" w:rsidRPr="006B402C">
        <w:rPr>
          <w:rFonts w:asciiTheme="minorEastAsia" w:eastAsiaTheme="minorEastAsia" w:hAnsiTheme="minorEastAsia" w:cs="宋体"/>
          <w:bCs/>
          <w:sz w:val="24"/>
          <w:szCs w:val="24"/>
        </w:rPr>
        <w:t>5</w:t>
      </w:r>
      <w:r w:rsidR="000D209F" w:rsidRPr="006B402C">
        <w:rPr>
          <w:rFonts w:asciiTheme="minorEastAsia" w:eastAsiaTheme="minorEastAsia" w:hAnsiTheme="minorEastAsia" w:cs="宋体"/>
          <w:bCs/>
          <w:sz w:val="24"/>
          <w:szCs w:val="24"/>
        </w:rPr>
        <w:t>日</w:t>
      </w:r>
    </w:p>
    <w:p w:rsidR="00C935DF" w:rsidRPr="006B402C" w:rsidRDefault="00C935DF" w:rsidP="00C935DF">
      <w:pPr>
        <w:spacing w:line="560" w:lineRule="exact"/>
        <w:rPr>
          <w:rFonts w:asciiTheme="minorEastAsia" w:eastAsiaTheme="minorEastAsia" w:hAnsiTheme="minorEastAsia"/>
          <w:color w:val="000000"/>
          <w:sz w:val="24"/>
          <w:szCs w:val="24"/>
        </w:rPr>
      </w:pPr>
    </w:p>
    <w:p w:rsidR="00C935DF" w:rsidRPr="006B402C"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6B402C">
        <w:rPr>
          <w:rFonts w:asciiTheme="minorEastAsia" w:eastAsiaTheme="minorEastAsia" w:hAnsiTheme="minorEastAsia"/>
          <w:bCs w:val="0"/>
          <w:color w:val="000000"/>
          <w:sz w:val="24"/>
          <w:szCs w:val="24"/>
        </w:rPr>
        <w:t>1 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7"/>
        <w:gridCol w:w="2835"/>
        <w:gridCol w:w="2840"/>
      </w:tblGrid>
      <w:tr w:rsidR="00EC181E" w:rsidRPr="006B402C" w:rsidTr="006706C5">
        <w:trPr>
          <w:trHeight w:val="386"/>
          <w:jc w:val="center"/>
        </w:trPr>
        <w:tc>
          <w:tcPr>
            <w:tcW w:w="1670" w:type="pct"/>
            <w:gridSpan w:val="2"/>
            <w:vAlign w:val="center"/>
          </w:tcPr>
          <w:p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基金名称</w:t>
            </w:r>
          </w:p>
        </w:tc>
        <w:tc>
          <w:tcPr>
            <w:tcW w:w="3330" w:type="pct"/>
            <w:gridSpan w:val="2"/>
            <w:vAlign w:val="center"/>
          </w:tcPr>
          <w:p w:rsidR="00EC181E" w:rsidRPr="006B402C" w:rsidRDefault="00EC181E" w:rsidP="00470D71">
            <w:pPr>
              <w:rPr>
                <w:rFonts w:asciiTheme="minorEastAsia" w:eastAsiaTheme="minorEastAsia" w:hAnsiTheme="minorEastAsia"/>
                <w:sz w:val="24"/>
                <w:szCs w:val="24"/>
              </w:rPr>
            </w:pPr>
            <w:r w:rsidRPr="006B402C">
              <w:rPr>
                <w:rFonts w:asciiTheme="minorEastAsia" w:eastAsiaTheme="minorEastAsia" w:hAnsiTheme="minorEastAsia"/>
                <w:sz w:val="24"/>
                <w:szCs w:val="24"/>
              </w:rPr>
              <w:t>交银施罗德</w:t>
            </w:r>
            <w:r w:rsidR="000D209F" w:rsidRPr="006B402C">
              <w:rPr>
                <w:rFonts w:asciiTheme="minorEastAsia" w:eastAsiaTheme="minorEastAsia" w:hAnsiTheme="minorEastAsia"/>
                <w:sz w:val="24"/>
                <w:szCs w:val="24"/>
              </w:rPr>
              <w:t>裕盈</w:t>
            </w:r>
            <w:r w:rsidRPr="006B402C">
              <w:rPr>
                <w:rFonts w:asciiTheme="minorEastAsia" w:eastAsiaTheme="minorEastAsia" w:hAnsiTheme="minorEastAsia"/>
                <w:sz w:val="24"/>
                <w:szCs w:val="24"/>
              </w:rPr>
              <w:t>纯债债券型证券投资基金</w:t>
            </w:r>
          </w:p>
        </w:tc>
      </w:tr>
      <w:tr w:rsidR="00EC181E" w:rsidRPr="006B402C" w:rsidTr="006706C5">
        <w:trPr>
          <w:trHeight w:val="386"/>
          <w:jc w:val="center"/>
        </w:trPr>
        <w:tc>
          <w:tcPr>
            <w:tcW w:w="1670" w:type="pct"/>
            <w:gridSpan w:val="2"/>
            <w:vAlign w:val="center"/>
          </w:tcPr>
          <w:p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基金简称</w:t>
            </w:r>
          </w:p>
        </w:tc>
        <w:tc>
          <w:tcPr>
            <w:tcW w:w="3330" w:type="pct"/>
            <w:gridSpan w:val="2"/>
            <w:vAlign w:val="center"/>
          </w:tcPr>
          <w:p w:rsidR="00EC181E" w:rsidRPr="006B402C" w:rsidRDefault="00EC181E" w:rsidP="00470D71">
            <w:pPr>
              <w:rPr>
                <w:rFonts w:asciiTheme="minorEastAsia" w:eastAsiaTheme="minorEastAsia" w:hAnsiTheme="minorEastAsia"/>
                <w:sz w:val="24"/>
                <w:szCs w:val="24"/>
              </w:rPr>
            </w:pPr>
            <w:r w:rsidRPr="006B402C">
              <w:rPr>
                <w:rFonts w:asciiTheme="minorEastAsia" w:eastAsiaTheme="minorEastAsia" w:hAnsiTheme="minorEastAsia"/>
                <w:sz w:val="24"/>
                <w:szCs w:val="24"/>
              </w:rPr>
              <w:t>交银</w:t>
            </w:r>
            <w:r w:rsidR="000D209F" w:rsidRPr="006B402C">
              <w:rPr>
                <w:rFonts w:asciiTheme="minorEastAsia" w:eastAsiaTheme="minorEastAsia" w:hAnsiTheme="minorEastAsia"/>
                <w:sz w:val="24"/>
                <w:szCs w:val="24"/>
              </w:rPr>
              <w:t>裕盈</w:t>
            </w:r>
            <w:r w:rsidRPr="006B402C">
              <w:rPr>
                <w:rFonts w:asciiTheme="minorEastAsia" w:eastAsiaTheme="minorEastAsia" w:hAnsiTheme="minorEastAsia"/>
                <w:sz w:val="24"/>
                <w:szCs w:val="24"/>
              </w:rPr>
              <w:t>纯债债券</w:t>
            </w:r>
          </w:p>
        </w:tc>
      </w:tr>
      <w:tr w:rsidR="00EC181E" w:rsidRPr="006B402C" w:rsidTr="006706C5">
        <w:trPr>
          <w:trHeight w:val="386"/>
          <w:jc w:val="center"/>
        </w:trPr>
        <w:tc>
          <w:tcPr>
            <w:tcW w:w="1670" w:type="pct"/>
            <w:gridSpan w:val="2"/>
            <w:vAlign w:val="center"/>
          </w:tcPr>
          <w:p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基金主代码</w:t>
            </w:r>
          </w:p>
        </w:tc>
        <w:tc>
          <w:tcPr>
            <w:tcW w:w="3330" w:type="pct"/>
            <w:gridSpan w:val="2"/>
            <w:vAlign w:val="center"/>
          </w:tcPr>
          <w:p w:rsidR="00EC181E" w:rsidRPr="006B402C" w:rsidRDefault="00027356" w:rsidP="000D209F">
            <w:pPr>
              <w:spacing w:line="560" w:lineRule="exact"/>
              <w:rPr>
                <w:rFonts w:asciiTheme="minorEastAsia" w:eastAsiaTheme="minorEastAsia" w:hAnsiTheme="minorEastAsia"/>
                <w:sz w:val="24"/>
                <w:szCs w:val="24"/>
              </w:rPr>
            </w:pPr>
            <w:r w:rsidRPr="006B402C">
              <w:rPr>
                <w:rFonts w:asciiTheme="minorEastAsia" w:eastAsiaTheme="minorEastAsia" w:hAnsiTheme="minorEastAsia"/>
                <w:sz w:val="24"/>
                <w:szCs w:val="24"/>
              </w:rPr>
              <w:t>51977</w:t>
            </w:r>
            <w:r w:rsidR="000D209F" w:rsidRPr="006B402C">
              <w:rPr>
                <w:rFonts w:asciiTheme="minorEastAsia" w:eastAsiaTheme="minorEastAsia" w:hAnsiTheme="minorEastAsia" w:hint="eastAsia"/>
                <w:sz w:val="24"/>
                <w:szCs w:val="24"/>
              </w:rPr>
              <w:t>6</w:t>
            </w:r>
          </w:p>
        </w:tc>
      </w:tr>
      <w:tr w:rsidR="00EC181E" w:rsidRPr="006B402C" w:rsidTr="006706C5">
        <w:trPr>
          <w:trHeight w:val="386"/>
          <w:jc w:val="center"/>
        </w:trPr>
        <w:tc>
          <w:tcPr>
            <w:tcW w:w="1670" w:type="pct"/>
            <w:gridSpan w:val="2"/>
            <w:vAlign w:val="center"/>
          </w:tcPr>
          <w:p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基金运作方式</w:t>
            </w:r>
          </w:p>
        </w:tc>
        <w:tc>
          <w:tcPr>
            <w:tcW w:w="3330" w:type="pct"/>
            <w:gridSpan w:val="2"/>
            <w:vAlign w:val="center"/>
          </w:tcPr>
          <w:p w:rsidR="00EC181E" w:rsidRPr="006B402C" w:rsidRDefault="00EC181E" w:rsidP="00470D71">
            <w:pPr>
              <w:rPr>
                <w:rFonts w:asciiTheme="minorEastAsia" w:eastAsiaTheme="minorEastAsia" w:hAnsiTheme="minorEastAsia"/>
                <w:sz w:val="24"/>
                <w:szCs w:val="24"/>
              </w:rPr>
            </w:pPr>
            <w:r w:rsidRPr="006B402C">
              <w:rPr>
                <w:rFonts w:asciiTheme="minorEastAsia" w:eastAsiaTheme="minorEastAsia" w:hAnsiTheme="minorEastAsia"/>
                <w:sz w:val="24"/>
                <w:szCs w:val="24"/>
              </w:rPr>
              <w:t>契约型开放式</w:t>
            </w:r>
          </w:p>
        </w:tc>
      </w:tr>
      <w:tr w:rsidR="00EC181E" w:rsidRPr="006B402C" w:rsidTr="006706C5">
        <w:trPr>
          <w:trHeight w:val="386"/>
          <w:jc w:val="center"/>
        </w:trPr>
        <w:tc>
          <w:tcPr>
            <w:tcW w:w="1670" w:type="pct"/>
            <w:gridSpan w:val="2"/>
            <w:vAlign w:val="center"/>
          </w:tcPr>
          <w:p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基金合同生效日</w:t>
            </w:r>
          </w:p>
        </w:tc>
        <w:tc>
          <w:tcPr>
            <w:tcW w:w="3330" w:type="pct"/>
            <w:gridSpan w:val="2"/>
            <w:vAlign w:val="center"/>
          </w:tcPr>
          <w:p w:rsidR="00EC181E" w:rsidRPr="006B402C" w:rsidRDefault="00027356" w:rsidP="00C65D47">
            <w:pPr>
              <w:rPr>
                <w:rFonts w:asciiTheme="minorEastAsia" w:eastAsiaTheme="minorEastAsia" w:hAnsiTheme="minorEastAsia"/>
                <w:sz w:val="24"/>
                <w:szCs w:val="24"/>
              </w:rPr>
            </w:pPr>
            <w:r w:rsidRPr="006B402C">
              <w:rPr>
                <w:rFonts w:asciiTheme="minorEastAsia" w:eastAsiaTheme="minorEastAsia" w:hAnsiTheme="minorEastAsia"/>
                <w:sz w:val="24"/>
                <w:szCs w:val="24"/>
              </w:rPr>
              <w:t>201</w:t>
            </w:r>
            <w:r w:rsidRPr="006B402C">
              <w:rPr>
                <w:rFonts w:asciiTheme="minorEastAsia" w:eastAsiaTheme="minorEastAsia" w:hAnsiTheme="minorEastAsia" w:hint="eastAsia"/>
                <w:sz w:val="24"/>
                <w:szCs w:val="24"/>
              </w:rPr>
              <w:t>6</w:t>
            </w:r>
            <w:r w:rsidRPr="006B402C">
              <w:rPr>
                <w:rFonts w:asciiTheme="minorEastAsia" w:eastAsiaTheme="minorEastAsia" w:hAnsiTheme="minorEastAsia"/>
                <w:sz w:val="24"/>
                <w:szCs w:val="24"/>
              </w:rPr>
              <w:t>年</w:t>
            </w:r>
            <w:r w:rsidR="000D209F" w:rsidRPr="006B402C">
              <w:rPr>
                <w:rFonts w:asciiTheme="minorEastAsia" w:eastAsiaTheme="minorEastAsia" w:hAnsiTheme="minorEastAsia" w:hint="eastAsia"/>
                <w:sz w:val="24"/>
                <w:szCs w:val="24"/>
              </w:rPr>
              <w:t>11</w:t>
            </w:r>
            <w:r w:rsidR="000D209F" w:rsidRPr="006B402C">
              <w:rPr>
                <w:rFonts w:asciiTheme="minorEastAsia" w:eastAsiaTheme="minorEastAsia" w:hAnsiTheme="minorEastAsia"/>
                <w:sz w:val="24"/>
                <w:szCs w:val="24"/>
              </w:rPr>
              <w:t>月</w:t>
            </w:r>
            <w:r w:rsidR="00C65D47" w:rsidRPr="006B402C">
              <w:rPr>
                <w:rFonts w:asciiTheme="minorEastAsia" w:eastAsiaTheme="minorEastAsia" w:hAnsiTheme="minorEastAsia" w:hint="eastAsia"/>
                <w:sz w:val="24"/>
                <w:szCs w:val="24"/>
              </w:rPr>
              <w:t>4</w:t>
            </w:r>
            <w:r w:rsidR="000D209F" w:rsidRPr="006B402C">
              <w:rPr>
                <w:rFonts w:asciiTheme="minorEastAsia" w:eastAsiaTheme="minorEastAsia" w:hAnsiTheme="minorEastAsia"/>
                <w:sz w:val="24"/>
                <w:szCs w:val="24"/>
              </w:rPr>
              <w:t>日</w:t>
            </w:r>
          </w:p>
        </w:tc>
      </w:tr>
      <w:tr w:rsidR="00EC181E" w:rsidRPr="006B402C" w:rsidTr="006706C5">
        <w:trPr>
          <w:trHeight w:val="386"/>
          <w:jc w:val="center"/>
        </w:trPr>
        <w:tc>
          <w:tcPr>
            <w:tcW w:w="1670" w:type="pct"/>
            <w:gridSpan w:val="2"/>
            <w:vAlign w:val="center"/>
          </w:tcPr>
          <w:p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基金管理人名称</w:t>
            </w:r>
          </w:p>
        </w:tc>
        <w:tc>
          <w:tcPr>
            <w:tcW w:w="3330" w:type="pct"/>
            <w:gridSpan w:val="2"/>
            <w:vAlign w:val="center"/>
          </w:tcPr>
          <w:p w:rsidR="00EC181E" w:rsidRPr="006B402C" w:rsidRDefault="00EC181E" w:rsidP="00470D71">
            <w:pPr>
              <w:rPr>
                <w:rFonts w:asciiTheme="minorEastAsia" w:eastAsiaTheme="minorEastAsia" w:hAnsiTheme="minorEastAsia"/>
                <w:sz w:val="24"/>
                <w:szCs w:val="24"/>
              </w:rPr>
            </w:pPr>
            <w:r w:rsidRPr="006B402C">
              <w:rPr>
                <w:rFonts w:asciiTheme="minorEastAsia" w:eastAsiaTheme="minorEastAsia" w:hAnsiTheme="minorEastAsia"/>
                <w:sz w:val="24"/>
                <w:szCs w:val="24"/>
              </w:rPr>
              <w:t>交银施罗德基金管理有限公司</w:t>
            </w:r>
          </w:p>
        </w:tc>
      </w:tr>
      <w:tr w:rsidR="00EC181E" w:rsidRPr="006B402C" w:rsidTr="006706C5">
        <w:trPr>
          <w:trHeight w:val="386"/>
          <w:jc w:val="center"/>
        </w:trPr>
        <w:tc>
          <w:tcPr>
            <w:tcW w:w="1670" w:type="pct"/>
            <w:gridSpan w:val="2"/>
            <w:vAlign w:val="center"/>
          </w:tcPr>
          <w:p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基金托管人名称</w:t>
            </w:r>
          </w:p>
        </w:tc>
        <w:tc>
          <w:tcPr>
            <w:tcW w:w="3330" w:type="pct"/>
            <w:gridSpan w:val="2"/>
            <w:vAlign w:val="center"/>
          </w:tcPr>
          <w:p w:rsidR="00EC181E" w:rsidRPr="006B402C" w:rsidRDefault="00EC181E" w:rsidP="00470D71">
            <w:pPr>
              <w:rPr>
                <w:rFonts w:asciiTheme="minorEastAsia" w:eastAsiaTheme="minorEastAsia" w:hAnsiTheme="minorEastAsia"/>
                <w:sz w:val="24"/>
                <w:szCs w:val="24"/>
              </w:rPr>
            </w:pPr>
            <w:r w:rsidRPr="006B402C">
              <w:rPr>
                <w:rFonts w:asciiTheme="minorEastAsia" w:eastAsiaTheme="minorEastAsia" w:hAnsiTheme="minorEastAsia"/>
                <w:sz w:val="24"/>
                <w:szCs w:val="24"/>
              </w:rPr>
              <w:t>兴业银行股份有限公司</w:t>
            </w:r>
          </w:p>
        </w:tc>
      </w:tr>
      <w:tr w:rsidR="00EC181E" w:rsidRPr="006B402C" w:rsidTr="006706C5">
        <w:trPr>
          <w:trHeight w:val="386"/>
          <w:jc w:val="center"/>
        </w:trPr>
        <w:tc>
          <w:tcPr>
            <w:tcW w:w="1670" w:type="pct"/>
            <w:gridSpan w:val="2"/>
            <w:vAlign w:val="center"/>
          </w:tcPr>
          <w:p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公告依据</w:t>
            </w:r>
          </w:p>
        </w:tc>
        <w:tc>
          <w:tcPr>
            <w:tcW w:w="3330" w:type="pct"/>
            <w:gridSpan w:val="2"/>
            <w:vAlign w:val="center"/>
          </w:tcPr>
          <w:p w:rsidR="00EC181E" w:rsidRPr="006B402C" w:rsidRDefault="00EC181E" w:rsidP="00470D71">
            <w:pPr>
              <w:rPr>
                <w:rFonts w:asciiTheme="minorEastAsia" w:eastAsiaTheme="minorEastAsia" w:hAnsiTheme="minorEastAsia"/>
                <w:sz w:val="24"/>
                <w:szCs w:val="24"/>
              </w:rPr>
            </w:pPr>
            <w:r w:rsidRPr="006B402C">
              <w:rPr>
                <w:rFonts w:asciiTheme="minorEastAsia" w:eastAsiaTheme="minorEastAsia" w:hAnsiTheme="minorEastAsia"/>
                <w:sz w:val="24"/>
                <w:szCs w:val="24"/>
              </w:rPr>
              <w:t>《交银施罗德</w:t>
            </w:r>
            <w:r w:rsidR="000D209F" w:rsidRPr="006B402C">
              <w:rPr>
                <w:rFonts w:asciiTheme="minorEastAsia" w:eastAsiaTheme="minorEastAsia" w:hAnsiTheme="minorEastAsia"/>
                <w:sz w:val="24"/>
                <w:szCs w:val="24"/>
              </w:rPr>
              <w:t>裕盈</w:t>
            </w:r>
            <w:r w:rsidRPr="006B402C">
              <w:rPr>
                <w:rFonts w:asciiTheme="minorEastAsia" w:eastAsiaTheme="minorEastAsia" w:hAnsiTheme="minorEastAsia"/>
                <w:sz w:val="24"/>
                <w:szCs w:val="24"/>
              </w:rPr>
              <w:t>纯债债券型证券投资基金基金合同》、《交银施罗德</w:t>
            </w:r>
            <w:r w:rsidR="000D209F" w:rsidRPr="006B402C">
              <w:rPr>
                <w:rFonts w:asciiTheme="minorEastAsia" w:eastAsiaTheme="minorEastAsia" w:hAnsiTheme="minorEastAsia"/>
                <w:sz w:val="24"/>
                <w:szCs w:val="24"/>
              </w:rPr>
              <w:t>裕盈</w:t>
            </w:r>
            <w:r w:rsidRPr="006B402C">
              <w:rPr>
                <w:rFonts w:asciiTheme="minorEastAsia" w:eastAsiaTheme="minorEastAsia" w:hAnsiTheme="minorEastAsia"/>
                <w:sz w:val="24"/>
                <w:szCs w:val="24"/>
              </w:rPr>
              <w:t>纯债债券型证券投资基金招募说明书》等</w:t>
            </w:r>
          </w:p>
        </w:tc>
      </w:tr>
      <w:tr w:rsidR="003000C2" w:rsidRPr="006B402C" w:rsidTr="006706C5">
        <w:trPr>
          <w:trHeight w:val="386"/>
          <w:jc w:val="center"/>
        </w:trPr>
        <w:tc>
          <w:tcPr>
            <w:tcW w:w="1667" w:type="pct"/>
          </w:tcPr>
          <w:p w:rsidR="003000C2" w:rsidRPr="006B402C" w:rsidRDefault="003000C2" w:rsidP="007F4376">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下属分级基金的基金简称</w:t>
            </w:r>
          </w:p>
        </w:tc>
        <w:tc>
          <w:tcPr>
            <w:tcW w:w="1667" w:type="pct"/>
            <w:gridSpan w:val="2"/>
            <w:vAlign w:val="center"/>
          </w:tcPr>
          <w:p w:rsidR="003000C2" w:rsidRPr="006B402C" w:rsidRDefault="003000C2" w:rsidP="00470D71">
            <w:pPr>
              <w:rPr>
                <w:rFonts w:asciiTheme="minorEastAsia" w:eastAsiaTheme="minorEastAsia" w:hAnsiTheme="minorEastAsia"/>
                <w:sz w:val="24"/>
                <w:szCs w:val="24"/>
              </w:rPr>
            </w:pPr>
            <w:r w:rsidRPr="006B402C">
              <w:rPr>
                <w:rFonts w:asciiTheme="minorEastAsia" w:eastAsiaTheme="minorEastAsia" w:hAnsiTheme="minorEastAsia"/>
                <w:sz w:val="24"/>
                <w:szCs w:val="24"/>
              </w:rPr>
              <w:t>交银</w:t>
            </w:r>
            <w:r w:rsidR="000D209F" w:rsidRPr="006B402C">
              <w:rPr>
                <w:rFonts w:asciiTheme="minorEastAsia" w:eastAsiaTheme="minorEastAsia" w:hAnsiTheme="minorEastAsia"/>
                <w:sz w:val="24"/>
                <w:szCs w:val="24"/>
              </w:rPr>
              <w:t>裕盈</w:t>
            </w:r>
            <w:r w:rsidRPr="006B402C">
              <w:rPr>
                <w:rFonts w:asciiTheme="minorEastAsia" w:eastAsiaTheme="minorEastAsia" w:hAnsiTheme="minorEastAsia"/>
                <w:sz w:val="24"/>
                <w:szCs w:val="24"/>
              </w:rPr>
              <w:t>纯债债券A</w:t>
            </w:r>
          </w:p>
        </w:tc>
        <w:tc>
          <w:tcPr>
            <w:tcW w:w="1667" w:type="pct"/>
            <w:vAlign w:val="center"/>
          </w:tcPr>
          <w:p w:rsidR="003000C2" w:rsidRPr="006B402C" w:rsidRDefault="003000C2" w:rsidP="00470D71">
            <w:pPr>
              <w:rPr>
                <w:rFonts w:asciiTheme="minorEastAsia" w:eastAsiaTheme="minorEastAsia" w:hAnsiTheme="minorEastAsia"/>
                <w:sz w:val="24"/>
                <w:szCs w:val="24"/>
              </w:rPr>
            </w:pPr>
            <w:r w:rsidRPr="006B402C">
              <w:rPr>
                <w:rFonts w:asciiTheme="minorEastAsia" w:eastAsiaTheme="minorEastAsia" w:hAnsiTheme="minorEastAsia"/>
                <w:sz w:val="24"/>
                <w:szCs w:val="24"/>
              </w:rPr>
              <w:t>交银</w:t>
            </w:r>
            <w:r w:rsidR="000D209F" w:rsidRPr="006B402C">
              <w:rPr>
                <w:rFonts w:asciiTheme="minorEastAsia" w:eastAsiaTheme="minorEastAsia" w:hAnsiTheme="minorEastAsia"/>
                <w:sz w:val="24"/>
                <w:szCs w:val="24"/>
              </w:rPr>
              <w:t>裕盈</w:t>
            </w:r>
            <w:r w:rsidRPr="006B402C">
              <w:rPr>
                <w:rFonts w:asciiTheme="minorEastAsia" w:eastAsiaTheme="minorEastAsia" w:hAnsiTheme="minorEastAsia"/>
                <w:sz w:val="24"/>
                <w:szCs w:val="24"/>
              </w:rPr>
              <w:t>纯债债券C</w:t>
            </w:r>
          </w:p>
        </w:tc>
      </w:tr>
      <w:tr w:rsidR="003000C2" w:rsidRPr="006B402C" w:rsidTr="006706C5">
        <w:trPr>
          <w:trHeight w:val="386"/>
          <w:jc w:val="center"/>
        </w:trPr>
        <w:tc>
          <w:tcPr>
            <w:tcW w:w="1667" w:type="pct"/>
            <w:vAlign w:val="center"/>
          </w:tcPr>
          <w:p w:rsidR="003000C2" w:rsidRPr="006B402C" w:rsidRDefault="003000C2" w:rsidP="004147B9">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下属分级基金的交易代码</w:t>
            </w:r>
          </w:p>
        </w:tc>
        <w:tc>
          <w:tcPr>
            <w:tcW w:w="1667" w:type="pct"/>
            <w:gridSpan w:val="2"/>
            <w:vAlign w:val="center"/>
          </w:tcPr>
          <w:p w:rsidR="003000C2" w:rsidRPr="006B402C" w:rsidRDefault="00027356" w:rsidP="000D209F">
            <w:pPr>
              <w:spacing w:line="530" w:lineRule="exact"/>
              <w:rPr>
                <w:rFonts w:asciiTheme="minorEastAsia" w:eastAsiaTheme="minorEastAsia" w:hAnsiTheme="minorEastAsia"/>
                <w:color w:val="000000"/>
                <w:kern w:val="0"/>
                <w:sz w:val="24"/>
                <w:szCs w:val="24"/>
              </w:rPr>
            </w:pPr>
            <w:r w:rsidRPr="006B402C">
              <w:rPr>
                <w:rFonts w:asciiTheme="minorEastAsia" w:eastAsiaTheme="minorEastAsia" w:hAnsiTheme="minorEastAsia"/>
                <w:sz w:val="24"/>
                <w:szCs w:val="24"/>
              </w:rPr>
              <w:t>51977</w:t>
            </w:r>
            <w:r w:rsidR="000D209F" w:rsidRPr="006B402C">
              <w:rPr>
                <w:rFonts w:asciiTheme="minorEastAsia" w:eastAsiaTheme="minorEastAsia" w:hAnsiTheme="minorEastAsia" w:hint="eastAsia"/>
                <w:sz w:val="24"/>
                <w:szCs w:val="24"/>
              </w:rPr>
              <w:t>6</w:t>
            </w:r>
          </w:p>
        </w:tc>
        <w:tc>
          <w:tcPr>
            <w:tcW w:w="1667" w:type="pct"/>
            <w:vAlign w:val="center"/>
          </w:tcPr>
          <w:p w:rsidR="003000C2" w:rsidRPr="006B402C" w:rsidRDefault="00027356" w:rsidP="000D209F">
            <w:pPr>
              <w:spacing w:line="530" w:lineRule="exact"/>
              <w:rPr>
                <w:rFonts w:asciiTheme="minorEastAsia" w:eastAsiaTheme="minorEastAsia" w:hAnsiTheme="minorEastAsia"/>
                <w:color w:val="000000"/>
                <w:kern w:val="0"/>
                <w:sz w:val="24"/>
                <w:szCs w:val="24"/>
              </w:rPr>
            </w:pPr>
            <w:r w:rsidRPr="006B402C">
              <w:rPr>
                <w:rFonts w:asciiTheme="minorEastAsia" w:eastAsiaTheme="minorEastAsia" w:hAnsiTheme="minorEastAsia"/>
                <w:sz w:val="24"/>
                <w:szCs w:val="24"/>
              </w:rPr>
              <w:t>51977</w:t>
            </w:r>
            <w:r w:rsidR="000D209F" w:rsidRPr="006B402C">
              <w:rPr>
                <w:rFonts w:asciiTheme="minorEastAsia" w:eastAsiaTheme="minorEastAsia" w:hAnsiTheme="minorEastAsia" w:hint="eastAsia"/>
                <w:sz w:val="24"/>
                <w:szCs w:val="24"/>
              </w:rPr>
              <w:t>7</w:t>
            </w:r>
          </w:p>
        </w:tc>
      </w:tr>
    </w:tbl>
    <w:p w:rsidR="00C935DF" w:rsidRPr="006B402C"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6B402C">
        <w:rPr>
          <w:rFonts w:asciiTheme="minorEastAsia" w:eastAsiaTheme="minorEastAsia" w:hAnsiTheme="minorEastAsia" w:hint="eastAsia"/>
          <w:bCs w:val="0"/>
          <w:color w:val="000000"/>
          <w:sz w:val="24"/>
          <w:szCs w:val="24"/>
        </w:rPr>
        <w:t>2</w:t>
      </w:r>
      <w:r w:rsidR="00C935DF" w:rsidRPr="006B402C">
        <w:rPr>
          <w:rFonts w:asciiTheme="minorEastAsia" w:eastAsiaTheme="minorEastAsia" w:hAnsiTheme="minorEastAsia"/>
          <w:bCs w:val="0"/>
          <w:color w:val="000000"/>
          <w:sz w:val="24"/>
          <w:szCs w:val="24"/>
        </w:rPr>
        <w:t xml:space="preserve"> 基金募集情况</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1180"/>
        <w:gridCol w:w="2268"/>
        <w:gridCol w:w="1559"/>
        <w:gridCol w:w="2177"/>
      </w:tblGrid>
      <w:tr w:rsidR="00C935DF" w:rsidRPr="006B402C" w:rsidTr="0016571B">
        <w:trPr>
          <w:trHeight w:val="386"/>
          <w:jc w:val="center"/>
        </w:trPr>
        <w:tc>
          <w:tcPr>
            <w:tcW w:w="2518" w:type="dxa"/>
            <w:gridSpan w:val="2"/>
          </w:tcPr>
          <w:p w:rsidR="00C935DF" w:rsidRPr="006B402C" w:rsidRDefault="00C935DF" w:rsidP="00971704">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基金募集申请获中国证监会</w:t>
            </w:r>
            <w:r w:rsidR="00971704" w:rsidRPr="006B402C">
              <w:rPr>
                <w:rFonts w:asciiTheme="minorEastAsia" w:eastAsiaTheme="minorEastAsia" w:hAnsiTheme="minorEastAsia" w:hint="eastAsia"/>
                <w:color w:val="000000"/>
                <w:sz w:val="24"/>
                <w:szCs w:val="24"/>
              </w:rPr>
              <w:t>准予注册</w:t>
            </w:r>
            <w:r w:rsidRPr="006B402C">
              <w:rPr>
                <w:rFonts w:asciiTheme="minorEastAsia" w:eastAsiaTheme="minorEastAsia" w:hAnsiTheme="minorEastAsia"/>
                <w:color w:val="000000"/>
                <w:sz w:val="24"/>
                <w:szCs w:val="24"/>
              </w:rPr>
              <w:t>的文号</w:t>
            </w:r>
          </w:p>
        </w:tc>
        <w:tc>
          <w:tcPr>
            <w:tcW w:w="6004" w:type="dxa"/>
            <w:gridSpan w:val="3"/>
            <w:vAlign w:val="center"/>
          </w:tcPr>
          <w:p w:rsidR="00C935DF" w:rsidRPr="006B402C" w:rsidRDefault="00035D00" w:rsidP="000D209F">
            <w:pPr>
              <w:rPr>
                <w:rFonts w:asciiTheme="minorEastAsia" w:eastAsiaTheme="minorEastAsia" w:hAnsiTheme="minorEastAsia" w:cs="宋体"/>
                <w:sz w:val="24"/>
                <w:szCs w:val="24"/>
              </w:rPr>
            </w:pPr>
            <w:r w:rsidRPr="006B402C">
              <w:rPr>
                <w:rFonts w:asciiTheme="minorEastAsia" w:eastAsiaTheme="minorEastAsia" w:hAnsiTheme="minorEastAsia" w:hint="eastAsia"/>
                <w:sz w:val="24"/>
                <w:szCs w:val="24"/>
              </w:rPr>
              <w:t>证监许可【201</w:t>
            </w:r>
            <w:r w:rsidR="00027356" w:rsidRPr="006B402C">
              <w:rPr>
                <w:rFonts w:asciiTheme="minorEastAsia" w:eastAsiaTheme="minorEastAsia" w:hAnsiTheme="minorEastAsia" w:hint="eastAsia"/>
                <w:sz w:val="24"/>
                <w:szCs w:val="24"/>
              </w:rPr>
              <w:t>6】</w:t>
            </w:r>
            <w:r w:rsidR="000D209F" w:rsidRPr="006B402C">
              <w:rPr>
                <w:rFonts w:asciiTheme="minorEastAsia" w:eastAsiaTheme="minorEastAsia" w:hAnsiTheme="minorEastAsia"/>
                <w:sz w:val="24"/>
                <w:szCs w:val="24"/>
              </w:rPr>
              <w:t>1209</w:t>
            </w:r>
            <w:r w:rsidRPr="006B402C">
              <w:rPr>
                <w:rFonts w:asciiTheme="minorEastAsia" w:eastAsiaTheme="minorEastAsia" w:hAnsiTheme="minorEastAsia" w:hint="eastAsia"/>
                <w:sz w:val="24"/>
                <w:szCs w:val="24"/>
              </w:rPr>
              <w:t>号</w:t>
            </w:r>
          </w:p>
        </w:tc>
      </w:tr>
      <w:tr w:rsidR="00C935DF" w:rsidRPr="006B402C" w:rsidTr="0016571B">
        <w:trPr>
          <w:trHeight w:val="1037"/>
          <w:jc w:val="center"/>
        </w:trPr>
        <w:tc>
          <w:tcPr>
            <w:tcW w:w="2518" w:type="dxa"/>
            <w:gridSpan w:val="2"/>
            <w:vAlign w:val="center"/>
          </w:tcPr>
          <w:p w:rsidR="00C935DF" w:rsidRPr="006B402C" w:rsidRDefault="00C935DF" w:rsidP="004147B9">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lastRenderedPageBreak/>
              <w:t>基金募集期间</w:t>
            </w:r>
          </w:p>
        </w:tc>
        <w:tc>
          <w:tcPr>
            <w:tcW w:w="6004" w:type="dxa"/>
            <w:gridSpan w:val="3"/>
            <w:vAlign w:val="center"/>
          </w:tcPr>
          <w:p w:rsidR="00C935DF" w:rsidRPr="006B402C" w:rsidRDefault="00C935DF" w:rsidP="00470D71">
            <w:pPr>
              <w:spacing w:line="530" w:lineRule="exact"/>
              <w:rPr>
                <w:rFonts w:asciiTheme="minorEastAsia" w:eastAsiaTheme="minorEastAsia" w:hAnsiTheme="minorEastAsia"/>
                <w:color w:val="000000"/>
                <w:kern w:val="0"/>
                <w:sz w:val="24"/>
                <w:szCs w:val="24"/>
              </w:rPr>
            </w:pPr>
            <w:r w:rsidRPr="006B402C">
              <w:rPr>
                <w:rFonts w:asciiTheme="minorEastAsia" w:eastAsiaTheme="minorEastAsia" w:hAnsiTheme="minorEastAsia"/>
                <w:color w:val="000000"/>
                <w:kern w:val="0"/>
                <w:sz w:val="24"/>
                <w:szCs w:val="24"/>
              </w:rPr>
              <w:t>自</w:t>
            </w:r>
            <w:r w:rsidR="00027356" w:rsidRPr="006B402C">
              <w:rPr>
                <w:rFonts w:asciiTheme="minorEastAsia" w:eastAsiaTheme="minorEastAsia" w:hAnsiTheme="minorEastAsia" w:hint="eastAsia"/>
                <w:sz w:val="24"/>
                <w:szCs w:val="24"/>
              </w:rPr>
              <w:t>2016年</w:t>
            </w:r>
            <w:r w:rsidR="000D209F" w:rsidRPr="006B402C">
              <w:rPr>
                <w:rFonts w:asciiTheme="minorEastAsia" w:eastAsiaTheme="minorEastAsia" w:hAnsiTheme="minorEastAsia" w:hint="eastAsia"/>
                <w:sz w:val="24"/>
                <w:szCs w:val="24"/>
              </w:rPr>
              <w:t>10月26日</w:t>
            </w:r>
          </w:p>
          <w:p w:rsidR="00C935DF" w:rsidRPr="006B402C" w:rsidRDefault="00C935DF" w:rsidP="000D209F">
            <w:pPr>
              <w:spacing w:line="530" w:lineRule="exact"/>
              <w:rPr>
                <w:rFonts w:asciiTheme="minorEastAsia" w:eastAsiaTheme="minorEastAsia" w:hAnsiTheme="minorEastAsia"/>
                <w:color w:val="000000"/>
                <w:kern w:val="0"/>
                <w:sz w:val="24"/>
                <w:szCs w:val="24"/>
              </w:rPr>
            </w:pPr>
            <w:r w:rsidRPr="006B402C">
              <w:rPr>
                <w:rFonts w:asciiTheme="minorEastAsia" w:eastAsiaTheme="minorEastAsia" w:hAnsiTheme="minorEastAsia"/>
                <w:color w:val="000000"/>
                <w:kern w:val="0"/>
                <w:sz w:val="24"/>
                <w:szCs w:val="24"/>
              </w:rPr>
              <w:t>至</w:t>
            </w:r>
            <w:r w:rsidR="00027356" w:rsidRPr="006B402C">
              <w:rPr>
                <w:rFonts w:asciiTheme="minorEastAsia" w:eastAsiaTheme="minorEastAsia" w:hAnsiTheme="minorEastAsia" w:hint="eastAsia"/>
                <w:sz w:val="24"/>
                <w:szCs w:val="24"/>
              </w:rPr>
              <w:t>2016年</w:t>
            </w:r>
            <w:r w:rsidR="000D209F" w:rsidRPr="006B402C">
              <w:rPr>
                <w:rFonts w:asciiTheme="minorEastAsia" w:eastAsiaTheme="minorEastAsia" w:hAnsiTheme="minorEastAsia" w:hint="eastAsia"/>
                <w:sz w:val="24"/>
                <w:szCs w:val="24"/>
              </w:rPr>
              <w:t>10月27日</w:t>
            </w:r>
            <w:r w:rsidR="003C4D25" w:rsidRPr="006B402C">
              <w:rPr>
                <w:rFonts w:asciiTheme="minorEastAsia" w:eastAsiaTheme="minorEastAsia" w:hAnsiTheme="minorEastAsia" w:hint="eastAsia"/>
                <w:sz w:val="24"/>
                <w:szCs w:val="24"/>
              </w:rPr>
              <w:t>止</w:t>
            </w:r>
          </w:p>
        </w:tc>
      </w:tr>
      <w:tr w:rsidR="00C935DF" w:rsidRPr="006B402C" w:rsidTr="0016571B">
        <w:trPr>
          <w:trHeight w:val="386"/>
          <w:jc w:val="center"/>
        </w:trPr>
        <w:tc>
          <w:tcPr>
            <w:tcW w:w="2518" w:type="dxa"/>
            <w:gridSpan w:val="2"/>
            <w:vAlign w:val="center"/>
          </w:tcPr>
          <w:p w:rsidR="00C935DF" w:rsidRPr="006B402C" w:rsidRDefault="00C935DF" w:rsidP="004147B9">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验资机构名称</w:t>
            </w:r>
          </w:p>
        </w:tc>
        <w:tc>
          <w:tcPr>
            <w:tcW w:w="6004" w:type="dxa"/>
            <w:gridSpan w:val="3"/>
            <w:vAlign w:val="center"/>
          </w:tcPr>
          <w:p w:rsidR="00C935DF" w:rsidRPr="006B402C" w:rsidRDefault="00B53A7A" w:rsidP="00470D71">
            <w:pPr>
              <w:rPr>
                <w:rFonts w:asciiTheme="minorEastAsia" w:eastAsiaTheme="minorEastAsia" w:hAnsiTheme="minorEastAsia" w:cs="宋体"/>
                <w:sz w:val="24"/>
                <w:szCs w:val="24"/>
              </w:rPr>
            </w:pPr>
            <w:r w:rsidRPr="006B402C">
              <w:rPr>
                <w:rFonts w:asciiTheme="minorEastAsia" w:eastAsiaTheme="minorEastAsia" w:hAnsiTheme="minorEastAsia" w:hint="eastAsia"/>
                <w:sz w:val="24"/>
                <w:szCs w:val="24"/>
              </w:rPr>
              <w:t>普华永道中天会计师事务所（特殊普通合伙）</w:t>
            </w:r>
          </w:p>
        </w:tc>
      </w:tr>
      <w:tr w:rsidR="00C935DF" w:rsidRPr="006B402C" w:rsidTr="0016571B">
        <w:trPr>
          <w:trHeight w:val="386"/>
          <w:jc w:val="center"/>
        </w:trPr>
        <w:tc>
          <w:tcPr>
            <w:tcW w:w="2518" w:type="dxa"/>
            <w:gridSpan w:val="2"/>
            <w:vAlign w:val="center"/>
          </w:tcPr>
          <w:p w:rsidR="00C935DF" w:rsidRPr="006B402C" w:rsidRDefault="00C935DF" w:rsidP="004147B9">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募集资金划入基金托管专户的日期</w:t>
            </w:r>
          </w:p>
        </w:tc>
        <w:tc>
          <w:tcPr>
            <w:tcW w:w="6004" w:type="dxa"/>
            <w:gridSpan w:val="3"/>
            <w:vAlign w:val="center"/>
          </w:tcPr>
          <w:p w:rsidR="00F62236" w:rsidRPr="006B402C" w:rsidRDefault="00BD7EFA">
            <w:pPr>
              <w:rPr>
                <w:rFonts w:asciiTheme="minorEastAsia" w:eastAsiaTheme="minorEastAsia" w:hAnsiTheme="minorEastAsia" w:cs="宋体"/>
                <w:sz w:val="24"/>
                <w:szCs w:val="24"/>
              </w:rPr>
            </w:pPr>
            <w:r w:rsidRPr="006B402C">
              <w:rPr>
                <w:rFonts w:asciiTheme="minorEastAsia" w:eastAsiaTheme="minorEastAsia" w:hAnsiTheme="minorEastAsia" w:hint="eastAsia"/>
                <w:sz w:val="24"/>
                <w:szCs w:val="24"/>
              </w:rPr>
              <w:t>2016年</w:t>
            </w:r>
            <w:r w:rsidR="000D209F" w:rsidRPr="006B402C">
              <w:rPr>
                <w:rFonts w:asciiTheme="minorEastAsia" w:eastAsiaTheme="minorEastAsia" w:hAnsiTheme="minorEastAsia" w:hint="eastAsia"/>
                <w:sz w:val="24"/>
                <w:szCs w:val="24"/>
              </w:rPr>
              <w:t>11月</w:t>
            </w:r>
            <w:r w:rsidR="00AB494D" w:rsidRPr="006B402C">
              <w:rPr>
                <w:rFonts w:asciiTheme="minorEastAsia" w:eastAsiaTheme="minorEastAsia" w:hAnsiTheme="minorEastAsia"/>
                <w:sz w:val="24"/>
                <w:szCs w:val="24"/>
              </w:rPr>
              <w:t>1</w:t>
            </w:r>
            <w:r w:rsidR="003034F7" w:rsidRPr="006B402C">
              <w:rPr>
                <w:rFonts w:asciiTheme="minorEastAsia" w:eastAsiaTheme="minorEastAsia" w:hAnsiTheme="minorEastAsia"/>
                <w:sz w:val="24"/>
                <w:szCs w:val="24"/>
              </w:rPr>
              <w:t>日</w:t>
            </w:r>
          </w:p>
        </w:tc>
      </w:tr>
      <w:tr w:rsidR="00C935DF" w:rsidRPr="006B402C" w:rsidTr="0016571B">
        <w:trPr>
          <w:trHeight w:val="386"/>
          <w:jc w:val="center"/>
        </w:trPr>
        <w:tc>
          <w:tcPr>
            <w:tcW w:w="2518" w:type="dxa"/>
            <w:gridSpan w:val="2"/>
            <w:vAlign w:val="center"/>
          </w:tcPr>
          <w:p w:rsidR="00C935DF" w:rsidRPr="006B402C" w:rsidRDefault="00C935DF" w:rsidP="004147B9">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募集有效认购总户数（单位：</w:t>
            </w:r>
            <w:r w:rsidR="00DE7BC9" w:rsidRPr="006B402C">
              <w:rPr>
                <w:rFonts w:asciiTheme="minorEastAsia" w:eastAsiaTheme="minorEastAsia" w:hAnsiTheme="minorEastAsia" w:hint="eastAsia"/>
                <w:color w:val="000000"/>
                <w:kern w:val="0"/>
                <w:sz w:val="24"/>
                <w:szCs w:val="24"/>
              </w:rPr>
              <w:t>户</w:t>
            </w:r>
            <w:r w:rsidRPr="006B402C">
              <w:rPr>
                <w:rFonts w:asciiTheme="minorEastAsia" w:eastAsiaTheme="minorEastAsia" w:hAnsiTheme="minorEastAsia"/>
                <w:color w:val="000000"/>
                <w:sz w:val="24"/>
                <w:szCs w:val="24"/>
              </w:rPr>
              <w:t>）</w:t>
            </w:r>
          </w:p>
        </w:tc>
        <w:tc>
          <w:tcPr>
            <w:tcW w:w="6004" w:type="dxa"/>
            <w:gridSpan w:val="3"/>
            <w:vAlign w:val="center"/>
          </w:tcPr>
          <w:p w:rsidR="00C935DF" w:rsidRPr="006B402C" w:rsidRDefault="00AB494D" w:rsidP="000D209F">
            <w:pPr>
              <w:jc w:val="right"/>
              <w:rPr>
                <w:rFonts w:asciiTheme="minorEastAsia" w:eastAsiaTheme="minorEastAsia" w:hAnsiTheme="minorEastAsia" w:cs="宋体"/>
                <w:sz w:val="24"/>
                <w:szCs w:val="24"/>
              </w:rPr>
            </w:pPr>
            <w:r w:rsidRPr="006B402C">
              <w:rPr>
                <w:rFonts w:asciiTheme="minorEastAsia" w:eastAsiaTheme="minorEastAsia" w:hAnsiTheme="minorEastAsia"/>
                <w:sz w:val="24"/>
                <w:szCs w:val="24"/>
              </w:rPr>
              <w:t>285</w:t>
            </w:r>
          </w:p>
        </w:tc>
      </w:tr>
      <w:tr w:rsidR="0016571B" w:rsidRPr="006B402C" w:rsidTr="0016571B">
        <w:trPr>
          <w:trHeight w:val="386"/>
          <w:jc w:val="center"/>
        </w:trPr>
        <w:tc>
          <w:tcPr>
            <w:tcW w:w="2518" w:type="dxa"/>
            <w:gridSpan w:val="2"/>
            <w:vAlign w:val="center"/>
          </w:tcPr>
          <w:p w:rsidR="003000C2" w:rsidRPr="006B402C" w:rsidRDefault="003000C2" w:rsidP="007F4376">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份额级别</w:t>
            </w:r>
          </w:p>
        </w:tc>
        <w:tc>
          <w:tcPr>
            <w:tcW w:w="2268" w:type="dxa"/>
            <w:vAlign w:val="center"/>
          </w:tcPr>
          <w:p w:rsidR="00DC4FF4" w:rsidRPr="006B402C" w:rsidRDefault="003000C2" w:rsidP="00DC4FF4">
            <w:pPr>
              <w:jc w:val="left"/>
              <w:rPr>
                <w:rFonts w:asciiTheme="minorEastAsia" w:eastAsiaTheme="minorEastAsia" w:hAnsiTheme="minorEastAsia"/>
                <w:sz w:val="24"/>
                <w:szCs w:val="24"/>
              </w:rPr>
            </w:pPr>
            <w:r w:rsidRPr="006B402C">
              <w:rPr>
                <w:rFonts w:asciiTheme="minorEastAsia" w:eastAsiaTheme="minorEastAsia" w:hAnsiTheme="minorEastAsia"/>
                <w:sz w:val="24"/>
                <w:szCs w:val="24"/>
              </w:rPr>
              <w:t>交银</w:t>
            </w:r>
            <w:r w:rsidR="000D209F" w:rsidRPr="006B402C">
              <w:rPr>
                <w:rFonts w:asciiTheme="minorEastAsia" w:eastAsiaTheme="minorEastAsia" w:hAnsiTheme="minorEastAsia"/>
                <w:sz w:val="24"/>
                <w:szCs w:val="24"/>
              </w:rPr>
              <w:t>裕盈</w:t>
            </w:r>
            <w:r w:rsidRPr="006B402C">
              <w:rPr>
                <w:rFonts w:asciiTheme="minorEastAsia" w:eastAsiaTheme="minorEastAsia" w:hAnsiTheme="minorEastAsia"/>
                <w:sz w:val="24"/>
                <w:szCs w:val="24"/>
              </w:rPr>
              <w:t>纯债债券A</w:t>
            </w:r>
          </w:p>
        </w:tc>
        <w:tc>
          <w:tcPr>
            <w:tcW w:w="1559" w:type="dxa"/>
            <w:vAlign w:val="center"/>
          </w:tcPr>
          <w:p w:rsidR="00DC4FF4" w:rsidRPr="006B402C" w:rsidRDefault="003000C2" w:rsidP="00DC4FF4">
            <w:pPr>
              <w:jc w:val="left"/>
              <w:rPr>
                <w:rFonts w:asciiTheme="minorEastAsia" w:eastAsiaTheme="minorEastAsia" w:hAnsiTheme="minorEastAsia"/>
                <w:sz w:val="24"/>
                <w:szCs w:val="24"/>
              </w:rPr>
            </w:pPr>
            <w:r w:rsidRPr="006B402C">
              <w:rPr>
                <w:rFonts w:asciiTheme="minorEastAsia" w:eastAsiaTheme="minorEastAsia" w:hAnsiTheme="minorEastAsia"/>
                <w:sz w:val="24"/>
                <w:szCs w:val="24"/>
              </w:rPr>
              <w:t>交银</w:t>
            </w:r>
            <w:r w:rsidR="000D209F" w:rsidRPr="006B402C">
              <w:rPr>
                <w:rFonts w:asciiTheme="minorEastAsia" w:eastAsiaTheme="minorEastAsia" w:hAnsiTheme="minorEastAsia"/>
                <w:sz w:val="24"/>
                <w:szCs w:val="24"/>
              </w:rPr>
              <w:t>裕盈</w:t>
            </w:r>
            <w:r w:rsidRPr="006B402C">
              <w:rPr>
                <w:rFonts w:asciiTheme="minorEastAsia" w:eastAsiaTheme="minorEastAsia" w:hAnsiTheme="minorEastAsia"/>
                <w:sz w:val="24"/>
                <w:szCs w:val="24"/>
              </w:rPr>
              <w:t>纯债债券C</w:t>
            </w:r>
          </w:p>
        </w:tc>
        <w:tc>
          <w:tcPr>
            <w:tcW w:w="2177" w:type="dxa"/>
            <w:vAlign w:val="center"/>
          </w:tcPr>
          <w:p w:rsidR="00DC4FF4" w:rsidRPr="006B402C" w:rsidRDefault="003000C2" w:rsidP="00DC4FF4">
            <w:pPr>
              <w:jc w:val="left"/>
              <w:rPr>
                <w:rFonts w:asciiTheme="minorEastAsia" w:eastAsiaTheme="minorEastAsia" w:hAnsiTheme="minorEastAsia"/>
                <w:sz w:val="24"/>
                <w:szCs w:val="24"/>
              </w:rPr>
            </w:pPr>
            <w:r w:rsidRPr="006B402C">
              <w:rPr>
                <w:rFonts w:asciiTheme="minorEastAsia" w:eastAsiaTheme="minorEastAsia" w:hAnsiTheme="minorEastAsia"/>
                <w:sz w:val="24"/>
                <w:szCs w:val="24"/>
              </w:rPr>
              <w:t>交银</w:t>
            </w:r>
            <w:r w:rsidR="000D209F" w:rsidRPr="006B402C">
              <w:rPr>
                <w:rFonts w:asciiTheme="minorEastAsia" w:eastAsiaTheme="minorEastAsia" w:hAnsiTheme="minorEastAsia"/>
                <w:sz w:val="24"/>
                <w:szCs w:val="24"/>
              </w:rPr>
              <w:t>裕盈</w:t>
            </w:r>
            <w:r w:rsidRPr="006B402C">
              <w:rPr>
                <w:rFonts w:asciiTheme="minorEastAsia" w:eastAsiaTheme="minorEastAsia" w:hAnsiTheme="minorEastAsia"/>
                <w:sz w:val="24"/>
                <w:szCs w:val="24"/>
              </w:rPr>
              <w:t>纯债债券</w:t>
            </w:r>
            <w:r w:rsidR="00DC4FF4" w:rsidRPr="006B402C">
              <w:rPr>
                <w:rFonts w:asciiTheme="minorEastAsia" w:eastAsiaTheme="minorEastAsia" w:hAnsiTheme="minorEastAsia"/>
                <w:sz w:val="24"/>
                <w:szCs w:val="24"/>
              </w:rPr>
              <w:t>合计</w:t>
            </w:r>
          </w:p>
        </w:tc>
      </w:tr>
      <w:tr w:rsidR="0016571B" w:rsidRPr="006B402C" w:rsidTr="0016571B">
        <w:trPr>
          <w:trHeight w:val="386"/>
          <w:jc w:val="center"/>
        </w:trPr>
        <w:tc>
          <w:tcPr>
            <w:tcW w:w="2518" w:type="dxa"/>
            <w:gridSpan w:val="2"/>
            <w:vAlign w:val="center"/>
          </w:tcPr>
          <w:p w:rsidR="000D209F" w:rsidRPr="006B402C" w:rsidRDefault="000D209F" w:rsidP="008E08B3">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募集期间净认购金额（单位：</w:t>
            </w:r>
            <w:r w:rsidRPr="006B402C">
              <w:rPr>
                <w:rFonts w:asciiTheme="minorEastAsia" w:eastAsiaTheme="minorEastAsia" w:hAnsiTheme="minorEastAsia" w:hint="eastAsia"/>
                <w:color w:val="000000"/>
                <w:kern w:val="0"/>
                <w:sz w:val="24"/>
                <w:szCs w:val="24"/>
              </w:rPr>
              <w:t>元</w:t>
            </w:r>
            <w:r w:rsidRPr="006B402C">
              <w:rPr>
                <w:rFonts w:asciiTheme="minorEastAsia" w:eastAsiaTheme="minorEastAsia" w:hAnsiTheme="minorEastAsia"/>
                <w:color w:val="000000"/>
                <w:sz w:val="24"/>
                <w:szCs w:val="24"/>
              </w:rPr>
              <w:t>）</w:t>
            </w:r>
          </w:p>
        </w:tc>
        <w:tc>
          <w:tcPr>
            <w:tcW w:w="2268" w:type="dxa"/>
            <w:vAlign w:val="center"/>
          </w:tcPr>
          <w:p w:rsidR="000D209F" w:rsidRPr="006B402C" w:rsidRDefault="00AB494D" w:rsidP="000D209F">
            <w:pPr>
              <w:jc w:val="right"/>
            </w:pPr>
            <w:r w:rsidRPr="006B402C">
              <w:rPr>
                <w:rFonts w:asciiTheme="minorEastAsia" w:eastAsiaTheme="minorEastAsia" w:hAnsiTheme="minorEastAsia"/>
                <w:sz w:val="24"/>
                <w:szCs w:val="24"/>
              </w:rPr>
              <w:t>200,201,597.30</w:t>
            </w:r>
          </w:p>
        </w:tc>
        <w:tc>
          <w:tcPr>
            <w:tcW w:w="1559" w:type="dxa"/>
            <w:vAlign w:val="center"/>
          </w:tcPr>
          <w:p w:rsidR="000D209F" w:rsidRPr="006B402C" w:rsidRDefault="00AB494D" w:rsidP="000D209F">
            <w:pPr>
              <w:jc w:val="right"/>
            </w:pPr>
            <w:r w:rsidRPr="006B402C">
              <w:rPr>
                <w:rFonts w:asciiTheme="minorEastAsia" w:eastAsiaTheme="minorEastAsia" w:hAnsiTheme="minorEastAsia"/>
                <w:sz w:val="24"/>
                <w:szCs w:val="24"/>
              </w:rPr>
              <w:t>15,646.44</w:t>
            </w:r>
          </w:p>
        </w:tc>
        <w:tc>
          <w:tcPr>
            <w:tcW w:w="2177" w:type="dxa"/>
            <w:vAlign w:val="center"/>
          </w:tcPr>
          <w:p w:rsidR="000D209F" w:rsidRPr="006B402C" w:rsidRDefault="0016571B" w:rsidP="000D209F">
            <w:pPr>
              <w:jc w:val="right"/>
            </w:pPr>
            <w:r w:rsidRPr="006B402C">
              <w:rPr>
                <w:rFonts w:asciiTheme="minorEastAsia" w:eastAsiaTheme="minorEastAsia" w:hAnsiTheme="minorEastAsia"/>
                <w:sz w:val="24"/>
                <w:szCs w:val="24"/>
              </w:rPr>
              <w:t xml:space="preserve">200,217,243.74 </w:t>
            </w:r>
          </w:p>
        </w:tc>
      </w:tr>
      <w:tr w:rsidR="0016571B" w:rsidRPr="006B402C" w:rsidTr="0016571B">
        <w:trPr>
          <w:trHeight w:val="454"/>
          <w:jc w:val="center"/>
        </w:trPr>
        <w:tc>
          <w:tcPr>
            <w:tcW w:w="2518" w:type="dxa"/>
            <w:gridSpan w:val="2"/>
            <w:vAlign w:val="center"/>
          </w:tcPr>
          <w:p w:rsidR="000D209F" w:rsidRPr="006B402C" w:rsidRDefault="000D209F" w:rsidP="008E08B3">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认购资金在募集期间产生的利息（单位：</w:t>
            </w:r>
            <w:r w:rsidRPr="006B402C">
              <w:rPr>
                <w:rFonts w:asciiTheme="minorEastAsia" w:eastAsiaTheme="minorEastAsia" w:hAnsiTheme="minorEastAsia" w:hint="eastAsia"/>
                <w:color w:val="000000"/>
                <w:kern w:val="0"/>
                <w:sz w:val="24"/>
                <w:szCs w:val="24"/>
              </w:rPr>
              <w:t>元</w:t>
            </w:r>
            <w:r w:rsidRPr="006B402C">
              <w:rPr>
                <w:rFonts w:asciiTheme="minorEastAsia" w:eastAsiaTheme="minorEastAsia" w:hAnsiTheme="minorEastAsia"/>
                <w:color w:val="000000"/>
                <w:sz w:val="24"/>
                <w:szCs w:val="24"/>
              </w:rPr>
              <w:t>）</w:t>
            </w:r>
          </w:p>
        </w:tc>
        <w:tc>
          <w:tcPr>
            <w:tcW w:w="2268" w:type="dxa"/>
            <w:vAlign w:val="center"/>
          </w:tcPr>
          <w:p w:rsidR="000D209F" w:rsidRPr="006B402C" w:rsidRDefault="00AB494D" w:rsidP="000D209F">
            <w:pPr>
              <w:jc w:val="right"/>
            </w:pPr>
            <w:r w:rsidRPr="006B402C">
              <w:rPr>
                <w:rFonts w:asciiTheme="minorEastAsia" w:eastAsiaTheme="minorEastAsia" w:hAnsiTheme="minorEastAsia"/>
                <w:sz w:val="24"/>
                <w:szCs w:val="24"/>
              </w:rPr>
              <w:t>9,009.11</w:t>
            </w:r>
          </w:p>
        </w:tc>
        <w:tc>
          <w:tcPr>
            <w:tcW w:w="1559" w:type="dxa"/>
            <w:vAlign w:val="center"/>
          </w:tcPr>
          <w:p w:rsidR="000D209F" w:rsidRPr="006B402C" w:rsidRDefault="00AB494D" w:rsidP="000D209F">
            <w:pPr>
              <w:jc w:val="right"/>
            </w:pPr>
            <w:r w:rsidRPr="006B402C">
              <w:rPr>
                <w:rFonts w:asciiTheme="minorEastAsia" w:eastAsiaTheme="minorEastAsia" w:hAnsiTheme="minorEastAsia"/>
                <w:sz w:val="24"/>
                <w:szCs w:val="24"/>
              </w:rPr>
              <w:t>0.88</w:t>
            </w:r>
          </w:p>
        </w:tc>
        <w:tc>
          <w:tcPr>
            <w:tcW w:w="2177" w:type="dxa"/>
            <w:vAlign w:val="center"/>
          </w:tcPr>
          <w:p w:rsidR="000D209F" w:rsidRPr="006B402C" w:rsidRDefault="0016571B" w:rsidP="000D209F">
            <w:pPr>
              <w:jc w:val="right"/>
            </w:pPr>
            <w:r w:rsidRPr="006B402C">
              <w:rPr>
                <w:rFonts w:asciiTheme="minorEastAsia" w:eastAsiaTheme="minorEastAsia" w:hAnsiTheme="minorEastAsia"/>
                <w:sz w:val="24"/>
                <w:szCs w:val="24"/>
              </w:rPr>
              <w:t>9,009.99</w:t>
            </w:r>
          </w:p>
        </w:tc>
      </w:tr>
      <w:tr w:rsidR="00AB494D" w:rsidRPr="006B402C" w:rsidTr="0016571B">
        <w:trPr>
          <w:jc w:val="center"/>
        </w:trPr>
        <w:tc>
          <w:tcPr>
            <w:tcW w:w="0" w:type="auto"/>
            <w:vMerge w:val="restart"/>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募集份额（单位：</w:t>
            </w:r>
            <w:r w:rsidRPr="006B402C">
              <w:rPr>
                <w:rFonts w:asciiTheme="minorEastAsia" w:eastAsiaTheme="minorEastAsia" w:hAnsiTheme="minorEastAsia" w:hint="eastAsia"/>
                <w:color w:val="000000"/>
                <w:sz w:val="24"/>
                <w:szCs w:val="24"/>
              </w:rPr>
              <w:t>份</w:t>
            </w:r>
            <w:r w:rsidRPr="006B402C">
              <w:rPr>
                <w:rFonts w:asciiTheme="minorEastAsia" w:eastAsiaTheme="minorEastAsia" w:hAnsiTheme="minorEastAsia"/>
                <w:color w:val="000000"/>
                <w:sz w:val="24"/>
                <w:szCs w:val="24"/>
              </w:rPr>
              <w:t>）</w:t>
            </w:r>
          </w:p>
        </w:tc>
        <w:tc>
          <w:tcPr>
            <w:tcW w:w="1180" w:type="dxa"/>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有效认购份额</w:t>
            </w:r>
          </w:p>
        </w:tc>
        <w:tc>
          <w:tcPr>
            <w:tcW w:w="2268" w:type="dxa"/>
            <w:vAlign w:val="center"/>
          </w:tcPr>
          <w:p w:rsidR="00AB494D" w:rsidRPr="006B402C" w:rsidRDefault="00AB494D" w:rsidP="00AB494D">
            <w:pPr>
              <w:jc w:val="right"/>
            </w:pPr>
            <w:r w:rsidRPr="006B402C">
              <w:rPr>
                <w:rFonts w:asciiTheme="minorEastAsia" w:eastAsiaTheme="minorEastAsia" w:hAnsiTheme="minorEastAsia"/>
                <w:sz w:val="24"/>
                <w:szCs w:val="24"/>
              </w:rPr>
              <w:t>200,201,597.30</w:t>
            </w:r>
          </w:p>
        </w:tc>
        <w:tc>
          <w:tcPr>
            <w:tcW w:w="1559" w:type="dxa"/>
            <w:vAlign w:val="center"/>
          </w:tcPr>
          <w:p w:rsidR="00AB494D" w:rsidRPr="006B402C" w:rsidRDefault="00AB494D" w:rsidP="00AB494D">
            <w:pPr>
              <w:jc w:val="right"/>
            </w:pPr>
            <w:r w:rsidRPr="006B402C">
              <w:rPr>
                <w:rFonts w:asciiTheme="minorEastAsia" w:eastAsiaTheme="minorEastAsia" w:hAnsiTheme="minorEastAsia"/>
                <w:sz w:val="24"/>
                <w:szCs w:val="24"/>
              </w:rPr>
              <w:t>15,646.44</w:t>
            </w:r>
          </w:p>
        </w:tc>
        <w:tc>
          <w:tcPr>
            <w:tcW w:w="2177" w:type="dxa"/>
            <w:vAlign w:val="center"/>
          </w:tcPr>
          <w:p w:rsidR="00AB494D" w:rsidRPr="006B402C" w:rsidRDefault="0016571B" w:rsidP="00AB494D">
            <w:pPr>
              <w:jc w:val="right"/>
            </w:pPr>
            <w:r w:rsidRPr="006B402C">
              <w:rPr>
                <w:rFonts w:asciiTheme="minorEastAsia" w:eastAsiaTheme="minorEastAsia" w:hAnsiTheme="minorEastAsia"/>
                <w:sz w:val="24"/>
                <w:szCs w:val="24"/>
              </w:rPr>
              <w:t>200,217,243.74</w:t>
            </w:r>
          </w:p>
        </w:tc>
      </w:tr>
      <w:tr w:rsidR="00AB494D" w:rsidRPr="006B402C" w:rsidTr="0016571B">
        <w:trPr>
          <w:jc w:val="center"/>
        </w:trPr>
        <w:tc>
          <w:tcPr>
            <w:tcW w:w="0" w:type="auto"/>
            <w:vMerge/>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p>
        </w:tc>
        <w:tc>
          <w:tcPr>
            <w:tcW w:w="1180" w:type="dxa"/>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利息结转的份额</w:t>
            </w:r>
          </w:p>
        </w:tc>
        <w:tc>
          <w:tcPr>
            <w:tcW w:w="2268" w:type="dxa"/>
            <w:vAlign w:val="center"/>
          </w:tcPr>
          <w:p w:rsidR="00AB494D" w:rsidRPr="006B402C" w:rsidRDefault="00AB494D" w:rsidP="00AB494D">
            <w:pPr>
              <w:jc w:val="right"/>
            </w:pPr>
            <w:r w:rsidRPr="006B402C">
              <w:rPr>
                <w:rFonts w:asciiTheme="minorEastAsia" w:eastAsiaTheme="minorEastAsia" w:hAnsiTheme="minorEastAsia"/>
                <w:sz w:val="24"/>
                <w:szCs w:val="24"/>
              </w:rPr>
              <w:t>9,009.11</w:t>
            </w:r>
          </w:p>
        </w:tc>
        <w:tc>
          <w:tcPr>
            <w:tcW w:w="1559" w:type="dxa"/>
            <w:vAlign w:val="center"/>
          </w:tcPr>
          <w:p w:rsidR="00AB494D" w:rsidRPr="006B402C" w:rsidRDefault="00AB494D" w:rsidP="00AB494D">
            <w:pPr>
              <w:jc w:val="right"/>
            </w:pPr>
            <w:r w:rsidRPr="006B402C">
              <w:rPr>
                <w:rFonts w:asciiTheme="minorEastAsia" w:eastAsiaTheme="minorEastAsia" w:hAnsiTheme="minorEastAsia"/>
                <w:sz w:val="24"/>
                <w:szCs w:val="24"/>
              </w:rPr>
              <w:t>0.88</w:t>
            </w:r>
          </w:p>
        </w:tc>
        <w:tc>
          <w:tcPr>
            <w:tcW w:w="2177" w:type="dxa"/>
            <w:vAlign w:val="center"/>
          </w:tcPr>
          <w:p w:rsidR="00AB494D" w:rsidRPr="006B402C" w:rsidRDefault="0016571B" w:rsidP="00AB494D">
            <w:pPr>
              <w:jc w:val="right"/>
            </w:pPr>
            <w:r w:rsidRPr="006B402C">
              <w:rPr>
                <w:rFonts w:asciiTheme="minorEastAsia" w:eastAsiaTheme="minorEastAsia" w:hAnsiTheme="minorEastAsia"/>
                <w:sz w:val="24"/>
                <w:szCs w:val="24"/>
              </w:rPr>
              <w:t>9,009.99</w:t>
            </w:r>
          </w:p>
        </w:tc>
      </w:tr>
      <w:tr w:rsidR="00AB494D" w:rsidRPr="006B402C" w:rsidTr="0016571B">
        <w:trPr>
          <w:jc w:val="center"/>
        </w:trPr>
        <w:tc>
          <w:tcPr>
            <w:tcW w:w="0" w:type="auto"/>
            <w:vMerge/>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p>
        </w:tc>
        <w:tc>
          <w:tcPr>
            <w:tcW w:w="1180" w:type="dxa"/>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合计</w:t>
            </w:r>
          </w:p>
        </w:tc>
        <w:tc>
          <w:tcPr>
            <w:tcW w:w="2268" w:type="dxa"/>
            <w:vAlign w:val="center"/>
          </w:tcPr>
          <w:p w:rsidR="00AB494D" w:rsidRPr="006B402C" w:rsidRDefault="0016571B" w:rsidP="00AB494D">
            <w:pPr>
              <w:jc w:val="right"/>
            </w:pPr>
            <w:r w:rsidRPr="006B402C">
              <w:rPr>
                <w:rFonts w:asciiTheme="minorEastAsia" w:eastAsiaTheme="minorEastAsia" w:hAnsiTheme="minorEastAsia"/>
                <w:sz w:val="24"/>
                <w:szCs w:val="24"/>
              </w:rPr>
              <w:t>200,210,606.41</w:t>
            </w:r>
          </w:p>
        </w:tc>
        <w:tc>
          <w:tcPr>
            <w:tcW w:w="1559" w:type="dxa"/>
            <w:vAlign w:val="center"/>
          </w:tcPr>
          <w:p w:rsidR="00AB494D" w:rsidRPr="006B402C" w:rsidRDefault="0016571B" w:rsidP="00AB494D">
            <w:pPr>
              <w:jc w:val="right"/>
            </w:pPr>
            <w:r w:rsidRPr="006B402C">
              <w:rPr>
                <w:rFonts w:asciiTheme="minorEastAsia" w:eastAsiaTheme="minorEastAsia" w:hAnsiTheme="minorEastAsia"/>
                <w:sz w:val="24"/>
                <w:szCs w:val="24"/>
              </w:rPr>
              <w:t>15,647.32</w:t>
            </w:r>
          </w:p>
        </w:tc>
        <w:tc>
          <w:tcPr>
            <w:tcW w:w="2177" w:type="dxa"/>
            <w:vAlign w:val="center"/>
          </w:tcPr>
          <w:p w:rsidR="00AB494D" w:rsidRPr="006B402C" w:rsidRDefault="0016571B" w:rsidP="00AB494D">
            <w:pPr>
              <w:jc w:val="right"/>
            </w:pPr>
            <w:r w:rsidRPr="006B402C">
              <w:rPr>
                <w:rFonts w:asciiTheme="minorEastAsia" w:eastAsiaTheme="minorEastAsia" w:hAnsiTheme="minorEastAsia"/>
                <w:sz w:val="24"/>
                <w:szCs w:val="24"/>
              </w:rPr>
              <w:t>200,226,253.73</w:t>
            </w:r>
          </w:p>
        </w:tc>
      </w:tr>
      <w:tr w:rsidR="00AB494D" w:rsidRPr="006B402C" w:rsidTr="0016571B">
        <w:trPr>
          <w:jc w:val="center"/>
        </w:trPr>
        <w:tc>
          <w:tcPr>
            <w:tcW w:w="0" w:type="auto"/>
            <w:vMerge w:val="restart"/>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其中：募集期间基金管理人运用固有资金认购本基金情况</w:t>
            </w:r>
          </w:p>
        </w:tc>
        <w:tc>
          <w:tcPr>
            <w:tcW w:w="1180" w:type="dxa"/>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认购的基金份额（单位：</w:t>
            </w:r>
            <w:r w:rsidRPr="006B402C">
              <w:rPr>
                <w:rFonts w:asciiTheme="minorEastAsia" w:eastAsiaTheme="minorEastAsia" w:hAnsiTheme="minorEastAsia" w:hint="eastAsia"/>
                <w:color w:val="000000"/>
                <w:kern w:val="0"/>
                <w:sz w:val="24"/>
                <w:szCs w:val="24"/>
              </w:rPr>
              <w:t>份</w:t>
            </w:r>
            <w:r w:rsidRPr="006B402C">
              <w:rPr>
                <w:rFonts w:asciiTheme="minorEastAsia" w:eastAsiaTheme="minorEastAsia" w:hAnsiTheme="minorEastAsia"/>
                <w:color w:val="000000"/>
                <w:sz w:val="24"/>
                <w:szCs w:val="24"/>
              </w:rPr>
              <w:t>）</w:t>
            </w:r>
          </w:p>
        </w:tc>
        <w:tc>
          <w:tcPr>
            <w:tcW w:w="2268" w:type="dxa"/>
            <w:vAlign w:val="center"/>
          </w:tcPr>
          <w:p w:rsidR="00AB494D" w:rsidRPr="006B402C" w:rsidRDefault="00AB494D" w:rsidP="00AB494D">
            <w:pPr>
              <w:jc w:val="right"/>
              <w:rPr>
                <w:rFonts w:asciiTheme="minorEastAsia" w:eastAsiaTheme="minorEastAsia" w:hAnsiTheme="minorEastAsia" w:cs="宋体"/>
                <w:sz w:val="24"/>
                <w:szCs w:val="24"/>
              </w:rPr>
            </w:pPr>
            <w:r w:rsidRPr="006B402C">
              <w:rPr>
                <w:rFonts w:asciiTheme="minorEastAsia" w:eastAsiaTheme="minorEastAsia" w:hAnsiTheme="minorEastAsia"/>
                <w:sz w:val="24"/>
                <w:szCs w:val="24"/>
              </w:rPr>
              <w:t>0</w:t>
            </w:r>
          </w:p>
        </w:tc>
        <w:tc>
          <w:tcPr>
            <w:tcW w:w="1559" w:type="dxa"/>
            <w:vAlign w:val="center"/>
          </w:tcPr>
          <w:p w:rsidR="00AB494D" w:rsidRPr="006B402C" w:rsidRDefault="00AB494D" w:rsidP="00AB494D">
            <w:pPr>
              <w:jc w:val="right"/>
              <w:rPr>
                <w:rFonts w:asciiTheme="minorEastAsia" w:eastAsiaTheme="minorEastAsia" w:hAnsiTheme="minorEastAsia" w:cs="宋体"/>
                <w:sz w:val="24"/>
                <w:szCs w:val="24"/>
              </w:rPr>
            </w:pPr>
            <w:r w:rsidRPr="006B402C">
              <w:rPr>
                <w:rFonts w:asciiTheme="minorEastAsia" w:eastAsiaTheme="minorEastAsia" w:hAnsiTheme="minorEastAsia"/>
                <w:sz w:val="24"/>
                <w:szCs w:val="24"/>
              </w:rPr>
              <w:t>0</w:t>
            </w:r>
          </w:p>
        </w:tc>
        <w:tc>
          <w:tcPr>
            <w:tcW w:w="2177" w:type="dxa"/>
            <w:vAlign w:val="center"/>
          </w:tcPr>
          <w:p w:rsidR="00AB494D" w:rsidRPr="006B402C" w:rsidRDefault="00AB494D" w:rsidP="00AB494D">
            <w:pPr>
              <w:jc w:val="right"/>
              <w:rPr>
                <w:rFonts w:asciiTheme="minorEastAsia" w:eastAsiaTheme="minorEastAsia" w:hAnsiTheme="minorEastAsia" w:cs="宋体"/>
                <w:sz w:val="24"/>
                <w:szCs w:val="24"/>
              </w:rPr>
            </w:pPr>
            <w:r w:rsidRPr="006B402C">
              <w:rPr>
                <w:rFonts w:asciiTheme="minorEastAsia" w:eastAsiaTheme="minorEastAsia" w:hAnsiTheme="minorEastAsia"/>
                <w:sz w:val="24"/>
                <w:szCs w:val="24"/>
              </w:rPr>
              <w:t>0</w:t>
            </w:r>
          </w:p>
        </w:tc>
      </w:tr>
      <w:tr w:rsidR="00AB494D" w:rsidRPr="006B402C" w:rsidTr="0016571B">
        <w:trPr>
          <w:jc w:val="center"/>
        </w:trPr>
        <w:tc>
          <w:tcPr>
            <w:tcW w:w="0" w:type="auto"/>
            <w:vMerge/>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p>
        </w:tc>
        <w:tc>
          <w:tcPr>
            <w:tcW w:w="1180" w:type="dxa"/>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占基金总份额比例</w:t>
            </w:r>
          </w:p>
        </w:tc>
        <w:tc>
          <w:tcPr>
            <w:tcW w:w="2268" w:type="dxa"/>
            <w:vAlign w:val="center"/>
          </w:tcPr>
          <w:p w:rsidR="00AB494D" w:rsidRPr="006B402C" w:rsidRDefault="00AB494D" w:rsidP="00AB494D">
            <w:pPr>
              <w:jc w:val="right"/>
              <w:rPr>
                <w:rFonts w:asciiTheme="minorEastAsia" w:eastAsiaTheme="minorEastAsia" w:hAnsiTheme="minorEastAsia" w:cs="宋体"/>
                <w:sz w:val="24"/>
                <w:szCs w:val="24"/>
              </w:rPr>
            </w:pPr>
            <w:r w:rsidRPr="006B402C">
              <w:rPr>
                <w:rFonts w:asciiTheme="minorEastAsia" w:eastAsiaTheme="minorEastAsia" w:hAnsiTheme="minorEastAsia"/>
                <w:sz w:val="24"/>
                <w:szCs w:val="24"/>
              </w:rPr>
              <w:t>0%</w:t>
            </w:r>
          </w:p>
        </w:tc>
        <w:tc>
          <w:tcPr>
            <w:tcW w:w="1559" w:type="dxa"/>
            <w:vAlign w:val="center"/>
          </w:tcPr>
          <w:p w:rsidR="00AB494D" w:rsidRPr="006B402C" w:rsidRDefault="00AB494D" w:rsidP="00AB494D">
            <w:pPr>
              <w:jc w:val="right"/>
              <w:rPr>
                <w:rFonts w:asciiTheme="minorEastAsia" w:eastAsiaTheme="minorEastAsia" w:hAnsiTheme="minorEastAsia" w:cs="宋体"/>
                <w:sz w:val="24"/>
                <w:szCs w:val="24"/>
              </w:rPr>
            </w:pPr>
            <w:r w:rsidRPr="006B402C">
              <w:rPr>
                <w:rFonts w:asciiTheme="minorEastAsia" w:eastAsiaTheme="minorEastAsia" w:hAnsiTheme="minorEastAsia"/>
                <w:sz w:val="24"/>
                <w:szCs w:val="24"/>
              </w:rPr>
              <w:t>0%</w:t>
            </w:r>
          </w:p>
        </w:tc>
        <w:tc>
          <w:tcPr>
            <w:tcW w:w="2177" w:type="dxa"/>
            <w:vAlign w:val="center"/>
          </w:tcPr>
          <w:p w:rsidR="00AB494D" w:rsidRPr="006B402C" w:rsidRDefault="00AB494D" w:rsidP="00AB494D">
            <w:pPr>
              <w:jc w:val="right"/>
              <w:rPr>
                <w:rFonts w:asciiTheme="minorEastAsia" w:eastAsiaTheme="minorEastAsia" w:hAnsiTheme="minorEastAsia" w:cs="宋体"/>
                <w:sz w:val="24"/>
                <w:szCs w:val="24"/>
              </w:rPr>
            </w:pPr>
            <w:r w:rsidRPr="006B402C">
              <w:rPr>
                <w:rFonts w:asciiTheme="minorEastAsia" w:eastAsiaTheme="minorEastAsia" w:hAnsiTheme="minorEastAsia"/>
                <w:sz w:val="24"/>
                <w:szCs w:val="24"/>
              </w:rPr>
              <w:t>0%</w:t>
            </w:r>
          </w:p>
        </w:tc>
      </w:tr>
      <w:tr w:rsidR="00AB494D" w:rsidRPr="006B402C" w:rsidTr="0016571B">
        <w:trPr>
          <w:jc w:val="center"/>
        </w:trPr>
        <w:tc>
          <w:tcPr>
            <w:tcW w:w="0" w:type="auto"/>
            <w:vMerge/>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p>
        </w:tc>
        <w:tc>
          <w:tcPr>
            <w:tcW w:w="1180" w:type="dxa"/>
            <w:vAlign w:val="center"/>
          </w:tcPr>
          <w:p w:rsidR="00AB494D" w:rsidRPr="006B402C" w:rsidRDefault="00AB494D" w:rsidP="00AB494D">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其他需要说明的事</w:t>
            </w:r>
            <w:r w:rsidRPr="006B402C">
              <w:rPr>
                <w:rFonts w:asciiTheme="minorEastAsia" w:eastAsiaTheme="minorEastAsia" w:hAnsiTheme="minorEastAsia"/>
                <w:color w:val="000000"/>
                <w:sz w:val="24"/>
                <w:szCs w:val="24"/>
              </w:rPr>
              <w:lastRenderedPageBreak/>
              <w:t>项</w:t>
            </w:r>
          </w:p>
        </w:tc>
        <w:tc>
          <w:tcPr>
            <w:tcW w:w="2268" w:type="dxa"/>
            <w:vAlign w:val="center"/>
          </w:tcPr>
          <w:p w:rsidR="00AB494D" w:rsidRPr="006B402C" w:rsidRDefault="00AB494D" w:rsidP="00AB494D">
            <w:pPr>
              <w:jc w:val="right"/>
              <w:rPr>
                <w:rFonts w:asciiTheme="minorEastAsia" w:eastAsiaTheme="minorEastAsia" w:hAnsiTheme="minorEastAsia" w:cs="宋体"/>
                <w:sz w:val="24"/>
                <w:szCs w:val="24"/>
              </w:rPr>
            </w:pPr>
            <w:r w:rsidRPr="006B402C">
              <w:rPr>
                <w:rFonts w:asciiTheme="minorEastAsia" w:eastAsiaTheme="minorEastAsia" w:hAnsiTheme="minorEastAsia" w:hint="eastAsia"/>
                <w:sz w:val="24"/>
                <w:szCs w:val="24"/>
              </w:rPr>
              <w:lastRenderedPageBreak/>
              <w:t>-</w:t>
            </w:r>
          </w:p>
        </w:tc>
        <w:tc>
          <w:tcPr>
            <w:tcW w:w="1559" w:type="dxa"/>
            <w:vAlign w:val="center"/>
          </w:tcPr>
          <w:p w:rsidR="00AB494D" w:rsidRPr="006B402C" w:rsidRDefault="00AB494D" w:rsidP="00AB494D">
            <w:pPr>
              <w:jc w:val="right"/>
              <w:rPr>
                <w:rFonts w:asciiTheme="minorEastAsia" w:eastAsiaTheme="minorEastAsia" w:hAnsiTheme="minorEastAsia" w:cs="宋体"/>
                <w:sz w:val="24"/>
                <w:szCs w:val="24"/>
              </w:rPr>
            </w:pPr>
            <w:r w:rsidRPr="006B402C">
              <w:rPr>
                <w:rFonts w:asciiTheme="minorEastAsia" w:eastAsiaTheme="minorEastAsia" w:hAnsiTheme="minorEastAsia" w:hint="eastAsia"/>
                <w:sz w:val="24"/>
                <w:szCs w:val="24"/>
              </w:rPr>
              <w:t>-</w:t>
            </w:r>
          </w:p>
        </w:tc>
        <w:tc>
          <w:tcPr>
            <w:tcW w:w="2177" w:type="dxa"/>
            <w:vAlign w:val="center"/>
          </w:tcPr>
          <w:p w:rsidR="00AB494D" w:rsidRPr="006B402C" w:rsidRDefault="00AB494D" w:rsidP="00AB494D">
            <w:pPr>
              <w:jc w:val="right"/>
              <w:rPr>
                <w:rFonts w:asciiTheme="minorEastAsia" w:eastAsiaTheme="minorEastAsia" w:hAnsiTheme="minorEastAsia" w:cs="宋体"/>
                <w:sz w:val="24"/>
                <w:szCs w:val="24"/>
              </w:rPr>
            </w:pPr>
            <w:r w:rsidRPr="006B402C">
              <w:rPr>
                <w:rFonts w:asciiTheme="minorEastAsia" w:eastAsiaTheme="minorEastAsia" w:hAnsiTheme="minorEastAsia" w:hint="eastAsia"/>
                <w:sz w:val="24"/>
                <w:szCs w:val="24"/>
              </w:rPr>
              <w:t>-</w:t>
            </w:r>
          </w:p>
        </w:tc>
      </w:tr>
      <w:tr w:rsidR="003A0EF8" w:rsidRPr="006B402C" w:rsidTr="0016571B">
        <w:trPr>
          <w:jc w:val="center"/>
        </w:trPr>
        <w:tc>
          <w:tcPr>
            <w:tcW w:w="0" w:type="auto"/>
            <w:vMerge w:val="restart"/>
            <w:vAlign w:val="center"/>
          </w:tcPr>
          <w:p w:rsidR="003A0EF8" w:rsidRPr="006B402C" w:rsidRDefault="003A0EF8" w:rsidP="00AB494D">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lastRenderedPageBreak/>
              <w:t>其中：募集期间基金管理人的从业人员认购本基金情况</w:t>
            </w:r>
          </w:p>
        </w:tc>
        <w:tc>
          <w:tcPr>
            <w:tcW w:w="1180" w:type="dxa"/>
            <w:vAlign w:val="center"/>
          </w:tcPr>
          <w:p w:rsidR="003A0EF8" w:rsidRPr="006B402C" w:rsidRDefault="003A0EF8" w:rsidP="00AB494D">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认购的基金份额（单位：</w:t>
            </w:r>
            <w:r w:rsidRPr="006B402C">
              <w:rPr>
                <w:rFonts w:asciiTheme="minorEastAsia" w:eastAsiaTheme="minorEastAsia" w:hAnsiTheme="minorEastAsia" w:hint="eastAsia"/>
                <w:color w:val="000000"/>
                <w:kern w:val="0"/>
                <w:sz w:val="24"/>
                <w:szCs w:val="24"/>
              </w:rPr>
              <w:t>份</w:t>
            </w:r>
            <w:r w:rsidRPr="006B402C">
              <w:rPr>
                <w:rFonts w:asciiTheme="minorEastAsia" w:eastAsiaTheme="minorEastAsia" w:hAnsiTheme="minorEastAsia"/>
                <w:color w:val="000000"/>
                <w:sz w:val="24"/>
                <w:szCs w:val="24"/>
              </w:rPr>
              <w:t>）</w:t>
            </w:r>
          </w:p>
        </w:tc>
        <w:tc>
          <w:tcPr>
            <w:tcW w:w="2268" w:type="dxa"/>
            <w:vAlign w:val="center"/>
          </w:tcPr>
          <w:p w:rsidR="003A0EF8" w:rsidRPr="006B402C" w:rsidRDefault="003A0EF8" w:rsidP="00AB494D">
            <w:pPr>
              <w:jc w:val="right"/>
            </w:pPr>
            <w:r w:rsidRPr="006B402C">
              <w:rPr>
                <w:rFonts w:ascii="宋体" w:hAnsi="宋体" w:hint="eastAsia"/>
                <w:sz w:val="24"/>
                <w:szCs w:val="24"/>
              </w:rPr>
              <w:t>198.81</w:t>
            </w:r>
          </w:p>
        </w:tc>
        <w:tc>
          <w:tcPr>
            <w:tcW w:w="1559" w:type="dxa"/>
            <w:vAlign w:val="center"/>
          </w:tcPr>
          <w:p w:rsidR="003A0EF8" w:rsidRPr="006B402C" w:rsidRDefault="00AF5A33" w:rsidP="00AB494D">
            <w:pPr>
              <w:jc w:val="right"/>
            </w:pPr>
            <w:r w:rsidRPr="006B402C">
              <w:rPr>
                <w:rFonts w:ascii="宋体" w:hAnsi="宋体"/>
                <w:sz w:val="24"/>
                <w:szCs w:val="24"/>
              </w:rPr>
              <w:t>1</w:t>
            </w:r>
            <w:r w:rsidR="00F47730" w:rsidRPr="006B402C">
              <w:rPr>
                <w:rFonts w:ascii="宋体" w:hAnsi="宋体" w:hint="eastAsia"/>
                <w:sz w:val="24"/>
                <w:szCs w:val="24"/>
              </w:rPr>
              <w:t>,</w:t>
            </w:r>
            <w:r w:rsidRPr="006B402C">
              <w:rPr>
                <w:rFonts w:ascii="宋体" w:hAnsi="宋体"/>
                <w:sz w:val="24"/>
                <w:szCs w:val="24"/>
              </w:rPr>
              <w:t>280.2</w:t>
            </w:r>
            <w:r w:rsidR="00CA5FC5" w:rsidRPr="006B402C">
              <w:rPr>
                <w:rFonts w:ascii="宋体" w:hAnsi="宋体" w:hint="eastAsia"/>
                <w:sz w:val="24"/>
                <w:szCs w:val="24"/>
              </w:rPr>
              <w:t>0</w:t>
            </w:r>
          </w:p>
        </w:tc>
        <w:tc>
          <w:tcPr>
            <w:tcW w:w="2177" w:type="dxa"/>
            <w:vAlign w:val="center"/>
          </w:tcPr>
          <w:p w:rsidR="003A0EF8" w:rsidRPr="006B402C" w:rsidRDefault="003A0EF8" w:rsidP="003545E4">
            <w:pPr>
              <w:jc w:val="right"/>
            </w:pPr>
            <w:r w:rsidRPr="006B402C">
              <w:rPr>
                <w:rFonts w:ascii="宋体" w:hAnsi="宋体" w:hint="eastAsia"/>
                <w:sz w:val="24"/>
                <w:szCs w:val="24"/>
              </w:rPr>
              <w:t>1</w:t>
            </w:r>
            <w:r w:rsidR="00A97A11" w:rsidRPr="006B402C">
              <w:rPr>
                <w:rFonts w:ascii="宋体" w:hAnsi="宋体" w:hint="eastAsia"/>
                <w:sz w:val="24"/>
                <w:szCs w:val="24"/>
              </w:rPr>
              <w:t>,</w:t>
            </w:r>
            <w:r w:rsidRPr="006B402C">
              <w:rPr>
                <w:rFonts w:ascii="宋体" w:hAnsi="宋体" w:hint="eastAsia"/>
                <w:sz w:val="24"/>
                <w:szCs w:val="24"/>
              </w:rPr>
              <w:t>479.</w:t>
            </w:r>
            <w:r w:rsidR="003545E4" w:rsidRPr="006B402C">
              <w:rPr>
                <w:rFonts w:ascii="宋体" w:hAnsi="宋体" w:hint="eastAsia"/>
                <w:sz w:val="24"/>
                <w:szCs w:val="24"/>
              </w:rPr>
              <w:t>0</w:t>
            </w:r>
            <w:r w:rsidRPr="006B402C">
              <w:rPr>
                <w:rFonts w:ascii="宋体" w:hAnsi="宋体" w:hint="eastAsia"/>
                <w:sz w:val="24"/>
                <w:szCs w:val="24"/>
              </w:rPr>
              <w:t>1</w:t>
            </w:r>
          </w:p>
        </w:tc>
      </w:tr>
      <w:tr w:rsidR="003A0EF8" w:rsidRPr="006B402C" w:rsidTr="0016571B">
        <w:trPr>
          <w:jc w:val="center"/>
        </w:trPr>
        <w:tc>
          <w:tcPr>
            <w:tcW w:w="0" w:type="auto"/>
            <w:vMerge/>
            <w:vAlign w:val="center"/>
          </w:tcPr>
          <w:p w:rsidR="003A0EF8" w:rsidRPr="006B402C" w:rsidRDefault="003A0EF8" w:rsidP="00AB494D">
            <w:pPr>
              <w:spacing w:line="560" w:lineRule="exact"/>
              <w:rPr>
                <w:rFonts w:asciiTheme="minorEastAsia" w:eastAsiaTheme="minorEastAsia" w:hAnsiTheme="minorEastAsia"/>
                <w:color w:val="000000"/>
                <w:sz w:val="24"/>
                <w:szCs w:val="24"/>
              </w:rPr>
            </w:pPr>
          </w:p>
        </w:tc>
        <w:tc>
          <w:tcPr>
            <w:tcW w:w="1180" w:type="dxa"/>
            <w:vAlign w:val="center"/>
          </w:tcPr>
          <w:p w:rsidR="003A0EF8" w:rsidRPr="006B402C" w:rsidRDefault="003A0EF8" w:rsidP="00AB494D">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占基金总份额比例</w:t>
            </w:r>
          </w:p>
        </w:tc>
        <w:tc>
          <w:tcPr>
            <w:tcW w:w="2268" w:type="dxa"/>
            <w:vAlign w:val="center"/>
          </w:tcPr>
          <w:p w:rsidR="003A0EF8" w:rsidRPr="006B402C" w:rsidRDefault="003A0EF8" w:rsidP="003A0EF8">
            <w:pPr>
              <w:jc w:val="right"/>
              <w:rPr>
                <w:rFonts w:asciiTheme="minorEastAsia" w:eastAsiaTheme="minorEastAsia" w:hAnsiTheme="minorEastAsia" w:cs="宋体"/>
                <w:sz w:val="24"/>
                <w:szCs w:val="24"/>
              </w:rPr>
            </w:pPr>
            <w:r w:rsidRPr="006B402C">
              <w:rPr>
                <w:rFonts w:ascii="宋体" w:hAnsi="宋体" w:hint="eastAsia"/>
                <w:sz w:val="24"/>
                <w:szCs w:val="24"/>
              </w:rPr>
              <w:t>0.0001%</w:t>
            </w:r>
          </w:p>
        </w:tc>
        <w:tc>
          <w:tcPr>
            <w:tcW w:w="1559" w:type="dxa"/>
            <w:vAlign w:val="center"/>
          </w:tcPr>
          <w:p w:rsidR="003A0EF8" w:rsidRPr="006B402C" w:rsidRDefault="00AF5A33" w:rsidP="00AB494D">
            <w:pPr>
              <w:jc w:val="right"/>
            </w:pPr>
            <w:r w:rsidRPr="006B402C">
              <w:rPr>
                <w:rFonts w:ascii="宋体" w:hAnsi="宋体"/>
                <w:sz w:val="24"/>
                <w:szCs w:val="24"/>
              </w:rPr>
              <w:t>8.1816</w:t>
            </w:r>
            <w:r w:rsidR="003A0EF8" w:rsidRPr="006B402C">
              <w:rPr>
                <w:rFonts w:ascii="宋体" w:hAnsi="宋体" w:hint="eastAsia"/>
                <w:sz w:val="24"/>
                <w:szCs w:val="24"/>
              </w:rPr>
              <w:t>%</w:t>
            </w:r>
          </w:p>
        </w:tc>
        <w:tc>
          <w:tcPr>
            <w:tcW w:w="2177" w:type="dxa"/>
            <w:vAlign w:val="center"/>
          </w:tcPr>
          <w:p w:rsidR="003A0EF8" w:rsidRPr="006B402C" w:rsidRDefault="003A0EF8" w:rsidP="003A0EF8">
            <w:pPr>
              <w:jc w:val="right"/>
            </w:pPr>
            <w:r w:rsidRPr="006B402C">
              <w:rPr>
                <w:rFonts w:ascii="宋体" w:hAnsi="宋体" w:hint="eastAsia"/>
                <w:sz w:val="24"/>
                <w:szCs w:val="24"/>
              </w:rPr>
              <w:t>0.0007%</w:t>
            </w:r>
          </w:p>
        </w:tc>
      </w:tr>
      <w:tr w:rsidR="00AB494D" w:rsidRPr="006B402C" w:rsidTr="0016571B">
        <w:trPr>
          <w:jc w:val="center"/>
        </w:trPr>
        <w:tc>
          <w:tcPr>
            <w:tcW w:w="6345" w:type="dxa"/>
            <w:gridSpan w:val="4"/>
            <w:vAlign w:val="center"/>
          </w:tcPr>
          <w:p w:rsidR="00AB494D" w:rsidRPr="006B402C" w:rsidRDefault="00AB494D" w:rsidP="00AB494D">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募集期限届满基金是否符合法律法规规定的办理基金备案手续的条件</w:t>
            </w:r>
          </w:p>
        </w:tc>
        <w:tc>
          <w:tcPr>
            <w:tcW w:w="2177" w:type="dxa"/>
            <w:vAlign w:val="center"/>
          </w:tcPr>
          <w:p w:rsidR="00AB494D" w:rsidRPr="006B402C" w:rsidRDefault="00AB494D" w:rsidP="0080709E">
            <w:pPr>
              <w:spacing w:line="560" w:lineRule="exact"/>
              <w:jc w:val="right"/>
              <w:rPr>
                <w:rFonts w:asciiTheme="minorEastAsia" w:eastAsiaTheme="minorEastAsia" w:hAnsiTheme="minorEastAsia" w:cs="宋体"/>
                <w:sz w:val="24"/>
                <w:szCs w:val="24"/>
              </w:rPr>
            </w:pPr>
            <w:r w:rsidRPr="006B402C">
              <w:rPr>
                <w:rFonts w:asciiTheme="minorEastAsia" w:eastAsiaTheme="minorEastAsia" w:hAnsiTheme="minorEastAsia" w:hint="eastAsia"/>
                <w:sz w:val="24"/>
                <w:szCs w:val="24"/>
              </w:rPr>
              <w:t>是</w:t>
            </w:r>
          </w:p>
        </w:tc>
      </w:tr>
      <w:tr w:rsidR="00AB494D" w:rsidRPr="006B402C" w:rsidTr="0016571B">
        <w:trPr>
          <w:jc w:val="center"/>
        </w:trPr>
        <w:tc>
          <w:tcPr>
            <w:tcW w:w="6345" w:type="dxa"/>
            <w:gridSpan w:val="4"/>
            <w:vAlign w:val="center"/>
          </w:tcPr>
          <w:p w:rsidR="00AB494D" w:rsidRPr="006B402C" w:rsidRDefault="00AB494D" w:rsidP="00AB494D">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向中国证监会办理基金备案手续获得书面确认的日期</w:t>
            </w:r>
          </w:p>
        </w:tc>
        <w:tc>
          <w:tcPr>
            <w:tcW w:w="2177" w:type="dxa"/>
            <w:vAlign w:val="center"/>
          </w:tcPr>
          <w:p w:rsidR="00AB494D" w:rsidRPr="006B402C" w:rsidRDefault="00AB494D" w:rsidP="00C65D47">
            <w:pPr>
              <w:rPr>
                <w:rFonts w:asciiTheme="minorEastAsia" w:eastAsiaTheme="minorEastAsia" w:hAnsiTheme="minorEastAsia" w:cs="宋体"/>
                <w:sz w:val="24"/>
                <w:szCs w:val="24"/>
              </w:rPr>
            </w:pPr>
            <w:r w:rsidRPr="006B402C">
              <w:rPr>
                <w:rFonts w:asciiTheme="minorEastAsia" w:eastAsiaTheme="minorEastAsia" w:hAnsiTheme="minorEastAsia" w:hint="eastAsia"/>
                <w:sz w:val="24"/>
                <w:szCs w:val="24"/>
              </w:rPr>
              <w:t>2016年11月</w:t>
            </w:r>
            <w:r w:rsidR="00C65D47" w:rsidRPr="006B402C">
              <w:rPr>
                <w:rFonts w:asciiTheme="minorEastAsia" w:eastAsiaTheme="minorEastAsia" w:hAnsiTheme="minorEastAsia" w:hint="eastAsia"/>
                <w:sz w:val="24"/>
                <w:szCs w:val="24"/>
              </w:rPr>
              <w:t>4</w:t>
            </w:r>
            <w:r w:rsidRPr="006B402C">
              <w:rPr>
                <w:rFonts w:asciiTheme="minorEastAsia" w:eastAsiaTheme="minorEastAsia" w:hAnsiTheme="minorEastAsia" w:hint="eastAsia"/>
                <w:sz w:val="24"/>
                <w:szCs w:val="24"/>
              </w:rPr>
              <w:t>日</w:t>
            </w:r>
          </w:p>
        </w:tc>
      </w:tr>
    </w:tbl>
    <w:p w:rsidR="00D753E9" w:rsidRPr="006B402C" w:rsidRDefault="004C5152">
      <w:pPr>
        <w:spacing w:line="360" w:lineRule="auto"/>
        <w:rPr>
          <w:rFonts w:asciiTheme="minorEastAsia" w:eastAsiaTheme="minorEastAsia" w:hAnsiTheme="minorEastAsia" w:cs="宋体"/>
          <w:kern w:val="0"/>
          <w:sz w:val="24"/>
          <w:szCs w:val="24"/>
        </w:rPr>
      </w:pPr>
      <w:r w:rsidRPr="006B402C">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Pr="006B402C" w:rsidRDefault="005B66AC" w:rsidP="00DC4FF4">
      <w:pPr>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kern w:val="0"/>
          <w:sz w:val="24"/>
          <w:szCs w:val="24"/>
        </w:rPr>
        <w:t>2、本基金管理人的高级管理人员、基金投资和研究部门负责人、本基金基金经理未认购本基金。</w:t>
      </w:r>
    </w:p>
    <w:p w:rsidR="009965C2" w:rsidRPr="006B402C" w:rsidRDefault="009965C2" w:rsidP="00F40A9D">
      <w:pPr>
        <w:spacing w:line="360" w:lineRule="auto"/>
        <w:ind w:firstLineChars="200" w:firstLine="480"/>
        <w:rPr>
          <w:color w:val="000000"/>
          <w:sz w:val="24"/>
        </w:rPr>
      </w:pPr>
      <w:r w:rsidRPr="006B402C">
        <w:rPr>
          <w:rFonts w:asciiTheme="minorEastAsia" w:eastAsiaTheme="minorEastAsia" w:hAnsiTheme="minorEastAsia"/>
          <w:kern w:val="0"/>
          <w:sz w:val="24"/>
          <w:szCs w:val="24"/>
        </w:rPr>
        <w:t>3</w:t>
      </w:r>
      <w:r w:rsidRPr="006B402C">
        <w:rPr>
          <w:rFonts w:asciiTheme="minorEastAsia" w:eastAsiaTheme="minorEastAsia" w:hAnsiTheme="minorEastAsia" w:hint="eastAsia"/>
          <w:kern w:val="0"/>
          <w:sz w:val="24"/>
          <w:szCs w:val="24"/>
        </w:rPr>
        <w:t>、</w:t>
      </w:r>
      <w:r w:rsidR="00796A19" w:rsidRPr="006B402C">
        <w:rPr>
          <w:rFonts w:hint="eastAsia"/>
          <w:color w:val="000000"/>
          <w:sz w:val="24"/>
        </w:rPr>
        <w:t>本表列示的</w:t>
      </w:r>
      <w:r w:rsidR="007D3D90" w:rsidRPr="006B402C">
        <w:rPr>
          <w:rFonts w:hint="eastAsia"/>
          <w:color w:val="000000"/>
          <w:sz w:val="24"/>
        </w:rPr>
        <w:t>募集</w:t>
      </w:r>
      <w:r w:rsidR="007D3D90" w:rsidRPr="006B402C">
        <w:rPr>
          <w:color w:val="000000"/>
          <w:sz w:val="24"/>
        </w:rPr>
        <w:t>期间</w:t>
      </w:r>
      <w:r w:rsidR="00796A19" w:rsidRPr="006B402C">
        <w:rPr>
          <w:rFonts w:hint="eastAsia"/>
          <w:color w:val="000000"/>
          <w:sz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C935DF" w:rsidRPr="006B402C" w:rsidRDefault="003C0D0A" w:rsidP="00C935DF">
      <w:pPr>
        <w:pStyle w:val="2"/>
        <w:spacing w:line="560" w:lineRule="exact"/>
        <w:rPr>
          <w:rFonts w:asciiTheme="minorEastAsia" w:eastAsiaTheme="minorEastAsia" w:hAnsiTheme="minorEastAsia"/>
          <w:bCs w:val="0"/>
          <w:color w:val="000000"/>
          <w:sz w:val="24"/>
          <w:szCs w:val="24"/>
        </w:rPr>
      </w:pPr>
      <w:r w:rsidRPr="006B402C">
        <w:rPr>
          <w:rFonts w:asciiTheme="minorEastAsia" w:eastAsiaTheme="minorEastAsia" w:hAnsiTheme="minorEastAsia" w:hint="eastAsia"/>
          <w:bCs w:val="0"/>
          <w:color w:val="000000"/>
          <w:sz w:val="24"/>
          <w:szCs w:val="24"/>
        </w:rPr>
        <w:t>3</w:t>
      </w:r>
      <w:r w:rsidR="00C935DF" w:rsidRPr="006B402C">
        <w:rPr>
          <w:rFonts w:asciiTheme="minorEastAsia" w:eastAsiaTheme="minorEastAsia" w:hAnsiTheme="minorEastAsia"/>
          <w:bCs w:val="0"/>
          <w:color w:val="000000"/>
          <w:sz w:val="24"/>
          <w:szCs w:val="24"/>
        </w:rPr>
        <w:t xml:space="preserve"> 其他需要提示的事项</w:t>
      </w:r>
    </w:p>
    <w:p w:rsidR="00D753E9" w:rsidRPr="006B402C" w:rsidRDefault="004C5152">
      <w:pPr>
        <w:widowControl/>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6B402C">
        <w:rPr>
          <w:rFonts w:eastAsiaTheme="minorEastAsia"/>
          <w:kern w:val="0"/>
          <w:sz w:val="24"/>
          <w:szCs w:val="24"/>
        </w:rPr>
        <w:t>www.fund001.com</w:t>
      </w:r>
      <w:r w:rsidR="00DC4FF4" w:rsidRPr="006B402C">
        <w:rPr>
          <w:rFonts w:eastAsiaTheme="minorEastAsia" w:hint="eastAsia"/>
          <w:kern w:val="0"/>
          <w:sz w:val="24"/>
          <w:szCs w:val="24"/>
        </w:rPr>
        <w:t>，</w:t>
      </w:r>
      <w:r w:rsidR="00DC4FF4" w:rsidRPr="006B402C">
        <w:rPr>
          <w:rFonts w:eastAsiaTheme="minorEastAsia"/>
          <w:kern w:val="0"/>
          <w:sz w:val="24"/>
          <w:szCs w:val="24"/>
        </w:rPr>
        <w:t>www.bocomschroder.com</w:t>
      </w:r>
      <w:r w:rsidRPr="006B402C">
        <w:rPr>
          <w:rFonts w:asciiTheme="minorEastAsia" w:eastAsiaTheme="minorEastAsia" w:hAnsiTheme="minorEastAsia" w:hint="eastAsia"/>
          <w:kern w:val="0"/>
          <w:sz w:val="24"/>
          <w:szCs w:val="24"/>
        </w:rPr>
        <w:t>）查询交易确认情况。</w:t>
      </w:r>
    </w:p>
    <w:p w:rsidR="00D753E9" w:rsidRPr="006B402C" w:rsidRDefault="004C5152">
      <w:pPr>
        <w:widowControl/>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w:t>
      </w:r>
      <w:r w:rsidR="00D517E1" w:rsidRPr="006B402C">
        <w:rPr>
          <w:rFonts w:asciiTheme="minorEastAsia" w:eastAsiaTheme="minorEastAsia" w:hAnsiTheme="minorEastAsia" w:hint="eastAsia"/>
          <w:kern w:val="0"/>
          <w:sz w:val="24"/>
          <w:szCs w:val="24"/>
        </w:rPr>
        <w:t>媒介</w:t>
      </w:r>
      <w:r w:rsidRPr="006B402C">
        <w:rPr>
          <w:rFonts w:asciiTheme="minorEastAsia" w:eastAsiaTheme="minorEastAsia" w:hAnsiTheme="minorEastAsia" w:hint="eastAsia"/>
          <w:kern w:val="0"/>
          <w:sz w:val="24"/>
          <w:szCs w:val="24"/>
        </w:rPr>
        <w:t>上公告。</w:t>
      </w:r>
    </w:p>
    <w:p w:rsidR="00D753E9" w:rsidRPr="006B402C" w:rsidRDefault="00D753E9">
      <w:pPr>
        <w:widowControl/>
        <w:spacing w:line="360" w:lineRule="auto"/>
        <w:ind w:firstLineChars="200" w:firstLine="480"/>
        <w:rPr>
          <w:rFonts w:asciiTheme="minorEastAsia" w:eastAsiaTheme="minorEastAsia" w:hAnsiTheme="minorEastAsia"/>
          <w:kern w:val="0"/>
          <w:sz w:val="24"/>
          <w:szCs w:val="24"/>
        </w:rPr>
      </w:pPr>
    </w:p>
    <w:p w:rsidR="00D753E9" w:rsidRPr="006B402C" w:rsidRDefault="004C5152">
      <w:pPr>
        <w:widowControl/>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lastRenderedPageBreak/>
        <w:t>风险提示：</w:t>
      </w:r>
    </w:p>
    <w:p w:rsidR="00D753E9" w:rsidRPr="006B402C" w:rsidRDefault="004C5152">
      <w:pPr>
        <w:widowControl/>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753E9" w:rsidRPr="006B402C" w:rsidRDefault="00D753E9">
      <w:pPr>
        <w:widowControl/>
        <w:spacing w:line="360" w:lineRule="auto"/>
        <w:ind w:firstLineChars="200" w:firstLine="480"/>
        <w:rPr>
          <w:rFonts w:asciiTheme="minorEastAsia" w:eastAsiaTheme="minorEastAsia" w:hAnsiTheme="minorEastAsia"/>
          <w:kern w:val="0"/>
          <w:sz w:val="24"/>
          <w:szCs w:val="24"/>
        </w:rPr>
      </w:pPr>
    </w:p>
    <w:p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t>特此公告。</w:t>
      </w:r>
      <w:bookmarkStart w:id="2" w:name="_GoBack"/>
      <w:bookmarkEnd w:id="2"/>
    </w:p>
    <w:sectPr w:rsidR="00364C2A" w:rsidRPr="00EE338E"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B5" w:rsidRDefault="002D0DB5" w:rsidP="00C935DF">
      <w:r>
        <w:separator/>
      </w:r>
    </w:p>
  </w:endnote>
  <w:endnote w:type="continuationSeparator" w:id="0">
    <w:p w:rsidR="002D0DB5" w:rsidRDefault="002D0DB5"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B5" w:rsidRDefault="002D0DB5" w:rsidP="00C935DF">
      <w:r>
        <w:separator/>
      </w:r>
    </w:p>
  </w:footnote>
  <w:footnote w:type="continuationSeparator" w:id="0">
    <w:p w:rsidR="002D0DB5" w:rsidRDefault="002D0DB5"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116A2"/>
    <w:rsid w:val="00022083"/>
    <w:rsid w:val="000228C8"/>
    <w:rsid w:val="00027356"/>
    <w:rsid w:val="00027DF0"/>
    <w:rsid w:val="00032038"/>
    <w:rsid w:val="000330C4"/>
    <w:rsid w:val="00035BD7"/>
    <w:rsid w:val="00035D00"/>
    <w:rsid w:val="00041353"/>
    <w:rsid w:val="00043C9F"/>
    <w:rsid w:val="00053224"/>
    <w:rsid w:val="0005479A"/>
    <w:rsid w:val="00074E44"/>
    <w:rsid w:val="00077D6C"/>
    <w:rsid w:val="00077F66"/>
    <w:rsid w:val="00090A74"/>
    <w:rsid w:val="000C78D8"/>
    <w:rsid w:val="000D209F"/>
    <w:rsid w:val="000E1829"/>
    <w:rsid w:val="000F1D61"/>
    <w:rsid w:val="00102950"/>
    <w:rsid w:val="00115202"/>
    <w:rsid w:val="00131CAD"/>
    <w:rsid w:val="00155179"/>
    <w:rsid w:val="0016571B"/>
    <w:rsid w:val="00176ACF"/>
    <w:rsid w:val="001A0386"/>
    <w:rsid w:val="001A3C23"/>
    <w:rsid w:val="001C5EB7"/>
    <w:rsid w:val="001D1106"/>
    <w:rsid w:val="001D40B9"/>
    <w:rsid w:val="001D4E91"/>
    <w:rsid w:val="001E1459"/>
    <w:rsid w:val="001E44EF"/>
    <w:rsid w:val="001E56A6"/>
    <w:rsid w:val="00221F2C"/>
    <w:rsid w:val="00224161"/>
    <w:rsid w:val="00235DA6"/>
    <w:rsid w:val="00246F51"/>
    <w:rsid w:val="002708B9"/>
    <w:rsid w:val="00275D2A"/>
    <w:rsid w:val="00281608"/>
    <w:rsid w:val="0029332C"/>
    <w:rsid w:val="0029360C"/>
    <w:rsid w:val="002A2812"/>
    <w:rsid w:val="002B287A"/>
    <w:rsid w:val="002B4F0F"/>
    <w:rsid w:val="002C1686"/>
    <w:rsid w:val="002D0DB5"/>
    <w:rsid w:val="002D7461"/>
    <w:rsid w:val="002F5FD9"/>
    <w:rsid w:val="003000C2"/>
    <w:rsid w:val="0030037A"/>
    <w:rsid w:val="003034F7"/>
    <w:rsid w:val="00306E2A"/>
    <w:rsid w:val="00335958"/>
    <w:rsid w:val="00345E41"/>
    <w:rsid w:val="00346C39"/>
    <w:rsid w:val="00351BC4"/>
    <w:rsid w:val="003545E4"/>
    <w:rsid w:val="003675D8"/>
    <w:rsid w:val="00390E48"/>
    <w:rsid w:val="003A0766"/>
    <w:rsid w:val="003A0EF8"/>
    <w:rsid w:val="003A66ED"/>
    <w:rsid w:val="003C0D0A"/>
    <w:rsid w:val="003C4D25"/>
    <w:rsid w:val="003C5F43"/>
    <w:rsid w:val="003D79E3"/>
    <w:rsid w:val="003F5161"/>
    <w:rsid w:val="003F78B4"/>
    <w:rsid w:val="00443C52"/>
    <w:rsid w:val="00457F15"/>
    <w:rsid w:val="00470D71"/>
    <w:rsid w:val="0049139B"/>
    <w:rsid w:val="004966BA"/>
    <w:rsid w:val="004A631B"/>
    <w:rsid w:val="004B6B00"/>
    <w:rsid w:val="004C055C"/>
    <w:rsid w:val="004C5152"/>
    <w:rsid w:val="005012DD"/>
    <w:rsid w:val="005025FA"/>
    <w:rsid w:val="00522FF9"/>
    <w:rsid w:val="0054292E"/>
    <w:rsid w:val="005434E3"/>
    <w:rsid w:val="00551804"/>
    <w:rsid w:val="00553FA4"/>
    <w:rsid w:val="00561DFB"/>
    <w:rsid w:val="00565CBB"/>
    <w:rsid w:val="00575394"/>
    <w:rsid w:val="00585268"/>
    <w:rsid w:val="005A3291"/>
    <w:rsid w:val="005B0474"/>
    <w:rsid w:val="005B66AC"/>
    <w:rsid w:val="005C0B8D"/>
    <w:rsid w:val="005C1B44"/>
    <w:rsid w:val="005D5CAA"/>
    <w:rsid w:val="005D6260"/>
    <w:rsid w:val="005D78BE"/>
    <w:rsid w:val="005E0049"/>
    <w:rsid w:val="005F796C"/>
    <w:rsid w:val="00601BF3"/>
    <w:rsid w:val="00613952"/>
    <w:rsid w:val="00615513"/>
    <w:rsid w:val="0061685F"/>
    <w:rsid w:val="006205E6"/>
    <w:rsid w:val="00623C2A"/>
    <w:rsid w:val="00635330"/>
    <w:rsid w:val="00636D84"/>
    <w:rsid w:val="006632DE"/>
    <w:rsid w:val="006706C5"/>
    <w:rsid w:val="006900FF"/>
    <w:rsid w:val="006B402C"/>
    <w:rsid w:val="006B6CCA"/>
    <w:rsid w:val="006C4A70"/>
    <w:rsid w:val="006C5B33"/>
    <w:rsid w:val="006D640D"/>
    <w:rsid w:val="006D67CD"/>
    <w:rsid w:val="006F2656"/>
    <w:rsid w:val="007161E4"/>
    <w:rsid w:val="00717E45"/>
    <w:rsid w:val="00732355"/>
    <w:rsid w:val="007670F3"/>
    <w:rsid w:val="00796A19"/>
    <w:rsid w:val="007A52FA"/>
    <w:rsid w:val="007A6461"/>
    <w:rsid w:val="007B1304"/>
    <w:rsid w:val="007B2794"/>
    <w:rsid w:val="007C24C0"/>
    <w:rsid w:val="007D3D90"/>
    <w:rsid w:val="007F4376"/>
    <w:rsid w:val="00802100"/>
    <w:rsid w:val="008066EF"/>
    <w:rsid w:val="0080709E"/>
    <w:rsid w:val="008150A5"/>
    <w:rsid w:val="00832507"/>
    <w:rsid w:val="0084455A"/>
    <w:rsid w:val="008551C9"/>
    <w:rsid w:val="00865588"/>
    <w:rsid w:val="00871BA0"/>
    <w:rsid w:val="00873914"/>
    <w:rsid w:val="008754FF"/>
    <w:rsid w:val="00894643"/>
    <w:rsid w:val="008956FE"/>
    <w:rsid w:val="008C6FD7"/>
    <w:rsid w:val="008D1678"/>
    <w:rsid w:val="008E08B3"/>
    <w:rsid w:val="008E52F3"/>
    <w:rsid w:val="008F2920"/>
    <w:rsid w:val="00904108"/>
    <w:rsid w:val="009134B6"/>
    <w:rsid w:val="009157BD"/>
    <w:rsid w:val="00920232"/>
    <w:rsid w:val="00926DCE"/>
    <w:rsid w:val="00931B1F"/>
    <w:rsid w:val="00936738"/>
    <w:rsid w:val="009371A9"/>
    <w:rsid w:val="00943D25"/>
    <w:rsid w:val="00944CBC"/>
    <w:rsid w:val="0095670E"/>
    <w:rsid w:val="00965098"/>
    <w:rsid w:val="00971704"/>
    <w:rsid w:val="009965C2"/>
    <w:rsid w:val="009B7BB3"/>
    <w:rsid w:val="009D3F58"/>
    <w:rsid w:val="009E1BD9"/>
    <w:rsid w:val="009F0A11"/>
    <w:rsid w:val="009F4198"/>
    <w:rsid w:val="009F7478"/>
    <w:rsid w:val="00A213DC"/>
    <w:rsid w:val="00A307CC"/>
    <w:rsid w:val="00A74AFB"/>
    <w:rsid w:val="00A97A11"/>
    <w:rsid w:val="00AA7946"/>
    <w:rsid w:val="00AB494D"/>
    <w:rsid w:val="00AC3E86"/>
    <w:rsid w:val="00AF11D0"/>
    <w:rsid w:val="00AF5A33"/>
    <w:rsid w:val="00B068C7"/>
    <w:rsid w:val="00B207E2"/>
    <w:rsid w:val="00B2600F"/>
    <w:rsid w:val="00B447CB"/>
    <w:rsid w:val="00B5043C"/>
    <w:rsid w:val="00B536F8"/>
    <w:rsid w:val="00B53A7A"/>
    <w:rsid w:val="00B55909"/>
    <w:rsid w:val="00B561FF"/>
    <w:rsid w:val="00B61EDA"/>
    <w:rsid w:val="00B77F4F"/>
    <w:rsid w:val="00B82A89"/>
    <w:rsid w:val="00B90602"/>
    <w:rsid w:val="00B916FE"/>
    <w:rsid w:val="00BD2A37"/>
    <w:rsid w:val="00BD7EFA"/>
    <w:rsid w:val="00C00536"/>
    <w:rsid w:val="00C1325E"/>
    <w:rsid w:val="00C30E6A"/>
    <w:rsid w:val="00C35D35"/>
    <w:rsid w:val="00C40FE0"/>
    <w:rsid w:val="00C65D47"/>
    <w:rsid w:val="00C85D18"/>
    <w:rsid w:val="00C935DF"/>
    <w:rsid w:val="00CA4D70"/>
    <w:rsid w:val="00CA5FC5"/>
    <w:rsid w:val="00CB0572"/>
    <w:rsid w:val="00CB3E1F"/>
    <w:rsid w:val="00CB583A"/>
    <w:rsid w:val="00CD6CA8"/>
    <w:rsid w:val="00CF3173"/>
    <w:rsid w:val="00D327FB"/>
    <w:rsid w:val="00D35283"/>
    <w:rsid w:val="00D517E1"/>
    <w:rsid w:val="00D710AA"/>
    <w:rsid w:val="00D753E9"/>
    <w:rsid w:val="00D921BA"/>
    <w:rsid w:val="00DA77B6"/>
    <w:rsid w:val="00DA7F43"/>
    <w:rsid w:val="00DC4FF4"/>
    <w:rsid w:val="00DD46CD"/>
    <w:rsid w:val="00DE7BC9"/>
    <w:rsid w:val="00DE7E98"/>
    <w:rsid w:val="00E1438A"/>
    <w:rsid w:val="00E15A54"/>
    <w:rsid w:val="00E17D5D"/>
    <w:rsid w:val="00E2069A"/>
    <w:rsid w:val="00E2122C"/>
    <w:rsid w:val="00E25248"/>
    <w:rsid w:val="00E5324F"/>
    <w:rsid w:val="00E56399"/>
    <w:rsid w:val="00E57275"/>
    <w:rsid w:val="00E613D7"/>
    <w:rsid w:val="00E954A2"/>
    <w:rsid w:val="00EB06D4"/>
    <w:rsid w:val="00EC181E"/>
    <w:rsid w:val="00EE18FB"/>
    <w:rsid w:val="00EE338E"/>
    <w:rsid w:val="00EF40F5"/>
    <w:rsid w:val="00F40A9D"/>
    <w:rsid w:val="00F47730"/>
    <w:rsid w:val="00F6092A"/>
    <w:rsid w:val="00F62236"/>
    <w:rsid w:val="00F76A56"/>
    <w:rsid w:val="00F82497"/>
    <w:rsid w:val="00F8684F"/>
    <w:rsid w:val="00F92D5C"/>
    <w:rsid w:val="00FA3E5F"/>
    <w:rsid w:val="00FC6601"/>
    <w:rsid w:val="00FD5DCA"/>
    <w:rsid w:val="00FE4D0A"/>
    <w:rsid w:val="00FF2E75"/>
    <w:rsid w:val="00FF37C0"/>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77454E5-3170-413D-9AE5-C0EAD711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44</cp:revision>
  <cp:lastPrinted>2016-11-01T07:39:00Z</cp:lastPrinted>
  <dcterms:created xsi:type="dcterms:W3CDTF">2016-09-01T03:31:00Z</dcterms:created>
  <dcterms:modified xsi:type="dcterms:W3CDTF">2016-11-04T07:51:00Z</dcterms:modified>
</cp:coreProperties>
</file>