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D2E" w:rsidRDefault="008472DB" w:rsidP="008472DB">
      <w:pPr>
        <w:widowControl/>
        <w:jc w:val="center"/>
        <w:rPr>
          <w:rFonts w:eastAsiaTheme="minorEastAsia" w:hAnsiTheme="minorEastAsia"/>
          <w:b/>
          <w:kern w:val="0"/>
          <w:sz w:val="30"/>
          <w:szCs w:val="30"/>
        </w:rPr>
      </w:pPr>
      <w:bookmarkStart w:id="0" w:name="_GoBack"/>
      <w:bookmarkEnd w:id="0"/>
      <w:r w:rsidRPr="005C0FA7">
        <w:rPr>
          <w:rFonts w:eastAsiaTheme="minorEastAsia" w:hAnsiTheme="minorEastAsia"/>
          <w:b/>
          <w:kern w:val="0"/>
          <w:sz w:val="30"/>
          <w:szCs w:val="30"/>
        </w:rPr>
        <w:t>交银施罗德基金管理有限公司关于交银施罗德阿尔法核心混合型证券投资基金</w:t>
      </w:r>
      <w:r w:rsidR="00444E23">
        <w:rPr>
          <w:rFonts w:eastAsiaTheme="minorEastAsia" w:hAnsiTheme="minorEastAsia"/>
          <w:b/>
          <w:kern w:val="0"/>
          <w:sz w:val="30"/>
          <w:szCs w:val="30"/>
        </w:rPr>
        <w:t>恢复</w:t>
      </w:r>
      <w:r w:rsidRPr="005C0FA7">
        <w:rPr>
          <w:rFonts w:eastAsiaTheme="minorEastAsia" w:hAnsiTheme="minorEastAsia"/>
          <w:b/>
          <w:kern w:val="0"/>
          <w:sz w:val="30"/>
          <w:szCs w:val="30"/>
        </w:rPr>
        <w:t>大额申购</w:t>
      </w:r>
      <w:r w:rsidR="005F3AF6">
        <w:rPr>
          <w:rFonts w:eastAsiaTheme="minorEastAsia" w:hAnsiTheme="minorEastAsia" w:hint="eastAsia"/>
          <w:b/>
          <w:kern w:val="0"/>
          <w:sz w:val="30"/>
          <w:szCs w:val="30"/>
        </w:rPr>
        <w:t>、</w:t>
      </w:r>
      <w:r w:rsidRPr="005C0FA7">
        <w:rPr>
          <w:rFonts w:eastAsiaTheme="minorEastAsia" w:hAnsiTheme="minorEastAsia"/>
          <w:b/>
          <w:kern w:val="0"/>
          <w:sz w:val="30"/>
          <w:szCs w:val="30"/>
        </w:rPr>
        <w:t>转换转入、定期定额投资</w:t>
      </w:r>
      <w:r w:rsidR="00185D2E">
        <w:rPr>
          <w:rFonts w:eastAsiaTheme="minorEastAsia" w:hAnsiTheme="minorEastAsia" w:hint="eastAsia"/>
          <w:b/>
          <w:kern w:val="0"/>
          <w:sz w:val="30"/>
          <w:szCs w:val="30"/>
        </w:rPr>
        <w:t>业务</w:t>
      </w:r>
    </w:p>
    <w:p w:rsidR="008472DB" w:rsidRPr="005C0FA7" w:rsidRDefault="008472DB" w:rsidP="008472DB">
      <w:pPr>
        <w:widowControl/>
        <w:jc w:val="center"/>
        <w:rPr>
          <w:rFonts w:eastAsiaTheme="minorEastAsia"/>
          <w:b/>
          <w:kern w:val="0"/>
          <w:sz w:val="30"/>
          <w:szCs w:val="30"/>
        </w:rPr>
      </w:pPr>
      <w:r w:rsidRPr="005C0FA7">
        <w:rPr>
          <w:rFonts w:eastAsiaTheme="minorEastAsia" w:hAnsiTheme="minorEastAsia"/>
          <w:b/>
          <w:kern w:val="0"/>
          <w:sz w:val="30"/>
          <w:szCs w:val="30"/>
        </w:rPr>
        <w:t>的公告</w:t>
      </w:r>
    </w:p>
    <w:p w:rsidR="00D327FA" w:rsidRPr="005C0FA7" w:rsidRDefault="008472DB" w:rsidP="008472DB">
      <w:pPr>
        <w:spacing w:line="560" w:lineRule="exact"/>
        <w:jc w:val="center"/>
        <w:rPr>
          <w:rFonts w:eastAsiaTheme="minorEastAsia"/>
          <w:b/>
          <w:bCs/>
          <w:sz w:val="24"/>
          <w:szCs w:val="24"/>
        </w:rPr>
      </w:pPr>
      <w:r w:rsidRPr="005C0FA7">
        <w:rPr>
          <w:rFonts w:eastAsiaTheme="minorEastAsia" w:hAnsiTheme="minorEastAsia"/>
          <w:b/>
          <w:color w:val="000000"/>
          <w:sz w:val="24"/>
          <w:szCs w:val="24"/>
        </w:rPr>
        <w:t>公告送出日期：</w:t>
      </w:r>
      <w:r w:rsidRPr="005C0FA7">
        <w:rPr>
          <w:rFonts w:eastAsiaTheme="minorEastAsia"/>
          <w:b/>
          <w:bCs/>
          <w:sz w:val="24"/>
          <w:szCs w:val="24"/>
        </w:rPr>
        <w:t>2016</w:t>
      </w:r>
      <w:r w:rsidRPr="005C0FA7">
        <w:rPr>
          <w:rFonts w:eastAsiaTheme="minorEastAsia" w:hAnsiTheme="minorEastAsia"/>
          <w:b/>
          <w:bCs/>
          <w:sz w:val="24"/>
          <w:szCs w:val="24"/>
        </w:rPr>
        <w:t>年</w:t>
      </w:r>
      <w:r w:rsidRPr="005C0FA7">
        <w:rPr>
          <w:rFonts w:eastAsiaTheme="minorEastAsia"/>
          <w:b/>
          <w:bCs/>
          <w:sz w:val="24"/>
          <w:szCs w:val="24"/>
        </w:rPr>
        <w:t>10</w:t>
      </w:r>
      <w:r w:rsidRPr="005C0FA7">
        <w:rPr>
          <w:rFonts w:eastAsiaTheme="minorEastAsia" w:hAnsiTheme="minorEastAsia"/>
          <w:b/>
          <w:bCs/>
          <w:sz w:val="24"/>
          <w:szCs w:val="24"/>
        </w:rPr>
        <w:t>月</w:t>
      </w:r>
      <w:r w:rsidRPr="005C0FA7">
        <w:rPr>
          <w:rFonts w:eastAsiaTheme="minorEastAsia"/>
          <w:b/>
          <w:bCs/>
          <w:sz w:val="24"/>
          <w:szCs w:val="24"/>
        </w:rPr>
        <w:t>2</w:t>
      </w:r>
      <w:r w:rsidR="00444E23">
        <w:rPr>
          <w:rFonts w:eastAsiaTheme="minorEastAsia" w:hint="eastAsia"/>
          <w:b/>
          <w:bCs/>
          <w:sz w:val="24"/>
          <w:szCs w:val="24"/>
        </w:rPr>
        <w:t>6</w:t>
      </w:r>
      <w:r w:rsidRPr="005C0FA7">
        <w:rPr>
          <w:rFonts w:eastAsiaTheme="minorEastAsia" w:hAnsiTheme="minorEastAsia"/>
          <w:b/>
          <w:bCs/>
          <w:sz w:val="24"/>
          <w:szCs w:val="24"/>
        </w:rPr>
        <w:t>日</w:t>
      </w:r>
    </w:p>
    <w:p w:rsidR="00E830A4" w:rsidRPr="005C0FA7" w:rsidRDefault="00E830A4" w:rsidP="008472DB">
      <w:pPr>
        <w:spacing w:line="560" w:lineRule="exact"/>
        <w:jc w:val="center"/>
        <w:rPr>
          <w:rFonts w:eastAsiaTheme="minorEastAsia"/>
          <w:color w:val="000000"/>
          <w:sz w:val="24"/>
          <w:szCs w:val="24"/>
        </w:rPr>
      </w:pPr>
    </w:p>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1" w:name="_Toc275961405"/>
      <w:r w:rsidRPr="005C0FA7">
        <w:rPr>
          <w:rFonts w:ascii="Times New Roman" w:eastAsiaTheme="minorEastAsia" w:hAnsi="Times New Roman"/>
          <w:bCs w:val="0"/>
          <w:color w:val="000000"/>
          <w:sz w:val="24"/>
          <w:szCs w:val="24"/>
        </w:rPr>
        <w:t xml:space="preserve">1 </w:t>
      </w:r>
      <w:r w:rsidRPr="005C0FA7">
        <w:rPr>
          <w:rFonts w:ascii="Times New Roman" w:eastAsiaTheme="minorEastAsia" w:hAnsi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2894"/>
        <w:gridCol w:w="399"/>
        <w:gridCol w:w="3287"/>
        <w:gridCol w:w="6"/>
      </w:tblGrid>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sz w:val="24"/>
                <w:szCs w:val="24"/>
                <w:highlight w:val="cyan"/>
              </w:rPr>
            </w:pPr>
            <w:r w:rsidRPr="005C0FA7">
              <w:rPr>
                <w:rFonts w:eastAsiaTheme="minorEastAsia" w:hAnsiTheme="minorEastAsia"/>
                <w:color w:val="000000"/>
                <w:sz w:val="24"/>
                <w:szCs w:val="24"/>
              </w:rPr>
              <w:t>基金名称</w:t>
            </w:r>
          </w:p>
        </w:tc>
        <w:tc>
          <w:tcPr>
            <w:tcW w:w="6586" w:type="dxa"/>
            <w:gridSpan w:val="4"/>
            <w:vAlign w:val="center"/>
          </w:tcPr>
          <w:p w:rsidR="00D327FA" w:rsidRPr="005C0FA7" w:rsidRDefault="008472DB" w:rsidP="00327DA7">
            <w:pPr>
              <w:spacing w:line="560" w:lineRule="exact"/>
              <w:rPr>
                <w:rFonts w:eastAsiaTheme="minorEastAsia"/>
                <w:sz w:val="24"/>
                <w:szCs w:val="24"/>
              </w:rPr>
            </w:pPr>
            <w:r w:rsidRPr="005C0FA7">
              <w:rPr>
                <w:rFonts w:eastAsiaTheme="minorEastAsia" w:hAnsiTheme="minorEastAsia"/>
                <w:sz w:val="24"/>
                <w:szCs w:val="24"/>
              </w:rPr>
              <w:t>交银施罗德阿尔法核心混合型证券投资基金</w:t>
            </w:r>
          </w:p>
        </w:tc>
      </w:tr>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基金简称</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交银阿尔法核心混合</w:t>
            </w:r>
          </w:p>
        </w:tc>
      </w:tr>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基金主代码</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519712</w:t>
            </w:r>
          </w:p>
        </w:tc>
      </w:tr>
      <w:tr w:rsidR="00E714AE" w:rsidRPr="005C0FA7" w:rsidTr="003E050A">
        <w:trPr>
          <w:jc w:val="center"/>
        </w:trPr>
        <w:tc>
          <w:tcPr>
            <w:tcW w:w="3053" w:type="dxa"/>
            <w:vAlign w:val="center"/>
          </w:tcPr>
          <w:p w:rsidR="00E714AE" w:rsidRPr="005C0FA7" w:rsidRDefault="00CD74DC" w:rsidP="00155B09">
            <w:pPr>
              <w:spacing w:line="560" w:lineRule="exact"/>
              <w:rPr>
                <w:rFonts w:eastAsiaTheme="minorEastAsia"/>
                <w:color w:val="000000"/>
                <w:sz w:val="24"/>
                <w:szCs w:val="24"/>
              </w:rPr>
            </w:pPr>
            <w:r w:rsidRPr="005C0FA7">
              <w:rPr>
                <w:rFonts w:eastAsiaTheme="minorEastAsia" w:hAnsiTheme="minorEastAsia"/>
                <w:color w:val="000000"/>
                <w:sz w:val="24"/>
                <w:szCs w:val="24"/>
              </w:rPr>
              <w:t>基金</w:t>
            </w:r>
            <w:r w:rsidR="00E714AE" w:rsidRPr="005C0FA7">
              <w:rPr>
                <w:rFonts w:eastAsiaTheme="minorEastAsia" w:hAnsiTheme="minorEastAsia"/>
                <w:color w:val="000000"/>
                <w:sz w:val="24"/>
                <w:szCs w:val="24"/>
              </w:rPr>
              <w:t>交易代码</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519712(</w:t>
            </w:r>
            <w:r w:rsidRPr="005C0FA7">
              <w:rPr>
                <w:rFonts w:eastAsiaTheme="minorEastAsia"/>
                <w:sz w:val="24"/>
                <w:szCs w:val="24"/>
              </w:rPr>
              <w:t>前端</w:t>
            </w:r>
            <w:r w:rsidRPr="005C0FA7">
              <w:rPr>
                <w:rFonts w:eastAsiaTheme="minorEastAsia"/>
                <w:sz w:val="24"/>
                <w:szCs w:val="24"/>
              </w:rPr>
              <w:t>)</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519713(</w:t>
            </w:r>
            <w:r w:rsidRPr="005C0FA7">
              <w:rPr>
                <w:rFonts w:eastAsiaTheme="minorEastAsia"/>
                <w:sz w:val="24"/>
                <w:szCs w:val="24"/>
              </w:rPr>
              <w:t>后端</w:t>
            </w:r>
            <w:r w:rsidRPr="005C0FA7">
              <w:rPr>
                <w:rFonts w:eastAsiaTheme="minorEastAsia"/>
                <w:sz w:val="24"/>
                <w:szCs w:val="24"/>
              </w:rPr>
              <w:t>)</w:t>
            </w:r>
          </w:p>
        </w:tc>
      </w:tr>
      <w:tr w:rsidR="008472DB" w:rsidRPr="005C0FA7" w:rsidTr="001D3B58">
        <w:trPr>
          <w:jc w:val="center"/>
        </w:trPr>
        <w:tc>
          <w:tcPr>
            <w:tcW w:w="3053"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基金管理人名称</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交银施罗德基金管理有限公司</w:t>
            </w:r>
          </w:p>
        </w:tc>
      </w:tr>
      <w:tr w:rsidR="008472DB" w:rsidRPr="005C0FA7" w:rsidTr="001D3B58">
        <w:trPr>
          <w:jc w:val="center"/>
        </w:trPr>
        <w:tc>
          <w:tcPr>
            <w:tcW w:w="3053"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公告依据</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《交银施罗德阿尔法核心混合型证券投资基金基金合同》、《交银施罗德阿尔法核心混合型证券投资基金招募说明书》等</w:t>
            </w:r>
          </w:p>
        </w:tc>
      </w:tr>
      <w:tr w:rsidR="005C0FA7" w:rsidRPr="005C0FA7" w:rsidTr="001D3B58">
        <w:trPr>
          <w:jc w:val="center"/>
        </w:trPr>
        <w:tc>
          <w:tcPr>
            <w:tcW w:w="3053" w:type="dxa"/>
            <w:vMerge w:val="restart"/>
            <w:vAlign w:val="center"/>
          </w:tcPr>
          <w:p w:rsidR="005C0FA7" w:rsidRPr="005C0FA7" w:rsidRDefault="005C0FA7" w:rsidP="00E93AFC">
            <w:pPr>
              <w:spacing w:line="560" w:lineRule="exact"/>
              <w:rPr>
                <w:rFonts w:eastAsiaTheme="minorEastAsia"/>
                <w:color w:val="000000"/>
                <w:sz w:val="24"/>
                <w:szCs w:val="24"/>
              </w:rPr>
            </w:pPr>
          </w:p>
          <w:p w:rsidR="005C0FA7" w:rsidRPr="005C0FA7" w:rsidRDefault="00444E23">
            <w:r>
              <w:rPr>
                <w:rFonts w:eastAsiaTheme="minorEastAsia" w:hAnsiTheme="minorEastAsia"/>
                <w:color w:val="000000"/>
                <w:sz w:val="24"/>
                <w:szCs w:val="24"/>
              </w:rPr>
              <w:t>恢复</w:t>
            </w:r>
            <w:r w:rsidR="005C0FA7" w:rsidRPr="005C0FA7">
              <w:rPr>
                <w:rFonts w:eastAsiaTheme="minorEastAsia" w:hAnsiTheme="minorEastAsia"/>
                <w:color w:val="000000"/>
                <w:sz w:val="24"/>
                <w:szCs w:val="24"/>
              </w:rPr>
              <w:t>相关业务的</w:t>
            </w:r>
            <w:r w:rsidR="00E356E7">
              <w:rPr>
                <w:rFonts w:eastAsiaTheme="minorEastAsia" w:hAnsiTheme="minorEastAsia" w:hint="eastAsia"/>
                <w:color w:val="000000"/>
                <w:sz w:val="24"/>
                <w:szCs w:val="24"/>
              </w:rPr>
              <w:t>日期</w:t>
            </w:r>
            <w:r w:rsidR="005C0FA7" w:rsidRPr="005C0FA7">
              <w:rPr>
                <w:rFonts w:eastAsiaTheme="minorEastAsia" w:hAnsiTheme="minorEastAsia"/>
                <w:color w:val="000000"/>
                <w:sz w:val="24"/>
                <w:szCs w:val="24"/>
              </w:rPr>
              <w:t>及原因说明</w:t>
            </w:r>
          </w:p>
          <w:p w:rsidR="005C0FA7" w:rsidRPr="005C0FA7" w:rsidRDefault="005C0FA7" w:rsidP="00E93AFC">
            <w:pPr>
              <w:spacing w:line="560" w:lineRule="exact"/>
              <w:rPr>
                <w:rFonts w:eastAsiaTheme="minorEastAsia"/>
                <w:color w:val="000000"/>
                <w:sz w:val="24"/>
                <w:szCs w:val="24"/>
              </w:rPr>
            </w:pPr>
          </w:p>
          <w:p w:rsidR="005C0FA7" w:rsidRPr="005C0FA7" w:rsidRDefault="005C0FA7" w:rsidP="003A0B20"/>
        </w:tc>
        <w:tc>
          <w:tcPr>
            <w:tcW w:w="2894" w:type="dxa"/>
          </w:tcPr>
          <w:p w:rsidR="005C0FA7" w:rsidRPr="005C0FA7" w:rsidRDefault="00444E23">
            <w:pPr>
              <w:rPr>
                <w:rFonts w:eastAsiaTheme="minorEastAsia"/>
                <w:color w:val="000000"/>
                <w:sz w:val="24"/>
                <w:szCs w:val="24"/>
              </w:rPr>
            </w:pPr>
            <w:r>
              <w:rPr>
                <w:rFonts w:eastAsiaTheme="minorEastAsia" w:hAnsiTheme="minorEastAsia"/>
                <w:color w:val="000000"/>
                <w:sz w:val="24"/>
                <w:szCs w:val="24"/>
              </w:rPr>
              <w:t>恢复</w:t>
            </w:r>
            <w:r w:rsidR="005C0FA7" w:rsidRPr="005C0FA7">
              <w:rPr>
                <w:rFonts w:eastAsiaTheme="minorEastAsia" w:hAnsiTheme="minorEastAsia"/>
                <w:color w:val="000000"/>
                <w:sz w:val="24"/>
                <w:szCs w:val="24"/>
              </w:rPr>
              <w:t>大额申购日</w:t>
            </w:r>
          </w:p>
        </w:tc>
        <w:tc>
          <w:tcPr>
            <w:tcW w:w="3692" w:type="dxa"/>
            <w:gridSpan w:val="3"/>
            <w:vAlign w:val="center"/>
          </w:tcPr>
          <w:p w:rsidR="005C0FA7" w:rsidRPr="005C0FA7" w:rsidRDefault="005C0FA7" w:rsidP="00444E23">
            <w:pPr>
              <w:rPr>
                <w:rFonts w:eastAsiaTheme="minorEastAsia"/>
                <w:sz w:val="24"/>
                <w:szCs w:val="24"/>
              </w:rPr>
            </w:pPr>
            <w:r w:rsidRPr="005C0FA7">
              <w:rPr>
                <w:rFonts w:eastAsiaTheme="minorEastAsia"/>
                <w:sz w:val="24"/>
                <w:szCs w:val="24"/>
              </w:rPr>
              <w:t>2016</w:t>
            </w:r>
            <w:r w:rsidRPr="005C0FA7">
              <w:rPr>
                <w:rFonts w:eastAsiaTheme="minorEastAsia"/>
                <w:sz w:val="24"/>
                <w:szCs w:val="24"/>
              </w:rPr>
              <w:t>年</w:t>
            </w:r>
            <w:r w:rsidRPr="005C0FA7">
              <w:rPr>
                <w:rFonts w:eastAsiaTheme="minorEastAsia"/>
                <w:sz w:val="24"/>
                <w:szCs w:val="24"/>
              </w:rPr>
              <w:t>10</w:t>
            </w:r>
            <w:r w:rsidRPr="005C0FA7">
              <w:rPr>
                <w:rFonts w:eastAsiaTheme="minorEastAsia"/>
                <w:sz w:val="24"/>
                <w:szCs w:val="24"/>
              </w:rPr>
              <w:t>月</w:t>
            </w:r>
            <w:r w:rsidRPr="005C0FA7">
              <w:rPr>
                <w:rFonts w:eastAsiaTheme="minorEastAsia"/>
                <w:sz w:val="24"/>
                <w:szCs w:val="24"/>
              </w:rPr>
              <w:t>2</w:t>
            </w:r>
            <w:r w:rsidR="00444E23">
              <w:rPr>
                <w:rFonts w:eastAsiaTheme="minorEastAsia" w:hint="eastAsia"/>
                <w:sz w:val="24"/>
                <w:szCs w:val="24"/>
              </w:rPr>
              <w:t>6</w:t>
            </w:r>
            <w:r w:rsidRPr="005C0FA7">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444E23">
            <w:pPr>
              <w:rPr>
                <w:rFonts w:eastAsiaTheme="minorEastAsia"/>
                <w:color w:val="000000"/>
                <w:sz w:val="24"/>
                <w:szCs w:val="24"/>
              </w:rPr>
            </w:pPr>
            <w:r>
              <w:rPr>
                <w:rFonts w:eastAsiaTheme="minorEastAsia" w:hAnsiTheme="minorEastAsia"/>
                <w:color w:val="000000"/>
                <w:sz w:val="24"/>
                <w:szCs w:val="24"/>
              </w:rPr>
              <w:t>恢复</w:t>
            </w:r>
            <w:r w:rsidR="005C0FA7" w:rsidRPr="005C0FA7">
              <w:rPr>
                <w:rFonts w:eastAsiaTheme="minorEastAsia" w:hAnsiTheme="minorEastAsia"/>
                <w:color w:val="000000"/>
                <w:sz w:val="24"/>
                <w:szCs w:val="24"/>
              </w:rPr>
              <w:t>大额转换转入日</w:t>
            </w:r>
          </w:p>
        </w:tc>
        <w:tc>
          <w:tcPr>
            <w:tcW w:w="3692" w:type="dxa"/>
            <w:gridSpan w:val="3"/>
            <w:vAlign w:val="center"/>
          </w:tcPr>
          <w:p w:rsidR="005C0FA7" w:rsidRPr="005C0FA7" w:rsidRDefault="005C0FA7" w:rsidP="00444E23">
            <w:pPr>
              <w:rPr>
                <w:rFonts w:eastAsiaTheme="minorEastAsia"/>
                <w:sz w:val="24"/>
                <w:szCs w:val="24"/>
              </w:rPr>
            </w:pPr>
            <w:r w:rsidRPr="005C0FA7">
              <w:rPr>
                <w:rFonts w:eastAsiaTheme="minorEastAsia"/>
                <w:sz w:val="24"/>
                <w:szCs w:val="24"/>
              </w:rPr>
              <w:t>2016</w:t>
            </w:r>
            <w:r w:rsidRPr="005C0FA7">
              <w:rPr>
                <w:rFonts w:eastAsiaTheme="minorEastAsia"/>
                <w:sz w:val="24"/>
                <w:szCs w:val="24"/>
              </w:rPr>
              <w:t>年</w:t>
            </w:r>
            <w:r w:rsidRPr="005C0FA7">
              <w:rPr>
                <w:rFonts w:eastAsiaTheme="minorEastAsia"/>
                <w:sz w:val="24"/>
                <w:szCs w:val="24"/>
              </w:rPr>
              <w:t>10</w:t>
            </w:r>
            <w:r w:rsidRPr="005C0FA7">
              <w:rPr>
                <w:rFonts w:eastAsiaTheme="minorEastAsia"/>
                <w:sz w:val="24"/>
                <w:szCs w:val="24"/>
              </w:rPr>
              <w:t>月</w:t>
            </w:r>
            <w:r w:rsidRPr="005C0FA7">
              <w:rPr>
                <w:rFonts w:eastAsiaTheme="minorEastAsia"/>
                <w:sz w:val="24"/>
                <w:szCs w:val="24"/>
              </w:rPr>
              <w:t>2</w:t>
            </w:r>
            <w:r w:rsidR="00444E23">
              <w:rPr>
                <w:rFonts w:eastAsiaTheme="minorEastAsia" w:hint="eastAsia"/>
                <w:sz w:val="24"/>
                <w:szCs w:val="24"/>
              </w:rPr>
              <w:t>6</w:t>
            </w:r>
            <w:r w:rsidRPr="005C0FA7">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444E23">
            <w:pPr>
              <w:rPr>
                <w:rFonts w:eastAsiaTheme="minorEastAsia"/>
                <w:color w:val="000000"/>
                <w:kern w:val="0"/>
                <w:sz w:val="24"/>
                <w:szCs w:val="24"/>
              </w:rPr>
            </w:pPr>
            <w:r>
              <w:rPr>
                <w:rFonts w:eastAsiaTheme="minorEastAsia" w:hAnsiTheme="minorEastAsia"/>
                <w:color w:val="000000"/>
                <w:sz w:val="24"/>
                <w:szCs w:val="24"/>
              </w:rPr>
              <w:t>恢复</w:t>
            </w:r>
            <w:r w:rsidR="005C0FA7" w:rsidRPr="005C0FA7">
              <w:rPr>
                <w:rFonts w:eastAsiaTheme="minorEastAsia" w:hAnsiTheme="minorEastAsia"/>
                <w:color w:val="000000"/>
                <w:sz w:val="24"/>
                <w:szCs w:val="24"/>
              </w:rPr>
              <w:t>大额定期定额投资日</w:t>
            </w:r>
          </w:p>
        </w:tc>
        <w:tc>
          <w:tcPr>
            <w:tcW w:w="3692" w:type="dxa"/>
            <w:gridSpan w:val="3"/>
            <w:vAlign w:val="center"/>
          </w:tcPr>
          <w:p w:rsidR="005C0FA7" w:rsidRPr="005C0FA7" w:rsidRDefault="005C0FA7" w:rsidP="00444E23">
            <w:pPr>
              <w:rPr>
                <w:rFonts w:eastAsiaTheme="minorEastAsia"/>
                <w:sz w:val="24"/>
                <w:szCs w:val="24"/>
              </w:rPr>
            </w:pPr>
            <w:r w:rsidRPr="005C0FA7">
              <w:rPr>
                <w:rFonts w:eastAsiaTheme="minorEastAsia"/>
                <w:sz w:val="24"/>
                <w:szCs w:val="24"/>
              </w:rPr>
              <w:t>2016</w:t>
            </w:r>
            <w:r w:rsidRPr="005C0FA7">
              <w:rPr>
                <w:rFonts w:eastAsiaTheme="minorEastAsia"/>
                <w:sz w:val="24"/>
                <w:szCs w:val="24"/>
              </w:rPr>
              <w:t>年</w:t>
            </w:r>
            <w:r w:rsidRPr="005C0FA7">
              <w:rPr>
                <w:rFonts w:eastAsiaTheme="minorEastAsia"/>
                <w:sz w:val="24"/>
                <w:szCs w:val="24"/>
              </w:rPr>
              <w:t>10</w:t>
            </w:r>
            <w:r w:rsidRPr="005C0FA7">
              <w:rPr>
                <w:rFonts w:eastAsiaTheme="minorEastAsia"/>
                <w:sz w:val="24"/>
                <w:szCs w:val="24"/>
              </w:rPr>
              <w:t>月</w:t>
            </w:r>
            <w:r w:rsidRPr="005C0FA7">
              <w:rPr>
                <w:rFonts w:eastAsiaTheme="minorEastAsia"/>
                <w:sz w:val="24"/>
                <w:szCs w:val="24"/>
              </w:rPr>
              <w:t>2</w:t>
            </w:r>
            <w:r w:rsidR="00444E23">
              <w:rPr>
                <w:rFonts w:eastAsiaTheme="minorEastAsia" w:hint="eastAsia"/>
                <w:sz w:val="24"/>
                <w:szCs w:val="24"/>
              </w:rPr>
              <w:t>6</w:t>
            </w:r>
            <w:r w:rsidRPr="005C0FA7">
              <w:rPr>
                <w:rFonts w:eastAsiaTheme="minorEastAsia"/>
                <w:sz w:val="24"/>
                <w:szCs w:val="24"/>
              </w:rPr>
              <w:t>日</w:t>
            </w:r>
          </w:p>
        </w:tc>
      </w:tr>
      <w:tr w:rsidR="005C0FA7" w:rsidRPr="005C0FA7" w:rsidTr="001D3B58">
        <w:trPr>
          <w:gridAfter w:val="1"/>
          <w:wAfter w:w="6" w:type="dxa"/>
          <w:jc w:val="center"/>
        </w:trPr>
        <w:tc>
          <w:tcPr>
            <w:tcW w:w="3053" w:type="dxa"/>
            <w:vMerge/>
          </w:tcPr>
          <w:p w:rsidR="005C0FA7" w:rsidRPr="005C0FA7" w:rsidRDefault="005C0FA7"/>
        </w:tc>
        <w:tc>
          <w:tcPr>
            <w:tcW w:w="2894" w:type="dxa"/>
          </w:tcPr>
          <w:p w:rsidR="005C0FA7" w:rsidRPr="005C0FA7" w:rsidRDefault="00444E23" w:rsidP="005C0FA7">
            <w:pPr>
              <w:rPr>
                <w:rFonts w:eastAsiaTheme="minorEastAsia"/>
                <w:color w:val="000000"/>
                <w:kern w:val="0"/>
                <w:sz w:val="24"/>
                <w:szCs w:val="24"/>
              </w:rPr>
            </w:pPr>
            <w:r>
              <w:rPr>
                <w:rFonts w:eastAsiaTheme="minorEastAsia" w:hAnsiTheme="minorEastAsia"/>
                <w:color w:val="000000"/>
                <w:sz w:val="24"/>
                <w:szCs w:val="24"/>
              </w:rPr>
              <w:t>恢复</w:t>
            </w:r>
            <w:r w:rsidR="005C0FA7" w:rsidRPr="005C0FA7">
              <w:rPr>
                <w:rFonts w:eastAsiaTheme="minorEastAsia" w:hAnsiTheme="minorEastAsia"/>
                <w:color w:val="000000"/>
                <w:sz w:val="24"/>
                <w:szCs w:val="24"/>
              </w:rPr>
              <w:t>大额申购（转换转入、定期定额投资）的原因说明</w:t>
            </w:r>
          </w:p>
        </w:tc>
        <w:tc>
          <w:tcPr>
            <w:tcW w:w="3686" w:type="dxa"/>
            <w:gridSpan w:val="2"/>
          </w:tcPr>
          <w:p w:rsidR="005C0FA7" w:rsidRPr="005C0FA7" w:rsidRDefault="00444E23" w:rsidP="005C0FA7">
            <w:pPr>
              <w:rPr>
                <w:rFonts w:eastAsiaTheme="minorEastAsia"/>
                <w:sz w:val="24"/>
                <w:szCs w:val="24"/>
              </w:rPr>
            </w:pPr>
            <w:r>
              <w:rPr>
                <w:rFonts w:eastAsiaTheme="minorEastAsia" w:hAnsiTheme="minorEastAsia" w:hint="eastAsia"/>
                <w:kern w:val="0"/>
                <w:sz w:val="24"/>
                <w:szCs w:val="24"/>
              </w:rPr>
              <w:t>本基金管理人考虑之前限制大额申购（转换转入及定期定额投资业务）的因素对基金资产运作的影响已经减弱，为满足广大投资者的投资需求</w:t>
            </w:r>
          </w:p>
        </w:tc>
      </w:tr>
    </w:tbl>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2" w:name="_Toc275961406"/>
      <w:r w:rsidRPr="005C0FA7">
        <w:rPr>
          <w:rFonts w:ascii="Times New Roman" w:eastAsiaTheme="minorEastAsia" w:hAnsi="Times New Roman"/>
          <w:bCs w:val="0"/>
          <w:color w:val="000000"/>
          <w:sz w:val="24"/>
          <w:szCs w:val="24"/>
        </w:rPr>
        <w:t>2</w:t>
      </w:r>
      <w:r w:rsidRPr="005C0FA7">
        <w:rPr>
          <w:rFonts w:ascii="Times New Roman" w:eastAsiaTheme="minorEastAsia" w:hAnsiTheme="minorEastAsia"/>
          <w:bCs w:val="0"/>
          <w:color w:val="000000"/>
          <w:sz w:val="24"/>
          <w:szCs w:val="24"/>
        </w:rPr>
        <w:t>其他需要提示的事项</w:t>
      </w:r>
      <w:bookmarkEnd w:id="2"/>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投资者可以登录本公司网站（</w:t>
      </w:r>
      <w:r w:rsidRPr="005C0FA7">
        <w:rPr>
          <w:rFonts w:eastAsiaTheme="minorEastAsia"/>
          <w:sz w:val="24"/>
          <w:szCs w:val="24"/>
        </w:rPr>
        <w:t>www.fund001.com</w:t>
      </w:r>
      <w:r w:rsidRPr="005C0FA7">
        <w:rPr>
          <w:rFonts w:eastAsiaTheme="minorEastAsia" w:hAnsiTheme="minorEastAsia"/>
          <w:sz w:val="24"/>
          <w:szCs w:val="24"/>
        </w:rPr>
        <w:t>，</w:t>
      </w:r>
      <w:r w:rsidRPr="005C0FA7">
        <w:rPr>
          <w:rFonts w:eastAsiaTheme="minorEastAsia"/>
          <w:sz w:val="24"/>
          <w:szCs w:val="24"/>
        </w:rPr>
        <w:t>www.bocomschroder.com</w:t>
      </w:r>
      <w:r w:rsidRPr="005C0FA7">
        <w:rPr>
          <w:rFonts w:eastAsiaTheme="minorEastAsia" w:hAnsiTheme="minorEastAsia"/>
          <w:sz w:val="24"/>
          <w:szCs w:val="24"/>
        </w:rPr>
        <w:t>）或拨打客户服务电话（</w:t>
      </w:r>
      <w:r w:rsidRPr="005C0FA7">
        <w:rPr>
          <w:rFonts w:eastAsiaTheme="minorEastAsia"/>
          <w:sz w:val="24"/>
          <w:szCs w:val="24"/>
        </w:rPr>
        <w:t>400-700-5000</w:t>
      </w:r>
      <w:r w:rsidRPr="005C0FA7">
        <w:rPr>
          <w:rFonts w:eastAsiaTheme="minorEastAsia" w:hAnsiTheme="minorEastAsia"/>
          <w:sz w:val="24"/>
          <w:szCs w:val="24"/>
        </w:rPr>
        <w:t>，</w:t>
      </w:r>
      <w:r w:rsidRPr="005C0FA7">
        <w:rPr>
          <w:rFonts w:eastAsiaTheme="minorEastAsia"/>
          <w:sz w:val="24"/>
          <w:szCs w:val="24"/>
        </w:rPr>
        <w:t>021-61055000</w:t>
      </w:r>
      <w:r w:rsidRPr="005C0FA7">
        <w:rPr>
          <w:rFonts w:eastAsiaTheme="minorEastAsia" w:hAnsiTheme="minorEastAsia"/>
          <w:sz w:val="24"/>
          <w:szCs w:val="24"/>
        </w:rPr>
        <w:t>）咨询基金相关信息。</w:t>
      </w:r>
    </w:p>
    <w:p w:rsidR="00AE4C66" w:rsidRPr="005C0FA7" w:rsidRDefault="00AE4C66">
      <w:pPr>
        <w:spacing w:line="360" w:lineRule="auto"/>
        <w:ind w:firstLineChars="200" w:firstLine="480"/>
        <w:rPr>
          <w:rFonts w:eastAsiaTheme="minorEastAsia"/>
          <w:sz w:val="24"/>
          <w:szCs w:val="24"/>
        </w:rPr>
      </w:pP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w:t>
      </w:r>
      <w:r w:rsidRPr="005C0FA7">
        <w:rPr>
          <w:rFonts w:eastAsiaTheme="minorEastAsia" w:hAnsiTheme="minorEastAsia"/>
          <w:sz w:val="24"/>
          <w:szCs w:val="24"/>
        </w:rPr>
        <w:lastRenderedPageBreak/>
        <w:t>身风险承受能力的投资品种进行投资。</w:t>
      </w:r>
    </w:p>
    <w:p w:rsidR="00AE4C66" w:rsidRPr="005C0FA7" w:rsidRDefault="00AE4C66">
      <w:pPr>
        <w:spacing w:line="360" w:lineRule="auto"/>
        <w:ind w:firstLineChars="200" w:firstLine="480"/>
        <w:rPr>
          <w:rFonts w:eastAsiaTheme="minorEastAsia"/>
          <w:sz w:val="24"/>
          <w:szCs w:val="24"/>
        </w:rPr>
      </w:pPr>
    </w:p>
    <w:p w:rsidR="00D327FA" w:rsidRPr="005C0FA7" w:rsidRDefault="00770DB7" w:rsidP="003D0DCF">
      <w:pPr>
        <w:spacing w:line="360" w:lineRule="auto"/>
        <w:ind w:firstLineChars="200" w:firstLine="480"/>
        <w:rPr>
          <w:rFonts w:eastAsiaTheme="minorEastAsia"/>
          <w:sz w:val="24"/>
          <w:szCs w:val="24"/>
        </w:rPr>
      </w:pPr>
      <w:r w:rsidRPr="005C0FA7">
        <w:rPr>
          <w:rFonts w:eastAsiaTheme="minorEastAsia" w:hAnsiTheme="minorEastAsia"/>
          <w:sz w:val="24"/>
          <w:szCs w:val="24"/>
        </w:rPr>
        <w:t>特此公告。</w:t>
      </w:r>
    </w:p>
    <w:p w:rsidR="00364C2A" w:rsidRPr="005C0FA7" w:rsidRDefault="004F4DC9">
      <w:pPr>
        <w:rPr>
          <w:rFonts w:eastAsiaTheme="minorEastAsia"/>
          <w:sz w:val="24"/>
          <w:szCs w:val="24"/>
        </w:rPr>
      </w:pPr>
    </w:p>
    <w:sectPr w:rsidR="00364C2A" w:rsidRPr="005C0FA7"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5B8" w:rsidRDefault="006445B8" w:rsidP="00D327FA">
      <w:r>
        <w:separator/>
      </w:r>
    </w:p>
  </w:endnote>
  <w:endnote w:type="continuationSeparator" w:id="0">
    <w:p w:rsidR="006445B8" w:rsidRDefault="006445B8"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5B8" w:rsidRDefault="006445B8" w:rsidP="00D327FA">
      <w:r>
        <w:separator/>
      </w:r>
    </w:p>
  </w:footnote>
  <w:footnote w:type="continuationSeparator" w:id="0">
    <w:p w:rsidR="006445B8" w:rsidRDefault="006445B8"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27FA"/>
    <w:rsid w:val="00041353"/>
    <w:rsid w:val="0009797D"/>
    <w:rsid w:val="000D472C"/>
    <w:rsid w:val="000E4CBF"/>
    <w:rsid w:val="000F55E1"/>
    <w:rsid w:val="0013025A"/>
    <w:rsid w:val="00130F92"/>
    <w:rsid w:val="00160DAE"/>
    <w:rsid w:val="00180DA3"/>
    <w:rsid w:val="00185D2E"/>
    <w:rsid w:val="001B4F9F"/>
    <w:rsid w:val="001D3B58"/>
    <w:rsid w:val="002241A8"/>
    <w:rsid w:val="00225484"/>
    <w:rsid w:val="00245724"/>
    <w:rsid w:val="00285347"/>
    <w:rsid w:val="002935EF"/>
    <w:rsid w:val="00297148"/>
    <w:rsid w:val="002A6277"/>
    <w:rsid w:val="002B3273"/>
    <w:rsid w:val="002F7241"/>
    <w:rsid w:val="00327DA7"/>
    <w:rsid w:val="0033476C"/>
    <w:rsid w:val="0036784E"/>
    <w:rsid w:val="003D0DCF"/>
    <w:rsid w:val="003D3818"/>
    <w:rsid w:val="00444E23"/>
    <w:rsid w:val="004966BA"/>
    <w:rsid w:val="004A51DE"/>
    <w:rsid w:val="004B1D96"/>
    <w:rsid w:val="004D6346"/>
    <w:rsid w:val="004F0521"/>
    <w:rsid w:val="004F4DC9"/>
    <w:rsid w:val="004F51E8"/>
    <w:rsid w:val="00536E8E"/>
    <w:rsid w:val="0055497B"/>
    <w:rsid w:val="005C0FA7"/>
    <w:rsid w:val="005F2DBE"/>
    <w:rsid w:val="005F3AF6"/>
    <w:rsid w:val="00603A93"/>
    <w:rsid w:val="00633C51"/>
    <w:rsid w:val="006445B8"/>
    <w:rsid w:val="0064547D"/>
    <w:rsid w:val="00646522"/>
    <w:rsid w:val="00663031"/>
    <w:rsid w:val="006A0A5E"/>
    <w:rsid w:val="0073228C"/>
    <w:rsid w:val="00753E39"/>
    <w:rsid w:val="00762FED"/>
    <w:rsid w:val="00770DB7"/>
    <w:rsid w:val="007B0250"/>
    <w:rsid w:val="007B1D31"/>
    <w:rsid w:val="008472DB"/>
    <w:rsid w:val="008712F5"/>
    <w:rsid w:val="008D6773"/>
    <w:rsid w:val="00956B0F"/>
    <w:rsid w:val="009A3627"/>
    <w:rsid w:val="009C5858"/>
    <w:rsid w:val="00A2638C"/>
    <w:rsid w:val="00A428CE"/>
    <w:rsid w:val="00A5414E"/>
    <w:rsid w:val="00AC0E51"/>
    <w:rsid w:val="00AD7BDD"/>
    <w:rsid w:val="00AE4C66"/>
    <w:rsid w:val="00AF024E"/>
    <w:rsid w:val="00B051CB"/>
    <w:rsid w:val="00B101F7"/>
    <w:rsid w:val="00B872E5"/>
    <w:rsid w:val="00BD545A"/>
    <w:rsid w:val="00BD601B"/>
    <w:rsid w:val="00C70EDA"/>
    <w:rsid w:val="00CD74DC"/>
    <w:rsid w:val="00D114B7"/>
    <w:rsid w:val="00D1480F"/>
    <w:rsid w:val="00D327FA"/>
    <w:rsid w:val="00D95A18"/>
    <w:rsid w:val="00DD22A8"/>
    <w:rsid w:val="00E356E7"/>
    <w:rsid w:val="00E714AE"/>
    <w:rsid w:val="00E830A4"/>
    <w:rsid w:val="00EE1823"/>
    <w:rsid w:val="00F15B17"/>
    <w:rsid w:val="00F64447"/>
    <w:rsid w:val="00F76BC2"/>
    <w:rsid w:val="00F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0904867-5F9E-4455-BFF9-52BE56C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54</cp:revision>
  <dcterms:created xsi:type="dcterms:W3CDTF">2013-07-19T07:53:00Z</dcterms:created>
  <dcterms:modified xsi:type="dcterms:W3CDTF">2016-10-25T07:13:00Z</dcterms:modified>
</cp:coreProperties>
</file>