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二〇一六年十月二十五日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10282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C124B9" w:rsidRDefault="00AB4E1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124B9" w:rsidRDefault="00AB4E1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124B9" w:rsidRDefault="00AB4E1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124B9" w:rsidRDefault="00AB4E19">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C124B9" w:rsidRDefault="00AB4E19">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59,871,127.29</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w:t>
            </w:r>
            <w:proofErr w:type="gramStart"/>
            <w:r w:rsidRPr="008640AE">
              <w:rPr>
                <w:color w:val="000000"/>
                <w:kern w:val="0"/>
                <w:sz w:val="24"/>
              </w:rPr>
              <w:t>中盘指数</w:t>
            </w:r>
            <w:proofErr w:type="gramEnd"/>
            <w:r w:rsidRPr="008640AE">
              <w:rPr>
                <w:color w:val="000000"/>
                <w:kern w:val="0"/>
                <w:sz w:val="24"/>
              </w:rPr>
              <w:t xml:space="preserve">(S&amp;P Global </w:t>
            </w:r>
            <w:proofErr w:type="spellStart"/>
            <w:r w:rsidRPr="008640AE">
              <w:rPr>
                <w:color w:val="000000"/>
                <w:kern w:val="0"/>
                <w:sz w:val="24"/>
              </w:rPr>
              <w:t>LargeMidCap</w:t>
            </w:r>
            <w:proofErr w:type="spellEnd"/>
            <w:r w:rsidRPr="008640AE">
              <w:rPr>
                <w:color w:val="000000"/>
                <w:kern w:val="0"/>
                <w:sz w:val="24"/>
              </w:rPr>
              <w:t xml:space="preserve">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B4E19" w:rsidRPr="008640AE" w:rsidTr="00AB4E19">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AB4E19" w:rsidRPr="008640AE" w:rsidTr="00AB4E1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821,261.93</w:t>
            </w:r>
          </w:p>
        </w:tc>
      </w:tr>
      <w:tr w:rsidR="00AB4E19" w:rsidRPr="008640AE" w:rsidTr="00AB4E1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5,876,189.39</w:t>
            </w:r>
          </w:p>
        </w:tc>
      </w:tr>
      <w:tr w:rsidR="00AB4E19" w:rsidRPr="008640AE" w:rsidTr="00AB4E1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0.0987</w:t>
            </w:r>
          </w:p>
        </w:tc>
      </w:tr>
      <w:tr w:rsidR="00AB4E19" w:rsidRPr="008640AE" w:rsidTr="00AB4E1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95,566,688.78</w:t>
            </w:r>
          </w:p>
        </w:tc>
      </w:tr>
      <w:tr w:rsidR="00AB4E19" w:rsidRPr="008640AE" w:rsidTr="00AB4E19">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1.596</w:t>
            </w:r>
          </w:p>
        </w:tc>
      </w:tr>
    </w:tbl>
    <w:p w:rsidR="00C124B9" w:rsidRDefault="00AB4E1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w:t>
      </w:r>
      <w:proofErr w:type="gramStart"/>
      <w:r w:rsidRPr="008640AE">
        <w:rPr>
          <w:b/>
          <w:color w:val="000000"/>
          <w:kern w:val="0"/>
          <w:sz w:val="24"/>
        </w:rPr>
        <w:t>期基金</w:t>
      </w:r>
      <w:proofErr w:type="gramEnd"/>
      <w:r w:rsidRPr="008640AE">
        <w:rPr>
          <w:b/>
          <w:color w:val="000000"/>
          <w:kern w:val="0"/>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C124B9">
        <w:trPr>
          <w:jc w:val="center"/>
        </w:trPr>
        <w:tc>
          <w:tcPr>
            <w:tcW w:w="1701" w:type="dxa"/>
            <w:vAlign w:val="center"/>
          </w:tcPr>
          <w:p w:rsidR="00C124B9" w:rsidRDefault="00AB4E19">
            <w:pPr>
              <w:jc w:val="left"/>
            </w:pPr>
            <w:r>
              <w:rPr>
                <w:color w:val="000000"/>
                <w:sz w:val="24"/>
              </w:rPr>
              <w:t>过去三个月</w:t>
            </w:r>
          </w:p>
        </w:tc>
        <w:tc>
          <w:tcPr>
            <w:tcW w:w="1194" w:type="dxa"/>
            <w:vAlign w:val="center"/>
          </w:tcPr>
          <w:p w:rsidR="00C124B9" w:rsidRDefault="00AB4E19">
            <w:pPr>
              <w:jc w:val="right"/>
            </w:pPr>
            <w:r>
              <w:rPr>
                <w:color w:val="000000"/>
                <w:sz w:val="24"/>
              </w:rPr>
              <w:t>6.61%</w:t>
            </w:r>
          </w:p>
        </w:tc>
        <w:tc>
          <w:tcPr>
            <w:tcW w:w="1194" w:type="dxa"/>
            <w:vAlign w:val="center"/>
          </w:tcPr>
          <w:p w:rsidR="00C124B9" w:rsidRDefault="00AB4E19">
            <w:pPr>
              <w:jc w:val="right"/>
            </w:pPr>
            <w:r>
              <w:rPr>
                <w:color w:val="000000"/>
                <w:sz w:val="24"/>
              </w:rPr>
              <w:t>0.55%</w:t>
            </w:r>
          </w:p>
        </w:tc>
        <w:tc>
          <w:tcPr>
            <w:tcW w:w="1194" w:type="dxa"/>
            <w:vAlign w:val="center"/>
          </w:tcPr>
          <w:p w:rsidR="00C124B9" w:rsidRDefault="00AB4E19">
            <w:pPr>
              <w:jc w:val="right"/>
            </w:pPr>
            <w:r>
              <w:rPr>
                <w:color w:val="000000"/>
                <w:sz w:val="24"/>
              </w:rPr>
              <w:t>7.01%</w:t>
            </w:r>
          </w:p>
        </w:tc>
        <w:tc>
          <w:tcPr>
            <w:tcW w:w="1343" w:type="dxa"/>
            <w:vAlign w:val="center"/>
          </w:tcPr>
          <w:p w:rsidR="00C124B9" w:rsidRDefault="00AB4E19">
            <w:pPr>
              <w:jc w:val="right"/>
            </w:pPr>
            <w:r>
              <w:rPr>
                <w:color w:val="000000"/>
                <w:sz w:val="24"/>
              </w:rPr>
              <w:t>0.54%</w:t>
            </w:r>
          </w:p>
        </w:tc>
        <w:tc>
          <w:tcPr>
            <w:tcW w:w="1194" w:type="dxa"/>
            <w:vAlign w:val="center"/>
          </w:tcPr>
          <w:p w:rsidR="00C124B9" w:rsidRDefault="00AB4E19">
            <w:pPr>
              <w:jc w:val="right"/>
            </w:pPr>
            <w:r>
              <w:rPr>
                <w:color w:val="000000"/>
                <w:sz w:val="24"/>
              </w:rPr>
              <w:t>-0.40%</w:t>
            </w:r>
          </w:p>
        </w:tc>
        <w:tc>
          <w:tcPr>
            <w:tcW w:w="1048" w:type="dxa"/>
            <w:vAlign w:val="center"/>
          </w:tcPr>
          <w:p w:rsidR="00C124B9" w:rsidRDefault="00AB4E19">
            <w:pPr>
              <w:jc w:val="right"/>
            </w:pPr>
            <w:r>
              <w:rPr>
                <w:color w:val="000000"/>
                <w:sz w:val="24"/>
              </w:rPr>
              <w:t>0.01%</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C124B9">
        <w:trPr>
          <w:jc w:val="center"/>
        </w:trPr>
        <w:tc>
          <w:tcPr>
            <w:tcW w:w="846" w:type="dxa"/>
            <w:vAlign w:val="center"/>
          </w:tcPr>
          <w:p w:rsidR="00C124B9" w:rsidRDefault="00AB4E19">
            <w:pPr>
              <w:jc w:val="center"/>
            </w:pPr>
            <w:r>
              <w:rPr>
                <w:color w:val="000000"/>
                <w:sz w:val="24"/>
              </w:rPr>
              <w:t>蔡铮</w:t>
            </w:r>
          </w:p>
        </w:tc>
        <w:tc>
          <w:tcPr>
            <w:tcW w:w="845" w:type="dxa"/>
            <w:vAlign w:val="center"/>
          </w:tcPr>
          <w:p w:rsidR="00C124B9" w:rsidRDefault="00AB4E19" w:rsidP="00E17C99">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sidR="00471208" w:rsidRPr="00E17C99">
              <w:rPr>
                <w:rFonts w:hint="eastAsia"/>
                <w:color w:val="000000"/>
                <w:sz w:val="24"/>
              </w:rPr>
              <w:t>）</w:t>
            </w:r>
            <w:r>
              <w:rPr>
                <w:color w:val="000000"/>
                <w:sz w:val="24"/>
              </w:rPr>
              <w:t>、交银中证互联网金</w:t>
            </w:r>
            <w:bookmarkStart w:id="0" w:name="_GoBack"/>
            <w:bookmarkEnd w:id="0"/>
            <w:r>
              <w:rPr>
                <w:color w:val="000000"/>
                <w:sz w:val="24"/>
              </w:rPr>
              <w:t>融指数分级、交银中证环境治理指数</w:t>
            </w:r>
            <w:r w:rsidR="00874084" w:rsidRPr="00E17C99">
              <w:rPr>
                <w:rFonts w:hint="eastAsia"/>
                <w:color w:val="000000"/>
                <w:sz w:val="24"/>
              </w:rPr>
              <w:t>（</w:t>
            </w:r>
            <w:r w:rsidR="00874084" w:rsidRPr="00E17C99">
              <w:rPr>
                <w:color w:val="000000"/>
                <w:sz w:val="24"/>
              </w:rPr>
              <w:t>LOF</w:t>
            </w:r>
            <w:r w:rsidR="00874084" w:rsidRPr="00E17C99">
              <w:rPr>
                <w:rFonts w:hint="eastAsia"/>
                <w:color w:val="000000"/>
                <w:sz w:val="24"/>
              </w:rPr>
              <w:t>）</w:t>
            </w:r>
            <w:r>
              <w:rPr>
                <w:color w:val="000000"/>
                <w:sz w:val="24"/>
              </w:rPr>
              <w:t>的基金经理，公司量化投资部副总经理</w:t>
            </w:r>
          </w:p>
        </w:tc>
        <w:tc>
          <w:tcPr>
            <w:tcW w:w="1549" w:type="dxa"/>
            <w:vAlign w:val="center"/>
          </w:tcPr>
          <w:p w:rsidR="00C124B9" w:rsidRDefault="00AB4E19">
            <w:pPr>
              <w:jc w:val="center"/>
            </w:pPr>
            <w:r>
              <w:rPr>
                <w:color w:val="000000"/>
                <w:sz w:val="24"/>
              </w:rPr>
              <w:t>2015-04-22</w:t>
            </w:r>
          </w:p>
        </w:tc>
        <w:tc>
          <w:tcPr>
            <w:tcW w:w="1548" w:type="dxa"/>
            <w:vAlign w:val="center"/>
          </w:tcPr>
          <w:p w:rsidR="00C124B9" w:rsidRDefault="00AB4E19">
            <w:pPr>
              <w:jc w:val="center"/>
            </w:pPr>
            <w:r>
              <w:rPr>
                <w:color w:val="000000"/>
                <w:sz w:val="24"/>
              </w:rPr>
              <w:t>-</w:t>
            </w:r>
          </w:p>
        </w:tc>
        <w:tc>
          <w:tcPr>
            <w:tcW w:w="1407" w:type="dxa"/>
            <w:vAlign w:val="center"/>
          </w:tcPr>
          <w:p w:rsidR="00C124B9" w:rsidRDefault="00AB4E19">
            <w:pPr>
              <w:jc w:val="center"/>
            </w:pPr>
            <w:r>
              <w:rPr>
                <w:color w:val="000000"/>
                <w:sz w:val="24"/>
              </w:rPr>
              <w:t>7</w:t>
            </w:r>
            <w:r>
              <w:rPr>
                <w:color w:val="000000"/>
                <w:sz w:val="24"/>
              </w:rPr>
              <w:t>年</w:t>
            </w:r>
          </w:p>
        </w:tc>
        <w:tc>
          <w:tcPr>
            <w:tcW w:w="2673" w:type="dxa"/>
            <w:vAlign w:val="center"/>
          </w:tcPr>
          <w:p w:rsidR="00C124B9" w:rsidRDefault="00AB4E19">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sidR="001F43C9">
              <w:rPr>
                <w:rFonts w:ascii="宋体" w:hAnsi="宋体" w:hint="eastAsia"/>
                <w:sz w:val="24"/>
              </w:rPr>
              <w:t>。</w:t>
            </w:r>
            <w:r w:rsidR="00874084" w:rsidRPr="00D73FB9">
              <w:rPr>
                <w:sz w:val="24"/>
              </w:rPr>
              <w:t>2015</w:t>
            </w:r>
            <w:r w:rsidR="00874084" w:rsidRPr="00D73FB9">
              <w:rPr>
                <w:rFonts w:ascii="宋体" w:hAnsi="宋体" w:hint="eastAsia"/>
                <w:sz w:val="24"/>
              </w:rPr>
              <w:t>年</w:t>
            </w:r>
            <w:r w:rsidR="00874084" w:rsidRPr="00D73FB9">
              <w:rPr>
                <w:sz w:val="24"/>
              </w:rPr>
              <w:t>8</w:t>
            </w:r>
            <w:r w:rsidR="00874084" w:rsidRPr="00D73FB9">
              <w:rPr>
                <w:rFonts w:ascii="宋体" w:hAnsi="宋体" w:hint="eastAsia"/>
                <w:sz w:val="24"/>
              </w:rPr>
              <w:t>月</w:t>
            </w:r>
            <w:r w:rsidR="00874084" w:rsidRPr="00D73FB9">
              <w:rPr>
                <w:sz w:val="24"/>
              </w:rPr>
              <w:t>13</w:t>
            </w:r>
            <w:r w:rsidR="00874084" w:rsidRPr="00D73FB9">
              <w:rPr>
                <w:rFonts w:ascii="宋体" w:hAnsi="宋体" w:hint="eastAsia"/>
                <w:sz w:val="24"/>
              </w:rPr>
              <w:t>日至</w:t>
            </w:r>
            <w:r w:rsidR="00874084" w:rsidRPr="00D73FB9">
              <w:rPr>
                <w:sz w:val="24"/>
              </w:rPr>
              <w:t>2016</w:t>
            </w:r>
            <w:r w:rsidR="00874084" w:rsidRPr="00D73FB9">
              <w:rPr>
                <w:rFonts w:ascii="宋体" w:hAnsi="宋体" w:hint="eastAsia"/>
                <w:sz w:val="24"/>
              </w:rPr>
              <w:t>年</w:t>
            </w:r>
            <w:r w:rsidR="00874084" w:rsidRPr="00D73FB9">
              <w:rPr>
                <w:sz w:val="24"/>
              </w:rPr>
              <w:t>7</w:t>
            </w:r>
            <w:r w:rsidR="00874084" w:rsidRPr="00D73FB9">
              <w:rPr>
                <w:rFonts w:ascii="宋体" w:hAnsi="宋体" w:hint="eastAsia"/>
                <w:sz w:val="24"/>
              </w:rPr>
              <w:t>月</w:t>
            </w:r>
            <w:r w:rsidR="00874084" w:rsidRPr="00D73FB9">
              <w:rPr>
                <w:sz w:val="24"/>
              </w:rPr>
              <w:t>18</w:t>
            </w:r>
            <w:r w:rsidR="00874084" w:rsidRPr="00D73FB9">
              <w:rPr>
                <w:rFonts w:ascii="宋体" w:hAnsi="宋体" w:hint="eastAsia"/>
                <w:sz w:val="24"/>
              </w:rPr>
              <w:t>日担任交银施罗德中证环境治理指数分级证券投资基金基金经理</w:t>
            </w:r>
            <w:r w:rsidRPr="00D73FB9">
              <w:rPr>
                <w:rFonts w:hint="eastAsia"/>
                <w:sz w:val="24"/>
              </w:rPr>
              <w:t>。</w:t>
            </w:r>
          </w:p>
        </w:tc>
      </w:tr>
      <w:tr w:rsidR="00C124B9">
        <w:trPr>
          <w:jc w:val="center"/>
        </w:trPr>
        <w:tc>
          <w:tcPr>
            <w:tcW w:w="846" w:type="dxa"/>
            <w:vAlign w:val="center"/>
          </w:tcPr>
          <w:p w:rsidR="00C124B9" w:rsidRDefault="00AB4E19">
            <w:pPr>
              <w:jc w:val="center"/>
            </w:pPr>
            <w:r>
              <w:rPr>
                <w:color w:val="000000"/>
                <w:sz w:val="24"/>
              </w:rPr>
              <w:t>陈俊华</w:t>
            </w:r>
          </w:p>
        </w:tc>
        <w:tc>
          <w:tcPr>
            <w:tcW w:w="845" w:type="dxa"/>
            <w:vAlign w:val="center"/>
          </w:tcPr>
          <w:p w:rsidR="00C124B9" w:rsidRDefault="00AB4E19">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C124B9" w:rsidRDefault="00AB4E19">
            <w:pPr>
              <w:jc w:val="center"/>
            </w:pPr>
            <w:r>
              <w:rPr>
                <w:color w:val="000000"/>
                <w:sz w:val="24"/>
              </w:rPr>
              <w:t>2015-11-21</w:t>
            </w:r>
          </w:p>
        </w:tc>
        <w:tc>
          <w:tcPr>
            <w:tcW w:w="1548" w:type="dxa"/>
            <w:vAlign w:val="center"/>
          </w:tcPr>
          <w:p w:rsidR="00C124B9" w:rsidRDefault="00AB4E19">
            <w:pPr>
              <w:jc w:val="center"/>
            </w:pPr>
            <w:r>
              <w:rPr>
                <w:color w:val="000000"/>
                <w:sz w:val="24"/>
              </w:rPr>
              <w:t>-</w:t>
            </w:r>
          </w:p>
        </w:tc>
        <w:tc>
          <w:tcPr>
            <w:tcW w:w="1407" w:type="dxa"/>
            <w:vAlign w:val="center"/>
          </w:tcPr>
          <w:p w:rsidR="00C124B9" w:rsidRDefault="00AB4E19">
            <w:pPr>
              <w:jc w:val="center"/>
            </w:pPr>
            <w:r>
              <w:rPr>
                <w:color w:val="000000"/>
                <w:sz w:val="24"/>
              </w:rPr>
              <w:t>11</w:t>
            </w:r>
            <w:r>
              <w:rPr>
                <w:color w:val="000000"/>
                <w:sz w:val="24"/>
              </w:rPr>
              <w:t>年</w:t>
            </w:r>
          </w:p>
        </w:tc>
        <w:tc>
          <w:tcPr>
            <w:tcW w:w="2673" w:type="dxa"/>
            <w:vAlign w:val="center"/>
          </w:tcPr>
          <w:p w:rsidR="00C124B9" w:rsidRDefault="00AB4E19">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C124B9">
        <w:trPr>
          <w:jc w:val="center"/>
        </w:trPr>
        <w:tc>
          <w:tcPr>
            <w:tcW w:w="846" w:type="dxa"/>
            <w:vAlign w:val="center"/>
          </w:tcPr>
          <w:p w:rsidR="00C124B9" w:rsidRDefault="00AB4E19">
            <w:pPr>
              <w:jc w:val="center"/>
            </w:pPr>
            <w:r>
              <w:rPr>
                <w:color w:val="000000"/>
                <w:sz w:val="24"/>
              </w:rPr>
              <w:t>周中</w:t>
            </w:r>
          </w:p>
        </w:tc>
        <w:tc>
          <w:tcPr>
            <w:tcW w:w="845" w:type="dxa"/>
            <w:vAlign w:val="center"/>
          </w:tcPr>
          <w:p w:rsidR="00C124B9" w:rsidRDefault="00AB4E19">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C124B9" w:rsidRDefault="00AB4E19">
            <w:pPr>
              <w:jc w:val="center"/>
            </w:pPr>
            <w:r>
              <w:rPr>
                <w:color w:val="000000"/>
                <w:sz w:val="24"/>
              </w:rPr>
              <w:t>2015-12-12</w:t>
            </w:r>
          </w:p>
        </w:tc>
        <w:tc>
          <w:tcPr>
            <w:tcW w:w="1548" w:type="dxa"/>
            <w:vAlign w:val="center"/>
          </w:tcPr>
          <w:p w:rsidR="00C124B9" w:rsidRDefault="00AB4E19">
            <w:pPr>
              <w:jc w:val="center"/>
            </w:pPr>
            <w:r>
              <w:rPr>
                <w:color w:val="000000"/>
                <w:sz w:val="24"/>
              </w:rPr>
              <w:t>-</w:t>
            </w:r>
          </w:p>
        </w:tc>
        <w:tc>
          <w:tcPr>
            <w:tcW w:w="1407" w:type="dxa"/>
            <w:vAlign w:val="center"/>
          </w:tcPr>
          <w:p w:rsidR="00C124B9" w:rsidRDefault="00AB4E19">
            <w:pPr>
              <w:jc w:val="center"/>
            </w:pPr>
            <w:r>
              <w:rPr>
                <w:color w:val="000000"/>
                <w:sz w:val="24"/>
              </w:rPr>
              <w:t>7</w:t>
            </w:r>
            <w:r>
              <w:rPr>
                <w:color w:val="000000"/>
                <w:sz w:val="24"/>
              </w:rPr>
              <w:t>年</w:t>
            </w:r>
          </w:p>
        </w:tc>
        <w:tc>
          <w:tcPr>
            <w:tcW w:w="2673" w:type="dxa"/>
            <w:vAlign w:val="center"/>
          </w:tcPr>
          <w:p w:rsidR="00C124B9" w:rsidRDefault="00AB4E19">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C124B9">
        <w:trPr>
          <w:jc w:val="center"/>
        </w:trPr>
        <w:tc>
          <w:tcPr>
            <w:tcW w:w="2070" w:type="dxa"/>
            <w:vAlign w:val="center"/>
          </w:tcPr>
          <w:p w:rsidR="00C124B9" w:rsidRDefault="00AB4E19">
            <w:pPr>
              <w:jc w:val="center"/>
            </w:pPr>
            <w:r>
              <w:rPr>
                <w:color w:val="000000"/>
                <w:sz w:val="24"/>
              </w:rPr>
              <w:t>Simon Webber</w:t>
            </w:r>
          </w:p>
        </w:tc>
        <w:tc>
          <w:tcPr>
            <w:tcW w:w="2465" w:type="dxa"/>
            <w:vAlign w:val="center"/>
          </w:tcPr>
          <w:p w:rsidR="00C124B9" w:rsidRDefault="00AB4E19">
            <w:pPr>
              <w:jc w:val="center"/>
            </w:pPr>
            <w:r>
              <w:rPr>
                <w:color w:val="000000"/>
                <w:sz w:val="24"/>
              </w:rPr>
              <w:t>施罗德集团多区域（全球及国际）股票投资主管、全球和国际股票基金经理、全球气候变化股票基金经理</w:t>
            </w:r>
          </w:p>
        </w:tc>
        <w:tc>
          <w:tcPr>
            <w:tcW w:w="2116" w:type="dxa"/>
            <w:vAlign w:val="center"/>
          </w:tcPr>
          <w:p w:rsidR="00C124B9" w:rsidRDefault="00AB4E19">
            <w:pPr>
              <w:jc w:val="center"/>
            </w:pPr>
            <w:r>
              <w:rPr>
                <w:color w:val="000000"/>
                <w:sz w:val="24"/>
              </w:rPr>
              <w:t>17</w:t>
            </w:r>
            <w:r>
              <w:rPr>
                <w:color w:val="000000"/>
                <w:sz w:val="24"/>
              </w:rPr>
              <w:t>年</w:t>
            </w:r>
          </w:p>
        </w:tc>
        <w:tc>
          <w:tcPr>
            <w:tcW w:w="2217" w:type="dxa"/>
            <w:vAlign w:val="center"/>
          </w:tcPr>
          <w:p w:rsidR="00C124B9" w:rsidRDefault="00AB4E19">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C124B9" w:rsidRDefault="00AB4E1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124B9" w:rsidRDefault="00AB4E1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124B9" w:rsidRDefault="00AB4E1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E7774E" w:rsidRPr="00D73FB9" w:rsidRDefault="00E7774E" w:rsidP="00D73FB9">
      <w:pPr>
        <w:spacing w:before="29" w:line="288" w:lineRule="auto"/>
        <w:ind w:firstLineChars="200" w:firstLine="480"/>
        <w:rPr>
          <w:color w:val="000000"/>
          <w:sz w:val="24"/>
        </w:rPr>
      </w:pPr>
      <w:r w:rsidRPr="00D73FB9">
        <w:rPr>
          <w:rFonts w:hint="eastAsia"/>
          <w:color w:val="000000"/>
          <w:sz w:val="24"/>
        </w:rPr>
        <w:t>三季度全球市场整体表现强劲。受到英国脱欧影响二季度末全球市场出现大幅调整，而在三季度全球主要市场均出现一定的上涨，充裕的流动性将市场的波动幅度进一步压缩。但是我们也看到一些值得忧虑的事情，全国宽松货币政策的拐点似乎正在浮现，欧央行和日本央行没有进一步推出更为宽松的货币政策，中国央行的货币政策也开始趋稳健。我们认为全球的流动性风险可能在四季度对市场产生负面影响。</w:t>
      </w:r>
    </w:p>
    <w:p w:rsidR="00E7774E" w:rsidRPr="00D73FB9" w:rsidRDefault="00E7774E" w:rsidP="00D73FB9">
      <w:pPr>
        <w:spacing w:before="29" w:line="288" w:lineRule="auto"/>
        <w:ind w:firstLineChars="200" w:firstLine="480"/>
        <w:rPr>
          <w:color w:val="000000"/>
          <w:sz w:val="24"/>
        </w:rPr>
      </w:pPr>
      <w:r w:rsidRPr="00D73FB9">
        <w:rPr>
          <w:rFonts w:hint="eastAsia"/>
          <w:color w:val="000000"/>
          <w:sz w:val="24"/>
        </w:rPr>
        <w:t>三季度本基金保持较高的仓位，重点投资于科技、生物医药、新能源等代表新生产力提升方向的行业。香港市场由于受到深港通预期开通的正面利好，是我们配置的重点。</w:t>
      </w:r>
    </w:p>
    <w:p w:rsidR="00E7774E" w:rsidRPr="00E7774E" w:rsidRDefault="00E7774E" w:rsidP="005546C0">
      <w:pPr>
        <w:spacing w:before="29" w:line="288" w:lineRule="auto"/>
        <w:ind w:firstLineChars="200" w:firstLine="480"/>
        <w:rPr>
          <w:color w:val="000000"/>
          <w:sz w:val="24"/>
        </w:rPr>
      </w:pPr>
      <w:r w:rsidRPr="00D73FB9">
        <w:rPr>
          <w:rFonts w:hint="eastAsia"/>
          <w:color w:val="000000"/>
          <w:sz w:val="24"/>
        </w:rPr>
        <w:t>展望四季度的全球市场，我们认为</w:t>
      </w:r>
      <w:r w:rsidRPr="00D73FB9">
        <w:rPr>
          <w:color w:val="000000"/>
          <w:sz w:val="24"/>
        </w:rPr>
        <w:t>11</w:t>
      </w:r>
      <w:r w:rsidRPr="00D73FB9">
        <w:rPr>
          <w:rFonts w:hint="eastAsia"/>
          <w:color w:val="000000"/>
          <w:sz w:val="24"/>
        </w:rPr>
        <w:t>月份的美国大选和美联储的加息决定或将成为影响市场走势的关键因素。我们认为如果大选的结果或者加息的进度出乎主要投资者的预料，市场可能会出现类似二季度英国脱欧事件发生时的状况，市场的短期波动可能会加大。对港股市场而言，由于受到全球流动性的影响依然较大，我们认为可能同样也会出现较大的波动。我们将对部分涨幅较大的个股兑现收益。在行业选择上我们认为业绩持续兑现的高成长性行业例如互联网、科技等依然是我们配置的重点。此外我们将重点挑选受益于深港通预期开通的香港中小市值个股并加以配置。</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1.596</w:t>
      </w:r>
      <w:r w:rsidRPr="008640AE">
        <w:rPr>
          <w:color w:val="000000"/>
          <w:sz w:val="24"/>
        </w:rPr>
        <w:t>元，本报告期份额净值增长率为</w:t>
      </w:r>
      <w:r w:rsidRPr="008640AE">
        <w:rPr>
          <w:color w:val="000000"/>
          <w:sz w:val="24"/>
        </w:rPr>
        <w:t>6.61%</w:t>
      </w:r>
      <w:r w:rsidRPr="008640AE">
        <w:rPr>
          <w:color w:val="000000"/>
          <w:sz w:val="24"/>
        </w:rPr>
        <w:t>，同期业绩比较基准增长率为</w:t>
      </w:r>
      <w:r w:rsidRPr="008640AE">
        <w:rPr>
          <w:color w:val="000000"/>
          <w:sz w:val="24"/>
        </w:rPr>
        <w:t>7.01%</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86,434,562.43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89.93</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85,590,604.57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89.05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843,957.86</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0.88</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9,412,065.28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9.79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266,415.66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0.28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96,113,043.37</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C124B9">
        <w:trPr>
          <w:jc w:val="center"/>
        </w:trPr>
        <w:tc>
          <w:tcPr>
            <w:tcW w:w="2484" w:type="dxa"/>
            <w:vAlign w:val="center"/>
          </w:tcPr>
          <w:p w:rsidR="00C124B9" w:rsidRDefault="00AB4E19">
            <w:pPr>
              <w:jc w:val="left"/>
            </w:pPr>
            <w:r>
              <w:rPr>
                <w:color w:val="000000"/>
                <w:sz w:val="24"/>
              </w:rPr>
              <w:t>美国</w:t>
            </w:r>
          </w:p>
        </w:tc>
        <w:tc>
          <w:tcPr>
            <w:tcW w:w="3214" w:type="dxa"/>
            <w:vAlign w:val="center"/>
          </w:tcPr>
          <w:p w:rsidR="00C124B9" w:rsidRDefault="00AB4E19">
            <w:pPr>
              <w:jc w:val="right"/>
            </w:pPr>
            <w:r>
              <w:rPr>
                <w:color w:val="000000"/>
                <w:sz w:val="24"/>
              </w:rPr>
              <w:t>42,434,864.42</w:t>
            </w:r>
          </w:p>
        </w:tc>
        <w:tc>
          <w:tcPr>
            <w:tcW w:w="3170" w:type="dxa"/>
            <w:vAlign w:val="center"/>
          </w:tcPr>
          <w:p w:rsidR="00C124B9" w:rsidRDefault="00AB4E19">
            <w:pPr>
              <w:jc w:val="right"/>
            </w:pPr>
            <w:r>
              <w:rPr>
                <w:color w:val="000000"/>
                <w:sz w:val="24"/>
              </w:rPr>
              <w:t>44.40</w:t>
            </w:r>
          </w:p>
        </w:tc>
      </w:tr>
      <w:tr w:rsidR="00C124B9">
        <w:trPr>
          <w:jc w:val="center"/>
        </w:trPr>
        <w:tc>
          <w:tcPr>
            <w:tcW w:w="2484" w:type="dxa"/>
            <w:vAlign w:val="center"/>
          </w:tcPr>
          <w:p w:rsidR="00C124B9" w:rsidRDefault="00AB4E19">
            <w:pPr>
              <w:jc w:val="left"/>
            </w:pPr>
            <w:r>
              <w:rPr>
                <w:color w:val="000000"/>
                <w:sz w:val="24"/>
              </w:rPr>
              <w:t>香港</w:t>
            </w:r>
          </w:p>
        </w:tc>
        <w:tc>
          <w:tcPr>
            <w:tcW w:w="3214" w:type="dxa"/>
            <w:vAlign w:val="center"/>
          </w:tcPr>
          <w:p w:rsidR="00C124B9" w:rsidRDefault="00AB4E19">
            <w:pPr>
              <w:jc w:val="right"/>
            </w:pPr>
            <w:r>
              <w:rPr>
                <w:color w:val="000000"/>
                <w:sz w:val="24"/>
              </w:rPr>
              <w:t>20,997,285.65</w:t>
            </w:r>
          </w:p>
        </w:tc>
        <w:tc>
          <w:tcPr>
            <w:tcW w:w="3170" w:type="dxa"/>
            <w:vAlign w:val="center"/>
          </w:tcPr>
          <w:p w:rsidR="00C124B9" w:rsidRDefault="00AB4E19">
            <w:pPr>
              <w:jc w:val="right"/>
            </w:pPr>
            <w:r>
              <w:rPr>
                <w:color w:val="000000"/>
                <w:sz w:val="24"/>
              </w:rPr>
              <w:t>21.97</w:t>
            </w:r>
          </w:p>
        </w:tc>
      </w:tr>
      <w:tr w:rsidR="00C124B9">
        <w:trPr>
          <w:jc w:val="center"/>
        </w:trPr>
        <w:tc>
          <w:tcPr>
            <w:tcW w:w="2484" w:type="dxa"/>
            <w:vAlign w:val="center"/>
          </w:tcPr>
          <w:p w:rsidR="00C124B9" w:rsidRDefault="00AB4E19">
            <w:pPr>
              <w:jc w:val="left"/>
            </w:pPr>
            <w:r>
              <w:rPr>
                <w:color w:val="000000"/>
                <w:sz w:val="24"/>
              </w:rPr>
              <w:t>英国</w:t>
            </w:r>
          </w:p>
        </w:tc>
        <w:tc>
          <w:tcPr>
            <w:tcW w:w="3214" w:type="dxa"/>
            <w:vAlign w:val="center"/>
          </w:tcPr>
          <w:p w:rsidR="00C124B9" w:rsidRDefault="00AB4E19">
            <w:pPr>
              <w:jc w:val="right"/>
            </w:pPr>
            <w:r>
              <w:rPr>
                <w:color w:val="000000"/>
                <w:sz w:val="24"/>
              </w:rPr>
              <w:t>6,559,247.82</w:t>
            </w:r>
          </w:p>
        </w:tc>
        <w:tc>
          <w:tcPr>
            <w:tcW w:w="3170" w:type="dxa"/>
            <w:vAlign w:val="center"/>
          </w:tcPr>
          <w:p w:rsidR="00C124B9" w:rsidRDefault="00AB4E19">
            <w:pPr>
              <w:jc w:val="right"/>
            </w:pPr>
            <w:r>
              <w:rPr>
                <w:color w:val="000000"/>
                <w:sz w:val="24"/>
              </w:rPr>
              <w:t>6.86</w:t>
            </w:r>
          </w:p>
        </w:tc>
      </w:tr>
      <w:tr w:rsidR="00C124B9">
        <w:trPr>
          <w:jc w:val="center"/>
        </w:trPr>
        <w:tc>
          <w:tcPr>
            <w:tcW w:w="2484" w:type="dxa"/>
            <w:vAlign w:val="center"/>
          </w:tcPr>
          <w:p w:rsidR="00C124B9" w:rsidRDefault="00AB4E19">
            <w:pPr>
              <w:jc w:val="left"/>
            </w:pPr>
            <w:r>
              <w:rPr>
                <w:color w:val="000000"/>
                <w:sz w:val="24"/>
              </w:rPr>
              <w:t>日本</w:t>
            </w:r>
          </w:p>
        </w:tc>
        <w:tc>
          <w:tcPr>
            <w:tcW w:w="3214" w:type="dxa"/>
            <w:vAlign w:val="center"/>
          </w:tcPr>
          <w:p w:rsidR="00C124B9" w:rsidRDefault="00AB4E19">
            <w:pPr>
              <w:jc w:val="right"/>
            </w:pPr>
            <w:r>
              <w:rPr>
                <w:color w:val="000000"/>
                <w:sz w:val="24"/>
              </w:rPr>
              <w:t>5,266,756.10</w:t>
            </w:r>
          </w:p>
        </w:tc>
        <w:tc>
          <w:tcPr>
            <w:tcW w:w="3170" w:type="dxa"/>
            <w:vAlign w:val="center"/>
          </w:tcPr>
          <w:p w:rsidR="00C124B9" w:rsidRDefault="00AB4E19">
            <w:pPr>
              <w:jc w:val="right"/>
            </w:pPr>
            <w:r>
              <w:rPr>
                <w:color w:val="000000"/>
                <w:sz w:val="24"/>
              </w:rPr>
              <w:t>5.51</w:t>
            </w:r>
          </w:p>
        </w:tc>
      </w:tr>
      <w:tr w:rsidR="00C124B9">
        <w:trPr>
          <w:jc w:val="center"/>
        </w:trPr>
        <w:tc>
          <w:tcPr>
            <w:tcW w:w="2484" w:type="dxa"/>
            <w:vAlign w:val="center"/>
          </w:tcPr>
          <w:p w:rsidR="00C124B9" w:rsidRDefault="00AB4E19">
            <w:pPr>
              <w:jc w:val="left"/>
            </w:pPr>
            <w:r>
              <w:rPr>
                <w:color w:val="000000"/>
                <w:sz w:val="24"/>
              </w:rPr>
              <w:t>德国</w:t>
            </w:r>
          </w:p>
        </w:tc>
        <w:tc>
          <w:tcPr>
            <w:tcW w:w="3214" w:type="dxa"/>
            <w:vAlign w:val="center"/>
          </w:tcPr>
          <w:p w:rsidR="00C124B9" w:rsidRDefault="00AB4E19">
            <w:pPr>
              <w:jc w:val="right"/>
            </w:pPr>
            <w:r>
              <w:rPr>
                <w:color w:val="000000"/>
                <w:sz w:val="24"/>
              </w:rPr>
              <w:t>3,460,079.00</w:t>
            </w:r>
          </w:p>
        </w:tc>
        <w:tc>
          <w:tcPr>
            <w:tcW w:w="3170" w:type="dxa"/>
            <w:vAlign w:val="center"/>
          </w:tcPr>
          <w:p w:rsidR="00C124B9" w:rsidRDefault="00AB4E19">
            <w:pPr>
              <w:jc w:val="right"/>
            </w:pPr>
            <w:r>
              <w:rPr>
                <w:color w:val="000000"/>
                <w:sz w:val="24"/>
              </w:rPr>
              <w:t>3.62</w:t>
            </w:r>
          </w:p>
        </w:tc>
      </w:tr>
      <w:tr w:rsidR="00C124B9">
        <w:trPr>
          <w:jc w:val="center"/>
        </w:trPr>
        <w:tc>
          <w:tcPr>
            <w:tcW w:w="2484" w:type="dxa"/>
            <w:vAlign w:val="center"/>
          </w:tcPr>
          <w:p w:rsidR="00C124B9" w:rsidRDefault="00AB4E19">
            <w:pPr>
              <w:jc w:val="left"/>
            </w:pPr>
            <w:r>
              <w:rPr>
                <w:color w:val="000000"/>
                <w:sz w:val="24"/>
              </w:rPr>
              <w:t>瑞士</w:t>
            </w:r>
          </w:p>
        </w:tc>
        <w:tc>
          <w:tcPr>
            <w:tcW w:w="3214" w:type="dxa"/>
            <w:vAlign w:val="center"/>
          </w:tcPr>
          <w:p w:rsidR="00C124B9" w:rsidRDefault="00AB4E19">
            <w:pPr>
              <w:jc w:val="right"/>
            </w:pPr>
            <w:r>
              <w:rPr>
                <w:color w:val="000000"/>
                <w:sz w:val="24"/>
              </w:rPr>
              <w:t>1,570,029.35</w:t>
            </w:r>
          </w:p>
        </w:tc>
        <w:tc>
          <w:tcPr>
            <w:tcW w:w="3170" w:type="dxa"/>
            <w:vAlign w:val="center"/>
          </w:tcPr>
          <w:p w:rsidR="00C124B9" w:rsidRDefault="00AB4E19">
            <w:pPr>
              <w:jc w:val="right"/>
            </w:pPr>
            <w:r>
              <w:rPr>
                <w:color w:val="000000"/>
                <w:sz w:val="24"/>
              </w:rPr>
              <w:t>1.64</w:t>
            </w:r>
          </w:p>
        </w:tc>
      </w:tr>
      <w:tr w:rsidR="00C124B9">
        <w:trPr>
          <w:jc w:val="center"/>
        </w:trPr>
        <w:tc>
          <w:tcPr>
            <w:tcW w:w="2484" w:type="dxa"/>
            <w:vAlign w:val="center"/>
          </w:tcPr>
          <w:p w:rsidR="00C124B9" w:rsidRDefault="00AB4E19">
            <w:pPr>
              <w:jc w:val="left"/>
            </w:pPr>
            <w:r>
              <w:rPr>
                <w:color w:val="000000"/>
                <w:sz w:val="24"/>
              </w:rPr>
              <w:t>挪威</w:t>
            </w:r>
          </w:p>
        </w:tc>
        <w:tc>
          <w:tcPr>
            <w:tcW w:w="3214" w:type="dxa"/>
            <w:vAlign w:val="center"/>
          </w:tcPr>
          <w:p w:rsidR="00C124B9" w:rsidRDefault="00AB4E19">
            <w:pPr>
              <w:jc w:val="right"/>
            </w:pPr>
            <w:r>
              <w:rPr>
                <w:color w:val="000000"/>
                <w:sz w:val="24"/>
              </w:rPr>
              <w:t>1,329,892.76</w:t>
            </w:r>
          </w:p>
        </w:tc>
        <w:tc>
          <w:tcPr>
            <w:tcW w:w="3170" w:type="dxa"/>
            <w:vAlign w:val="center"/>
          </w:tcPr>
          <w:p w:rsidR="00C124B9" w:rsidRDefault="00AB4E19">
            <w:pPr>
              <w:jc w:val="right"/>
            </w:pPr>
            <w:r>
              <w:rPr>
                <w:color w:val="000000"/>
                <w:sz w:val="24"/>
              </w:rPr>
              <w:t>1.39</w:t>
            </w:r>
          </w:p>
        </w:tc>
      </w:tr>
      <w:tr w:rsidR="00C124B9">
        <w:trPr>
          <w:jc w:val="center"/>
        </w:trPr>
        <w:tc>
          <w:tcPr>
            <w:tcW w:w="2484" w:type="dxa"/>
            <w:vAlign w:val="center"/>
          </w:tcPr>
          <w:p w:rsidR="00C124B9" w:rsidRDefault="00AB4E19">
            <w:pPr>
              <w:jc w:val="left"/>
            </w:pPr>
            <w:r>
              <w:rPr>
                <w:color w:val="000000"/>
                <w:sz w:val="24"/>
              </w:rPr>
              <w:t>西班牙</w:t>
            </w:r>
          </w:p>
        </w:tc>
        <w:tc>
          <w:tcPr>
            <w:tcW w:w="3214" w:type="dxa"/>
            <w:vAlign w:val="center"/>
          </w:tcPr>
          <w:p w:rsidR="00C124B9" w:rsidRDefault="00AB4E19">
            <w:pPr>
              <w:jc w:val="right"/>
            </w:pPr>
            <w:r>
              <w:rPr>
                <w:color w:val="000000"/>
                <w:sz w:val="24"/>
              </w:rPr>
              <w:t>971,097.20</w:t>
            </w:r>
          </w:p>
        </w:tc>
        <w:tc>
          <w:tcPr>
            <w:tcW w:w="3170" w:type="dxa"/>
            <w:vAlign w:val="center"/>
          </w:tcPr>
          <w:p w:rsidR="00C124B9" w:rsidRDefault="00AB4E19">
            <w:pPr>
              <w:jc w:val="right"/>
            </w:pPr>
            <w:r>
              <w:rPr>
                <w:color w:val="000000"/>
                <w:sz w:val="24"/>
              </w:rPr>
              <w:t>1.02</w:t>
            </w:r>
          </w:p>
        </w:tc>
      </w:tr>
      <w:tr w:rsidR="00C124B9">
        <w:trPr>
          <w:jc w:val="center"/>
        </w:trPr>
        <w:tc>
          <w:tcPr>
            <w:tcW w:w="2484" w:type="dxa"/>
            <w:vAlign w:val="center"/>
          </w:tcPr>
          <w:p w:rsidR="00C124B9" w:rsidRDefault="00AB4E19">
            <w:pPr>
              <w:jc w:val="left"/>
            </w:pPr>
            <w:r>
              <w:rPr>
                <w:color w:val="000000"/>
                <w:sz w:val="24"/>
              </w:rPr>
              <w:t>泰国</w:t>
            </w:r>
          </w:p>
        </w:tc>
        <w:tc>
          <w:tcPr>
            <w:tcW w:w="3214" w:type="dxa"/>
            <w:vAlign w:val="center"/>
          </w:tcPr>
          <w:p w:rsidR="00C124B9" w:rsidRDefault="00AB4E19">
            <w:pPr>
              <w:jc w:val="right"/>
            </w:pPr>
            <w:r>
              <w:rPr>
                <w:color w:val="000000"/>
                <w:sz w:val="24"/>
              </w:rPr>
              <w:t>852,732.69</w:t>
            </w:r>
          </w:p>
        </w:tc>
        <w:tc>
          <w:tcPr>
            <w:tcW w:w="3170" w:type="dxa"/>
            <w:vAlign w:val="center"/>
          </w:tcPr>
          <w:p w:rsidR="00C124B9" w:rsidRDefault="00AB4E19">
            <w:pPr>
              <w:jc w:val="right"/>
            </w:pPr>
            <w:r>
              <w:rPr>
                <w:color w:val="000000"/>
                <w:sz w:val="24"/>
              </w:rPr>
              <w:t>0.89</w:t>
            </w:r>
          </w:p>
        </w:tc>
      </w:tr>
      <w:tr w:rsidR="00C124B9">
        <w:trPr>
          <w:jc w:val="center"/>
        </w:trPr>
        <w:tc>
          <w:tcPr>
            <w:tcW w:w="2484" w:type="dxa"/>
            <w:vAlign w:val="center"/>
          </w:tcPr>
          <w:p w:rsidR="00C124B9" w:rsidRDefault="00AB4E19">
            <w:pPr>
              <w:jc w:val="left"/>
            </w:pPr>
            <w:r>
              <w:rPr>
                <w:color w:val="000000"/>
                <w:sz w:val="24"/>
              </w:rPr>
              <w:t>巴西</w:t>
            </w:r>
          </w:p>
        </w:tc>
        <w:tc>
          <w:tcPr>
            <w:tcW w:w="3214" w:type="dxa"/>
            <w:vAlign w:val="center"/>
          </w:tcPr>
          <w:p w:rsidR="00C124B9" w:rsidRDefault="00AB4E19">
            <w:pPr>
              <w:jc w:val="right"/>
            </w:pPr>
            <w:r>
              <w:rPr>
                <w:color w:val="000000"/>
                <w:sz w:val="24"/>
              </w:rPr>
              <w:t>810,882.60</w:t>
            </w:r>
          </w:p>
        </w:tc>
        <w:tc>
          <w:tcPr>
            <w:tcW w:w="3170" w:type="dxa"/>
            <w:vAlign w:val="center"/>
          </w:tcPr>
          <w:p w:rsidR="00C124B9" w:rsidRDefault="00AB4E19">
            <w:pPr>
              <w:jc w:val="right"/>
            </w:pPr>
            <w:r>
              <w:rPr>
                <w:color w:val="000000"/>
                <w:sz w:val="24"/>
              </w:rPr>
              <w:t>0.85</w:t>
            </w:r>
          </w:p>
        </w:tc>
      </w:tr>
      <w:tr w:rsidR="00C124B9">
        <w:trPr>
          <w:jc w:val="center"/>
        </w:trPr>
        <w:tc>
          <w:tcPr>
            <w:tcW w:w="2484" w:type="dxa"/>
            <w:vAlign w:val="center"/>
          </w:tcPr>
          <w:p w:rsidR="00C124B9" w:rsidRDefault="00AB4E19">
            <w:pPr>
              <w:jc w:val="left"/>
            </w:pPr>
            <w:r>
              <w:rPr>
                <w:color w:val="000000"/>
                <w:sz w:val="24"/>
              </w:rPr>
              <w:t>瑞典</w:t>
            </w:r>
          </w:p>
        </w:tc>
        <w:tc>
          <w:tcPr>
            <w:tcW w:w="3214" w:type="dxa"/>
            <w:vAlign w:val="center"/>
          </w:tcPr>
          <w:p w:rsidR="00C124B9" w:rsidRDefault="00AB4E19">
            <w:pPr>
              <w:jc w:val="right"/>
            </w:pPr>
            <w:r>
              <w:rPr>
                <w:color w:val="000000"/>
                <w:sz w:val="24"/>
              </w:rPr>
              <w:t>798,241.80</w:t>
            </w:r>
          </w:p>
        </w:tc>
        <w:tc>
          <w:tcPr>
            <w:tcW w:w="3170" w:type="dxa"/>
            <w:vAlign w:val="center"/>
          </w:tcPr>
          <w:p w:rsidR="00C124B9" w:rsidRDefault="00AB4E19">
            <w:pPr>
              <w:jc w:val="right"/>
            </w:pPr>
            <w:r>
              <w:rPr>
                <w:color w:val="000000"/>
                <w:sz w:val="24"/>
              </w:rPr>
              <w:t>0.84</w:t>
            </w:r>
          </w:p>
        </w:tc>
      </w:tr>
      <w:tr w:rsidR="00C124B9">
        <w:trPr>
          <w:jc w:val="center"/>
        </w:trPr>
        <w:tc>
          <w:tcPr>
            <w:tcW w:w="2484" w:type="dxa"/>
            <w:vAlign w:val="center"/>
          </w:tcPr>
          <w:p w:rsidR="00C124B9" w:rsidRDefault="00AB4E19">
            <w:pPr>
              <w:jc w:val="left"/>
            </w:pPr>
            <w:r>
              <w:rPr>
                <w:color w:val="000000"/>
                <w:sz w:val="24"/>
              </w:rPr>
              <w:t>新加坡</w:t>
            </w:r>
          </w:p>
        </w:tc>
        <w:tc>
          <w:tcPr>
            <w:tcW w:w="3214" w:type="dxa"/>
            <w:vAlign w:val="center"/>
          </w:tcPr>
          <w:p w:rsidR="00C124B9" w:rsidRDefault="00AB4E19">
            <w:pPr>
              <w:jc w:val="right"/>
            </w:pPr>
            <w:r>
              <w:rPr>
                <w:color w:val="000000"/>
                <w:sz w:val="24"/>
              </w:rPr>
              <w:t>793,316.63</w:t>
            </w:r>
          </w:p>
        </w:tc>
        <w:tc>
          <w:tcPr>
            <w:tcW w:w="3170" w:type="dxa"/>
            <w:vAlign w:val="center"/>
          </w:tcPr>
          <w:p w:rsidR="00C124B9" w:rsidRDefault="00AB4E19">
            <w:pPr>
              <w:jc w:val="right"/>
            </w:pPr>
            <w:r>
              <w:rPr>
                <w:color w:val="000000"/>
                <w:sz w:val="24"/>
              </w:rPr>
              <w:t>0.83</w:t>
            </w:r>
          </w:p>
        </w:tc>
      </w:tr>
      <w:tr w:rsidR="00C124B9">
        <w:trPr>
          <w:jc w:val="center"/>
        </w:trPr>
        <w:tc>
          <w:tcPr>
            <w:tcW w:w="2484" w:type="dxa"/>
            <w:vAlign w:val="center"/>
          </w:tcPr>
          <w:p w:rsidR="00C124B9" w:rsidRDefault="00AB4E19">
            <w:pPr>
              <w:jc w:val="left"/>
            </w:pPr>
            <w:r>
              <w:rPr>
                <w:color w:val="000000"/>
                <w:sz w:val="24"/>
              </w:rPr>
              <w:t>法国</w:t>
            </w:r>
          </w:p>
        </w:tc>
        <w:tc>
          <w:tcPr>
            <w:tcW w:w="3214" w:type="dxa"/>
            <w:vAlign w:val="center"/>
          </w:tcPr>
          <w:p w:rsidR="00C124B9" w:rsidRDefault="00AB4E19">
            <w:pPr>
              <w:jc w:val="right"/>
            </w:pPr>
            <w:r>
              <w:rPr>
                <w:color w:val="000000"/>
                <w:sz w:val="24"/>
              </w:rPr>
              <w:t>590,136.41</w:t>
            </w:r>
          </w:p>
        </w:tc>
        <w:tc>
          <w:tcPr>
            <w:tcW w:w="3170" w:type="dxa"/>
            <w:vAlign w:val="center"/>
          </w:tcPr>
          <w:p w:rsidR="00C124B9" w:rsidRDefault="00AB4E19">
            <w:pPr>
              <w:jc w:val="right"/>
            </w:pPr>
            <w:r>
              <w:rPr>
                <w:color w:val="000000"/>
                <w:sz w:val="24"/>
              </w:rPr>
              <w:t>0.62</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86,434,562.43</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90.44</w:t>
            </w:r>
          </w:p>
        </w:tc>
      </w:tr>
    </w:tbl>
    <w:p w:rsidR="00C124B9" w:rsidRDefault="00AB4E1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C124B9">
        <w:trPr>
          <w:jc w:val="center"/>
        </w:trPr>
        <w:tc>
          <w:tcPr>
            <w:tcW w:w="2904" w:type="dxa"/>
            <w:vAlign w:val="center"/>
          </w:tcPr>
          <w:p w:rsidR="00C124B9" w:rsidRDefault="00AB4E19">
            <w:pPr>
              <w:jc w:val="left"/>
            </w:pPr>
            <w:r>
              <w:rPr>
                <w:color w:val="000000"/>
                <w:sz w:val="24"/>
              </w:rPr>
              <w:t>信息技术</w:t>
            </w:r>
          </w:p>
        </w:tc>
        <w:tc>
          <w:tcPr>
            <w:tcW w:w="2657" w:type="dxa"/>
            <w:vAlign w:val="center"/>
          </w:tcPr>
          <w:p w:rsidR="00C124B9" w:rsidRDefault="00AB4E19">
            <w:pPr>
              <w:jc w:val="right"/>
            </w:pPr>
            <w:r>
              <w:rPr>
                <w:color w:val="000000"/>
                <w:sz w:val="24"/>
              </w:rPr>
              <w:t>14,281,545.10</w:t>
            </w:r>
          </w:p>
        </w:tc>
        <w:tc>
          <w:tcPr>
            <w:tcW w:w="3307" w:type="dxa"/>
            <w:vAlign w:val="center"/>
          </w:tcPr>
          <w:p w:rsidR="00C124B9" w:rsidRDefault="00AB4E19">
            <w:pPr>
              <w:jc w:val="right"/>
            </w:pPr>
            <w:r>
              <w:rPr>
                <w:color w:val="000000"/>
                <w:sz w:val="24"/>
              </w:rPr>
              <w:t>14.94</w:t>
            </w:r>
          </w:p>
        </w:tc>
      </w:tr>
      <w:tr w:rsidR="00C124B9">
        <w:trPr>
          <w:jc w:val="center"/>
        </w:trPr>
        <w:tc>
          <w:tcPr>
            <w:tcW w:w="2904" w:type="dxa"/>
            <w:vAlign w:val="center"/>
          </w:tcPr>
          <w:p w:rsidR="00C124B9" w:rsidRDefault="00AB4E19">
            <w:pPr>
              <w:jc w:val="left"/>
            </w:pPr>
            <w:r>
              <w:rPr>
                <w:color w:val="000000"/>
                <w:sz w:val="24"/>
              </w:rPr>
              <w:t>保健</w:t>
            </w:r>
          </w:p>
        </w:tc>
        <w:tc>
          <w:tcPr>
            <w:tcW w:w="2657" w:type="dxa"/>
            <w:vAlign w:val="center"/>
          </w:tcPr>
          <w:p w:rsidR="00C124B9" w:rsidRDefault="00AB4E19">
            <w:pPr>
              <w:jc w:val="right"/>
            </w:pPr>
            <w:r>
              <w:rPr>
                <w:color w:val="000000"/>
                <w:sz w:val="24"/>
              </w:rPr>
              <w:t>13,458,591.30</w:t>
            </w:r>
          </w:p>
        </w:tc>
        <w:tc>
          <w:tcPr>
            <w:tcW w:w="3307" w:type="dxa"/>
            <w:vAlign w:val="center"/>
          </w:tcPr>
          <w:p w:rsidR="00C124B9" w:rsidRDefault="00AB4E19">
            <w:pPr>
              <w:jc w:val="right"/>
            </w:pPr>
            <w:r>
              <w:rPr>
                <w:color w:val="000000"/>
                <w:sz w:val="24"/>
              </w:rPr>
              <w:t>14.08</w:t>
            </w:r>
          </w:p>
        </w:tc>
      </w:tr>
      <w:tr w:rsidR="00C124B9">
        <w:trPr>
          <w:jc w:val="center"/>
        </w:trPr>
        <w:tc>
          <w:tcPr>
            <w:tcW w:w="2904" w:type="dxa"/>
            <w:vAlign w:val="center"/>
          </w:tcPr>
          <w:p w:rsidR="00C124B9" w:rsidRDefault="00AB4E19">
            <w:pPr>
              <w:jc w:val="left"/>
            </w:pPr>
            <w:r>
              <w:rPr>
                <w:color w:val="000000"/>
                <w:sz w:val="24"/>
              </w:rPr>
              <w:t>金融</w:t>
            </w:r>
          </w:p>
        </w:tc>
        <w:tc>
          <w:tcPr>
            <w:tcW w:w="2657" w:type="dxa"/>
            <w:vAlign w:val="center"/>
          </w:tcPr>
          <w:p w:rsidR="00C124B9" w:rsidRDefault="00AB4E19">
            <w:pPr>
              <w:jc w:val="right"/>
            </w:pPr>
            <w:r>
              <w:rPr>
                <w:color w:val="000000"/>
                <w:sz w:val="24"/>
              </w:rPr>
              <w:t>12,360,843.85</w:t>
            </w:r>
          </w:p>
        </w:tc>
        <w:tc>
          <w:tcPr>
            <w:tcW w:w="3307" w:type="dxa"/>
            <w:vAlign w:val="center"/>
          </w:tcPr>
          <w:p w:rsidR="00C124B9" w:rsidRDefault="00AB4E19">
            <w:pPr>
              <w:jc w:val="right"/>
            </w:pPr>
            <w:r>
              <w:rPr>
                <w:color w:val="000000"/>
                <w:sz w:val="24"/>
              </w:rPr>
              <w:t>12.93</w:t>
            </w:r>
          </w:p>
        </w:tc>
      </w:tr>
      <w:tr w:rsidR="00C124B9">
        <w:trPr>
          <w:jc w:val="center"/>
        </w:trPr>
        <w:tc>
          <w:tcPr>
            <w:tcW w:w="2904" w:type="dxa"/>
            <w:vAlign w:val="center"/>
          </w:tcPr>
          <w:p w:rsidR="00C124B9" w:rsidRDefault="00AB4E19">
            <w:pPr>
              <w:jc w:val="left"/>
            </w:pPr>
            <w:r>
              <w:rPr>
                <w:color w:val="000000"/>
                <w:sz w:val="24"/>
              </w:rPr>
              <w:t>非必需品</w:t>
            </w:r>
          </w:p>
        </w:tc>
        <w:tc>
          <w:tcPr>
            <w:tcW w:w="2657" w:type="dxa"/>
            <w:vAlign w:val="center"/>
          </w:tcPr>
          <w:p w:rsidR="00C124B9" w:rsidRDefault="00AB4E19">
            <w:pPr>
              <w:jc w:val="right"/>
            </w:pPr>
            <w:r>
              <w:rPr>
                <w:color w:val="000000"/>
                <w:sz w:val="24"/>
              </w:rPr>
              <w:t>11,842,673.52</w:t>
            </w:r>
          </w:p>
        </w:tc>
        <w:tc>
          <w:tcPr>
            <w:tcW w:w="3307" w:type="dxa"/>
            <w:vAlign w:val="center"/>
          </w:tcPr>
          <w:p w:rsidR="00C124B9" w:rsidRDefault="00AB4E19">
            <w:pPr>
              <w:jc w:val="right"/>
            </w:pPr>
            <w:r>
              <w:rPr>
                <w:color w:val="000000"/>
                <w:sz w:val="24"/>
              </w:rPr>
              <w:t>12.39</w:t>
            </w:r>
          </w:p>
        </w:tc>
      </w:tr>
      <w:tr w:rsidR="00C124B9">
        <w:trPr>
          <w:jc w:val="center"/>
        </w:trPr>
        <w:tc>
          <w:tcPr>
            <w:tcW w:w="2904" w:type="dxa"/>
            <w:vAlign w:val="center"/>
          </w:tcPr>
          <w:p w:rsidR="00C124B9" w:rsidRDefault="00AB4E19">
            <w:pPr>
              <w:jc w:val="left"/>
            </w:pPr>
            <w:r>
              <w:rPr>
                <w:color w:val="000000"/>
                <w:sz w:val="24"/>
              </w:rPr>
              <w:t>工业</w:t>
            </w:r>
          </w:p>
        </w:tc>
        <w:tc>
          <w:tcPr>
            <w:tcW w:w="2657" w:type="dxa"/>
            <w:vAlign w:val="center"/>
          </w:tcPr>
          <w:p w:rsidR="00C124B9" w:rsidRDefault="00AB4E19">
            <w:pPr>
              <w:jc w:val="right"/>
            </w:pPr>
            <w:r>
              <w:rPr>
                <w:color w:val="000000"/>
                <w:sz w:val="24"/>
              </w:rPr>
              <w:t>10,688,491.87</w:t>
            </w:r>
          </w:p>
        </w:tc>
        <w:tc>
          <w:tcPr>
            <w:tcW w:w="3307" w:type="dxa"/>
            <w:vAlign w:val="center"/>
          </w:tcPr>
          <w:p w:rsidR="00C124B9" w:rsidRDefault="00AB4E19">
            <w:pPr>
              <w:jc w:val="right"/>
            </w:pPr>
            <w:r>
              <w:rPr>
                <w:color w:val="000000"/>
                <w:sz w:val="24"/>
              </w:rPr>
              <w:t>11.18</w:t>
            </w:r>
          </w:p>
        </w:tc>
      </w:tr>
      <w:tr w:rsidR="00C124B9">
        <w:trPr>
          <w:jc w:val="center"/>
        </w:trPr>
        <w:tc>
          <w:tcPr>
            <w:tcW w:w="2904" w:type="dxa"/>
            <w:vAlign w:val="center"/>
          </w:tcPr>
          <w:p w:rsidR="00C124B9" w:rsidRDefault="00AB4E19">
            <w:pPr>
              <w:jc w:val="left"/>
            </w:pPr>
            <w:r>
              <w:rPr>
                <w:color w:val="000000"/>
                <w:sz w:val="24"/>
              </w:rPr>
              <w:t>必需品</w:t>
            </w:r>
          </w:p>
        </w:tc>
        <w:tc>
          <w:tcPr>
            <w:tcW w:w="2657" w:type="dxa"/>
            <w:vAlign w:val="center"/>
          </w:tcPr>
          <w:p w:rsidR="00C124B9" w:rsidRDefault="00AB4E19">
            <w:pPr>
              <w:jc w:val="right"/>
            </w:pPr>
            <w:r>
              <w:rPr>
                <w:color w:val="000000"/>
                <w:sz w:val="24"/>
              </w:rPr>
              <w:t>8,630,062.35</w:t>
            </w:r>
          </w:p>
        </w:tc>
        <w:tc>
          <w:tcPr>
            <w:tcW w:w="3307" w:type="dxa"/>
            <w:vAlign w:val="center"/>
          </w:tcPr>
          <w:p w:rsidR="00C124B9" w:rsidRDefault="00AB4E19">
            <w:pPr>
              <w:jc w:val="right"/>
            </w:pPr>
            <w:r>
              <w:rPr>
                <w:color w:val="000000"/>
                <w:sz w:val="24"/>
              </w:rPr>
              <w:t>9.03</w:t>
            </w:r>
          </w:p>
        </w:tc>
      </w:tr>
      <w:tr w:rsidR="00C124B9">
        <w:trPr>
          <w:jc w:val="center"/>
        </w:trPr>
        <w:tc>
          <w:tcPr>
            <w:tcW w:w="2904" w:type="dxa"/>
            <w:vAlign w:val="center"/>
          </w:tcPr>
          <w:p w:rsidR="00C124B9" w:rsidRDefault="00AB4E19">
            <w:pPr>
              <w:jc w:val="left"/>
            </w:pPr>
            <w:r>
              <w:rPr>
                <w:color w:val="000000"/>
                <w:sz w:val="24"/>
              </w:rPr>
              <w:t>能源</w:t>
            </w:r>
          </w:p>
        </w:tc>
        <w:tc>
          <w:tcPr>
            <w:tcW w:w="2657" w:type="dxa"/>
            <w:vAlign w:val="center"/>
          </w:tcPr>
          <w:p w:rsidR="00C124B9" w:rsidRDefault="00AB4E19">
            <w:pPr>
              <w:jc w:val="right"/>
            </w:pPr>
            <w:r>
              <w:rPr>
                <w:color w:val="000000"/>
                <w:sz w:val="24"/>
              </w:rPr>
              <w:t>4,596,176.96</w:t>
            </w:r>
          </w:p>
        </w:tc>
        <w:tc>
          <w:tcPr>
            <w:tcW w:w="3307" w:type="dxa"/>
            <w:vAlign w:val="center"/>
          </w:tcPr>
          <w:p w:rsidR="00C124B9" w:rsidRDefault="00AB4E19">
            <w:pPr>
              <w:jc w:val="right"/>
            </w:pPr>
            <w:r>
              <w:rPr>
                <w:color w:val="000000"/>
                <w:sz w:val="24"/>
              </w:rPr>
              <w:t>4.81</w:t>
            </w:r>
          </w:p>
        </w:tc>
      </w:tr>
      <w:tr w:rsidR="00C124B9">
        <w:trPr>
          <w:jc w:val="center"/>
        </w:trPr>
        <w:tc>
          <w:tcPr>
            <w:tcW w:w="2904" w:type="dxa"/>
            <w:vAlign w:val="center"/>
          </w:tcPr>
          <w:p w:rsidR="00C124B9" w:rsidRDefault="00AB4E19">
            <w:pPr>
              <w:jc w:val="left"/>
            </w:pPr>
            <w:r>
              <w:rPr>
                <w:color w:val="000000"/>
                <w:sz w:val="24"/>
              </w:rPr>
              <w:t>材料</w:t>
            </w:r>
          </w:p>
        </w:tc>
        <w:tc>
          <w:tcPr>
            <w:tcW w:w="2657" w:type="dxa"/>
            <w:vAlign w:val="center"/>
          </w:tcPr>
          <w:p w:rsidR="00C124B9" w:rsidRDefault="00AB4E19">
            <w:pPr>
              <w:jc w:val="right"/>
            </w:pPr>
            <w:r>
              <w:rPr>
                <w:color w:val="000000"/>
                <w:sz w:val="24"/>
              </w:rPr>
              <w:t>4,371,906.08</w:t>
            </w:r>
          </w:p>
        </w:tc>
        <w:tc>
          <w:tcPr>
            <w:tcW w:w="3307" w:type="dxa"/>
            <w:vAlign w:val="center"/>
          </w:tcPr>
          <w:p w:rsidR="00C124B9" w:rsidRDefault="00AB4E19">
            <w:pPr>
              <w:jc w:val="right"/>
            </w:pPr>
            <w:r>
              <w:rPr>
                <w:color w:val="000000"/>
                <w:sz w:val="24"/>
              </w:rPr>
              <w:t>4.57</w:t>
            </w:r>
          </w:p>
        </w:tc>
      </w:tr>
      <w:tr w:rsidR="00C124B9">
        <w:trPr>
          <w:jc w:val="center"/>
        </w:trPr>
        <w:tc>
          <w:tcPr>
            <w:tcW w:w="2904" w:type="dxa"/>
            <w:vAlign w:val="center"/>
          </w:tcPr>
          <w:p w:rsidR="00C124B9" w:rsidRDefault="00AB4E19">
            <w:pPr>
              <w:jc w:val="left"/>
            </w:pPr>
            <w:r>
              <w:rPr>
                <w:color w:val="000000"/>
                <w:sz w:val="24"/>
              </w:rPr>
              <w:t>电信服务</w:t>
            </w:r>
          </w:p>
        </w:tc>
        <w:tc>
          <w:tcPr>
            <w:tcW w:w="2657" w:type="dxa"/>
            <w:vAlign w:val="center"/>
          </w:tcPr>
          <w:p w:rsidR="00C124B9" w:rsidRDefault="00AB4E19">
            <w:pPr>
              <w:jc w:val="right"/>
            </w:pPr>
            <w:r>
              <w:rPr>
                <w:color w:val="000000"/>
                <w:sz w:val="24"/>
              </w:rPr>
              <w:t>3,191,077.57</w:t>
            </w:r>
          </w:p>
        </w:tc>
        <w:tc>
          <w:tcPr>
            <w:tcW w:w="3307" w:type="dxa"/>
            <w:vAlign w:val="center"/>
          </w:tcPr>
          <w:p w:rsidR="00C124B9" w:rsidRDefault="00AB4E19">
            <w:pPr>
              <w:jc w:val="right"/>
            </w:pPr>
            <w:r>
              <w:rPr>
                <w:color w:val="000000"/>
                <w:sz w:val="24"/>
              </w:rPr>
              <w:t>3.34</w:t>
            </w:r>
          </w:p>
        </w:tc>
      </w:tr>
      <w:tr w:rsidR="00C124B9">
        <w:trPr>
          <w:jc w:val="center"/>
        </w:trPr>
        <w:tc>
          <w:tcPr>
            <w:tcW w:w="2904" w:type="dxa"/>
            <w:vAlign w:val="center"/>
          </w:tcPr>
          <w:p w:rsidR="00C124B9" w:rsidRDefault="00AB4E19">
            <w:pPr>
              <w:jc w:val="left"/>
            </w:pPr>
            <w:r>
              <w:rPr>
                <w:color w:val="000000"/>
                <w:sz w:val="24"/>
              </w:rPr>
              <w:t>不动产</w:t>
            </w:r>
          </w:p>
        </w:tc>
        <w:tc>
          <w:tcPr>
            <w:tcW w:w="2657" w:type="dxa"/>
            <w:vAlign w:val="center"/>
          </w:tcPr>
          <w:p w:rsidR="00C124B9" w:rsidRDefault="00AB4E19">
            <w:pPr>
              <w:jc w:val="right"/>
            </w:pPr>
            <w:r>
              <w:rPr>
                <w:color w:val="000000"/>
                <w:sz w:val="24"/>
              </w:rPr>
              <w:t>2,697,366.00</w:t>
            </w:r>
          </w:p>
        </w:tc>
        <w:tc>
          <w:tcPr>
            <w:tcW w:w="3307" w:type="dxa"/>
            <w:vAlign w:val="center"/>
          </w:tcPr>
          <w:p w:rsidR="00C124B9" w:rsidRDefault="00AB4E19">
            <w:pPr>
              <w:jc w:val="right"/>
            </w:pPr>
            <w:r>
              <w:rPr>
                <w:color w:val="000000"/>
                <w:sz w:val="24"/>
              </w:rPr>
              <w:t>2.82</w:t>
            </w:r>
          </w:p>
        </w:tc>
      </w:tr>
      <w:tr w:rsidR="00C124B9">
        <w:trPr>
          <w:jc w:val="center"/>
        </w:trPr>
        <w:tc>
          <w:tcPr>
            <w:tcW w:w="2904" w:type="dxa"/>
            <w:vAlign w:val="center"/>
          </w:tcPr>
          <w:p w:rsidR="00C124B9" w:rsidRDefault="00AB4E19">
            <w:pPr>
              <w:jc w:val="left"/>
            </w:pPr>
            <w:r>
              <w:rPr>
                <w:color w:val="000000"/>
                <w:sz w:val="24"/>
              </w:rPr>
              <w:t>公用事业</w:t>
            </w:r>
          </w:p>
        </w:tc>
        <w:tc>
          <w:tcPr>
            <w:tcW w:w="2657" w:type="dxa"/>
            <w:vAlign w:val="center"/>
          </w:tcPr>
          <w:p w:rsidR="00C124B9" w:rsidRDefault="00AB4E19">
            <w:pPr>
              <w:jc w:val="right"/>
            </w:pPr>
            <w:r>
              <w:rPr>
                <w:color w:val="000000"/>
                <w:sz w:val="24"/>
              </w:rPr>
              <w:t>315,827.83</w:t>
            </w:r>
          </w:p>
        </w:tc>
        <w:tc>
          <w:tcPr>
            <w:tcW w:w="3307" w:type="dxa"/>
            <w:vAlign w:val="center"/>
          </w:tcPr>
          <w:p w:rsidR="00C124B9" w:rsidRDefault="00AB4E19">
            <w:pPr>
              <w:jc w:val="right"/>
            </w:pPr>
            <w:r>
              <w:rPr>
                <w:color w:val="000000"/>
                <w:sz w:val="24"/>
              </w:rPr>
              <w:t>0.33</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86,434,562.43</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90.44</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C124B9">
        <w:trPr>
          <w:jc w:val="center"/>
        </w:trPr>
        <w:tc>
          <w:tcPr>
            <w:tcW w:w="1243" w:type="dxa"/>
            <w:vAlign w:val="center"/>
          </w:tcPr>
          <w:p w:rsidR="00C124B9" w:rsidRDefault="00AB4E19">
            <w:pPr>
              <w:jc w:val="center"/>
            </w:pPr>
            <w:r>
              <w:rPr>
                <w:color w:val="000000"/>
                <w:sz w:val="24"/>
              </w:rPr>
              <w:t>1</w:t>
            </w:r>
          </w:p>
        </w:tc>
        <w:tc>
          <w:tcPr>
            <w:tcW w:w="971" w:type="dxa"/>
            <w:vAlign w:val="center"/>
          </w:tcPr>
          <w:p w:rsidR="00C124B9" w:rsidRDefault="00AB4E19">
            <w:pPr>
              <w:jc w:val="center"/>
            </w:pPr>
            <w:r>
              <w:rPr>
                <w:color w:val="000000"/>
                <w:sz w:val="24"/>
              </w:rPr>
              <w:t>ALPHABET INC</w:t>
            </w:r>
          </w:p>
        </w:tc>
        <w:tc>
          <w:tcPr>
            <w:tcW w:w="993" w:type="dxa"/>
            <w:vAlign w:val="center"/>
          </w:tcPr>
          <w:p w:rsidR="00C124B9" w:rsidRDefault="00AB4E19">
            <w:pPr>
              <w:jc w:val="center"/>
            </w:pPr>
            <w:r>
              <w:rPr>
                <w:color w:val="000000"/>
                <w:sz w:val="24"/>
              </w:rPr>
              <w:t>Alphabet</w:t>
            </w:r>
            <w:r>
              <w:rPr>
                <w:color w:val="000000"/>
                <w:sz w:val="24"/>
              </w:rPr>
              <w:t>公司</w:t>
            </w:r>
          </w:p>
        </w:tc>
        <w:tc>
          <w:tcPr>
            <w:tcW w:w="725" w:type="dxa"/>
            <w:vAlign w:val="center"/>
          </w:tcPr>
          <w:p w:rsidR="00C124B9" w:rsidRDefault="00AB4E19">
            <w:pPr>
              <w:jc w:val="center"/>
            </w:pPr>
            <w:r>
              <w:rPr>
                <w:color w:val="000000"/>
                <w:sz w:val="24"/>
              </w:rPr>
              <w:t>GOOGL US</w:t>
            </w:r>
          </w:p>
        </w:tc>
        <w:tc>
          <w:tcPr>
            <w:tcW w:w="747" w:type="dxa"/>
            <w:vAlign w:val="center"/>
          </w:tcPr>
          <w:p w:rsidR="00C124B9" w:rsidRDefault="00AB4E19">
            <w:pPr>
              <w:jc w:val="center"/>
            </w:pPr>
            <w:r>
              <w:rPr>
                <w:color w:val="000000"/>
                <w:sz w:val="24"/>
              </w:rPr>
              <w:t>美国证券交易所</w:t>
            </w:r>
          </w:p>
        </w:tc>
        <w:tc>
          <w:tcPr>
            <w:tcW w:w="975" w:type="dxa"/>
            <w:vAlign w:val="center"/>
          </w:tcPr>
          <w:p w:rsidR="00C124B9" w:rsidRDefault="00AB4E19">
            <w:pPr>
              <w:jc w:val="center"/>
            </w:pPr>
            <w:r>
              <w:rPr>
                <w:color w:val="000000"/>
                <w:sz w:val="24"/>
              </w:rPr>
              <w:t>美国</w:t>
            </w:r>
          </w:p>
        </w:tc>
        <w:tc>
          <w:tcPr>
            <w:tcW w:w="1175" w:type="dxa"/>
            <w:vAlign w:val="center"/>
          </w:tcPr>
          <w:p w:rsidR="00C124B9" w:rsidRDefault="00AB4E19">
            <w:pPr>
              <w:jc w:val="right"/>
            </w:pPr>
            <w:r>
              <w:rPr>
                <w:color w:val="000000"/>
                <w:sz w:val="24"/>
              </w:rPr>
              <w:t>396</w:t>
            </w:r>
          </w:p>
        </w:tc>
        <w:tc>
          <w:tcPr>
            <w:tcW w:w="975" w:type="dxa"/>
            <w:vAlign w:val="center"/>
          </w:tcPr>
          <w:p w:rsidR="00C124B9" w:rsidRDefault="00AB4E19">
            <w:pPr>
              <w:jc w:val="right"/>
            </w:pPr>
            <w:r>
              <w:rPr>
                <w:color w:val="000000"/>
                <w:sz w:val="24"/>
              </w:rPr>
              <w:t>2,126,263.34</w:t>
            </w:r>
          </w:p>
        </w:tc>
        <w:tc>
          <w:tcPr>
            <w:tcW w:w="1175" w:type="dxa"/>
            <w:vAlign w:val="center"/>
          </w:tcPr>
          <w:p w:rsidR="00C124B9" w:rsidRDefault="00AB4E19">
            <w:pPr>
              <w:jc w:val="right"/>
            </w:pPr>
            <w:r>
              <w:rPr>
                <w:color w:val="000000"/>
                <w:sz w:val="24"/>
              </w:rPr>
              <w:t>2.22</w:t>
            </w:r>
          </w:p>
        </w:tc>
      </w:tr>
      <w:tr w:rsidR="00C124B9">
        <w:trPr>
          <w:jc w:val="center"/>
        </w:trPr>
        <w:tc>
          <w:tcPr>
            <w:tcW w:w="1243" w:type="dxa"/>
            <w:vAlign w:val="center"/>
          </w:tcPr>
          <w:p w:rsidR="00C124B9" w:rsidRDefault="00AB4E19">
            <w:pPr>
              <w:jc w:val="center"/>
            </w:pPr>
            <w:r>
              <w:rPr>
                <w:color w:val="000000"/>
                <w:sz w:val="24"/>
              </w:rPr>
              <w:t>2</w:t>
            </w:r>
          </w:p>
        </w:tc>
        <w:tc>
          <w:tcPr>
            <w:tcW w:w="971" w:type="dxa"/>
            <w:vAlign w:val="center"/>
          </w:tcPr>
          <w:p w:rsidR="00C124B9" w:rsidRDefault="00AB4E19">
            <w:pPr>
              <w:jc w:val="center"/>
            </w:pPr>
            <w:r>
              <w:rPr>
                <w:color w:val="000000"/>
                <w:sz w:val="24"/>
              </w:rPr>
              <w:t>AMAZON.COM INC</w:t>
            </w:r>
          </w:p>
        </w:tc>
        <w:tc>
          <w:tcPr>
            <w:tcW w:w="993" w:type="dxa"/>
            <w:vAlign w:val="center"/>
          </w:tcPr>
          <w:p w:rsidR="00C124B9" w:rsidRDefault="00AB4E19">
            <w:pPr>
              <w:jc w:val="center"/>
            </w:pPr>
            <w:r>
              <w:rPr>
                <w:color w:val="000000"/>
                <w:sz w:val="24"/>
              </w:rPr>
              <w:t>亚马逊公司</w:t>
            </w:r>
          </w:p>
        </w:tc>
        <w:tc>
          <w:tcPr>
            <w:tcW w:w="725" w:type="dxa"/>
            <w:vAlign w:val="center"/>
          </w:tcPr>
          <w:p w:rsidR="00C124B9" w:rsidRDefault="00AB4E19">
            <w:pPr>
              <w:jc w:val="center"/>
            </w:pPr>
            <w:r>
              <w:rPr>
                <w:color w:val="000000"/>
                <w:sz w:val="24"/>
              </w:rPr>
              <w:t>AMZN US</w:t>
            </w:r>
          </w:p>
        </w:tc>
        <w:tc>
          <w:tcPr>
            <w:tcW w:w="747" w:type="dxa"/>
            <w:vAlign w:val="center"/>
          </w:tcPr>
          <w:p w:rsidR="00C124B9" w:rsidRDefault="00AB4E19">
            <w:pPr>
              <w:jc w:val="center"/>
            </w:pPr>
            <w:r>
              <w:rPr>
                <w:color w:val="000000"/>
                <w:sz w:val="24"/>
              </w:rPr>
              <w:t>美国证券交易所</w:t>
            </w:r>
          </w:p>
        </w:tc>
        <w:tc>
          <w:tcPr>
            <w:tcW w:w="975" w:type="dxa"/>
            <w:vAlign w:val="center"/>
          </w:tcPr>
          <w:p w:rsidR="00C124B9" w:rsidRDefault="00AB4E19">
            <w:pPr>
              <w:jc w:val="center"/>
            </w:pPr>
            <w:r>
              <w:rPr>
                <w:color w:val="000000"/>
                <w:sz w:val="24"/>
              </w:rPr>
              <w:t>美国</w:t>
            </w:r>
          </w:p>
        </w:tc>
        <w:tc>
          <w:tcPr>
            <w:tcW w:w="1175" w:type="dxa"/>
            <w:vAlign w:val="center"/>
          </w:tcPr>
          <w:p w:rsidR="00C124B9" w:rsidRDefault="00AB4E19">
            <w:pPr>
              <w:jc w:val="right"/>
            </w:pPr>
            <w:r>
              <w:rPr>
                <w:color w:val="000000"/>
                <w:sz w:val="24"/>
              </w:rPr>
              <w:t>345</w:t>
            </w:r>
          </w:p>
        </w:tc>
        <w:tc>
          <w:tcPr>
            <w:tcW w:w="975" w:type="dxa"/>
            <w:vAlign w:val="center"/>
          </w:tcPr>
          <w:p w:rsidR="00C124B9" w:rsidRDefault="00AB4E19">
            <w:pPr>
              <w:jc w:val="right"/>
            </w:pPr>
            <w:r>
              <w:rPr>
                <w:color w:val="000000"/>
                <w:sz w:val="24"/>
              </w:rPr>
              <w:t>1,929,029.11</w:t>
            </w:r>
          </w:p>
        </w:tc>
        <w:tc>
          <w:tcPr>
            <w:tcW w:w="1175" w:type="dxa"/>
            <w:vAlign w:val="center"/>
          </w:tcPr>
          <w:p w:rsidR="00C124B9" w:rsidRDefault="00AB4E19">
            <w:pPr>
              <w:jc w:val="right"/>
            </w:pPr>
            <w:r>
              <w:rPr>
                <w:color w:val="000000"/>
                <w:sz w:val="24"/>
              </w:rPr>
              <w:t>2.02</w:t>
            </w:r>
          </w:p>
        </w:tc>
      </w:tr>
      <w:tr w:rsidR="00C124B9">
        <w:trPr>
          <w:jc w:val="center"/>
        </w:trPr>
        <w:tc>
          <w:tcPr>
            <w:tcW w:w="1243" w:type="dxa"/>
            <w:vAlign w:val="center"/>
          </w:tcPr>
          <w:p w:rsidR="00C124B9" w:rsidRDefault="00AB4E19">
            <w:pPr>
              <w:jc w:val="center"/>
            </w:pPr>
            <w:r>
              <w:rPr>
                <w:color w:val="000000"/>
                <w:sz w:val="24"/>
              </w:rPr>
              <w:t>3</w:t>
            </w:r>
          </w:p>
        </w:tc>
        <w:tc>
          <w:tcPr>
            <w:tcW w:w="971" w:type="dxa"/>
            <w:vAlign w:val="center"/>
          </w:tcPr>
          <w:p w:rsidR="00C124B9" w:rsidRDefault="00AB4E19">
            <w:pPr>
              <w:jc w:val="center"/>
            </w:pPr>
            <w:r>
              <w:rPr>
                <w:color w:val="000000"/>
                <w:sz w:val="24"/>
              </w:rPr>
              <w:t>COMCAST CORP-CL A</w:t>
            </w:r>
          </w:p>
        </w:tc>
        <w:tc>
          <w:tcPr>
            <w:tcW w:w="993" w:type="dxa"/>
            <w:vAlign w:val="center"/>
          </w:tcPr>
          <w:p w:rsidR="00C124B9" w:rsidRDefault="00AB4E19">
            <w:pPr>
              <w:jc w:val="center"/>
            </w:pPr>
            <w:r>
              <w:rPr>
                <w:color w:val="000000"/>
                <w:sz w:val="24"/>
              </w:rPr>
              <w:t>康卡斯特</w:t>
            </w:r>
          </w:p>
        </w:tc>
        <w:tc>
          <w:tcPr>
            <w:tcW w:w="725" w:type="dxa"/>
            <w:vAlign w:val="center"/>
          </w:tcPr>
          <w:p w:rsidR="00C124B9" w:rsidRDefault="00AB4E19">
            <w:pPr>
              <w:jc w:val="center"/>
            </w:pPr>
            <w:r>
              <w:rPr>
                <w:color w:val="000000"/>
                <w:sz w:val="24"/>
              </w:rPr>
              <w:t>CMCSA US</w:t>
            </w:r>
          </w:p>
        </w:tc>
        <w:tc>
          <w:tcPr>
            <w:tcW w:w="747" w:type="dxa"/>
            <w:vAlign w:val="center"/>
          </w:tcPr>
          <w:p w:rsidR="00C124B9" w:rsidRDefault="00AB4E19">
            <w:pPr>
              <w:jc w:val="center"/>
            </w:pPr>
            <w:r>
              <w:rPr>
                <w:color w:val="000000"/>
                <w:sz w:val="24"/>
              </w:rPr>
              <w:t>美国证券交易所</w:t>
            </w:r>
          </w:p>
        </w:tc>
        <w:tc>
          <w:tcPr>
            <w:tcW w:w="975" w:type="dxa"/>
            <w:vAlign w:val="center"/>
          </w:tcPr>
          <w:p w:rsidR="00C124B9" w:rsidRDefault="00AB4E19">
            <w:pPr>
              <w:jc w:val="center"/>
            </w:pPr>
            <w:r>
              <w:rPr>
                <w:color w:val="000000"/>
                <w:sz w:val="24"/>
              </w:rPr>
              <w:t>美国</w:t>
            </w:r>
          </w:p>
        </w:tc>
        <w:tc>
          <w:tcPr>
            <w:tcW w:w="1175" w:type="dxa"/>
            <w:vAlign w:val="center"/>
          </w:tcPr>
          <w:p w:rsidR="00C124B9" w:rsidRDefault="00AB4E19">
            <w:pPr>
              <w:jc w:val="right"/>
            </w:pPr>
            <w:r>
              <w:rPr>
                <w:color w:val="000000"/>
                <w:sz w:val="24"/>
              </w:rPr>
              <w:t>4,144</w:t>
            </w:r>
          </w:p>
        </w:tc>
        <w:tc>
          <w:tcPr>
            <w:tcW w:w="975" w:type="dxa"/>
            <w:vAlign w:val="center"/>
          </w:tcPr>
          <w:p w:rsidR="00C124B9" w:rsidRDefault="00AB4E19">
            <w:pPr>
              <w:jc w:val="right"/>
            </w:pPr>
            <w:r>
              <w:rPr>
                <w:color w:val="000000"/>
                <w:sz w:val="24"/>
              </w:rPr>
              <w:t>1,835,813.76</w:t>
            </w:r>
          </w:p>
        </w:tc>
        <w:tc>
          <w:tcPr>
            <w:tcW w:w="1175" w:type="dxa"/>
            <w:vAlign w:val="center"/>
          </w:tcPr>
          <w:p w:rsidR="00C124B9" w:rsidRDefault="00AB4E19">
            <w:pPr>
              <w:jc w:val="right"/>
            </w:pPr>
            <w:r>
              <w:rPr>
                <w:color w:val="000000"/>
                <w:sz w:val="24"/>
              </w:rPr>
              <w:t>1.92</w:t>
            </w:r>
          </w:p>
        </w:tc>
      </w:tr>
      <w:tr w:rsidR="00C124B9">
        <w:trPr>
          <w:jc w:val="center"/>
        </w:trPr>
        <w:tc>
          <w:tcPr>
            <w:tcW w:w="1243" w:type="dxa"/>
            <w:vAlign w:val="center"/>
          </w:tcPr>
          <w:p w:rsidR="00C124B9" w:rsidRDefault="00AB4E19">
            <w:pPr>
              <w:jc w:val="center"/>
            </w:pPr>
            <w:r>
              <w:rPr>
                <w:color w:val="000000"/>
                <w:sz w:val="24"/>
              </w:rPr>
              <w:t>4</w:t>
            </w:r>
          </w:p>
        </w:tc>
        <w:tc>
          <w:tcPr>
            <w:tcW w:w="971" w:type="dxa"/>
            <w:vAlign w:val="center"/>
          </w:tcPr>
          <w:p w:rsidR="00C124B9" w:rsidRDefault="00AB4E19">
            <w:pPr>
              <w:jc w:val="center"/>
            </w:pPr>
            <w:r>
              <w:rPr>
                <w:color w:val="000000"/>
                <w:sz w:val="24"/>
              </w:rPr>
              <w:t>TENCENT HOLDINGS LTD</w:t>
            </w:r>
          </w:p>
        </w:tc>
        <w:tc>
          <w:tcPr>
            <w:tcW w:w="993" w:type="dxa"/>
            <w:vAlign w:val="center"/>
          </w:tcPr>
          <w:p w:rsidR="00C124B9" w:rsidRDefault="00AB4E19">
            <w:pPr>
              <w:jc w:val="center"/>
            </w:pPr>
            <w:r>
              <w:rPr>
                <w:color w:val="000000"/>
                <w:sz w:val="24"/>
              </w:rPr>
              <w:t>腾讯控股</w:t>
            </w:r>
          </w:p>
        </w:tc>
        <w:tc>
          <w:tcPr>
            <w:tcW w:w="725" w:type="dxa"/>
            <w:vAlign w:val="center"/>
          </w:tcPr>
          <w:p w:rsidR="00C124B9" w:rsidRDefault="00AB4E19">
            <w:pPr>
              <w:jc w:val="center"/>
            </w:pPr>
            <w:r>
              <w:rPr>
                <w:color w:val="000000"/>
                <w:sz w:val="24"/>
              </w:rPr>
              <w:t>700 HK</w:t>
            </w:r>
          </w:p>
        </w:tc>
        <w:tc>
          <w:tcPr>
            <w:tcW w:w="747" w:type="dxa"/>
            <w:vAlign w:val="center"/>
          </w:tcPr>
          <w:p w:rsidR="00C124B9" w:rsidRDefault="00AB4E19">
            <w:pPr>
              <w:jc w:val="center"/>
            </w:pPr>
            <w:r>
              <w:rPr>
                <w:color w:val="000000"/>
                <w:sz w:val="24"/>
              </w:rPr>
              <w:t>香港证券交易所</w:t>
            </w:r>
          </w:p>
        </w:tc>
        <w:tc>
          <w:tcPr>
            <w:tcW w:w="975" w:type="dxa"/>
            <w:vAlign w:val="center"/>
          </w:tcPr>
          <w:p w:rsidR="00C124B9" w:rsidRDefault="00AB4E19">
            <w:pPr>
              <w:jc w:val="center"/>
            </w:pPr>
            <w:r>
              <w:rPr>
                <w:color w:val="000000"/>
                <w:sz w:val="24"/>
              </w:rPr>
              <w:t>香港</w:t>
            </w:r>
          </w:p>
        </w:tc>
        <w:tc>
          <w:tcPr>
            <w:tcW w:w="1175" w:type="dxa"/>
            <w:vAlign w:val="center"/>
          </w:tcPr>
          <w:p w:rsidR="00C124B9" w:rsidRDefault="00AB4E19">
            <w:pPr>
              <w:jc w:val="right"/>
            </w:pPr>
            <w:r>
              <w:rPr>
                <w:color w:val="000000"/>
                <w:sz w:val="24"/>
              </w:rPr>
              <w:t>10,000</w:t>
            </w:r>
          </w:p>
        </w:tc>
        <w:tc>
          <w:tcPr>
            <w:tcW w:w="975" w:type="dxa"/>
            <w:vAlign w:val="center"/>
          </w:tcPr>
          <w:p w:rsidR="00C124B9" w:rsidRDefault="00AB4E19">
            <w:pPr>
              <w:jc w:val="right"/>
            </w:pPr>
            <w:r>
              <w:rPr>
                <w:color w:val="000000"/>
                <w:sz w:val="24"/>
              </w:rPr>
              <w:t>1,834,005.68</w:t>
            </w:r>
          </w:p>
        </w:tc>
        <w:tc>
          <w:tcPr>
            <w:tcW w:w="1175" w:type="dxa"/>
            <w:vAlign w:val="center"/>
          </w:tcPr>
          <w:p w:rsidR="00C124B9" w:rsidRDefault="00AB4E19">
            <w:pPr>
              <w:jc w:val="right"/>
            </w:pPr>
            <w:r>
              <w:rPr>
                <w:color w:val="000000"/>
                <w:sz w:val="24"/>
              </w:rPr>
              <w:t>1.92</w:t>
            </w:r>
          </w:p>
        </w:tc>
      </w:tr>
      <w:tr w:rsidR="00C124B9">
        <w:trPr>
          <w:jc w:val="center"/>
        </w:trPr>
        <w:tc>
          <w:tcPr>
            <w:tcW w:w="1243" w:type="dxa"/>
            <w:vAlign w:val="center"/>
          </w:tcPr>
          <w:p w:rsidR="00C124B9" w:rsidRDefault="00AB4E19">
            <w:pPr>
              <w:jc w:val="center"/>
            </w:pPr>
            <w:r>
              <w:rPr>
                <w:color w:val="000000"/>
                <w:sz w:val="24"/>
              </w:rPr>
              <w:t>5</w:t>
            </w:r>
          </w:p>
        </w:tc>
        <w:tc>
          <w:tcPr>
            <w:tcW w:w="971" w:type="dxa"/>
            <w:vAlign w:val="center"/>
          </w:tcPr>
          <w:p w:rsidR="00C124B9" w:rsidRDefault="00AB4E19">
            <w:pPr>
              <w:jc w:val="center"/>
            </w:pPr>
            <w:r>
              <w:rPr>
                <w:color w:val="000000"/>
                <w:sz w:val="24"/>
              </w:rPr>
              <w:t>UNITEDHEALTH GROUP I</w:t>
            </w:r>
          </w:p>
        </w:tc>
        <w:tc>
          <w:tcPr>
            <w:tcW w:w="993" w:type="dxa"/>
            <w:vAlign w:val="center"/>
          </w:tcPr>
          <w:p w:rsidR="00C124B9" w:rsidRDefault="00AB4E19">
            <w:pPr>
              <w:jc w:val="center"/>
            </w:pPr>
            <w:r>
              <w:rPr>
                <w:color w:val="000000"/>
                <w:sz w:val="24"/>
              </w:rPr>
              <w:t>联合健康</w:t>
            </w:r>
          </w:p>
        </w:tc>
        <w:tc>
          <w:tcPr>
            <w:tcW w:w="725" w:type="dxa"/>
            <w:vAlign w:val="center"/>
          </w:tcPr>
          <w:p w:rsidR="00C124B9" w:rsidRDefault="00AB4E19">
            <w:pPr>
              <w:jc w:val="center"/>
            </w:pPr>
            <w:r>
              <w:rPr>
                <w:color w:val="000000"/>
                <w:sz w:val="24"/>
              </w:rPr>
              <w:t>UNH US</w:t>
            </w:r>
          </w:p>
        </w:tc>
        <w:tc>
          <w:tcPr>
            <w:tcW w:w="747" w:type="dxa"/>
            <w:vAlign w:val="center"/>
          </w:tcPr>
          <w:p w:rsidR="00C124B9" w:rsidRDefault="00AB4E19">
            <w:pPr>
              <w:jc w:val="center"/>
            </w:pPr>
            <w:r>
              <w:rPr>
                <w:color w:val="000000"/>
                <w:sz w:val="24"/>
              </w:rPr>
              <w:t>美国证券交易所</w:t>
            </w:r>
          </w:p>
        </w:tc>
        <w:tc>
          <w:tcPr>
            <w:tcW w:w="975" w:type="dxa"/>
            <w:vAlign w:val="center"/>
          </w:tcPr>
          <w:p w:rsidR="00C124B9" w:rsidRDefault="00AB4E19">
            <w:pPr>
              <w:jc w:val="center"/>
            </w:pPr>
            <w:r>
              <w:rPr>
                <w:color w:val="000000"/>
                <w:sz w:val="24"/>
              </w:rPr>
              <w:t>美国</w:t>
            </w:r>
          </w:p>
        </w:tc>
        <w:tc>
          <w:tcPr>
            <w:tcW w:w="1175" w:type="dxa"/>
            <w:vAlign w:val="center"/>
          </w:tcPr>
          <w:p w:rsidR="00C124B9" w:rsidRDefault="00AB4E19">
            <w:pPr>
              <w:jc w:val="right"/>
            </w:pPr>
            <w:r>
              <w:rPr>
                <w:color w:val="000000"/>
                <w:sz w:val="24"/>
              </w:rPr>
              <w:t>1,861</w:t>
            </w:r>
          </w:p>
        </w:tc>
        <w:tc>
          <w:tcPr>
            <w:tcW w:w="975" w:type="dxa"/>
            <w:vAlign w:val="center"/>
          </w:tcPr>
          <w:p w:rsidR="00C124B9" w:rsidRDefault="00AB4E19">
            <w:pPr>
              <w:jc w:val="right"/>
            </w:pPr>
            <w:r>
              <w:rPr>
                <w:color w:val="000000"/>
                <w:sz w:val="24"/>
              </w:rPr>
              <w:t>1,739,834.01</w:t>
            </w:r>
          </w:p>
        </w:tc>
        <w:tc>
          <w:tcPr>
            <w:tcW w:w="1175" w:type="dxa"/>
            <w:vAlign w:val="center"/>
          </w:tcPr>
          <w:p w:rsidR="00C124B9" w:rsidRDefault="00AB4E19">
            <w:pPr>
              <w:jc w:val="right"/>
            </w:pPr>
            <w:r>
              <w:rPr>
                <w:color w:val="000000"/>
                <w:sz w:val="24"/>
              </w:rPr>
              <w:t>1.82</w:t>
            </w:r>
          </w:p>
        </w:tc>
      </w:tr>
      <w:tr w:rsidR="00C124B9">
        <w:trPr>
          <w:jc w:val="center"/>
        </w:trPr>
        <w:tc>
          <w:tcPr>
            <w:tcW w:w="1243" w:type="dxa"/>
            <w:vAlign w:val="center"/>
          </w:tcPr>
          <w:p w:rsidR="00C124B9" w:rsidRDefault="00AB4E19">
            <w:pPr>
              <w:jc w:val="center"/>
            </w:pPr>
            <w:r>
              <w:rPr>
                <w:color w:val="000000"/>
                <w:sz w:val="24"/>
              </w:rPr>
              <w:t>6</w:t>
            </w:r>
          </w:p>
        </w:tc>
        <w:tc>
          <w:tcPr>
            <w:tcW w:w="971" w:type="dxa"/>
            <w:vAlign w:val="center"/>
          </w:tcPr>
          <w:p w:rsidR="00C124B9" w:rsidRDefault="00AB4E19">
            <w:pPr>
              <w:jc w:val="center"/>
            </w:pPr>
            <w:r>
              <w:rPr>
                <w:color w:val="000000"/>
                <w:sz w:val="24"/>
              </w:rPr>
              <w:t>CITIGROUP INC</w:t>
            </w:r>
          </w:p>
        </w:tc>
        <w:tc>
          <w:tcPr>
            <w:tcW w:w="993" w:type="dxa"/>
            <w:vAlign w:val="center"/>
          </w:tcPr>
          <w:p w:rsidR="00C124B9" w:rsidRDefault="00AB4E19">
            <w:pPr>
              <w:jc w:val="center"/>
            </w:pPr>
            <w:r>
              <w:rPr>
                <w:color w:val="000000"/>
                <w:sz w:val="24"/>
              </w:rPr>
              <w:t>花旗集团</w:t>
            </w:r>
          </w:p>
        </w:tc>
        <w:tc>
          <w:tcPr>
            <w:tcW w:w="725" w:type="dxa"/>
            <w:vAlign w:val="center"/>
          </w:tcPr>
          <w:p w:rsidR="00C124B9" w:rsidRDefault="00AB4E19">
            <w:pPr>
              <w:jc w:val="center"/>
            </w:pPr>
            <w:r>
              <w:rPr>
                <w:color w:val="000000"/>
                <w:sz w:val="24"/>
              </w:rPr>
              <w:t>C US</w:t>
            </w:r>
          </w:p>
        </w:tc>
        <w:tc>
          <w:tcPr>
            <w:tcW w:w="747" w:type="dxa"/>
            <w:vAlign w:val="center"/>
          </w:tcPr>
          <w:p w:rsidR="00C124B9" w:rsidRDefault="00AB4E19">
            <w:pPr>
              <w:jc w:val="center"/>
            </w:pPr>
            <w:r>
              <w:rPr>
                <w:color w:val="000000"/>
                <w:sz w:val="24"/>
              </w:rPr>
              <w:t>美国证券交易所</w:t>
            </w:r>
          </w:p>
        </w:tc>
        <w:tc>
          <w:tcPr>
            <w:tcW w:w="975" w:type="dxa"/>
            <w:vAlign w:val="center"/>
          </w:tcPr>
          <w:p w:rsidR="00C124B9" w:rsidRDefault="00AB4E19">
            <w:pPr>
              <w:jc w:val="center"/>
            </w:pPr>
            <w:r>
              <w:rPr>
                <w:color w:val="000000"/>
                <w:sz w:val="24"/>
              </w:rPr>
              <w:t>美国</w:t>
            </w:r>
          </w:p>
        </w:tc>
        <w:tc>
          <w:tcPr>
            <w:tcW w:w="1175" w:type="dxa"/>
            <w:vAlign w:val="center"/>
          </w:tcPr>
          <w:p w:rsidR="00C124B9" w:rsidRDefault="00AB4E19">
            <w:pPr>
              <w:jc w:val="right"/>
            </w:pPr>
            <w:r>
              <w:rPr>
                <w:color w:val="000000"/>
                <w:sz w:val="24"/>
              </w:rPr>
              <w:t>5,229</w:t>
            </w:r>
          </w:p>
        </w:tc>
        <w:tc>
          <w:tcPr>
            <w:tcW w:w="975" w:type="dxa"/>
            <w:vAlign w:val="center"/>
          </w:tcPr>
          <w:p w:rsidR="00C124B9" w:rsidRDefault="00AB4E19">
            <w:pPr>
              <w:jc w:val="right"/>
            </w:pPr>
            <w:r>
              <w:rPr>
                <w:color w:val="000000"/>
                <w:sz w:val="24"/>
              </w:rPr>
              <w:t>1,649,187.35</w:t>
            </w:r>
          </w:p>
        </w:tc>
        <w:tc>
          <w:tcPr>
            <w:tcW w:w="1175" w:type="dxa"/>
            <w:vAlign w:val="center"/>
          </w:tcPr>
          <w:p w:rsidR="00C124B9" w:rsidRDefault="00AB4E19">
            <w:pPr>
              <w:jc w:val="right"/>
            </w:pPr>
            <w:r>
              <w:rPr>
                <w:color w:val="000000"/>
                <w:sz w:val="24"/>
              </w:rPr>
              <w:t>1.73</w:t>
            </w:r>
          </w:p>
        </w:tc>
      </w:tr>
      <w:tr w:rsidR="00C124B9">
        <w:trPr>
          <w:jc w:val="center"/>
        </w:trPr>
        <w:tc>
          <w:tcPr>
            <w:tcW w:w="1243" w:type="dxa"/>
            <w:vAlign w:val="center"/>
          </w:tcPr>
          <w:p w:rsidR="00C124B9" w:rsidRDefault="00AB4E19">
            <w:pPr>
              <w:jc w:val="center"/>
            </w:pPr>
            <w:r>
              <w:rPr>
                <w:color w:val="000000"/>
                <w:sz w:val="24"/>
              </w:rPr>
              <w:t>7</w:t>
            </w:r>
          </w:p>
        </w:tc>
        <w:tc>
          <w:tcPr>
            <w:tcW w:w="971" w:type="dxa"/>
            <w:vAlign w:val="center"/>
          </w:tcPr>
          <w:p w:rsidR="00C124B9" w:rsidRDefault="00AB4E19">
            <w:pPr>
              <w:jc w:val="center"/>
            </w:pPr>
            <w:r>
              <w:rPr>
                <w:color w:val="000000"/>
                <w:sz w:val="24"/>
              </w:rPr>
              <w:t>RECKITT BENCKISER GR</w:t>
            </w:r>
          </w:p>
        </w:tc>
        <w:tc>
          <w:tcPr>
            <w:tcW w:w="993" w:type="dxa"/>
            <w:vAlign w:val="center"/>
          </w:tcPr>
          <w:p w:rsidR="00C124B9" w:rsidRDefault="00AB4E19">
            <w:pPr>
              <w:jc w:val="center"/>
            </w:pPr>
            <w:r>
              <w:rPr>
                <w:color w:val="000000"/>
                <w:sz w:val="24"/>
              </w:rPr>
              <w:t>利洁时</w:t>
            </w:r>
          </w:p>
        </w:tc>
        <w:tc>
          <w:tcPr>
            <w:tcW w:w="725" w:type="dxa"/>
            <w:vAlign w:val="center"/>
          </w:tcPr>
          <w:p w:rsidR="00C124B9" w:rsidRDefault="00AB4E19">
            <w:pPr>
              <w:jc w:val="center"/>
            </w:pPr>
            <w:r>
              <w:rPr>
                <w:color w:val="000000"/>
                <w:sz w:val="24"/>
              </w:rPr>
              <w:t>RB/ LN</w:t>
            </w:r>
          </w:p>
        </w:tc>
        <w:tc>
          <w:tcPr>
            <w:tcW w:w="747" w:type="dxa"/>
            <w:vAlign w:val="center"/>
          </w:tcPr>
          <w:p w:rsidR="00C124B9" w:rsidRDefault="00AB4E19">
            <w:pPr>
              <w:jc w:val="center"/>
            </w:pPr>
            <w:r>
              <w:rPr>
                <w:color w:val="000000"/>
                <w:sz w:val="24"/>
              </w:rPr>
              <w:t>伦敦证券交易所</w:t>
            </w:r>
          </w:p>
        </w:tc>
        <w:tc>
          <w:tcPr>
            <w:tcW w:w="975" w:type="dxa"/>
            <w:vAlign w:val="center"/>
          </w:tcPr>
          <w:p w:rsidR="00C124B9" w:rsidRDefault="00AB4E19">
            <w:pPr>
              <w:jc w:val="center"/>
            </w:pPr>
            <w:r>
              <w:rPr>
                <w:color w:val="000000"/>
                <w:sz w:val="24"/>
              </w:rPr>
              <w:t>英国</w:t>
            </w:r>
          </w:p>
        </w:tc>
        <w:tc>
          <w:tcPr>
            <w:tcW w:w="1175" w:type="dxa"/>
            <w:vAlign w:val="center"/>
          </w:tcPr>
          <w:p w:rsidR="00C124B9" w:rsidRDefault="00AB4E19">
            <w:pPr>
              <w:jc w:val="right"/>
            </w:pPr>
            <w:r>
              <w:rPr>
                <w:color w:val="000000"/>
                <w:sz w:val="24"/>
              </w:rPr>
              <w:t>2,543</w:t>
            </w:r>
          </w:p>
        </w:tc>
        <w:tc>
          <w:tcPr>
            <w:tcW w:w="975" w:type="dxa"/>
            <w:vAlign w:val="center"/>
          </w:tcPr>
          <w:p w:rsidR="00C124B9" w:rsidRDefault="00AB4E19">
            <w:pPr>
              <w:jc w:val="right"/>
            </w:pPr>
            <w:r>
              <w:rPr>
                <w:color w:val="000000"/>
                <w:sz w:val="24"/>
              </w:rPr>
              <w:t>1,601,734.18</w:t>
            </w:r>
          </w:p>
        </w:tc>
        <w:tc>
          <w:tcPr>
            <w:tcW w:w="1175" w:type="dxa"/>
            <w:vAlign w:val="center"/>
          </w:tcPr>
          <w:p w:rsidR="00C124B9" w:rsidRDefault="00AB4E19">
            <w:pPr>
              <w:jc w:val="right"/>
            </w:pPr>
            <w:r>
              <w:rPr>
                <w:color w:val="000000"/>
                <w:sz w:val="24"/>
              </w:rPr>
              <w:t>1.68</w:t>
            </w:r>
          </w:p>
        </w:tc>
      </w:tr>
      <w:tr w:rsidR="00C124B9">
        <w:trPr>
          <w:jc w:val="center"/>
        </w:trPr>
        <w:tc>
          <w:tcPr>
            <w:tcW w:w="1243" w:type="dxa"/>
            <w:vAlign w:val="center"/>
          </w:tcPr>
          <w:p w:rsidR="00C124B9" w:rsidRDefault="00AB4E19">
            <w:pPr>
              <w:jc w:val="center"/>
            </w:pPr>
            <w:r>
              <w:rPr>
                <w:color w:val="000000"/>
                <w:sz w:val="24"/>
              </w:rPr>
              <w:t>8</w:t>
            </w:r>
          </w:p>
        </w:tc>
        <w:tc>
          <w:tcPr>
            <w:tcW w:w="971" w:type="dxa"/>
            <w:vAlign w:val="center"/>
          </w:tcPr>
          <w:p w:rsidR="00C124B9" w:rsidRDefault="00AB4E19">
            <w:pPr>
              <w:jc w:val="center"/>
            </w:pPr>
            <w:r>
              <w:rPr>
                <w:color w:val="000000"/>
                <w:sz w:val="24"/>
              </w:rPr>
              <w:t>NESTLE SA-REG</w:t>
            </w:r>
          </w:p>
        </w:tc>
        <w:tc>
          <w:tcPr>
            <w:tcW w:w="993" w:type="dxa"/>
            <w:vAlign w:val="center"/>
          </w:tcPr>
          <w:p w:rsidR="00C124B9" w:rsidRDefault="00AB4E19">
            <w:pPr>
              <w:jc w:val="center"/>
            </w:pPr>
            <w:r>
              <w:rPr>
                <w:color w:val="000000"/>
                <w:sz w:val="24"/>
              </w:rPr>
              <w:t>雀巢</w:t>
            </w:r>
          </w:p>
        </w:tc>
        <w:tc>
          <w:tcPr>
            <w:tcW w:w="725" w:type="dxa"/>
            <w:vAlign w:val="center"/>
          </w:tcPr>
          <w:p w:rsidR="00C124B9" w:rsidRDefault="00AB4E19">
            <w:pPr>
              <w:jc w:val="center"/>
            </w:pPr>
            <w:r>
              <w:rPr>
                <w:color w:val="000000"/>
                <w:sz w:val="24"/>
              </w:rPr>
              <w:t>NESN VX</w:t>
            </w:r>
          </w:p>
        </w:tc>
        <w:tc>
          <w:tcPr>
            <w:tcW w:w="747" w:type="dxa"/>
            <w:vAlign w:val="center"/>
          </w:tcPr>
          <w:p w:rsidR="00C124B9" w:rsidRDefault="00AB4E19">
            <w:pPr>
              <w:jc w:val="center"/>
            </w:pPr>
            <w:r>
              <w:rPr>
                <w:color w:val="000000"/>
                <w:sz w:val="24"/>
              </w:rPr>
              <w:t>瑞士证券交易所</w:t>
            </w:r>
          </w:p>
        </w:tc>
        <w:tc>
          <w:tcPr>
            <w:tcW w:w="975" w:type="dxa"/>
            <w:vAlign w:val="center"/>
          </w:tcPr>
          <w:p w:rsidR="00C124B9" w:rsidRDefault="00AB4E19">
            <w:pPr>
              <w:jc w:val="center"/>
            </w:pPr>
            <w:r>
              <w:rPr>
                <w:color w:val="000000"/>
                <w:sz w:val="24"/>
              </w:rPr>
              <w:t>瑞士</w:t>
            </w:r>
          </w:p>
        </w:tc>
        <w:tc>
          <w:tcPr>
            <w:tcW w:w="1175" w:type="dxa"/>
            <w:vAlign w:val="center"/>
          </w:tcPr>
          <w:p w:rsidR="00C124B9" w:rsidRDefault="00AB4E19">
            <w:pPr>
              <w:jc w:val="right"/>
            </w:pPr>
            <w:r>
              <w:rPr>
                <w:color w:val="000000"/>
                <w:sz w:val="24"/>
              </w:rPr>
              <w:t>2,979</w:t>
            </w:r>
          </w:p>
        </w:tc>
        <w:tc>
          <w:tcPr>
            <w:tcW w:w="975" w:type="dxa"/>
            <w:vAlign w:val="center"/>
          </w:tcPr>
          <w:p w:rsidR="00C124B9" w:rsidRDefault="00AB4E19">
            <w:pPr>
              <w:jc w:val="right"/>
            </w:pPr>
            <w:r>
              <w:rPr>
                <w:color w:val="000000"/>
                <w:sz w:val="24"/>
              </w:rPr>
              <w:t>1,570,029.35</w:t>
            </w:r>
          </w:p>
        </w:tc>
        <w:tc>
          <w:tcPr>
            <w:tcW w:w="1175" w:type="dxa"/>
            <w:vAlign w:val="center"/>
          </w:tcPr>
          <w:p w:rsidR="00C124B9" w:rsidRDefault="00AB4E19">
            <w:pPr>
              <w:jc w:val="right"/>
            </w:pPr>
            <w:r>
              <w:rPr>
                <w:color w:val="000000"/>
                <w:sz w:val="24"/>
              </w:rPr>
              <w:t>1.64</w:t>
            </w:r>
          </w:p>
        </w:tc>
      </w:tr>
      <w:tr w:rsidR="00C124B9">
        <w:trPr>
          <w:jc w:val="center"/>
        </w:trPr>
        <w:tc>
          <w:tcPr>
            <w:tcW w:w="1243" w:type="dxa"/>
            <w:vAlign w:val="center"/>
          </w:tcPr>
          <w:p w:rsidR="00C124B9" w:rsidRDefault="00AB4E19">
            <w:pPr>
              <w:jc w:val="center"/>
            </w:pPr>
            <w:r>
              <w:rPr>
                <w:color w:val="000000"/>
                <w:sz w:val="24"/>
              </w:rPr>
              <w:t>9</w:t>
            </w:r>
          </w:p>
        </w:tc>
        <w:tc>
          <w:tcPr>
            <w:tcW w:w="971" w:type="dxa"/>
            <w:vAlign w:val="center"/>
          </w:tcPr>
          <w:p w:rsidR="00C124B9" w:rsidRDefault="00AB4E19">
            <w:pPr>
              <w:jc w:val="center"/>
            </w:pPr>
            <w:r>
              <w:rPr>
                <w:color w:val="000000"/>
                <w:sz w:val="24"/>
              </w:rPr>
              <w:t>VISA INC-CLASS A SHARES</w:t>
            </w:r>
          </w:p>
        </w:tc>
        <w:tc>
          <w:tcPr>
            <w:tcW w:w="993" w:type="dxa"/>
            <w:vAlign w:val="center"/>
          </w:tcPr>
          <w:p w:rsidR="00C124B9" w:rsidRDefault="00AB4E19">
            <w:pPr>
              <w:jc w:val="center"/>
            </w:pPr>
            <w:r>
              <w:rPr>
                <w:color w:val="000000"/>
                <w:sz w:val="24"/>
              </w:rPr>
              <w:t>维萨公司</w:t>
            </w:r>
          </w:p>
        </w:tc>
        <w:tc>
          <w:tcPr>
            <w:tcW w:w="725" w:type="dxa"/>
            <w:vAlign w:val="center"/>
          </w:tcPr>
          <w:p w:rsidR="00C124B9" w:rsidRDefault="00AB4E19">
            <w:pPr>
              <w:jc w:val="center"/>
            </w:pPr>
            <w:r>
              <w:rPr>
                <w:color w:val="000000"/>
                <w:sz w:val="24"/>
              </w:rPr>
              <w:t>V US</w:t>
            </w:r>
          </w:p>
        </w:tc>
        <w:tc>
          <w:tcPr>
            <w:tcW w:w="747" w:type="dxa"/>
            <w:vAlign w:val="center"/>
          </w:tcPr>
          <w:p w:rsidR="00C124B9" w:rsidRDefault="00AB4E19">
            <w:pPr>
              <w:jc w:val="center"/>
            </w:pPr>
            <w:r>
              <w:rPr>
                <w:color w:val="000000"/>
                <w:sz w:val="24"/>
              </w:rPr>
              <w:t>美国证券交易所</w:t>
            </w:r>
          </w:p>
        </w:tc>
        <w:tc>
          <w:tcPr>
            <w:tcW w:w="975" w:type="dxa"/>
            <w:vAlign w:val="center"/>
          </w:tcPr>
          <w:p w:rsidR="00C124B9" w:rsidRDefault="00AB4E19">
            <w:pPr>
              <w:jc w:val="center"/>
            </w:pPr>
            <w:r>
              <w:rPr>
                <w:color w:val="000000"/>
                <w:sz w:val="24"/>
              </w:rPr>
              <w:t>美国</w:t>
            </w:r>
          </w:p>
        </w:tc>
        <w:tc>
          <w:tcPr>
            <w:tcW w:w="1175" w:type="dxa"/>
            <w:vAlign w:val="center"/>
          </w:tcPr>
          <w:p w:rsidR="00C124B9" w:rsidRDefault="00AB4E19">
            <w:pPr>
              <w:jc w:val="right"/>
            </w:pPr>
            <w:r>
              <w:rPr>
                <w:color w:val="000000"/>
                <w:sz w:val="24"/>
              </w:rPr>
              <w:t>2,799</w:t>
            </w:r>
          </w:p>
        </w:tc>
        <w:tc>
          <w:tcPr>
            <w:tcW w:w="975" w:type="dxa"/>
            <w:vAlign w:val="center"/>
          </w:tcPr>
          <w:p w:rsidR="00C124B9" w:rsidRDefault="00AB4E19">
            <w:pPr>
              <w:jc w:val="right"/>
            </w:pPr>
            <w:r>
              <w:rPr>
                <w:color w:val="000000"/>
                <w:sz w:val="24"/>
              </w:rPr>
              <w:t>1,545,759.11</w:t>
            </w:r>
          </w:p>
        </w:tc>
        <w:tc>
          <w:tcPr>
            <w:tcW w:w="1175" w:type="dxa"/>
            <w:vAlign w:val="center"/>
          </w:tcPr>
          <w:p w:rsidR="00C124B9" w:rsidRDefault="00AB4E19">
            <w:pPr>
              <w:jc w:val="right"/>
            </w:pPr>
            <w:r>
              <w:rPr>
                <w:color w:val="000000"/>
                <w:sz w:val="24"/>
              </w:rPr>
              <w:t>1.62</w:t>
            </w:r>
          </w:p>
        </w:tc>
      </w:tr>
      <w:tr w:rsidR="00C124B9">
        <w:trPr>
          <w:jc w:val="center"/>
        </w:trPr>
        <w:tc>
          <w:tcPr>
            <w:tcW w:w="1243" w:type="dxa"/>
            <w:vAlign w:val="center"/>
          </w:tcPr>
          <w:p w:rsidR="00C124B9" w:rsidRDefault="00AB4E19">
            <w:pPr>
              <w:jc w:val="center"/>
            </w:pPr>
            <w:r>
              <w:rPr>
                <w:color w:val="000000"/>
                <w:sz w:val="24"/>
              </w:rPr>
              <w:t>10</w:t>
            </w:r>
          </w:p>
        </w:tc>
        <w:tc>
          <w:tcPr>
            <w:tcW w:w="971" w:type="dxa"/>
            <w:vAlign w:val="center"/>
          </w:tcPr>
          <w:p w:rsidR="00C124B9" w:rsidRDefault="00AB4E19">
            <w:pPr>
              <w:jc w:val="center"/>
            </w:pPr>
            <w:r>
              <w:rPr>
                <w:color w:val="000000"/>
                <w:sz w:val="24"/>
              </w:rPr>
              <w:t>UNION PACIFIC CORP</w:t>
            </w:r>
          </w:p>
        </w:tc>
        <w:tc>
          <w:tcPr>
            <w:tcW w:w="993" w:type="dxa"/>
            <w:vAlign w:val="center"/>
          </w:tcPr>
          <w:p w:rsidR="00C124B9" w:rsidRDefault="00AB4E19">
            <w:pPr>
              <w:jc w:val="center"/>
            </w:pPr>
            <w:r>
              <w:rPr>
                <w:color w:val="000000"/>
                <w:sz w:val="24"/>
              </w:rPr>
              <w:t>联合太平洋</w:t>
            </w:r>
          </w:p>
        </w:tc>
        <w:tc>
          <w:tcPr>
            <w:tcW w:w="725" w:type="dxa"/>
            <w:vAlign w:val="center"/>
          </w:tcPr>
          <w:p w:rsidR="00C124B9" w:rsidRDefault="00AB4E19">
            <w:pPr>
              <w:jc w:val="center"/>
            </w:pPr>
            <w:r>
              <w:rPr>
                <w:color w:val="000000"/>
                <w:sz w:val="24"/>
              </w:rPr>
              <w:t>UNP US</w:t>
            </w:r>
          </w:p>
        </w:tc>
        <w:tc>
          <w:tcPr>
            <w:tcW w:w="747" w:type="dxa"/>
            <w:vAlign w:val="center"/>
          </w:tcPr>
          <w:p w:rsidR="00C124B9" w:rsidRDefault="00AB4E19">
            <w:pPr>
              <w:jc w:val="center"/>
            </w:pPr>
            <w:r>
              <w:rPr>
                <w:color w:val="000000"/>
                <w:sz w:val="24"/>
              </w:rPr>
              <w:t>美国证券交易所</w:t>
            </w:r>
          </w:p>
        </w:tc>
        <w:tc>
          <w:tcPr>
            <w:tcW w:w="975" w:type="dxa"/>
            <w:vAlign w:val="center"/>
          </w:tcPr>
          <w:p w:rsidR="00C124B9" w:rsidRDefault="00AB4E19">
            <w:pPr>
              <w:jc w:val="center"/>
            </w:pPr>
            <w:r>
              <w:rPr>
                <w:color w:val="000000"/>
                <w:sz w:val="24"/>
              </w:rPr>
              <w:t>美国</w:t>
            </w:r>
          </w:p>
        </w:tc>
        <w:tc>
          <w:tcPr>
            <w:tcW w:w="1175" w:type="dxa"/>
            <w:vAlign w:val="center"/>
          </w:tcPr>
          <w:p w:rsidR="00C124B9" w:rsidRDefault="00AB4E19">
            <w:pPr>
              <w:jc w:val="right"/>
            </w:pPr>
            <w:r>
              <w:rPr>
                <w:color w:val="000000"/>
                <w:sz w:val="24"/>
              </w:rPr>
              <w:t>2,353</w:t>
            </w:r>
          </w:p>
        </w:tc>
        <w:tc>
          <w:tcPr>
            <w:tcW w:w="975" w:type="dxa"/>
            <w:vAlign w:val="center"/>
          </w:tcPr>
          <w:p w:rsidR="00C124B9" w:rsidRDefault="00AB4E19">
            <w:pPr>
              <w:jc w:val="right"/>
            </w:pPr>
            <w:r>
              <w:rPr>
                <w:color w:val="000000"/>
                <w:sz w:val="24"/>
              </w:rPr>
              <w:t>1,532,475.57</w:t>
            </w:r>
          </w:p>
        </w:tc>
        <w:tc>
          <w:tcPr>
            <w:tcW w:w="1175" w:type="dxa"/>
            <w:vAlign w:val="center"/>
          </w:tcPr>
          <w:p w:rsidR="00C124B9" w:rsidRDefault="00AB4E19">
            <w:pPr>
              <w:jc w:val="right"/>
            </w:pPr>
            <w:r>
              <w:rPr>
                <w:color w:val="000000"/>
                <w:sz w:val="24"/>
              </w:rPr>
              <w:t>1.60</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8D3D3B" w:rsidP="005546C0">
      <w:pPr>
        <w:autoSpaceDE w:val="0"/>
        <w:autoSpaceDN w:val="0"/>
        <w:adjustRightInd w:val="0"/>
        <w:spacing w:before="29" w:line="288" w:lineRule="auto"/>
        <w:jc w:val="left"/>
        <w:rPr>
          <w:color w:val="000000"/>
          <w:sz w:val="24"/>
        </w:rPr>
      </w:pPr>
      <w:r>
        <w:rPr>
          <w:rFonts w:hint="eastAsia"/>
          <w:color w:val="000000"/>
          <w:sz w:val="24"/>
        </w:rPr>
        <w:t xml:space="preserve">  </w:t>
      </w:r>
      <w:r w:rsidR="00521EDE"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110,765.68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319.52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155,330.46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266,415.66</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59,511,542.61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2,588,494.92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2,228,910.24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59,871,127.29</w:t>
            </w:r>
          </w:p>
        </w:tc>
      </w:tr>
    </w:tbl>
    <w:p w:rsidR="00C124B9" w:rsidRDefault="00AB4E1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24,959,634.69</w:t>
      </w:r>
      <w:r w:rsidRPr="008640AE">
        <w:rPr>
          <w:color w:val="000000"/>
          <w:sz w:val="24"/>
        </w:rPr>
        <w:t>份，占本基金期末总份额的</w:t>
      </w:r>
      <w:r w:rsidRPr="008640AE">
        <w:rPr>
          <w:color w:val="000000"/>
          <w:sz w:val="24"/>
        </w:rPr>
        <w:t>41.69%</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C124B9" w:rsidRDefault="00AB4E19">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C124B9" w:rsidRDefault="00AB4E19">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C124B9" w:rsidRDefault="00AB4E19">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C124B9" w:rsidRDefault="00AB4E19">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C124B9" w:rsidRDefault="00AB4E19">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C124B9" w:rsidRDefault="00AB4E1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C124B9" w:rsidRDefault="00AB4E1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C124B9" w:rsidRDefault="00AB4E1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C4" w:rsidRDefault="008B63C4">
      <w:r>
        <w:separator/>
      </w:r>
    </w:p>
  </w:endnote>
  <w:endnote w:type="continuationSeparator" w:id="0">
    <w:p w:rsidR="008B63C4" w:rsidRDefault="008B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B40704">
      <w:rPr>
        <w:kern w:val="0"/>
        <w:szCs w:val="21"/>
      </w:rPr>
      <w:fldChar w:fldCharType="begin"/>
    </w:r>
    <w:r>
      <w:rPr>
        <w:kern w:val="0"/>
        <w:szCs w:val="21"/>
      </w:rPr>
      <w:instrText xml:space="preserve"> PAGE </w:instrText>
    </w:r>
    <w:r w:rsidR="00B40704">
      <w:rPr>
        <w:kern w:val="0"/>
        <w:szCs w:val="21"/>
      </w:rPr>
      <w:fldChar w:fldCharType="separate"/>
    </w:r>
    <w:r w:rsidR="00471208">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B40704">
      <w:rPr>
        <w:kern w:val="0"/>
        <w:szCs w:val="21"/>
      </w:rPr>
      <w:fldChar w:fldCharType="begin"/>
    </w:r>
    <w:r>
      <w:rPr>
        <w:kern w:val="0"/>
        <w:szCs w:val="21"/>
      </w:rPr>
      <w:instrText xml:space="preserve"> NUMPAGES </w:instrText>
    </w:r>
    <w:r w:rsidR="00B40704">
      <w:rPr>
        <w:kern w:val="0"/>
        <w:szCs w:val="21"/>
      </w:rPr>
      <w:fldChar w:fldCharType="separate"/>
    </w:r>
    <w:r w:rsidR="00471208">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B4070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C4" w:rsidRDefault="008B63C4">
      <w:r>
        <w:separator/>
      </w:r>
    </w:p>
  </w:footnote>
  <w:footnote w:type="continuationSeparator" w:id="0">
    <w:p w:rsidR="008B63C4" w:rsidRDefault="008B6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3C9"/>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1208"/>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2733"/>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408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3C4"/>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4E19"/>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24B9"/>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3FB9"/>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17C99"/>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7774E"/>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C7ED9"/>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E5B25957-6691-42D6-8C22-A2EA8F2A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105</TotalTime>
  <Pages>14</Pages>
  <Words>1154</Words>
  <Characters>6582</Characters>
  <Application>Microsoft Office Word</Application>
  <DocSecurity>0</DocSecurity>
  <Lines>54</Lines>
  <Paragraphs>15</Paragraphs>
  <ScaleCrop>false</ScaleCrop>
  <Company>TRT. Ltd. Co.</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245</cp:revision>
  <cp:lastPrinted>2007-07-19T00:46:00Z</cp:lastPrinted>
  <dcterms:created xsi:type="dcterms:W3CDTF">2013-08-01T05:26:00Z</dcterms:created>
  <dcterms:modified xsi:type="dcterms:W3CDTF">2016-10-21T08:39:00Z</dcterms:modified>
</cp:coreProperties>
</file>