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交银施罗德阿尔法核心混合型证券投资基金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二〇一六年十月二十五日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5C72D6" w:rsidRDefault="007170D5">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5C72D6" w:rsidRDefault="007170D5">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2016</w:t>
      </w:r>
      <w:r>
        <w:rPr>
          <w:color w:val="000000"/>
          <w:sz w:val="24"/>
          <w:szCs w:val="24"/>
        </w:rPr>
        <w:t>年</w:t>
      </w:r>
      <w:r>
        <w:rPr>
          <w:color w:val="000000"/>
          <w:sz w:val="24"/>
          <w:szCs w:val="24"/>
        </w:rPr>
        <w:t>10</w:t>
      </w:r>
      <w:r>
        <w:rPr>
          <w:color w:val="000000"/>
          <w:sz w:val="24"/>
          <w:szCs w:val="24"/>
        </w:rPr>
        <w:t>月</w:t>
      </w:r>
      <w:r>
        <w:rPr>
          <w:color w:val="000000"/>
          <w:sz w:val="24"/>
          <w:szCs w:val="24"/>
        </w:rPr>
        <w:t>24</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5C72D6" w:rsidRDefault="007170D5">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5C72D6" w:rsidRDefault="007170D5">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5C72D6" w:rsidRDefault="007170D5">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交银阿尔法核心混合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2012</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3</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67,128,717.74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本基金通过积极发挥团队选股优势，结合基本面多因子指标等组合管理手段选择具有显著阿尔法特征的个股，在控制风险并保持基金资产良好的流动性的前提下，追求长期持续稳定高于业绩比较基准的投资回报。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本基金充分发挥基金管理人的专业研究能力，以数量化工具辅助自上而下的资产配置，积极发挥研究团队的选股优势，结合基本面多因子指标自下而上精选个股，以谋求风险调整后的良好收益。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+25%×</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w:t>
            </w:r>
            <w:r w:rsidRPr="00414345">
              <w:rPr>
                <w:color w:val="000000"/>
                <w:kern w:val="0"/>
                <w:sz w:val="24"/>
                <w:szCs w:val="24"/>
              </w:rPr>
              <w:lastRenderedPageBreak/>
              <w:t>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7170D5" w:rsidRPr="00414345" w:rsidTr="007170D5">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7170D5" w:rsidRPr="00414345" w:rsidTr="007170D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7,693,511.60</w:t>
            </w:r>
          </w:p>
        </w:tc>
      </w:tr>
      <w:tr w:rsidR="007170D5" w:rsidRPr="00414345" w:rsidTr="007170D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9,441,536.98</w:t>
            </w:r>
          </w:p>
        </w:tc>
      </w:tr>
      <w:tr w:rsidR="007170D5" w:rsidRPr="00414345" w:rsidTr="007170D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0.1784</w:t>
            </w:r>
          </w:p>
        </w:tc>
      </w:tr>
      <w:tr w:rsidR="007170D5" w:rsidRPr="00414345" w:rsidTr="007170D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149,948,712.95</w:t>
            </w:r>
          </w:p>
        </w:tc>
      </w:tr>
      <w:tr w:rsidR="007170D5" w:rsidRPr="00414345" w:rsidTr="007170D5">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2.234</w:t>
            </w:r>
          </w:p>
        </w:tc>
      </w:tr>
    </w:tbl>
    <w:p w:rsidR="005C72D6" w:rsidRDefault="007170D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5C72D6">
        <w:trPr>
          <w:jc w:val="center"/>
        </w:trPr>
        <w:tc>
          <w:tcPr>
            <w:tcW w:w="1701" w:type="dxa"/>
            <w:vAlign w:val="center"/>
          </w:tcPr>
          <w:p w:rsidR="005C72D6" w:rsidRDefault="007170D5">
            <w:pPr>
              <w:jc w:val="left"/>
            </w:pPr>
            <w:r>
              <w:rPr>
                <w:color w:val="000000"/>
                <w:sz w:val="24"/>
                <w:szCs w:val="24"/>
              </w:rPr>
              <w:t>过去三个月</w:t>
            </w:r>
          </w:p>
        </w:tc>
        <w:tc>
          <w:tcPr>
            <w:tcW w:w="1045" w:type="dxa"/>
            <w:vAlign w:val="center"/>
          </w:tcPr>
          <w:p w:rsidR="005C72D6" w:rsidRDefault="007170D5">
            <w:pPr>
              <w:jc w:val="center"/>
            </w:pPr>
            <w:r>
              <w:rPr>
                <w:color w:val="000000"/>
                <w:sz w:val="24"/>
                <w:szCs w:val="24"/>
              </w:rPr>
              <w:t>8.66%</w:t>
            </w:r>
          </w:p>
        </w:tc>
        <w:tc>
          <w:tcPr>
            <w:tcW w:w="1344" w:type="dxa"/>
            <w:vAlign w:val="center"/>
          </w:tcPr>
          <w:p w:rsidR="005C72D6" w:rsidRDefault="007170D5">
            <w:pPr>
              <w:jc w:val="center"/>
            </w:pPr>
            <w:r>
              <w:rPr>
                <w:color w:val="000000"/>
                <w:sz w:val="24"/>
                <w:szCs w:val="24"/>
              </w:rPr>
              <w:t>0.85%</w:t>
            </w:r>
          </w:p>
        </w:tc>
        <w:tc>
          <w:tcPr>
            <w:tcW w:w="1194" w:type="dxa"/>
            <w:vAlign w:val="center"/>
          </w:tcPr>
          <w:p w:rsidR="005C72D6" w:rsidRDefault="007170D5">
            <w:pPr>
              <w:jc w:val="center"/>
            </w:pPr>
            <w:r>
              <w:rPr>
                <w:color w:val="000000"/>
                <w:sz w:val="24"/>
                <w:szCs w:val="24"/>
              </w:rPr>
              <w:t>2.89%</w:t>
            </w:r>
          </w:p>
        </w:tc>
        <w:tc>
          <w:tcPr>
            <w:tcW w:w="1492" w:type="dxa"/>
            <w:vAlign w:val="center"/>
          </w:tcPr>
          <w:p w:rsidR="005C72D6" w:rsidRDefault="007170D5">
            <w:pPr>
              <w:jc w:val="center"/>
            </w:pPr>
            <w:r>
              <w:rPr>
                <w:color w:val="000000"/>
                <w:sz w:val="24"/>
                <w:szCs w:val="24"/>
              </w:rPr>
              <w:t>0.60%</w:t>
            </w:r>
          </w:p>
        </w:tc>
        <w:tc>
          <w:tcPr>
            <w:tcW w:w="1194" w:type="dxa"/>
            <w:vAlign w:val="center"/>
          </w:tcPr>
          <w:p w:rsidR="005C72D6" w:rsidRDefault="007170D5">
            <w:pPr>
              <w:jc w:val="center"/>
            </w:pPr>
            <w:r>
              <w:rPr>
                <w:color w:val="000000"/>
                <w:sz w:val="24"/>
                <w:szCs w:val="24"/>
              </w:rPr>
              <w:t>5.77%</w:t>
            </w:r>
          </w:p>
        </w:tc>
        <w:tc>
          <w:tcPr>
            <w:tcW w:w="898" w:type="dxa"/>
            <w:vAlign w:val="center"/>
          </w:tcPr>
          <w:p w:rsidR="005C72D6" w:rsidRDefault="007170D5">
            <w:pPr>
              <w:jc w:val="center"/>
            </w:pPr>
            <w:r>
              <w:rPr>
                <w:color w:val="000000"/>
                <w:sz w:val="24"/>
                <w:szCs w:val="24"/>
              </w:rPr>
              <w:t>0.25%</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lastRenderedPageBreak/>
        <w:t>交银施罗德阿尔法核心混合型证券投资基金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2012</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5C72D6">
        <w:trPr>
          <w:jc w:val="center"/>
        </w:trPr>
        <w:tc>
          <w:tcPr>
            <w:tcW w:w="846" w:type="dxa"/>
            <w:vAlign w:val="center"/>
          </w:tcPr>
          <w:p w:rsidR="005C72D6" w:rsidRDefault="007170D5">
            <w:pPr>
              <w:jc w:val="center"/>
            </w:pPr>
            <w:r>
              <w:rPr>
                <w:color w:val="000000"/>
                <w:sz w:val="24"/>
                <w:szCs w:val="24"/>
              </w:rPr>
              <w:t>何帅</w:t>
            </w:r>
          </w:p>
        </w:tc>
        <w:tc>
          <w:tcPr>
            <w:tcW w:w="845" w:type="dxa"/>
            <w:vAlign w:val="center"/>
          </w:tcPr>
          <w:p w:rsidR="005C72D6" w:rsidRDefault="007170D5">
            <w:pPr>
              <w:jc w:val="center"/>
            </w:pPr>
            <w:r>
              <w:rPr>
                <w:color w:val="000000"/>
                <w:sz w:val="24"/>
                <w:szCs w:val="24"/>
              </w:rPr>
              <w:t>交银优势行业混合、交银阿尔法核心混合的基金经理</w:t>
            </w:r>
          </w:p>
        </w:tc>
        <w:tc>
          <w:tcPr>
            <w:tcW w:w="1549" w:type="dxa"/>
            <w:vAlign w:val="center"/>
          </w:tcPr>
          <w:p w:rsidR="005C72D6" w:rsidRDefault="007170D5">
            <w:pPr>
              <w:jc w:val="center"/>
            </w:pPr>
            <w:r>
              <w:rPr>
                <w:color w:val="000000"/>
                <w:sz w:val="24"/>
                <w:szCs w:val="24"/>
              </w:rPr>
              <w:t>2015-09-16</w:t>
            </w:r>
          </w:p>
        </w:tc>
        <w:tc>
          <w:tcPr>
            <w:tcW w:w="1548" w:type="dxa"/>
            <w:vAlign w:val="center"/>
          </w:tcPr>
          <w:p w:rsidR="005C72D6" w:rsidRDefault="007170D5">
            <w:pPr>
              <w:jc w:val="center"/>
            </w:pPr>
            <w:r>
              <w:rPr>
                <w:color w:val="000000"/>
                <w:sz w:val="24"/>
                <w:szCs w:val="24"/>
              </w:rPr>
              <w:t>-</w:t>
            </w:r>
          </w:p>
        </w:tc>
        <w:tc>
          <w:tcPr>
            <w:tcW w:w="1407" w:type="dxa"/>
            <w:vAlign w:val="center"/>
          </w:tcPr>
          <w:p w:rsidR="005C72D6" w:rsidRDefault="007170D5">
            <w:pPr>
              <w:jc w:val="center"/>
            </w:pPr>
            <w:r>
              <w:rPr>
                <w:color w:val="000000"/>
                <w:sz w:val="24"/>
                <w:szCs w:val="24"/>
              </w:rPr>
              <w:t>6</w:t>
            </w:r>
            <w:r>
              <w:rPr>
                <w:color w:val="000000"/>
                <w:sz w:val="24"/>
                <w:szCs w:val="24"/>
              </w:rPr>
              <w:t>年</w:t>
            </w:r>
          </w:p>
        </w:tc>
        <w:tc>
          <w:tcPr>
            <w:tcW w:w="2673" w:type="dxa"/>
            <w:vAlign w:val="center"/>
          </w:tcPr>
          <w:p w:rsidR="005C72D6" w:rsidRDefault="007170D5">
            <w:r>
              <w:rPr>
                <w:color w:val="000000"/>
                <w:sz w:val="24"/>
                <w:szCs w:val="24"/>
              </w:rPr>
              <w:t>何帅先生，上海财经大学硕士。历任国联安基金管理有限公司研究员。</w:t>
            </w:r>
            <w:r>
              <w:rPr>
                <w:color w:val="000000"/>
                <w:sz w:val="24"/>
                <w:szCs w:val="24"/>
              </w:rPr>
              <w:t>2012</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5C72D6" w:rsidRDefault="007170D5">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5C72D6" w:rsidRDefault="007170D5">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5C72D6" w:rsidRDefault="007170D5">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C72D6" w:rsidRDefault="007170D5">
      <w:pPr>
        <w:spacing w:before="29" w:line="288" w:lineRule="auto"/>
        <w:ind w:firstLineChars="200" w:firstLine="480"/>
        <w:rPr>
          <w:color w:val="000000"/>
          <w:sz w:val="24"/>
          <w:szCs w:val="24"/>
        </w:rPr>
      </w:pPr>
      <w:r>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0D4C02" w:rsidRPr="000D4C02" w:rsidRDefault="000D4C02" w:rsidP="0036422D">
      <w:pPr>
        <w:spacing w:before="29" w:line="288" w:lineRule="auto"/>
        <w:ind w:firstLineChars="200" w:firstLine="480"/>
        <w:rPr>
          <w:color w:val="000000"/>
          <w:sz w:val="24"/>
          <w:szCs w:val="24"/>
        </w:rPr>
      </w:pPr>
      <w:r w:rsidRPr="000D4C02">
        <w:rPr>
          <w:rFonts w:hint="eastAsia"/>
          <w:color w:val="000000"/>
          <w:sz w:val="24"/>
          <w:szCs w:val="24"/>
        </w:rPr>
        <w:t>三季度市场整体呈现震荡行情，整体赚钱效应不佳。可持续赚钱的细分行业更少，如上半年表现较好的新能源车、白酒等，三季度均有回落，而新热点如“</w:t>
      </w:r>
      <w:r w:rsidRPr="000D4C02">
        <w:rPr>
          <w:rFonts w:hint="eastAsia"/>
          <w:color w:val="000000"/>
          <w:sz w:val="24"/>
          <w:szCs w:val="24"/>
        </w:rPr>
        <w:t>PPP</w:t>
      </w:r>
      <w:r w:rsidRPr="000D4C02">
        <w:rPr>
          <w:rFonts w:hint="eastAsia"/>
          <w:color w:val="000000"/>
          <w:sz w:val="24"/>
          <w:szCs w:val="24"/>
        </w:rPr>
        <w:t>”等也在三季度末有明显回调，市场热点的持续性依然不强。宏观经济方面，经济增速相对平稳。从政策的角度，我们认为货币政策仍将维持中性略宽松，财政可能略有加码，但要拉动</w:t>
      </w:r>
      <w:r w:rsidRPr="000D4C02">
        <w:rPr>
          <w:rFonts w:hint="eastAsia"/>
          <w:color w:val="000000"/>
          <w:sz w:val="24"/>
          <w:szCs w:val="24"/>
        </w:rPr>
        <w:lastRenderedPageBreak/>
        <w:t>经济增速明显上升也较为困难。</w:t>
      </w:r>
    </w:p>
    <w:p w:rsidR="000D4C02" w:rsidRPr="000D4C02" w:rsidRDefault="000D4C02" w:rsidP="0036422D">
      <w:pPr>
        <w:spacing w:before="29" w:line="288" w:lineRule="auto"/>
        <w:ind w:firstLineChars="200" w:firstLine="480"/>
        <w:rPr>
          <w:color w:val="000000"/>
          <w:sz w:val="24"/>
          <w:szCs w:val="24"/>
        </w:rPr>
      </w:pPr>
      <w:r w:rsidRPr="000D4C02">
        <w:rPr>
          <w:rFonts w:hint="eastAsia"/>
          <w:color w:val="000000"/>
          <w:sz w:val="24"/>
          <w:szCs w:val="24"/>
        </w:rPr>
        <w:t>三季度本基金净值表现跑赢业绩比较基准，主要体现在行业配置和个股选择的优势。三季度提高了换手率，也一定程度反应了市场赚钱效应较少，同时大量投资机会呈现明显波动的特性。</w:t>
      </w:r>
    </w:p>
    <w:p w:rsidR="000D4C02" w:rsidRPr="000D4C02" w:rsidRDefault="000D4C02" w:rsidP="0036422D">
      <w:pPr>
        <w:spacing w:before="29" w:line="288" w:lineRule="auto"/>
        <w:ind w:firstLineChars="200" w:firstLine="480"/>
        <w:rPr>
          <w:color w:val="000000"/>
          <w:sz w:val="24"/>
          <w:szCs w:val="24"/>
        </w:rPr>
      </w:pPr>
      <w:r w:rsidRPr="000D4C02">
        <w:rPr>
          <w:rFonts w:hint="eastAsia"/>
          <w:color w:val="000000"/>
          <w:sz w:val="24"/>
          <w:szCs w:val="24"/>
        </w:rPr>
        <w:t>展望未来一个季度，我们认为市场仍将维持震荡市的趋势。经济增速乏力，预计市场向上空间有限，而整体宽松的货币环境加之</w:t>
      </w:r>
      <w:r w:rsidRPr="000D4C02">
        <w:rPr>
          <w:rFonts w:hint="eastAsia"/>
          <w:color w:val="000000"/>
          <w:sz w:val="24"/>
          <w:szCs w:val="24"/>
        </w:rPr>
        <w:t>A</w:t>
      </w:r>
      <w:r w:rsidRPr="000D4C02">
        <w:rPr>
          <w:rFonts w:hint="eastAsia"/>
          <w:color w:val="000000"/>
          <w:sz w:val="24"/>
          <w:szCs w:val="24"/>
        </w:rPr>
        <w:t>股市场整体估值较为合理也使得下行风险也不大。</w:t>
      </w:r>
    </w:p>
    <w:p w:rsidR="000D4C02" w:rsidRDefault="000D4C02" w:rsidP="00C15CAC">
      <w:pPr>
        <w:spacing w:before="29" w:line="288" w:lineRule="auto"/>
        <w:ind w:firstLineChars="200" w:firstLine="480"/>
        <w:rPr>
          <w:color w:val="000000"/>
          <w:sz w:val="24"/>
          <w:szCs w:val="24"/>
        </w:rPr>
      </w:pPr>
      <w:r w:rsidRPr="000D4C02">
        <w:rPr>
          <w:rFonts w:hint="eastAsia"/>
          <w:color w:val="000000"/>
          <w:sz w:val="24"/>
          <w:szCs w:val="24"/>
        </w:rPr>
        <w:t>本基金在</w:t>
      </w:r>
      <w:r w:rsidRPr="000D4C02">
        <w:rPr>
          <w:rFonts w:hint="eastAsia"/>
          <w:color w:val="000000"/>
          <w:sz w:val="24"/>
          <w:szCs w:val="24"/>
        </w:rPr>
        <w:t>2016</w:t>
      </w:r>
      <w:r w:rsidRPr="000D4C02">
        <w:rPr>
          <w:rFonts w:hint="eastAsia"/>
          <w:color w:val="000000"/>
          <w:sz w:val="24"/>
          <w:szCs w:val="24"/>
        </w:rPr>
        <w:t>年四季度，计划仍将聚焦优选新兴成长行业，特别是上半年市场关注度不高的可持续成长行业，比如快递、传媒、旅游、电子等。发掘未来</w:t>
      </w:r>
      <w:r w:rsidRPr="000D4C02">
        <w:rPr>
          <w:rFonts w:hint="eastAsia"/>
          <w:color w:val="000000"/>
          <w:sz w:val="24"/>
          <w:szCs w:val="24"/>
        </w:rPr>
        <w:t>2-3</w:t>
      </w:r>
      <w:r w:rsidRPr="000D4C02">
        <w:rPr>
          <w:rFonts w:hint="eastAsia"/>
          <w:color w:val="000000"/>
          <w:sz w:val="24"/>
          <w:szCs w:val="24"/>
        </w:rPr>
        <w:t>年有实质性成长空间和潜力的细分行业，并集中配置。争取为投资人获得较好的投资回报。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007170D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007170D5" w:rsidRPr="00414345">
        <w:rPr>
          <w:color w:val="000000"/>
          <w:sz w:val="24"/>
          <w:szCs w:val="24"/>
        </w:rPr>
        <w:t>2.234</w:t>
      </w:r>
      <w:r w:rsidRPr="00414345">
        <w:rPr>
          <w:color w:val="000000"/>
          <w:sz w:val="24"/>
          <w:szCs w:val="24"/>
        </w:rPr>
        <w:t>元，本报告期份额净值增长率为</w:t>
      </w:r>
      <w:r w:rsidR="007170D5">
        <w:rPr>
          <w:color w:val="000000"/>
          <w:sz w:val="24"/>
          <w:szCs w:val="24"/>
        </w:rPr>
        <w:t>8.66</w:t>
      </w:r>
      <w:r w:rsidRPr="00414345">
        <w:rPr>
          <w:color w:val="000000"/>
          <w:sz w:val="24"/>
          <w:szCs w:val="24"/>
        </w:rPr>
        <w:t>%</w:t>
      </w:r>
      <w:r w:rsidRPr="00414345">
        <w:rPr>
          <w:color w:val="000000"/>
          <w:sz w:val="24"/>
          <w:szCs w:val="24"/>
        </w:rPr>
        <w:t>，同期业绩比较基准增长率为</w:t>
      </w:r>
      <w:r w:rsidR="007170D5">
        <w:rPr>
          <w:color w:val="000000"/>
          <w:sz w:val="24"/>
          <w:szCs w:val="24"/>
        </w:rPr>
        <w:t>2.89</w:t>
      </w:r>
      <w:r w:rsidRPr="00414345">
        <w:rPr>
          <w:color w:val="000000"/>
          <w:sz w:val="24"/>
          <w:szCs w:val="24"/>
        </w:rPr>
        <w:t>%</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123,021,089.18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81.19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123,021,089.18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81.19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96,216.00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0.06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96,216.00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0.06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26,161,390.71</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17.27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2,249,758.60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1.48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lastRenderedPageBreak/>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151,528,454.49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3,694,531.40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2.46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190,670.00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0.13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87,758,473.05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47328B">
            <w:pPr>
              <w:spacing w:before="29" w:line="288" w:lineRule="auto"/>
              <w:jc w:val="right"/>
              <w:rPr>
                <w:sz w:val="24"/>
                <w:szCs w:val="24"/>
              </w:rPr>
            </w:pPr>
            <w:r w:rsidRPr="00414345">
              <w:rPr>
                <w:sz w:val="24"/>
                <w:szCs w:val="24"/>
              </w:rPr>
              <w:t>58.5</w:t>
            </w:r>
            <w:r w:rsidR="0047328B">
              <w:rPr>
                <w:sz w:val="24"/>
                <w:szCs w:val="24"/>
              </w:rPr>
              <w:t>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847,950.00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641,990.64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3,670,406.00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5,361,013.96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4,578,230.12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4,654,592.00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3,348,995.40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589,515.30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7,684,721.31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123,021,089.18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82.04</w:t>
            </w:r>
          </w:p>
        </w:tc>
      </w:tr>
    </w:tbl>
    <w:p w:rsidR="00AA348D" w:rsidRDefault="00AA348D"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bookmarkStart w:id="0" w:name="_GoBack"/>
      <w:bookmarkEnd w:id="0"/>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5C72D6">
        <w:trPr>
          <w:jc w:val="center"/>
        </w:trPr>
        <w:tc>
          <w:tcPr>
            <w:tcW w:w="855" w:type="dxa"/>
            <w:vAlign w:val="center"/>
          </w:tcPr>
          <w:p w:rsidR="005C72D6" w:rsidRDefault="007170D5">
            <w:pPr>
              <w:jc w:val="center"/>
            </w:pPr>
            <w:r>
              <w:rPr>
                <w:color w:val="000000"/>
                <w:sz w:val="24"/>
                <w:szCs w:val="24"/>
              </w:rPr>
              <w:t>1</w:t>
            </w:r>
          </w:p>
        </w:tc>
        <w:tc>
          <w:tcPr>
            <w:tcW w:w="1334" w:type="dxa"/>
            <w:vAlign w:val="center"/>
          </w:tcPr>
          <w:p w:rsidR="005C72D6" w:rsidRDefault="007170D5">
            <w:pPr>
              <w:jc w:val="center"/>
            </w:pPr>
            <w:r>
              <w:rPr>
                <w:color w:val="000000"/>
                <w:sz w:val="24"/>
                <w:szCs w:val="24"/>
              </w:rPr>
              <w:t>002120</w:t>
            </w:r>
          </w:p>
        </w:tc>
        <w:tc>
          <w:tcPr>
            <w:tcW w:w="1777" w:type="dxa"/>
            <w:vAlign w:val="center"/>
          </w:tcPr>
          <w:p w:rsidR="005C72D6" w:rsidRDefault="007170D5">
            <w:pPr>
              <w:jc w:val="center"/>
            </w:pPr>
            <w:r>
              <w:rPr>
                <w:color w:val="000000"/>
                <w:sz w:val="24"/>
                <w:szCs w:val="24"/>
              </w:rPr>
              <w:t>新海股份</w:t>
            </w:r>
          </w:p>
        </w:tc>
        <w:tc>
          <w:tcPr>
            <w:tcW w:w="1334" w:type="dxa"/>
            <w:vAlign w:val="center"/>
          </w:tcPr>
          <w:p w:rsidR="005C72D6" w:rsidRDefault="007170D5">
            <w:pPr>
              <w:jc w:val="right"/>
            </w:pPr>
            <w:r>
              <w:rPr>
                <w:color w:val="000000"/>
                <w:sz w:val="24"/>
                <w:szCs w:val="24"/>
              </w:rPr>
              <w:t>253,489</w:t>
            </w:r>
          </w:p>
        </w:tc>
        <w:tc>
          <w:tcPr>
            <w:tcW w:w="1924" w:type="dxa"/>
            <w:vAlign w:val="center"/>
          </w:tcPr>
          <w:p w:rsidR="005C72D6" w:rsidRDefault="007170D5">
            <w:pPr>
              <w:jc w:val="right"/>
            </w:pPr>
            <w:r>
              <w:rPr>
                <w:color w:val="000000"/>
                <w:sz w:val="24"/>
                <w:szCs w:val="24"/>
              </w:rPr>
              <w:t>12,826,543.40</w:t>
            </w:r>
          </w:p>
        </w:tc>
        <w:tc>
          <w:tcPr>
            <w:tcW w:w="1644" w:type="dxa"/>
            <w:vAlign w:val="center"/>
          </w:tcPr>
          <w:p w:rsidR="005C72D6" w:rsidRDefault="007170D5">
            <w:pPr>
              <w:jc w:val="right"/>
            </w:pPr>
            <w:r>
              <w:rPr>
                <w:color w:val="000000"/>
                <w:sz w:val="24"/>
                <w:szCs w:val="24"/>
              </w:rPr>
              <w:t>8.55</w:t>
            </w:r>
          </w:p>
        </w:tc>
      </w:tr>
      <w:tr w:rsidR="005C72D6">
        <w:trPr>
          <w:jc w:val="center"/>
        </w:trPr>
        <w:tc>
          <w:tcPr>
            <w:tcW w:w="855" w:type="dxa"/>
            <w:vAlign w:val="center"/>
          </w:tcPr>
          <w:p w:rsidR="005C72D6" w:rsidRDefault="007170D5">
            <w:pPr>
              <w:jc w:val="center"/>
            </w:pPr>
            <w:r>
              <w:rPr>
                <w:color w:val="000000"/>
                <w:sz w:val="24"/>
                <w:szCs w:val="24"/>
              </w:rPr>
              <w:t>2</w:t>
            </w:r>
          </w:p>
        </w:tc>
        <w:tc>
          <w:tcPr>
            <w:tcW w:w="1334" w:type="dxa"/>
            <w:vAlign w:val="center"/>
          </w:tcPr>
          <w:p w:rsidR="005C72D6" w:rsidRDefault="007170D5">
            <w:pPr>
              <w:jc w:val="center"/>
            </w:pPr>
            <w:r>
              <w:rPr>
                <w:color w:val="000000"/>
                <w:sz w:val="24"/>
                <w:szCs w:val="24"/>
              </w:rPr>
              <w:t>002468</w:t>
            </w:r>
          </w:p>
        </w:tc>
        <w:tc>
          <w:tcPr>
            <w:tcW w:w="1777" w:type="dxa"/>
            <w:vAlign w:val="center"/>
          </w:tcPr>
          <w:p w:rsidR="005C72D6" w:rsidRDefault="007170D5">
            <w:pPr>
              <w:jc w:val="center"/>
            </w:pPr>
            <w:r>
              <w:rPr>
                <w:color w:val="000000"/>
                <w:sz w:val="24"/>
                <w:szCs w:val="24"/>
              </w:rPr>
              <w:t>艾迪西</w:t>
            </w:r>
          </w:p>
        </w:tc>
        <w:tc>
          <w:tcPr>
            <w:tcW w:w="1334" w:type="dxa"/>
            <w:vAlign w:val="center"/>
          </w:tcPr>
          <w:p w:rsidR="005C72D6" w:rsidRDefault="007170D5">
            <w:pPr>
              <w:jc w:val="right"/>
            </w:pPr>
            <w:r>
              <w:rPr>
                <w:color w:val="000000"/>
                <w:sz w:val="24"/>
                <w:szCs w:val="24"/>
              </w:rPr>
              <w:t>324,816</w:t>
            </w:r>
          </w:p>
        </w:tc>
        <w:tc>
          <w:tcPr>
            <w:tcW w:w="1924" w:type="dxa"/>
            <w:vAlign w:val="center"/>
          </w:tcPr>
          <w:p w:rsidR="005C72D6" w:rsidRDefault="007170D5">
            <w:pPr>
              <w:jc w:val="right"/>
            </w:pPr>
            <w:r>
              <w:rPr>
                <w:color w:val="000000"/>
                <w:sz w:val="24"/>
                <w:szCs w:val="24"/>
              </w:rPr>
              <w:t>10,001,084.64</w:t>
            </w:r>
          </w:p>
        </w:tc>
        <w:tc>
          <w:tcPr>
            <w:tcW w:w="1644" w:type="dxa"/>
            <w:vAlign w:val="center"/>
          </w:tcPr>
          <w:p w:rsidR="005C72D6" w:rsidRDefault="007170D5">
            <w:pPr>
              <w:jc w:val="right"/>
            </w:pPr>
            <w:r>
              <w:rPr>
                <w:color w:val="000000"/>
                <w:sz w:val="24"/>
                <w:szCs w:val="24"/>
              </w:rPr>
              <w:t>6.67</w:t>
            </w:r>
          </w:p>
        </w:tc>
      </w:tr>
      <w:tr w:rsidR="005C72D6">
        <w:trPr>
          <w:jc w:val="center"/>
        </w:trPr>
        <w:tc>
          <w:tcPr>
            <w:tcW w:w="855" w:type="dxa"/>
            <w:vAlign w:val="center"/>
          </w:tcPr>
          <w:p w:rsidR="005C72D6" w:rsidRDefault="007170D5">
            <w:pPr>
              <w:jc w:val="center"/>
            </w:pPr>
            <w:r>
              <w:rPr>
                <w:color w:val="000000"/>
                <w:sz w:val="24"/>
                <w:szCs w:val="24"/>
              </w:rPr>
              <w:t>3</w:t>
            </w:r>
          </w:p>
        </w:tc>
        <w:tc>
          <w:tcPr>
            <w:tcW w:w="1334" w:type="dxa"/>
            <w:vAlign w:val="center"/>
          </w:tcPr>
          <w:p w:rsidR="005C72D6" w:rsidRDefault="007170D5">
            <w:pPr>
              <w:jc w:val="center"/>
            </w:pPr>
            <w:r>
              <w:rPr>
                <w:color w:val="000000"/>
                <w:sz w:val="24"/>
                <w:szCs w:val="24"/>
              </w:rPr>
              <w:t>002343</w:t>
            </w:r>
          </w:p>
        </w:tc>
        <w:tc>
          <w:tcPr>
            <w:tcW w:w="1777" w:type="dxa"/>
            <w:vAlign w:val="center"/>
          </w:tcPr>
          <w:p w:rsidR="005C72D6" w:rsidRDefault="007170D5">
            <w:pPr>
              <w:jc w:val="center"/>
            </w:pPr>
            <w:r>
              <w:rPr>
                <w:color w:val="000000"/>
                <w:sz w:val="24"/>
                <w:szCs w:val="24"/>
              </w:rPr>
              <w:t>慈文传媒</w:t>
            </w:r>
          </w:p>
        </w:tc>
        <w:tc>
          <w:tcPr>
            <w:tcW w:w="1334" w:type="dxa"/>
            <w:vAlign w:val="center"/>
          </w:tcPr>
          <w:p w:rsidR="005C72D6" w:rsidRDefault="007170D5">
            <w:pPr>
              <w:jc w:val="right"/>
            </w:pPr>
            <w:r>
              <w:rPr>
                <w:color w:val="000000"/>
                <w:sz w:val="24"/>
                <w:szCs w:val="24"/>
              </w:rPr>
              <w:t>183,889</w:t>
            </w:r>
          </w:p>
        </w:tc>
        <w:tc>
          <w:tcPr>
            <w:tcW w:w="1924" w:type="dxa"/>
            <w:vAlign w:val="center"/>
          </w:tcPr>
          <w:p w:rsidR="005C72D6" w:rsidRDefault="007170D5">
            <w:pPr>
              <w:jc w:val="right"/>
            </w:pPr>
            <w:r>
              <w:rPr>
                <w:color w:val="000000"/>
                <w:sz w:val="24"/>
                <w:szCs w:val="24"/>
              </w:rPr>
              <w:t>7,684,721.31</w:t>
            </w:r>
          </w:p>
        </w:tc>
        <w:tc>
          <w:tcPr>
            <w:tcW w:w="1644" w:type="dxa"/>
            <w:vAlign w:val="center"/>
          </w:tcPr>
          <w:p w:rsidR="005C72D6" w:rsidRDefault="007170D5">
            <w:pPr>
              <w:jc w:val="right"/>
            </w:pPr>
            <w:r>
              <w:rPr>
                <w:color w:val="000000"/>
                <w:sz w:val="24"/>
                <w:szCs w:val="24"/>
              </w:rPr>
              <w:t>5.12</w:t>
            </w:r>
          </w:p>
        </w:tc>
      </w:tr>
      <w:tr w:rsidR="005C72D6">
        <w:trPr>
          <w:jc w:val="center"/>
        </w:trPr>
        <w:tc>
          <w:tcPr>
            <w:tcW w:w="855" w:type="dxa"/>
            <w:vAlign w:val="center"/>
          </w:tcPr>
          <w:p w:rsidR="005C72D6" w:rsidRDefault="007170D5">
            <w:pPr>
              <w:jc w:val="center"/>
            </w:pPr>
            <w:r>
              <w:rPr>
                <w:color w:val="000000"/>
                <w:sz w:val="24"/>
                <w:szCs w:val="24"/>
              </w:rPr>
              <w:t>4</w:t>
            </w:r>
          </w:p>
        </w:tc>
        <w:tc>
          <w:tcPr>
            <w:tcW w:w="1334" w:type="dxa"/>
            <w:vAlign w:val="center"/>
          </w:tcPr>
          <w:p w:rsidR="005C72D6" w:rsidRDefault="007170D5">
            <w:pPr>
              <w:jc w:val="center"/>
            </w:pPr>
            <w:r>
              <w:rPr>
                <w:color w:val="000000"/>
                <w:sz w:val="24"/>
                <w:szCs w:val="24"/>
              </w:rPr>
              <w:t>600233</w:t>
            </w:r>
          </w:p>
        </w:tc>
        <w:tc>
          <w:tcPr>
            <w:tcW w:w="1777" w:type="dxa"/>
            <w:vAlign w:val="center"/>
          </w:tcPr>
          <w:p w:rsidR="005C72D6" w:rsidRDefault="007170D5">
            <w:pPr>
              <w:jc w:val="center"/>
            </w:pPr>
            <w:r>
              <w:rPr>
                <w:color w:val="000000"/>
                <w:sz w:val="24"/>
                <w:szCs w:val="24"/>
              </w:rPr>
              <w:t>大杨创世</w:t>
            </w:r>
          </w:p>
        </w:tc>
        <w:tc>
          <w:tcPr>
            <w:tcW w:w="1334" w:type="dxa"/>
            <w:vAlign w:val="center"/>
          </w:tcPr>
          <w:p w:rsidR="005C72D6" w:rsidRDefault="007170D5">
            <w:pPr>
              <w:jc w:val="right"/>
            </w:pPr>
            <w:r>
              <w:rPr>
                <w:color w:val="000000"/>
                <w:sz w:val="24"/>
                <w:szCs w:val="24"/>
              </w:rPr>
              <w:t>243,024</w:t>
            </w:r>
          </w:p>
        </w:tc>
        <w:tc>
          <w:tcPr>
            <w:tcW w:w="1924" w:type="dxa"/>
            <w:vAlign w:val="center"/>
          </w:tcPr>
          <w:p w:rsidR="005C72D6" w:rsidRDefault="007170D5">
            <w:pPr>
              <w:jc w:val="right"/>
            </w:pPr>
            <w:r>
              <w:rPr>
                <w:color w:val="000000"/>
                <w:sz w:val="24"/>
                <w:szCs w:val="24"/>
              </w:rPr>
              <w:t>6,904,311.84</w:t>
            </w:r>
          </w:p>
        </w:tc>
        <w:tc>
          <w:tcPr>
            <w:tcW w:w="1644" w:type="dxa"/>
            <w:vAlign w:val="center"/>
          </w:tcPr>
          <w:p w:rsidR="005C72D6" w:rsidRDefault="007170D5">
            <w:pPr>
              <w:jc w:val="right"/>
            </w:pPr>
            <w:r>
              <w:rPr>
                <w:color w:val="000000"/>
                <w:sz w:val="24"/>
                <w:szCs w:val="24"/>
              </w:rPr>
              <w:t>4.60</w:t>
            </w:r>
          </w:p>
        </w:tc>
      </w:tr>
      <w:tr w:rsidR="005C72D6">
        <w:trPr>
          <w:jc w:val="center"/>
        </w:trPr>
        <w:tc>
          <w:tcPr>
            <w:tcW w:w="855" w:type="dxa"/>
            <w:vAlign w:val="center"/>
          </w:tcPr>
          <w:p w:rsidR="005C72D6" w:rsidRDefault="007170D5">
            <w:pPr>
              <w:jc w:val="center"/>
            </w:pPr>
            <w:r>
              <w:rPr>
                <w:color w:val="000000"/>
                <w:sz w:val="24"/>
                <w:szCs w:val="24"/>
              </w:rPr>
              <w:t>5</w:t>
            </w:r>
          </w:p>
        </w:tc>
        <w:tc>
          <w:tcPr>
            <w:tcW w:w="1334" w:type="dxa"/>
            <w:vAlign w:val="center"/>
          </w:tcPr>
          <w:p w:rsidR="005C72D6" w:rsidRDefault="007170D5">
            <w:pPr>
              <w:jc w:val="center"/>
            </w:pPr>
            <w:r>
              <w:rPr>
                <w:color w:val="000000"/>
                <w:sz w:val="24"/>
                <w:szCs w:val="24"/>
              </w:rPr>
              <w:t>603555</w:t>
            </w:r>
          </w:p>
        </w:tc>
        <w:tc>
          <w:tcPr>
            <w:tcW w:w="1777" w:type="dxa"/>
            <w:vAlign w:val="center"/>
          </w:tcPr>
          <w:p w:rsidR="005C72D6" w:rsidRDefault="007170D5">
            <w:pPr>
              <w:jc w:val="center"/>
            </w:pPr>
            <w:r>
              <w:rPr>
                <w:color w:val="000000"/>
                <w:sz w:val="24"/>
                <w:szCs w:val="24"/>
              </w:rPr>
              <w:t>贵人鸟</w:t>
            </w:r>
          </w:p>
        </w:tc>
        <w:tc>
          <w:tcPr>
            <w:tcW w:w="1334" w:type="dxa"/>
            <w:vAlign w:val="center"/>
          </w:tcPr>
          <w:p w:rsidR="005C72D6" w:rsidRDefault="007170D5">
            <w:pPr>
              <w:jc w:val="right"/>
            </w:pPr>
            <w:r>
              <w:rPr>
                <w:color w:val="000000"/>
                <w:sz w:val="24"/>
                <w:szCs w:val="24"/>
              </w:rPr>
              <w:t>245,600</w:t>
            </w:r>
          </w:p>
        </w:tc>
        <w:tc>
          <w:tcPr>
            <w:tcW w:w="1924" w:type="dxa"/>
            <w:vAlign w:val="center"/>
          </w:tcPr>
          <w:p w:rsidR="005C72D6" w:rsidRDefault="007170D5">
            <w:pPr>
              <w:jc w:val="right"/>
            </w:pPr>
            <w:r>
              <w:rPr>
                <w:color w:val="000000"/>
                <w:sz w:val="24"/>
                <w:szCs w:val="24"/>
              </w:rPr>
              <w:t>6,356,128.00</w:t>
            </w:r>
          </w:p>
        </w:tc>
        <w:tc>
          <w:tcPr>
            <w:tcW w:w="1644" w:type="dxa"/>
            <w:vAlign w:val="center"/>
          </w:tcPr>
          <w:p w:rsidR="005C72D6" w:rsidRDefault="007170D5">
            <w:pPr>
              <w:jc w:val="right"/>
            </w:pPr>
            <w:r>
              <w:rPr>
                <w:color w:val="000000"/>
                <w:sz w:val="24"/>
                <w:szCs w:val="24"/>
              </w:rPr>
              <w:t>4.24</w:t>
            </w:r>
          </w:p>
        </w:tc>
      </w:tr>
      <w:tr w:rsidR="005C72D6">
        <w:trPr>
          <w:jc w:val="center"/>
        </w:trPr>
        <w:tc>
          <w:tcPr>
            <w:tcW w:w="855" w:type="dxa"/>
            <w:vAlign w:val="center"/>
          </w:tcPr>
          <w:p w:rsidR="005C72D6" w:rsidRDefault="007170D5">
            <w:pPr>
              <w:jc w:val="center"/>
            </w:pPr>
            <w:r>
              <w:rPr>
                <w:color w:val="000000"/>
                <w:sz w:val="24"/>
                <w:szCs w:val="24"/>
              </w:rPr>
              <w:t>6</w:t>
            </w:r>
          </w:p>
        </w:tc>
        <w:tc>
          <w:tcPr>
            <w:tcW w:w="1334" w:type="dxa"/>
            <w:vAlign w:val="center"/>
          </w:tcPr>
          <w:p w:rsidR="005C72D6" w:rsidRDefault="007170D5">
            <w:pPr>
              <w:jc w:val="center"/>
            </w:pPr>
            <w:r>
              <w:rPr>
                <w:color w:val="000000"/>
                <w:sz w:val="24"/>
                <w:szCs w:val="24"/>
              </w:rPr>
              <w:t>001696</w:t>
            </w:r>
          </w:p>
        </w:tc>
        <w:tc>
          <w:tcPr>
            <w:tcW w:w="1777" w:type="dxa"/>
            <w:vAlign w:val="center"/>
          </w:tcPr>
          <w:p w:rsidR="005C72D6" w:rsidRDefault="007170D5">
            <w:pPr>
              <w:jc w:val="center"/>
            </w:pPr>
            <w:r>
              <w:rPr>
                <w:color w:val="000000"/>
                <w:sz w:val="24"/>
                <w:szCs w:val="24"/>
              </w:rPr>
              <w:t>宗申动力</w:t>
            </w:r>
          </w:p>
        </w:tc>
        <w:tc>
          <w:tcPr>
            <w:tcW w:w="1334" w:type="dxa"/>
            <w:vAlign w:val="center"/>
          </w:tcPr>
          <w:p w:rsidR="005C72D6" w:rsidRDefault="007170D5">
            <w:pPr>
              <w:jc w:val="right"/>
            </w:pPr>
            <w:r>
              <w:rPr>
                <w:color w:val="000000"/>
                <w:sz w:val="24"/>
                <w:szCs w:val="24"/>
              </w:rPr>
              <w:t>625,600</w:t>
            </w:r>
          </w:p>
        </w:tc>
        <w:tc>
          <w:tcPr>
            <w:tcW w:w="1924" w:type="dxa"/>
            <w:vAlign w:val="center"/>
          </w:tcPr>
          <w:p w:rsidR="005C72D6" w:rsidRDefault="007170D5">
            <w:pPr>
              <w:jc w:val="right"/>
            </w:pPr>
            <w:r>
              <w:rPr>
                <w:color w:val="000000"/>
                <w:sz w:val="24"/>
                <w:szCs w:val="24"/>
              </w:rPr>
              <w:t>6,356,096.00</w:t>
            </w:r>
          </w:p>
        </w:tc>
        <w:tc>
          <w:tcPr>
            <w:tcW w:w="1644" w:type="dxa"/>
            <w:vAlign w:val="center"/>
          </w:tcPr>
          <w:p w:rsidR="005C72D6" w:rsidRDefault="007170D5">
            <w:pPr>
              <w:jc w:val="right"/>
            </w:pPr>
            <w:r>
              <w:rPr>
                <w:color w:val="000000"/>
                <w:sz w:val="24"/>
                <w:szCs w:val="24"/>
              </w:rPr>
              <w:t>4.24</w:t>
            </w:r>
          </w:p>
        </w:tc>
      </w:tr>
      <w:tr w:rsidR="005C72D6">
        <w:trPr>
          <w:jc w:val="center"/>
        </w:trPr>
        <w:tc>
          <w:tcPr>
            <w:tcW w:w="855" w:type="dxa"/>
            <w:vAlign w:val="center"/>
          </w:tcPr>
          <w:p w:rsidR="005C72D6" w:rsidRDefault="007170D5">
            <w:pPr>
              <w:jc w:val="center"/>
            </w:pPr>
            <w:r>
              <w:rPr>
                <w:color w:val="000000"/>
                <w:sz w:val="24"/>
                <w:szCs w:val="24"/>
              </w:rPr>
              <w:t>7</w:t>
            </w:r>
          </w:p>
        </w:tc>
        <w:tc>
          <w:tcPr>
            <w:tcW w:w="1334" w:type="dxa"/>
            <w:vAlign w:val="center"/>
          </w:tcPr>
          <w:p w:rsidR="005C72D6" w:rsidRDefault="007170D5">
            <w:pPr>
              <w:jc w:val="center"/>
            </w:pPr>
            <w:r>
              <w:rPr>
                <w:color w:val="000000"/>
                <w:sz w:val="24"/>
                <w:szCs w:val="24"/>
              </w:rPr>
              <w:t>600500</w:t>
            </w:r>
          </w:p>
        </w:tc>
        <w:tc>
          <w:tcPr>
            <w:tcW w:w="1777" w:type="dxa"/>
            <w:vAlign w:val="center"/>
          </w:tcPr>
          <w:p w:rsidR="005C72D6" w:rsidRDefault="007170D5">
            <w:pPr>
              <w:jc w:val="center"/>
            </w:pPr>
            <w:r>
              <w:rPr>
                <w:color w:val="000000"/>
                <w:sz w:val="24"/>
                <w:szCs w:val="24"/>
              </w:rPr>
              <w:t>中化国际</w:t>
            </w:r>
          </w:p>
        </w:tc>
        <w:tc>
          <w:tcPr>
            <w:tcW w:w="1334" w:type="dxa"/>
            <w:vAlign w:val="center"/>
          </w:tcPr>
          <w:p w:rsidR="005C72D6" w:rsidRDefault="007170D5">
            <w:pPr>
              <w:jc w:val="right"/>
            </w:pPr>
            <w:r>
              <w:rPr>
                <w:color w:val="000000"/>
                <w:sz w:val="24"/>
                <w:szCs w:val="24"/>
              </w:rPr>
              <w:t>633,700</w:t>
            </w:r>
          </w:p>
        </w:tc>
        <w:tc>
          <w:tcPr>
            <w:tcW w:w="1924" w:type="dxa"/>
            <w:vAlign w:val="center"/>
          </w:tcPr>
          <w:p w:rsidR="005C72D6" w:rsidRDefault="007170D5">
            <w:pPr>
              <w:jc w:val="right"/>
            </w:pPr>
            <w:r>
              <w:rPr>
                <w:color w:val="000000"/>
                <w:sz w:val="24"/>
                <w:szCs w:val="24"/>
              </w:rPr>
              <w:t>6,083,520.00</w:t>
            </w:r>
          </w:p>
        </w:tc>
        <w:tc>
          <w:tcPr>
            <w:tcW w:w="1644" w:type="dxa"/>
            <w:vAlign w:val="center"/>
          </w:tcPr>
          <w:p w:rsidR="005C72D6" w:rsidRDefault="007170D5">
            <w:pPr>
              <w:jc w:val="right"/>
            </w:pPr>
            <w:r>
              <w:rPr>
                <w:color w:val="000000"/>
                <w:sz w:val="24"/>
                <w:szCs w:val="24"/>
              </w:rPr>
              <w:t>4.06</w:t>
            </w:r>
          </w:p>
        </w:tc>
      </w:tr>
      <w:tr w:rsidR="005C72D6">
        <w:trPr>
          <w:jc w:val="center"/>
        </w:trPr>
        <w:tc>
          <w:tcPr>
            <w:tcW w:w="855" w:type="dxa"/>
            <w:vAlign w:val="center"/>
          </w:tcPr>
          <w:p w:rsidR="005C72D6" w:rsidRDefault="007170D5">
            <w:pPr>
              <w:jc w:val="center"/>
            </w:pPr>
            <w:r>
              <w:rPr>
                <w:color w:val="000000"/>
                <w:sz w:val="24"/>
                <w:szCs w:val="24"/>
              </w:rPr>
              <w:t>8</w:t>
            </w:r>
          </w:p>
        </w:tc>
        <w:tc>
          <w:tcPr>
            <w:tcW w:w="1334" w:type="dxa"/>
            <w:vAlign w:val="center"/>
          </w:tcPr>
          <w:p w:rsidR="005C72D6" w:rsidRDefault="007170D5">
            <w:pPr>
              <w:jc w:val="center"/>
            </w:pPr>
            <w:r>
              <w:rPr>
                <w:color w:val="000000"/>
                <w:sz w:val="24"/>
                <w:szCs w:val="24"/>
              </w:rPr>
              <w:t>002045</w:t>
            </w:r>
          </w:p>
        </w:tc>
        <w:tc>
          <w:tcPr>
            <w:tcW w:w="1777" w:type="dxa"/>
            <w:vAlign w:val="center"/>
          </w:tcPr>
          <w:p w:rsidR="005C72D6" w:rsidRDefault="007170D5">
            <w:pPr>
              <w:jc w:val="center"/>
            </w:pPr>
            <w:r>
              <w:rPr>
                <w:color w:val="000000"/>
                <w:sz w:val="24"/>
                <w:szCs w:val="24"/>
              </w:rPr>
              <w:t>国光电器</w:t>
            </w:r>
          </w:p>
        </w:tc>
        <w:tc>
          <w:tcPr>
            <w:tcW w:w="1334" w:type="dxa"/>
            <w:vAlign w:val="center"/>
          </w:tcPr>
          <w:p w:rsidR="005C72D6" w:rsidRDefault="007170D5">
            <w:pPr>
              <w:jc w:val="right"/>
            </w:pPr>
            <w:r>
              <w:rPr>
                <w:color w:val="000000"/>
                <w:sz w:val="24"/>
                <w:szCs w:val="24"/>
              </w:rPr>
              <w:t>399,700</w:t>
            </w:r>
          </w:p>
        </w:tc>
        <w:tc>
          <w:tcPr>
            <w:tcW w:w="1924" w:type="dxa"/>
            <w:vAlign w:val="center"/>
          </w:tcPr>
          <w:p w:rsidR="005C72D6" w:rsidRDefault="007170D5">
            <w:pPr>
              <w:jc w:val="right"/>
            </w:pPr>
            <w:r>
              <w:rPr>
                <w:color w:val="000000"/>
                <w:sz w:val="24"/>
                <w:szCs w:val="24"/>
              </w:rPr>
              <w:t>5,068,196.00</w:t>
            </w:r>
          </w:p>
        </w:tc>
        <w:tc>
          <w:tcPr>
            <w:tcW w:w="1644" w:type="dxa"/>
            <w:vAlign w:val="center"/>
          </w:tcPr>
          <w:p w:rsidR="005C72D6" w:rsidRDefault="007170D5">
            <w:pPr>
              <w:jc w:val="right"/>
            </w:pPr>
            <w:r>
              <w:rPr>
                <w:color w:val="000000"/>
                <w:sz w:val="24"/>
                <w:szCs w:val="24"/>
              </w:rPr>
              <w:t>3.38</w:t>
            </w:r>
          </w:p>
        </w:tc>
      </w:tr>
      <w:tr w:rsidR="005C72D6">
        <w:trPr>
          <w:jc w:val="center"/>
        </w:trPr>
        <w:tc>
          <w:tcPr>
            <w:tcW w:w="855" w:type="dxa"/>
            <w:vAlign w:val="center"/>
          </w:tcPr>
          <w:p w:rsidR="005C72D6" w:rsidRDefault="007170D5">
            <w:pPr>
              <w:jc w:val="center"/>
            </w:pPr>
            <w:r>
              <w:rPr>
                <w:color w:val="000000"/>
                <w:sz w:val="24"/>
                <w:szCs w:val="24"/>
              </w:rPr>
              <w:t>9</w:t>
            </w:r>
          </w:p>
        </w:tc>
        <w:tc>
          <w:tcPr>
            <w:tcW w:w="1334" w:type="dxa"/>
            <w:vAlign w:val="center"/>
          </w:tcPr>
          <w:p w:rsidR="005C72D6" w:rsidRDefault="007170D5">
            <w:pPr>
              <w:jc w:val="center"/>
            </w:pPr>
            <w:r>
              <w:rPr>
                <w:color w:val="000000"/>
                <w:sz w:val="24"/>
                <w:szCs w:val="24"/>
              </w:rPr>
              <w:t>300115</w:t>
            </w:r>
          </w:p>
        </w:tc>
        <w:tc>
          <w:tcPr>
            <w:tcW w:w="1777" w:type="dxa"/>
            <w:vAlign w:val="center"/>
          </w:tcPr>
          <w:p w:rsidR="005C72D6" w:rsidRDefault="007170D5">
            <w:pPr>
              <w:jc w:val="center"/>
            </w:pPr>
            <w:r>
              <w:rPr>
                <w:color w:val="000000"/>
                <w:sz w:val="24"/>
                <w:szCs w:val="24"/>
              </w:rPr>
              <w:t>长盈精密</w:t>
            </w:r>
          </w:p>
        </w:tc>
        <w:tc>
          <w:tcPr>
            <w:tcW w:w="1334" w:type="dxa"/>
            <w:vAlign w:val="center"/>
          </w:tcPr>
          <w:p w:rsidR="005C72D6" w:rsidRDefault="007170D5">
            <w:pPr>
              <w:jc w:val="right"/>
            </w:pPr>
            <w:r>
              <w:rPr>
                <w:color w:val="000000"/>
                <w:sz w:val="24"/>
                <w:szCs w:val="24"/>
              </w:rPr>
              <w:t>163,987</w:t>
            </w:r>
          </w:p>
        </w:tc>
        <w:tc>
          <w:tcPr>
            <w:tcW w:w="1924" w:type="dxa"/>
            <w:vAlign w:val="center"/>
          </w:tcPr>
          <w:p w:rsidR="005C72D6" w:rsidRDefault="007170D5">
            <w:pPr>
              <w:jc w:val="right"/>
            </w:pPr>
            <w:r>
              <w:rPr>
                <w:color w:val="000000"/>
                <w:sz w:val="24"/>
                <w:szCs w:val="24"/>
              </w:rPr>
              <w:t>4,557,198.73</w:t>
            </w:r>
          </w:p>
        </w:tc>
        <w:tc>
          <w:tcPr>
            <w:tcW w:w="1644" w:type="dxa"/>
            <w:vAlign w:val="center"/>
          </w:tcPr>
          <w:p w:rsidR="005C72D6" w:rsidRDefault="007170D5">
            <w:pPr>
              <w:jc w:val="right"/>
            </w:pPr>
            <w:r>
              <w:rPr>
                <w:color w:val="000000"/>
                <w:sz w:val="24"/>
                <w:szCs w:val="24"/>
              </w:rPr>
              <w:t>3.04</w:t>
            </w:r>
          </w:p>
        </w:tc>
      </w:tr>
      <w:tr w:rsidR="005C72D6">
        <w:trPr>
          <w:jc w:val="center"/>
        </w:trPr>
        <w:tc>
          <w:tcPr>
            <w:tcW w:w="855" w:type="dxa"/>
            <w:vAlign w:val="center"/>
          </w:tcPr>
          <w:p w:rsidR="005C72D6" w:rsidRDefault="007170D5">
            <w:pPr>
              <w:jc w:val="center"/>
            </w:pPr>
            <w:r>
              <w:rPr>
                <w:color w:val="000000"/>
                <w:sz w:val="24"/>
                <w:szCs w:val="24"/>
              </w:rPr>
              <w:t>10</w:t>
            </w:r>
          </w:p>
        </w:tc>
        <w:tc>
          <w:tcPr>
            <w:tcW w:w="1334" w:type="dxa"/>
            <w:vAlign w:val="center"/>
          </w:tcPr>
          <w:p w:rsidR="005C72D6" w:rsidRDefault="007170D5">
            <w:pPr>
              <w:jc w:val="center"/>
            </w:pPr>
            <w:r>
              <w:rPr>
                <w:color w:val="000000"/>
                <w:sz w:val="24"/>
                <w:szCs w:val="24"/>
              </w:rPr>
              <w:t>000423</w:t>
            </w:r>
          </w:p>
        </w:tc>
        <w:tc>
          <w:tcPr>
            <w:tcW w:w="1777" w:type="dxa"/>
            <w:vAlign w:val="center"/>
          </w:tcPr>
          <w:p w:rsidR="005C72D6" w:rsidRDefault="007170D5">
            <w:pPr>
              <w:jc w:val="center"/>
            </w:pPr>
            <w:r>
              <w:rPr>
                <w:color w:val="000000"/>
                <w:sz w:val="24"/>
                <w:szCs w:val="24"/>
              </w:rPr>
              <w:t>东阿阿胶</w:t>
            </w:r>
          </w:p>
        </w:tc>
        <w:tc>
          <w:tcPr>
            <w:tcW w:w="1334" w:type="dxa"/>
            <w:vAlign w:val="center"/>
          </w:tcPr>
          <w:p w:rsidR="005C72D6" w:rsidRDefault="007170D5">
            <w:pPr>
              <w:jc w:val="right"/>
            </w:pPr>
            <w:r>
              <w:rPr>
                <w:color w:val="000000"/>
                <w:sz w:val="24"/>
                <w:szCs w:val="24"/>
              </w:rPr>
              <w:t>75,800</w:t>
            </w:r>
          </w:p>
        </w:tc>
        <w:tc>
          <w:tcPr>
            <w:tcW w:w="1924" w:type="dxa"/>
            <w:vAlign w:val="center"/>
          </w:tcPr>
          <w:p w:rsidR="005C72D6" w:rsidRDefault="007170D5">
            <w:pPr>
              <w:jc w:val="right"/>
            </w:pPr>
            <w:r>
              <w:rPr>
                <w:color w:val="000000"/>
                <w:sz w:val="24"/>
                <w:szCs w:val="24"/>
              </w:rPr>
              <w:t>4,510,100.00</w:t>
            </w:r>
          </w:p>
        </w:tc>
        <w:tc>
          <w:tcPr>
            <w:tcW w:w="1644" w:type="dxa"/>
            <w:vAlign w:val="center"/>
          </w:tcPr>
          <w:p w:rsidR="005C72D6" w:rsidRDefault="007170D5">
            <w:pPr>
              <w:jc w:val="right"/>
            </w:pPr>
            <w:r>
              <w:rPr>
                <w:color w:val="000000"/>
                <w:sz w:val="24"/>
                <w:szCs w:val="24"/>
              </w:rPr>
              <w:t>3.01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96,216.00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0.06</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96,216.00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5C72D6">
        <w:trPr>
          <w:jc w:val="center"/>
        </w:trPr>
        <w:tc>
          <w:tcPr>
            <w:tcW w:w="850" w:type="dxa"/>
            <w:vAlign w:val="center"/>
          </w:tcPr>
          <w:p w:rsidR="005C72D6" w:rsidRDefault="007170D5">
            <w:pPr>
              <w:jc w:val="center"/>
            </w:pPr>
            <w:r>
              <w:rPr>
                <w:color w:val="000000"/>
                <w:sz w:val="24"/>
                <w:szCs w:val="24"/>
              </w:rPr>
              <w:lastRenderedPageBreak/>
              <w:t>1</w:t>
            </w:r>
          </w:p>
        </w:tc>
        <w:tc>
          <w:tcPr>
            <w:tcW w:w="1475" w:type="dxa"/>
            <w:vAlign w:val="center"/>
          </w:tcPr>
          <w:p w:rsidR="005C72D6" w:rsidRDefault="007170D5">
            <w:pPr>
              <w:jc w:val="center"/>
            </w:pPr>
            <w:r>
              <w:rPr>
                <w:color w:val="000000"/>
                <w:sz w:val="24"/>
                <w:szCs w:val="24"/>
              </w:rPr>
              <w:t>110035</w:t>
            </w:r>
          </w:p>
        </w:tc>
        <w:tc>
          <w:tcPr>
            <w:tcW w:w="1769" w:type="dxa"/>
            <w:vAlign w:val="center"/>
          </w:tcPr>
          <w:p w:rsidR="005C72D6" w:rsidRDefault="007170D5">
            <w:pPr>
              <w:jc w:val="center"/>
            </w:pPr>
            <w:r>
              <w:rPr>
                <w:color w:val="000000"/>
                <w:sz w:val="24"/>
                <w:szCs w:val="24"/>
              </w:rPr>
              <w:t>白云转债</w:t>
            </w:r>
          </w:p>
        </w:tc>
        <w:tc>
          <w:tcPr>
            <w:tcW w:w="1387" w:type="dxa"/>
            <w:vAlign w:val="center"/>
          </w:tcPr>
          <w:p w:rsidR="005C72D6" w:rsidRDefault="007170D5">
            <w:pPr>
              <w:jc w:val="right"/>
            </w:pPr>
            <w:r>
              <w:rPr>
                <w:color w:val="000000"/>
                <w:sz w:val="24"/>
                <w:szCs w:val="24"/>
              </w:rPr>
              <w:t>760</w:t>
            </w:r>
          </w:p>
        </w:tc>
        <w:tc>
          <w:tcPr>
            <w:tcW w:w="2150" w:type="dxa"/>
            <w:vAlign w:val="center"/>
          </w:tcPr>
          <w:p w:rsidR="005C72D6" w:rsidRDefault="007170D5">
            <w:pPr>
              <w:jc w:val="right"/>
            </w:pPr>
            <w:r>
              <w:rPr>
                <w:color w:val="000000"/>
                <w:sz w:val="24"/>
                <w:szCs w:val="24"/>
              </w:rPr>
              <w:t>96,216.00</w:t>
            </w:r>
          </w:p>
        </w:tc>
        <w:tc>
          <w:tcPr>
            <w:tcW w:w="1237" w:type="dxa"/>
            <w:vAlign w:val="center"/>
          </w:tcPr>
          <w:p w:rsidR="005C72D6" w:rsidRDefault="007170D5">
            <w:pPr>
              <w:jc w:val="right"/>
            </w:pPr>
            <w:r>
              <w:rPr>
                <w:color w:val="000000"/>
                <w:sz w:val="24"/>
                <w:szCs w:val="24"/>
              </w:rPr>
              <w:t>0.06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122,337.42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1,396,345.57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5,627.73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725,447.88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2,249,758.60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5C72D6">
        <w:trPr>
          <w:jc w:val="center"/>
        </w:trPr>
        <w:tc>
          <w:tcPr>
            <w:tcW w:w="1883" w:type="dxa"/>
            <w:vAlign w:val="center"/>
          </w:tcPr>
          <w:p w:rsidR="005C72D6" w:rsidRDefault="007170D5">
            <w:pPr>
              <w:jc w:val="center"/>
            </w:pPr>
            <w:r>
              <w:rPr>
                <w:color w:val="000000"/>
                <w:sz w:val="24"/>
                <w:szCs w:val="24"/>
              </w:rPr>
              <w:t>1</w:t>
            </w:r>
          </w:p>
        </w:tc>
        <w:tc>
          <w:tcPr>
            <w:tcW w:w="1801" w:type="dxa"/>
            <w:vAlign w:val="center"/>
          </w:tcPr>
          <w:p w:rsidR="005C72D6" w:rsidRDefault="007170D5">
            <w:pPr>
              <w:jc w:val="center"/>
            </w:pPr>
            <w:r>
              <w:rPr>
                <w:color w:val="000000"/>
                <w:sz w:val="24"/>
                <w:szCs w:val="24"/>
              </w:rPr>
              <w:t>110035</w:t>
            </w:r>
          </w:p>
        </w:tc>
        <w:tc>
          <w:tcPr>
            <w:tcW w:w="1727" w:type="dxa"/>
            <w:vAlign w:val="center"/>
          </w:tcPr>
          <w:p w:rsidR="005C72D6" w:rsidRDefault="007170D5">
            <w:pPr>
              <w:jc w:val="center"/>
            </w:pPr>
            <w:r>
              <w:rPr>
                <w:color w:val="000000"/>
                <w:sz w:val="24"/>
                <w:szCs w:val="24"/>
              </w:rPr>
              <w:t>白云转债</w:t>
            </w:r>
          </w:p>
        </w:tc>
        <w:tc>
          <w:tcPr>
            <w:tcW w:w="1768" w:type="dxa"/>
            <w:vAlign w:val="center"/>
          </w:tcPr>
          <w:p w:rsidR="005C72D6" w:rsidRDefault="007170D5">
            <w:pPr>
              <w:jc w:val="right"/>
            </w:pPr>
            <w:r>
              <w:rPr>
                <w:color w:val="000000"/>
                <w:sz w:val="24"/>
                <w:szCs w:val="24"/>
              </w:rPr>
              <w:t>96,216.00</w:t>
            </w:r>
          </w:p>
        </w:tc>
        <w:tc>
          <w:tcPr>
            <w:tcW w:w="1689" w:type="dxa"/>
            <w:vAlign w:val="center"/>
          </w:tcPr>
          <w:p w:rsidR="005C72D6" w:rsidRDefault="007170D5">
            <w:pPr>
              <w:jc w:val="right"/>
            </w:pPr>
            <w:r>
              <w:rPr>
                <w:color w:val="000000"/>
                <w:sz w:val="24"/>
                <w:szCs w:val="24"/>
              </w:rPr>
              <w:t>0.06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52,788,270.72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18,284,199.28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3,943,752.26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67,128,717.74</w:t>
            </w:r>
          </w:p>
        </w:tc>
      </w:tr>
    </w:tbl>
    <w:p w:rsidR="005C72D6" w:rsidRDefault="007170D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20,005,300.00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20,005,300.00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29.80</w:t>
            </w:r>
          </w:p>
        </w:tc>
      </w:tr>
    </w:tbl>
    <w:p w:rsidR="005C72D6" w:rsidRDefault="007170D5">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lastRenderedPageBreak/>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5C72D6" w:rsidRDefault="007170D5">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、中国证监会核准交银施罗德阿尔法核心股票型证券投资基金募集的文件；</w:t>
      </w:r>
      <w:r>
        <w:rPr>
          <w:color w:val="000000"/>
          <w:sz w:val="24"/>
          <w:szCs w:val="24"/>
        </w:rPr>
        <w:t xml:space="preserve"> </w:t>
      </w:r>
    </w:p>
    <w:p w:rsidR="005C72D6" w:rsidRDefault="007170D5">
      <w:pPr>
        <w:spacing w:before="29" w:line="288" w:lineRule="auto"/>
        <w:ind w:firstLineChars="200" w:firstLine="480"/>
        <w:rPr>
          <w:color w:val="000000"/>
          <w:sz w:val="24"/>
          <w:szCs w:val="24"/>
        </w:rPr>
      </w:pPr>
      <w:r>
        <w:rPr>
          <w:color w:val="000000"/>
          <w:sz w:val="24"/>
          <w:szCs w:val="24"/>
        </w:rPr>
        <w:t>2</w:t>
      </w:r>
      <w:r>
        <w:rPr>
          <w:color w:val="000000"/>
          <w:sz w:val="24"/>
          <w:szCs w:val="24"/>
        </w:rPr>
        <w:t>、《交银施罗德阿尔法核心混合型证券投资基金基金合同》；</w:t>
      </w:r>
      <w:r>
        <w:rPr>
          <w:color w:val="000000"/>
          <w:sz w:val="24"/>
          <w:szCs w:val="24"/>
        </w:rPr>
        <w:t xml:space="preserve"> </w:t>
      </w:r>
    </w:p>
    <w:p w:rsidR="005C72D6" w:rsidRDefault="007170D5">
      <w:pPr>
        <w:spacing w:before="29" w:line="288" w:lineRule="auto"/>
        <w:ind w:firstLineChars="200" w:firstLine="480"/>
        <w:rPr>
          <w:color w:val="000000"/>
          <w:sz w:val="24"/>
          <w:szCs w:val="24"/>
        </w:rPr>
      </w:pPr>
      <w:r>
        <w:rPr>
          <w:color w:val="000000"/>
          <w:sz w:val="24"/>
          <w:szCs w:val="24"/>
        </w:rPr>
        <w:t>3</w:t>
      </w:r>
      <w:r>
        <w:rPr>
          <w:color w:val="000000"/>
          <w:sz w:val="24"/>
          <w:szCs w:val="24"/>
        </w:rPr>
        <w:t>、《交银施罗德阿尔法核心混合型证券投资基金招募说明书》；</w:t>
      </w:r>
      <w:r>
        <w:rPr>
          <w:color w:val="000000"/>
          <w:sz w:val="24"/>
          <w:szCs w:val="24"/>
        </w:rPr>
        <w:t xml:space="preserve"> </w:t>
      </w:r>
    </w:p>
    <w:p w:rsidR="005C72D6" w:rsidRDefault="007170D5">
      <w:pPr>
        <w:spacing w:before="29" w:line="288" w:lineRule="auto"/>
        <w:ind w:firstLineChars="200" w:firstLine="480"/>
        <w:rPr>
          <w:color w:val="000000"/>
          <w:sz w:val="24"/>
          <w:szCs w:val="24"/>
        </w:rPr>
      </w:pPr>
      <w:r>
        <w:rPr>
          <w:color w:val="000000"/>
          <w:sz w:val="24"/>
          <w:szCs w:val="24"/>
        </w:rPr>
        <w:t>4</w:t>
      </w:r>
      <w:r>
        <w:rPr>
          <w:color w:val="000000"/>
          <w:sz w:val="24"/>
          <w:szCs w:val="24"/>
        </w:rPr>
        <w:t>、《交银施罗德阿尔法核心混合型证券投资基金托管协议》；</w:t>
      </w:r>
    </w:p>
    <w:p w:rsidR="005C72D6" w:rsidRDefault="007170D5">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、关于募集交银施罗德阿尔法核心股票型证券投资基金之法律意见书；</w:t>
      </w:r>
    </w:p>
    <w:p w:rsidR="005C72D6" w:rsidRDefault="007170D5">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5C72D6" w:rsidRDefault="007170D5">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、报告期内交银施罗德阿尔法核心混合型证券投资基金在指定报刊上各项公告的原稿。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5C72D6" w:rsidRDefault="007170D5">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0F5" w:rsidRDefault="00D760F5" w:rsidP="00876D65">
      <w:r>
        <w:separator/>
      </w:r>
    </w:p>
  </w:endnote>
  <w:endnote w:type="continuationSeparator" w:id="0">
    <w:p w:rsidR="00D760F5" w:rsidRDefault="00D760F5"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AA348D">
      <w:rPr>
        <w:noProof/>
        <w:kern w:val="0"/>
        <w:szCs w:val="21"/>
      </w:rPr>
      <w:t>7</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AA348D">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0F5" w:rsidRDefault="00D760F5" w:rsidP="00876D65">
      <w:r>
        <w:separator/>
      </w:r>
    </w:p>
  </w:footnote>
  <w:footnote w:type="continuationSeparator" w:id="0">
    <w:p w:rsidR="00D760F5" w:rsidRDefault="00D760F5"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D4C02"/>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6702"/>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22D"/>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7328B"/>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C72D6"/>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170D5"/>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48D"/>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760F5"/>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12743-7417-4B0B-9B73-41AF205EF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1797</TotalTime>
  <Pages>11</Pages>
  <Words>1031</Words>
  <Characters>5879</Characters>
  <Application>Microsoft Office Word</Application>
  <DocSecurity>0</DocSecurity>
  <Lines>48</Lines>
  <Paragraphs>13</Paragraphs>
  <ScaleCrop>false</ScaleCrop>
  <Company/>
  <LinksUpToDate>false</LinksUpToDate>
  <CharactersWithSpaces>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566</cp:revision>
  <dcterms:created xsi:type="dcterms:W3CDTF">2012-10-16T06:07:00Z</dcterms:created>
  <dcterms:modified xsi:type="dcterms:W3CDTF">2016-10-21T09:17:00Z</dcterms:modified>
</cp:coreProperties>
</file>