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交银施罗德纯债债券型发起式证券投资基金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2016</w:t>
      </w:r>
      <w:r w:rsidRPr="005858C2">
        <w:rPr>
          <w:rFonts w:eastAsiaTheme="minorEastAsia"/>
          <w:b/>
          <w:sz w:val="36"/>
          <w:szCs w:val="36"/>
        </w:rPr>
        <w:t>年第</w:t>
      </w:r>
      <w:r w:rsidRPr="005858C2">
        <w:rPr>
          <w:rFonts w:eastAsiaTheme="minorEastAsia"/>
          <w:b/>
          <w:sz w:val="36"/>
          <w:szCs w:val="36"/>
        </w:rPr>
        <w:t>3</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2016</w:t>
      </w:r>
      <w:r w:rsidRPr="005858C2">
        <w:rPr>
          <w:b/>
          <w:sz w:val="36"/>
          <w:szCs w:val="36"/>
        </w:rPr>
        <w:t>年</w:t>
      </w:r>
      <w:r w:rsidRPr="005858C2">
        <w:rPr>
          <w:b/>
          <w:sz w:val="36"/>
          <w:szCs w:val="36"/>
        </w:rPr>
        <w:t>9</w:t>
      </w:r>
      <w:r w:rsidRPr="005858C2">
        <w:rPr>
          <w:b/>
          <w:sz w:val="36"/>
          <w:szCs w:val="36"/>
        </w:rPr>
        <w:t>月</w:t>
      </w:r>
      <w:r w:rsidRPr="005858C2">
        <w:rPr>
          <w:b/>
          <w:sz w:val="36"/>
          <w:szCs w:val="36"/>
        </w:rPr>
        <w:t>30</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中国农业银行股份有限公司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二〇一六年十月二十五日</w:t>
      </w:r>
    </w:p>
    <w:p w:rsidR="009238DB" w:rsidRPr="007F52FA" w:rsidRDefault="009238DB" w:rsidP="00BF5A58">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基金托管人中国农业银行股份有限公司根据本基金合同规定，于</w:t>
      </w:r>
      <w:r>
        <w:rPr>
          <w:rFonts w:eastAsiaTheme="minorEastAsia"/>
          <w:color w:val="000000"/>
          <w:sz w:val="24"/>
        </w:rPr>
        <w:t>2016</w:t>
      </w:r>
      <w:r>
        <w:rPr>
          <w:rFonts w:eastAsiaTheme="minorEastAsia"/>
          <w:color w:val="000000"/>
          <w:sz w:val="24"/>
        </w:rPr>
        <w:t>年</w:t>
      </w:r>
      <w:r>
        <w:rPr>
          <w:rFonts w:eastAsiaTheme="minorEastAsia"/>
          <w:color w:val="000000"/>
          <w:sz w:val="24"/>
        </w:rPr>
        <w:t>10</w:t>
      </w:r>
      <w:r>
        <w:rPr>
          <w:rFonts w:eastAsiaTheme="minorEastAsia"/>
          <w:color w:val="000000"/>
          <w:sz w:val="24"/>
        </w:rPr>
        <w:t>月</w:t>
      </w:r>
      <w:r>
        <w:rPr>
          <w:rFonts w:eastAsiaTheme="minorEastAsia"/>
          <w:color w:val="000000"/>
          <w:sz w:val="24"/>
        </w:rPr>
        <w:t>24</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2016</w:t>
      </w:r>
      <w:r w:rsidRPr="007F52FA">
        <w:rPr>
          <w:rFonts w:eastAsiaTheme="minorEastAsia"/>
          <w:color w:val="000000"/>
          <w:sz w:val="24"/>
        </w:rPr>
        <w:t>年</w:t>
      </w:r>
      <w:r w:rsidRPr="007F52FA">
        <w:rPr>
          <w:rFonts w:eastAsiaTheme="minorEastAsia"/>
          <w:color w:val="000000"/>
          <w:sz w:val="24"/>
        </w:rPr>
        <w:t>7</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9</w:t>
      </w:r>
      <w:r w:rsidRPr="007F52FA">
        <w:rPr>
          <w:rFonts w:eastAsiaTheme="minorEastAsia"/>
          <w:color w:val="000000"/>
          <w:sz w:val="24"/>
        </w:rPr>
        <w:t>月</w:t>
      </w:r>
      <w:r w:rsidRPr="007F52FA">
        <w:rPr>
          <w:rFonts w:eastAsiaTheme="minorEastAsia"/>
          <w:color w:val="000000"/>
          <w:sz w:val="24"/>
        </w:rPr>
        <w:t>30</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BF5A5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交银纯债债券发起</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519718</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2012</w:t>
            </w:r>
            <w:r w:rsidRPr="007F52FA">
              <w:rPr>
                <w:color w:val="000000"/>
                <w:kern w:val="0"/>
                <w:sz w:val="24"/>
              </w:rPr>
              <w:t>年</w:t>
            </w:r>
            <w:r w:rsidRPr="007F52FA">
              <w:rPr>
                <w:color w:val="000000"/>
                <w:kern w:val="0"/>
                <w:sz w:val="24"/>
              </w:rPr>
              <w:t>12</w:t>
            </w:r>
            <w:r w:rsidRPr="007F52FA">
              <w:rPr>
                <w:color w:val="000000"/>
                <w:kern w:val="0"/>
                <w:sz w:val="24"/>
              </w:rPr>
              <w:t>月</w:t>
            </w:r>
            <w:r w:rsidRPr="007F52FA">
              <w:rPr>
                <w:color w:val="000000"/>
                <w:kern w:val="0"/>
                <w:sz w:val="24"/>
              </w:rPr>
              <w:t>19</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661,393,161.57</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本基金为纯债基金，在严格控制投资风险的基础上，追求稳定的当期收益和基金资产的稳健增值。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考量各类债券的流动性、供求关系和收益率水平等，自下而上地精选个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本基金是一只债券型基金，属于证券投资基金中中等风险的品种，其长期平均的预期收益和风险高于货币市场基金，低于混合型基金和股票型基金。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中国农业银行股份有限公司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交银纯债债券发起</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交银纯债债券发起</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519718</w:t>
            </w:r>
            <w:r w:rsidRPr="007F52FA">
              <w:rPr>
                <w:color w:val="000000" w:themeColor="text1"/>
                <w:sz w:val="24"/>
              </w:rPr>
              <w:t>（前端）、</w:t>
            </w:r>
            <w:r w:rsidRPr="007F52FA">
              <w:rPr>
                <w:color w:val="000000" w:themeColor="text1"/>
                <w:sz w:val="24"/>
              </w:rPr>
              <w:t>519719</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519720</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643,066,562.04</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18,326,599.53</w:t>
            </w:r>
            <w:r w:rsidRPr="007F52FA">
              <w:rPr>
                <w:color w:val="000000"/>
                <w:kern w:val="0"/>
                <w:sz w:val="24"/>
              </w:rPr>
              <w:t>份</w:t>
            </w:r>
          </w:p>
        </w:tc>
      </w:tr>
    </w:tbl>
    <w:p w:rsidR="002C0A6A" w:rsidRDefault="00126C36">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w:t>
      </w:r>
      <w:r>
        <w:rPr>
          <w:rFonts w:eastAsiaTheme="minorEastAsia"/>
          <w:color w:val="000000"/>
          <w:sz w:val="24"/>
        </w:rPr>
        <w:t>类基金份额采用前端收费模式，</w:t>
      </w:r>
      <w:r>
        <w:rPr>
          <w:rFonts w:eastAsiaTheme="minorEastAsia"/>
          <w:color w:val="000000"/>
          <w:sz w:val="24"/>
        </w:rPr>
        <w:t>B</w:t>
      </w:r>
      <w:r>
        <w:rPr>
          <w:rFonts w:eastAsiaTheme="minorEastAsia"/>
          <w:color w:val="000000"/>
          <w:sz w:val="24"/>
        </w:rPr>
        <w:t>类基金份额采用后端收费模式，前端交易代码即为</w:t>
      </w:r>
      <w:r>
        <w:rPr>
          <w:rFonts w:eastAsiaTheme="minorEastAsia"/>
          <w:color w:val="000000"/>
          <w:sz w:val="24"/>
        </w:rPr>
        <w:t>A</w:t>
      </w:r>
      <w:r>
        <w:rPr>
          <w:rFonts w:eastAsiaTheme="minorEastAsia"/>
          <w:color w:val="000000"/>
          <w:sz w:val="24"/>
        </w:rPr>
        <w:t>类基金份额交易代码，后端交易代码即为</w:t>
      </w:r>
      <w:r>
        <w:rPr>
          <w:rFonts w:eastAsiaTheme="minorEastAsia"/>
          <w:color w:val="000000"/>
          <w:sz w:val="24"/>
        </w:rPr>
        <w:t>B</w:t>
      </w:r>
      <w:r>
        <w:rPr>
          <w:rFonts w:eastAsiaTheme="minorEastAsia"/>
          <w:color w:val="000000"/>
          <w:sz w:val="24"/>
        </w:rPr>
        <w:t>类基金份额交易代码。</w:t>
      </w:r>
    </w:p>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、本基金为发起式基金。</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BF5A5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6626B1">
        <w:trPr>
          <w:jc w:val="center"/>
        </w:trPr>
        <w:tc>
          <w:tcPr>
            <w:tcW w:w="3606"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52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(2016</w:t>
            </w:r>
            <w:r w:rsidRPr="00414345">
              <w:rPr>
                <w:color w:val="000000"/>
                <w:sz w:val="24"/>
              </w:rPr>
              <w:t>年</w:t>
            </w:r>
            <w:r w:rsidRPr="00414345">
              <w:rPr>
                <w:color w:val="000000"/>
                <w:sz w:val="24"/>
              </w:rPr>
              <w:t>7</w:t>
            </w:r>
            <w:r w:rsidRPr="00414345">
              <w:rPr>
                <w:color w:val="000000"/>
                <w:sz w:val="24"/>
              </w:rPr>
              <w:t>月</w:t>
            </w:r>
            <w:r w:rsidRPr="00414345">
              <w:rPr>
                <w:color w:val="000000"/>
                <w:sz w:val="24"/>
              </w:rPr>
              <w:t>1</w:t>
            </w:r>
            <w:r w:rsidRPr="00414345">
              <w:rPr>
                <w:color w:val="000000"/>
                <w:sz w:val="24"/>
              </w:rPr>
              <w:t>日</w:t>
            </w:r>
            <w:r w:rsidRPr="00414345">
              <w:rPr>
                <w:color w:val="000000"/>
                <w:sz w:val="24"/>
              </w:rPr>
              <w:t>-2016</w:t>
            </w:r>
            <w:r w:rsidRPr="00414345">
              <w:rPr>
                <w:color w:val="000000"/>
                <w:sz w:val="24"/>
              </w:rPr>
              <w:t>年</w:t>
            </w:r>
            <w:r w:rsidRPr="00414345">
              <w:rPr>
                <w:color w:val="000000"/>
                <w:sz w:val="24"/>
              </w:rPr>
              <w:t>9</w:t>
            </w:r>
            <w:r w:rsidRPr="00414345">
              <w:rPr>
                <w:color w:val="000000"/>
                <w:sz w:val="24"/>
              </w:rPr>
              <w:t>月</w:t>
            </w:r>
            <w:r w:rsidRPr="00414345">
              <w:rPr>
                <w:color w:val="000000"/>
                <w:sz w:val="24"/>
              </w:rPr>
              <w:t>30</w:t>
            </w:r>
            <w:r w:rsidRPr="00414345">
              <w:rPr>
                <w:color w:val="000000"/>
                <w:sz w:val="24"/>
              </w:rPr>
              <w:t>日</w:t>
            </w:r>
            <w:r w:rsidRPr="00414345">
              <w:rPr>
                <w:color w:val="000000"/>
                <w:sz w:val="24"/>
              </w:rPr>
              <w:t>)</w:t>
            </w:r>
          </w:p>
        </w:tc>
      </w:tr>
      <w:tr w:rsidR="009E549D" w:rsidRPr="007F52FA" w:rsidTr="006626B1">
        <w:trPr>
          <w:jc w:val="center"/>
        </w:trPr>
        <w:tc>
          <w:tcPr>
            <w:tcW w:w="3606" w:type="dxa"/>
            <w:vMerge/>
            <w:vAlign w:val="center"/>
          </w:tcPr>
          <w:p w:rsidR="009E549D" w:rsidRPr="007F52FA" w:rsidRDefault="009E549D" w:rsidP="007C14DF">
            <w:pPr>
              <w:adjustRightInd w:val="0"/>
              <w:spacing w:before="29" w:line="288" w:lineRule="auto"/>
              <w:ind w:left="17"/>
              <w:jc w:val="center"/>
              <w:rPr>
                <w:kern w:val="0"/>
                <w:sz w:val="24"/>
              </w:rPr>
            </w:pPr>
          </w:p>
        </w:tc>
        <w:tc>
          <w:tcPr>
            <w:tcW w:w="263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交银纯债债券发起</w:t>
            </w:r>
            <w:r w:rsidRPr="007F52FA">
              <w:rPr>
                <w:sz w:val="24"/>
              </w:rPr>
              <w:t>A/B</w:t>
            </w:r>
          </w:p>
        </w:tc>
        <w:tc>
          <w:tcPr>
            <w:tcW w:w="263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交银纯债债券发起</w:t>
            </w:r>
            <w:r w:rsidRPr="007F52FA">
              <w:rPr>
                <w:sz w:val="24"/>
              </w:rPr>
              <w:t>C</w:t>
            </w:r>
          </w:p>
        </w:tc>
      </w:tr>
      <w:tr w:rsidR="005F293E" w:rsidRPr="007F52FA" w:rsidTr="006626B1">
        <w:trPr>
          <w:jc w:val="center"/>
        </w:trPr>
        <w:tc>
          <w:tcPr>
            <w:tcW w:w="3606"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63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6,796,127.80</w:t>
            </w:r>
          </w:p>
        </w:tc>
        <w:tc>
          <w:tcPr>
            <w:tcW w:w="263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963,675.07</w:t>
            </w:r>
          </w:p>
        </w:tc>
      </w:tr>
      <w:tr w:rsidR="005F293E" w:rsidRPr="007F52FA" w:rsidTr="006626B1">
        <w:trPr>
          <w:jc w:val="center"/>
        </w:trPr>
        <w:tc>
          <w:tcPr>
            <w:tcW w:w="3606"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63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9,325,003.79</w:t>
            </w:r>
          </w:p>
        </w:tc>
        <w:tc>
          <w:tcPr>
            <w:tcW w:w="263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1,361,867.93</w:t>
            </w:r>
          </w:p>
        </w:tc>
      </w:tr>
      <w:tr w:rsidR="00EE7D7D" w:rsidRPr="007F52FA" w:rsidTr="006626B1">
        <w:trPr>
          <w:jc w:val="center"/>
        </w:trPr>
        <w:tc>
          <w:tcPr>
            <w:tcW w:w="3606" w:type="dxa"/>
            <w:vAlign w:val="center"/>
          </w:tcPr>
          <w:p w:rsidR="00EE7D7D" w:rsidRPr="007F52FA" w:rsidRDefault="00EE7D7D" w:rsidP="00EE7D7D">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631" w:type="dxa"/>
          </w:tcPr>
          <w:p w:rsidR="00EE7D7D" w:rsidRPr="00EE7D7D" w:rsidRDefault="00EE7D7D" w:rsidP="00EE7D7D">
            <w:pPr>
              <w:spacing w:before="29" w:line="288" w:lineRule="auto"/>
              <w:ind w:left="17"/>
              <w:jc w:val="right"/>
              <w:rPr>
                <w:color w:val="000000"/>
                <w:kern w:val="0"/>
                <w:sz w:val="24"/>
              </w:rPr>
            </w:pPr>
            <w:r w:rsidRPr="00EE7D7D">
              <w:rPr>
                <w:color w:val="000000"/>
                <w:sz w:val="24"/>
              </w:rPr>
              <w:t>0.0145</w:t>
            </w:r>
          </w:p>
        </w:tc>
        <w:tc>
          <w:tcPr>
            <w:tcW w:w="2631" w:type="dxa"/>
          </w:tcPr>
          <w:p w:rsidR="00EE7D7D" w:rsidRPr="00EE7D7D" w:rsidRDefault="00EE7D7D" w:rsidP="00EE7D7D">
            <w:pPr>
              <w:spacing w:before="29" w:line="288" w:lineRule="auto"/>
              <w:ind w:left="17"/>
              <w:jc w:val="right"/>
              <w:rPr>
                <w:color w:val="000000"/>
                <w:sz w:val="24"/>
              </w:rPr>
            </w:pPr>
            <w:r w:rsidRPr="00EE7D7D">
              <w:rPr>
                <w:color w:val="000000"/>
                <w:sz w:val="24"/>
              </w:rPr>
              <w:t>0.0133</w:t>
            </w:r>
            <w:bookmarkStart w:id="0" w:name="_GoBack"/>
            <w:bookmarkEnd w:id="0"/>
          </w:p>
        </w:tc>
      </w:tr>
      <w:tr w:rsidR="005F293E" w:rsidRPr="007F52FA" w:rsidTr="006626B1">
        <w:trPr>
          <w:jc w:val="center"/>
        </w:trPr>
        <w:tc>
          <w:tcPr>
            <w:tcW w:w="3606"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63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669,358,855.78</w:t>
            </w:r>
          </w:p>
        </w:tc>
        <w:tc>
          <w:tcPr>
            <w:tcW w:w="263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19,030,074.10</w:t>
            </w:r>
          </w:p>
        </w:tc>
      </w:tr>
      <w:tr w:rsidR="005F293E" w:rsidRPr="007F52FA" w:rsidTr="006626B1">
        <w:trPr>
          <w:trHeight w:val="158"/>
          <w:jc w:val="center"/>
        </w:trPr>
        <w:tc>
          <w:tcPr>
            <w:tcW w:w="3606"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63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1.041</w:t>
            </w:r>
          </w:p>
        </w:tc>
        <w:tc>
          <w:tcPr>
            <w:tcW w:w="263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1.038</w:t>
            </w:r>
          </w:p>
        </w:tc>
      </w:tr>
    </w:tbl>
    <w:p w:rsidR="002C0A6A" w:rsidRDefault="00126C36">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交银纯债债券发起</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lastRenderedPageBreak/>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lastRenderedPageBreak/>
              <w:t>业绩比较基准收益</w:t>
            </w:r>
            <w:r w:rsidRPr="007F52FA">
              <w:rPr>
                <w:color w:val="000000"/>
                <w:sz w:val="24"/>
              </w:rPr>
              <w:lastRenderedPageBreak/>
              <w:t>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lastRenderedPageBreak/>
              <w:t>业绩比较基准收益</w:t>
            </w:r>
            <w:r w:rsidRPr="007F52FA">
              <w:rPr>
                <w:color w:val="000000"/>
                <w:sz w:val="24"/>
              </w:rPr>
              <w:lastRenderedPageBreak/>
              <w:t>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lastRenderedPageBreak/>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2C0A6A">
        <w:trPr>
          <w:jc w:val="center"/>
        </w:trPr>
        <w:tc>
          <w:tcPr>
            <w:tcW w:w="1266" w:type="dxa"/>
            <w:vAlign w:val="center"/>
          </w:tcPr>
          <w:p w:rsidR="002C0A6A" w:rsidRDefault="00126C36">
            <w:pPr>
              <w:jc w:val="left"/>
            </w:pPr>
            <w:r>
              <w:rPr>
                <w:color w:val="000000"/>
                <w:sz w:val="24"/>
              </w:rPr>
              <w:lastRenderedPageBreak/>
              <w:t>过去三个月</w:t>
            </w:r>
          </w:p>
        </w:tc>
        <w:tc>
          <w:tcPr>
            <w:tcW w:w="1267" w:type="dxa"/>
            <w:vAlign w:val="center"/>
          </w:tcPr>
          <w:p w:rsidR="002C0A6A" w:rsidRDefault="00126C36">
            <w:pPr>
              <w:jc w:val="center"/>
            </w:pPr>
            <w:r>
              <w:rPr>
                <w:color w:val="000000"/>
                <w:sz w:val="24"/>
              </w:rPr>
              <w:t>1.46%</w:t>
            </w:r>
          </w:p>
        </w:tc>
        <w:tc>
          <w:tcPr>
            <w:tcW w:w="1267" w:type="dxa"/>
            <w:vAlign w:val="center"/>
          </w:tcPr>
          <w:p w:rsidR="002C0A6A" w:rsidRDefault="00126C36">
            <w:pPr>
              <w:jc w:val="center"/>
            </w:pPr>
            <w:r>
              <w:rPr>
                <w:color w:val="000000"/>
                <w:sz w:val="24"/>
              </w:rPr>
              <w:t>0.05%</w:t>
            </w:r>
          </w:p>
        </w:tc>
        <w:tc>
          <w:tcPr>
            <w:tcW w:w="1267" w:type="dxa"/>
            <w:vAlign w:val="center"/>
          </w:tcPr>
          <w:p w:rsidR="002C0A6A" w:rsidRDefault="00126C36" w:rsidP="00F55BDA">
            <w:pPr>
              <w:jc w:val="center"/>
            </w:pPr>
            <w:r>
              <w:rPr>
                <w:color w:val="000000"/>
                <w:sz w:val="24"/>
              </w:rPr>
              <w:t>0.9</w:t>
            </w:r>
            <w:r w:rsidR="00F55BDA">
              <w:rPr>
                <w:color w:val="000000"/>
                <w:sz w:val="24"/>
              </w:rPr>
              <w:t>1</w:t>
            </w:r>
            <w:r>
              <w:rPr>
                <w:color w:val="000000"/>
                <w:sz w:val="24"/>
              </w:rPr>
              <w:t>%</w:t>
            </w:r>
          </w:p>
        </w:tc>
        <w:tc>
          <w:tcPr>
            <w:tcW w:w="1267" w:type="dxa"/>
            <w:vAlign w:val="center"/>
          </w:tcPr>
          <w:p w:rsidR="002C0A6A" w:rsidRDefault="00126C36">
            <w:pPr>
              <w:jc w:val="center"/>
            </w:pPr>
            <w:r>
              <w:rPr>
                <w:color w:val="000000"/>
                <w:sz w:val="24"/>
              </w:rPr>
              <w:t>0.05%</w:t>
            </w:r>
          </w:p>
        </w:tc>
        <w:tc>
          <w:tcPr>
            <w:tcW w:w="1267" w:type="dxa"/>
            <w:vAlign w:val="center"/>
          </w:tcPr>
          <w:p w:rsidR="002C0A6A" w:rsidRDefault="00126C36" w:rsidP="00F55BDA">
            <w:pPr>
              <w:jc w:val="center"/>
            </w:pPr>
            <w:r>
              <w:rPr>
                <w:color w:val="000000"/>
                <w:sz w:val="24"/>
              </w:rPr>
              <w:t>0.5</w:t>
            </w:r>
            <w:r w:rsidR="00F55BDA">
              <w:rPr>
                <w:color w:val="000000"/>
                <w:sz w:val="24"/>
              </w:rPr>
              <w:t>5</w:t>
            </w:r>
            <w:r>
              <w:rPr>
                <w:color w:val="000000"/>
                <w:sz w:val="24"/>
              </w:rPr>
              <w:t>%</w:t>
            </w:r>
          </w:p>
        </w:tc>
        <w:tc>
          <w:tcPr>
            <w:tcW w:w="1267" w:type="dxa"/>
            <w:vAlign w:val="center"/>
          </w:tcPr>
          <w:p w:rsidR="002C0A6A" w:rsidRDefault="00126C36">
            <w:pPr>
              <w:jc w:val="center"/>
            </w:pPr>
            <w:r>
              <w:rPr>
                <w:color w:val="000000"/>
                <w:sz w:val="24"/>
              </w:rPr>
              <w:t>0.00%</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交银纯债债券发起</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2C0A6A">
        <w:trPr>
          <w:jc w:val="center"/>
        </w:trPr>
        <w:tc>
          <w:tcPr>
            <w:tcW w:w="1266" w:type="dxa"/>
            <w:vAlign w:val="center"/>
          </w:tcPr>
          <w:p w:rsidR="002C0A6A" w:rsidRDefault="00126C36">
            <w:pPr>
              <w:jc w:val="left"/>
            </w:pPr>
            <w:r>
              <w:rPr>
                <w:color w:val="000000"/>
                <w:sz w:val="24"/>
              </w:rPr>
              <w:t>过去三个月</w:t>
            </w:r>
          </w:p>
        </w:tc>
        <w:tc>
          <w:tcPr>
            <w:tcW w:w="1267" w:type="dxa"/>
            <w:vAlign w:val="center"/>
          </w:tcPr>
          <w:p w:rsidR="002C0A6A" w:rsidRDefault="00126C36">
            <w:pPr>
              <w:jc w:val="center"/>
            </w:pPr>
            <w:r>
              <w:rPr>
                <w:color w:val="000000"/>
                <w:sz w:val="24"/>
              </w:rPr>
              <w:t>1.27%</w:t>
            </w:r>
          </w:p>
        </w:tc>
        <w:tc>
          <w:tcPr>
            <w:tcW w:w="1267" w:type="dxa"/>
            <w:vAlign w:val="center"/>
          </w:tcPr>
          <w:p w:rsidR="002C0A6A" w:rsidRDefault="00126C36" w:rsidP="00F55BDA">
            <w:pPr>
              <w:jc w:val="center"/>
            </w:pPr>
            <w:r>
              <w:rPr>
                <w:color w:val="000000"/>
                <w:sz w:val="24"/>
              </w:rPr>
              <w:t>0.0</w:t>
            </w:r>
            <w:r w:rsidR="00F55BDA">
              <w:rPr>
                <w:color w:val="000000"/>
                <w:sz w:val="24"/>
              </w:rPr>
              <w:t>7</w:t>
            </w:r>
            <w:r>
              <w:rPr>
                <w:color w:val="000000"/>
                <w:sz w:val="24"/>
              </w:rPr>
              <w:t>%</w:t>
            </w:r>
          </w:p>
        </w:tc>
        <w:tc>
          <w:tcPr>
            <w:tcW w:w="1267" w:type="dxa"/>
            <w:vAlign w:val="center"/>
          </w:tcPr>
          <w:p w:rsidR="002C0A6A" w:rsidRDefault="00126C36" w:rsidP="00F55BDA">
            <w:pPr>
              <w:jc w:val="center"/>
            </w:pPr>
            <w:r>
              <w:rPr>
                <w:color w:val="000000"/>
                <w:sz w:val="24"/>
              </w:rPr>
              <w:t>0.9</w:t>
            </w:r>
            <w:r w:rsidR="00F55BDA">
              <w:rPr>
                <w:color w:val="000000"/>
                <w:sz w:val="24"/>
              </w:rPr>
              <w:t>1</w:t>
            </w:r>
            <w:r>
              <w:rPr>
                <w:color w:val="000000"/>
                <w:sz w:val="24"/>
              </w:rPr>
              <w:t>%</w:t>
            </w:r>
          </w:p>
        </w:tc>
        <w:tc>
          <w:tcPr>
            <w:tcW w:w="1267" w:type="dxa"/>
            <w:vAlign w:val="center"/>
          </w:tcPr>
          <w:p w:rsidR="002C0A6A" w:rsidRDefault="00126C36">
            <w:pPr>
              <w:jc w:val="center"/>
            </w:pPr>
            <w:r>
              <w:rPr>
                <w:color w:val="000000"/>
                <w:sz w:val="24"/>
              </w:rPr>
              <w:t>0.05%</w:t>
            </w:r>
          </w:p>
        </w:tc>
        <w:tc>
          <w:tcPr>
            <w:tcW w:w="1267" w:type="dxa"/>
            <w:vAlign w:val="center"/>
          </w:tcPr>
          <w:p w:rsidR="002C0A6A" w:rsidRDefault="00126C36" w:rsidP="00F55BDA">
            <w:pPr>
              <w:jc w:val="center"/>
            </w:pPr>
            <w:r>
              <w:rPr>
                <w:color w:val="000000"/>
                <w:sz w:val="24"/>
              </w:rPr>
              <w:t>0.3</w:t>
            </w:r>
            <w:r w:rsidR="00F55BDA">
              <w:rPr>
                <w:color w:val="000000"/>
                <w:sz w:val="24"/>
              </w:rPr>
              <w:t>6</w:t>
            </w:r>
            <w:r>
              <w:rPr>
                <w:color w:val="000000"/>
                <w:sz w:val="24"/>
              </w:rPr>
              <w:t>%</w:t>
            </w:r>
          </w:p>
        </w:tc>
        <w:tc>
          <w:tcPr>
            <w:tcW w:w="1267" w:type="dxa"/>
            <w:vAlign w:val="center"/>
          </w:tcPr>
          <w:p w:rsidR="002C0A6A" w:rsidRDefault="00126C36" w:rsidP="00F55BDA">
            <w:pPr>
              <w:jc w:val="center"/>
            </w:pPr>
            <w:r>
              <w:rPr>
                <w:color w:val="000000"/>
                <w:sz w:val="24"/>
              </w:rPr>
              <w:t>0.0</w:t>
            </w:r>
            <w:r w:rsidR="00F55BDA">
              <w:rPr>
                <w:color w:val="000000"/>
                <w:sz w:val="24"/>
              </w:rPr>
              <w:t>2</w:t>
            </w:r>
            <w:r>
              <w:rPr>
                <w:color w:val="000000"/>
                <w:sz w:val="24"/>
              </w:rPr>
              <w:t>%</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交银施罗德纯债债券型发起式证券投资基金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2012</w:t>
      </w:r>
      <w:r w:rsidR="00D04410" w:rsidRPr="007F52FA">
        <w:rPr>
          <w:rFonts w:ascii="Times New Roman" w:hAnsi="Times New Roman"/>
          <w:sz w:val="24"/>
          <w:szCs w:val="24"/>
        </w:rPr>
        <w:t>年</w:t>
      </w:r>
      <w:r w:rsidR="00D04410" w:rsidRPr="007F52FA">
        <w:rPr>
          <w:rFonts w:ascii="Times New Roman" w:hAnsi="Times New Roman"/>
          <w:sz w:val="24"/>
          <w:szCs w:val="24"/>
        </w:rPr>
        <w:t>12</w:t>
      </w:r>
      <w:r w:rsidR="00D04410" w:rsidRPr="007F52FA">
        <w:rPr>
          <w:rFonts w:ascii="Times New Roman" w:hAnsi="Times New Roman"/>
          <w:sz w:val="24"/>
          <w:szCs w:val="24"/>
        </w:rPr>
        <w:t>月</w:t>
      </w:r>
      <w:r w:rsidR="00D04410" w:rsidRPr="007F52FA">
        <w:rPr>
          <w:rFonts w:ascii="Times New Roman" w:hAnsi="Times New Roman"/>
          <w:sz w:val="24"/>
          <w:szCs w:val="24"/>
        </w:rPr>
        <w:t>19</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2016</w:t>
      </w:r>
      <w:r w:rsidRPr="007F52FA">
        <w:rPr>
          <w:rFonts w:ascii="Times New Roman" w:hAnsi="Times New Roman"/>
          <w:sz w:val="24"/>
          <w:szCs w:val="24"/>
        </w:rPr>
        <w:t>年</w:t>
      </w:r>
      <w:r w:rsidRPr="007F52FA">
        <w:rPr>
          <w:rFonts w:ascii="Times New Roman" w:hAnsi="Times New Roman"/>
          <w:sz w:val="24"/>
          <w:szCs w:val="24"/>
        </w:rPr>
        <w:t>9</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交银纯债债券发起</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交银纯债债券发起</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BF5A5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2C0A6A">
        <w:trPr>
          <w:jc w:val="center"/>
        </w:trPr>
        <w:tc>
          <w:tcPr>
            <w:tcW w:w="946" w:type="dxa"/>
            <w:vAlign w:val="center"/>
          </w:tcPr>
          <w:p w:rsidR="002C0A6A" w:rsidRDefault="00126C36">
            <w:pPr>
              <w:jc w:val="center"/>
            </w:pPr>
            <w:r>
              <w:rPr>
                <w:color w:val="000000"/>
                <w:sz w:val="24"/>
              </w:rPr>
              <w:t>孙超</w:t>
            </w:r>
          </w:p>
        </w:tc>
        <w:tc>
          <w:tcPr>
            <w:tcW w:w="924" w:type="dxa"/>
            <w:vAlign w:val="center"/>
          </w:tcPr>
          <w:p w:rsidR="002C0A6A" w:rsidRDefault="00126C36">
            <w:pPr>
              <w:jc w:val="center"/>
            </w:pPr>
            <w:r>
              <w:rPr>
                <w:color w:val="000000"/>
                <w:sz w:val="24"/>
              </w:rPr>
              <w:t>交银增利债券、交银纯债债券发起、交银荣祥保本混合、</w:t>
            </w:r>
            <w:r>
              <w:rPr>
                <w:color w:val="000000"/>
                <w:sz w:val="24"/>
              </w:rPr>
              <w:lastRenderedPageBreak/>
              <w:t>交银荣泰保本混合、交银定期支付月月丰债券、交银强化回报债券、交银丰润收益债券、交银丰享收益债券、交银丰泽收益债券、交银丰硕收益债券、交银荣鑫保本混合的基金经理，公司固定收益部助理总经理</w:t>
            </w:r>
          </w:p>
        </w:tc>
        <w:tc>
          <w:tcPr>
            <w:tcW w:w="1202" w:type="dxa"/>
            <w:vAlign w:val="center"/>
          </w:tcPr>
          <w:p w:rsidR="002C0A6A" w:rsidRDefault="00126C36">
            <w:pPr>
              <w:jc w:val="center"/>
            </w:pPr>
            <w:r>
              <w:rPr>
                <w:color w:val="000000"/>
                <w:sz w:val="24"/>
              </w:rPr>
              <w:lastRenderedPageBreak/>
              <w:t>2015-05-09</w:t>
            </w:r>
          </w:p>
        </w:tc>
        <w:tc>
          <w:tcPr>
            <w:tcW w:w="1300" w:type="dxa"/>
            <w:vAlign w:val="center"/>
          </w:tcPr>
          <w:p w:rsidR="002C0A6A" w:rsidRDefault="00126C36">
            <w:pPr>
              <w:jc w:val="center"/>
            </w:pPr>
            <w:r>
              <w:rPr>
                <w:color w:val="000000"/>
                <w:sz w:val="24"/>
              </w:rPr>
              <w:t>-</w:t>
            </w:r>
          </w:p>
        </w:tc>
        <w:tc>
          <w:tcPr>
            <w:tcW w:w="1245" w:type="dxa"/>
            <w:vAlign w:val="center"/>
          </w:tcPr>
          <w:p w:rsidR="002C0A6A" w:rsidRDefault="00126C36">
            <w:pPr>
              <w:jc w:val="center"/>
            </w:pPr>
            <w:r>
              <w:rPr>
                <w:color w:val="000000"/>
                <w:sz w:val="24"/>
              </w:rPr>
              <w:t>5</w:t>
            </w:r>
            <w:r>
              <w:rPr>
                <w:color w:val="000000"/>
                <w:sz w:val="24"/>
              </w:rPr>
              <w:t>年</w:t>
            </w:r>
          </w:p>
        </w:tc>
        <w:tc>
          <w:tcPr>
            <w:tcW w:w="3251" w:type="dxa"/>
            <w:vAlign w:val="center"/>
          </w:tcPr>
          <w:p w:rsidR="002C0A6A" w:rsidRDefault="00126C36">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日担任交银施罗德理财</w:t>
            </w:r>
            <w:r>
              <w:rPr>
                <w:color w:val="000000"/>
                <w:sz w:val="24"/>
              </w:rPr>
              <w:t>60</w:t>
            </w:r>
            <w:r>
              <w:rPr>
                <w:color w:val="000000"/>
                <w:sz w:val="24"/>
              </w:rPr>
              <w:t>天债券型证券投资基金基金经理，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w:t>
            </w:r>
            <w:r>
              <w:rPr>
                <w:color w:val="000000"/>
                <w:sz w:val="24"/>
              </w:rPr>
              <w:lastRenderedPageBreak/>
              <w:t>银施罗德双轮动债券型证券投资基金基金经理。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w:t>
      </w:r>
      <w:r w:rsidRPr="007F52FA">
        <w:rPr>
          <w:color w:val="000000"/>
          <w:sz w:val="24"/>
        </w:rPr>
        <w:lastRenderedPageBreak/>
        <w:t>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rsidR="002C0A6A" w:rsidRDefault="00126C3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C0A6A" w:rsidRDefault="00126C36">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C0A6A" w:rsidRDefault="00126C3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C73D79" w:rsidRPr="00C73D79" w:rsidRDefault="00C73D79" w:rsidP="00EC1A08">
      <w:pPr>
        <w:spacing w:before="29" w:line="288" w:lineRule="auto"/>
        <w:ind w:firstLineChars="200" w:firstLine="480"/>
        <w:rPr>
          <w:color w:val="000000"/>
          <w:sz w:val="24"/>
        </w:rPr>
      </w:pPr>
      <w:r w:rsidRPr="00C73D79">
        <w:rPr>
          <w:rFonts w:hint="eastAsia"/>
          <w:color w:val="000000"/>
          <w:sz w:val="24"/>
        </w:rPr>
        <w:t>本报告期内，工业增加值一度受洪涝及工作日（今年七月较去年少两个工作日）的影响小幅调整，但随后反弹，反弹驱动因素来自出口以及前期政策刺激。通胀整体处于低位，食品价格持续回落，非食品中服务类产品涨价使得核心</w:t>
      </w:r>
      <w:r w:rsidRPr="00C73D79">
        <w:rPr>
          <w:rFonts w:hint="eastAsia"/>
          <w:color w:val="000000"/>
          <w:sz w:val="24"/>
        </w:rPr>
        <w:t>CPI</w:t>
      </w:r>
      <w:r w:rsidRPr="00C73D79">
        <w:rPr>
          <w:rFonts w:hint="eastAsia"/>
          <w:color w:val="000000"/>
          <w:sz w:val="24"/>
        </w:rPr>
        <w:t>保持高位。受大宗商品价格上涨影响，</w:t>
      </w:r>
      <w:r w:rsidRPr="00C73D79">
        <w:rPr>
          <w:rFonts w:hint="eastAsia"/>
          <w:color w:val="000000"/>
          <w:sz w:val="24"/>
        </w:rPr>
        <w:t>PPI</w:t>
      </w:r>
      <w:r w:rsidRPr="00C73D79">
        <w:rPr>
          <w:rFonts w:hint="eastAsia"/>
          <w:color w:val="000000"/>
          <w:sz w:val="24"/>
        </w:rPr>
        <w:t>环比攀升，同比接近零增长。信贷数据在近两月出现反复，贷款结构上以房地产按揭为主，企业中长期贷款中枢较上半年下移。美联储鹰派言论一度令</w:t>
      </w:r>
      <w:r w:rsidRPr="00C73D79">
        <w:rPr>
          <w:rFonts w:hint="eastAsia"/>
          <w:color w:val="000000"/>
          <w:sz w:val="24"/>
        </w:rPr>
        <w:lastRenderedPageBreak/>
        <w:t>汇率贬值，贬值预期在可控范围。</w:t>
      </w:r>
    </w:p>
    <w:p w:rsidR="00C73D79" w:rsidRPr="00C73D79" w:rsidRDefault="00C73D79" w:rsidP="00EC1A08">
      <w:pPr>
        <w:spacing w:before="29" w:line="288" w:lineRule="auto"/>
        <w:ind w:firstLineChars="200" w:firstLine="480"/>
        <w:rPr>
          <w:color w:val="000000"/>
          <w:sz w:val="24"/>
        </w:rPr>
      </w:pPr>
      <w:r w:rsidRPr="00C73D79">
        <w:rPr>
          <w:rFonts w:hint="eastAsia"/>
          <w:color w:val="000000"/>
          <w:sz w:val="24"/>
        </w:rPr>
        <w:t>三季度，央行依然通过</w:t>
      </w:r>
      <w:r w:rsidRPr="00C73D79">
        <w:rPr>
          <w:rFonts w:hint="eastAsia"/>
          <w:color w:val="000000"/>
          <w:sz w:val="24"/>
        </w:rPr>
        <w:t>MLF</w:t>
      </w:r>
      <w:r w:rsidRPr="00C73D79">
        <w:rPr>
          <w:rFonts w:hint="eastAsia"/>
          <w:color w:val="000000"/>
          <w:sz w:val="24"/>
        </w:rPr>
        <w:t>、逆回购等常规工具操作熨平资金波动，</w:t>
      </w:r>
      <w:r w:rsidRPr="00C73D79">
        <w:rPr>
          <w:rFonts w:hint="eastAsia"/>
          <w:color w:val="000000"/>
          <w:sz w:val="24"/>
        </w:rPr>
        <w:t>7</w:t>
      </w:r>
      <w:r w:rsidRPr="00C73D79">
        <w:rPr>
          <w:rFonts w:hint="eastAsia"/>
          <w:color w:val="000000"/>
          <w:sz w:val="24"/>
        </w:rPr>
        <w:t>月降准预期再度落空。</w:t>
      </w:r>
      <w:r w:rsidRPr="00C73D79">
        <w:rPr>
          <w:rFonts w:hint="eastAsia"/>
          <w:color w:val="000000"/>
          <w:sz w:val="24"/>
        </w:rPr>
        <w:t>8</w:t>
      </w:r>
      <w:r w:rsidRPr="00C73D79">
        <w:rPr>
          <w:rFonts w:hint="eastAsia"/>
          <w:color w:val="000000"/>
          <w:sz w:val="24"/>
        </w:rPr>
        <w:t>月下旬</w:t>
      </w:r>
      <w:r w:rsidRPr="00C73D79">
        <w:rPr>
          <w:rFonts w:hint="eastAsia"/>
          <w:color w:val="000000"/>
          <w:sz w:val="24"/>
        </w:rPr>
        <w:t>14</w:t>
      </w:r>
      <w:r w:rsidRPr="00C73D79">
        <w:rPr>
          <w:rFonts w:hint="eastAsia"/>
          <w:color w:val="000000"/>
          <w:sz w:val="24"/>
        </w:rPr>
        <w:t>天逆回购重启，市场顾虑央行抬高短端资金成本，各期限资金利率上行，随后逐步趋稳。至</w:t>
      </w:r>
      <w:r w:rsidRPr="00C73D79">
        <w:rPr>
          <w:rFonts w:hint="eastAsia"/>
          <w:color w:val="000000"/>
          <w:sz w:val="24"/>
        </w:rPr>
        <w:t>9</w:t>
      </w:r>
      <w:r w:rsidRPr="00C73D79">
        <w:rPr>
          <w:rFonts w:hint="eastAsia"/>
          <w:color w:val="000000"/>
          <w:sz w:val="24"/>
        </w:rPr>
        <w:t>月中旬开始中秋、国庆假期临近，资金面再度维持紧平衡状态。央行推出</w:t>
      </w:r>
      <w:r w:rsidRPr="00C73D79">
        <w:rPr>
          <w:rFonts w:hint="eastAsia"/>
          <w:color w:val="000000"/>
          <w:sz w:val="24"/>
        </w:rPr>
        <w:t>28D</w:t>
      </w:r>
      <w:r w:rsidRPr="00C73D79">
        <w:rPr>
          <w:rFonts w:hint="eastAsia"/>
          <w:color w:val="000000"/>
          <w:sz w:val="24"/>
        </w:rPr>
        <w:t>逆回购并及时放出万亿逆回购，使得资金加权利率虽有上行但供应相对平稳。</w:t>
      </w:r>
    </w:p>
    <w:p w:rsidR="00C73D79" w:rsidRPr="00C73D79" w:rsidRDefault="00C73D79" w:rsidP="00EC1A08">
      <w:pPr>
        <w:spacing w:before="29" w:line="288" w:lineRule="auto"/>
        <w:ind w:firstLineChars="200" w:firstLine="480"/>
        <w:rPr>
          <w:color w:val="000000"/>
          <w:sz w:val="24"/>
        </w:rPr>
      </w:pPr>
      <w:r w:rsidRPr="00C73D79">
        <w:rPr>
          <w:rFonts w:hint="eastAsia"/>
          <w:color w:val="000000"/>
          <w:sz w:val="24"/>
        </w:rPr>
        <w:t>市场资金配置压力较大，在流动性及经济基本面配合下，</w:t>
      </w:r>
      <w:r w:rsidRPr="00C73D79">
        <w:rPr>
          <w:rFonts w:hint="eastAsia"/>
          <w:color w:val="000000"/>
          <w:sz w:val="24"/>
        </w:rPr>
        <w:t>7</w:t>
      </w:r>
      <w:r w:rsidRPr="00C73D79">
        <w:rPr>
          <w:rFonts w:hint="eastAsia"/>
          <w:color w:val="000000"/>
          <w:sz w:val="24"/>
        </w:rPr>
        <w:t>月中旬现券收益率尤其是超长端收益率持续下行，并与一级招标及国债期货互为反馈。央行重启</w:t>
      </w:r>
      <w:r w:rsidRPr="00C73D79">
        <w:rPr>
          <w:rFonts w:hint="eastAsia"/>
          <w:color w:val="000000"/>
          <w:sz w:val="24"/>
        </w:rPr>
        <w:t>14</w:t>
      </w:r>
      <w:r w:rsidRPr="00C73D79">
        <w:rPr>
          <w:rFonts w:hint="eastAsia"/>
          <w:color w:val="000000"/>
          <w:sz w:val="24"/>
        </w:rPr>
        <w:t>天逆回购后，</w:t>
      </w:r>
      <w:r w:rsidRPr="00C73D79">
        <w:rPr>
          <w:rFonts w:hint="eastAsia"/>
          <w:color w:val="000000"/>
          <w:sz w:val="24"/>
        </w:rPr>
        <w:t>10</w:t>
      </w:r>
      <w:r w:rsidRPr="00C73D79">
        <w:rPr>
          <w:rFonts w:hint="eastAsia"/>
          <w:color w:val="000000"/>
          <w:sz w:val="24"/>
        </w:rPr>
        <w:t>年国债收益率出现回调，</w:t>
      </w:r>
      <w:r w:rsidRPr="00C73D79">
        <w:rPr>
          <w:rFonts w:hint="eastAsia"/>
          <w:color w:val="000000"/>
          <w:sz w:val="24"/>
        </w:rPr>
        <w:t>9</w:t>
      </w:r>
      <w:r w:rsidRPr="00C73D79">
        <w:rPr>
          <w:rFonts w:hint="eastAsia"/>
          <w:color w:val="000000"/>
          <w:sz w:val="24"/>
        </w:rPr>
        <w:t>月中旬后市场情绪相对修复，一级招标收益率持续低于预期使得二级招标收益率再度温和下行，信用利差降至历史低位。</w:t>
      </w:r>
    </w:p>
    <w:p w:rsidR="00C73D79" w:rsidRPr="00C73D79" w:rsidRDefault="00C73D79" w:rsidP="00EC1A08">
      <w:pPr>
        <w:spacing w:before="29" w:line="288" w:lineRule="auto"/>
        <w:ind w:firstLineChars="200" w:firstLine="480"/>
        <w:rPr>
          <w:color w:val="000000"/>
          <w:sz w:val="24"/>
        </w:rPr>
      </w:pPr>
      <w:r w:rsidRPr="00C73D79">
        <w:rPr>
          <w:rFonts w:hint="eastAsia"/>
          <w:color w:val="000000"/>
          <w:sz w:val="24"/>
        </w:rPr>
        <w:t>我们认为市场短期趋势性机会可能小于波动性机会。经济中长期下行压力不变，短期经济受政策调控出现波动，市场预期趋势变化产生经济预期差。通胀四季度小幅攀升但对货币政策制约较小，流动性中性基调没有变化，但需要谨防监管去金融杠杆举措对短期流动性的波动。因此，我们在</w:t>
      </w:r>
      <w:r w:rsidRPr="00C73D79">
        <w:rPr>
          <w:rFonts w:hint="eastAsia"/>
          <w:color w:val="000000"/>
          <w:sz w:val="24"/>
        </w:rPr>
        <w:t>2016</w:t>
      </w:r>
      <w:r w:rsidRPr="00C73D79">
        <w:rPr>
          <w:rFonts w:hint="eastAsia"/>
          <w:color w:val="000000"/>
          <w:sz w:val="24"/>
        </w:rPr>
        <w:t>年三季度投资中时刻保持谨慎，着力规避中低等级信用债的流动性风险，并在市场调整后关注中长久期利率债，以及流动性较好的高等级信用债的波段性机会。</w:t>
      </w:r>
    </w:p>
    <w:p w:rsidR="00952A72" w:rsidRPr="007F52FA" w:rsidRDefault="00C73D79" w:rsidP="007C14DF">
      <w:pPr>
        <w:spacing w:before="29" w:line="288" w:lineRule="auto"/>
        <w:ind w:firstLineChars="200" w:firstLine="480"/>
        <w:rPr>
          <w:color w:val="000000"/>
          <w:sz w:val="24"/>
        </w:rPr>
      </w:pPr>
      <w:r w:rsidRPr="00C73D79">
        <w:rPr>
          <w:rFonts w:hint="eastAsia"/>
          <w:color w:val="000000"/>
          <w:sz w:val="24"/>
        </w:rPr>
        <w:t>展望后市，我们维持对债券市场谨慎乐观的态度。轻工业难以支撑经济增长，重工业仍然是稳增长主要支柱，政策稳增长的大环境并未发生改变，流动性不具备收紧的基本面条件。同时，实体经济回报下降，大量资金通过理财产品等渠道流向金融资产，</w:t>
      </w:r>
      <w:r w:rsidRPr="00C73D79">
        <w:rPr>
          <w:rFonts w:hint="eastAsia"/>
          <w:color w:val="000000"/>
          <w:sz w:val="24"/>
        </w:rPr>
        <w:t>2015</w:t>
      </w:r>
      <w:r w:rsidRPr="00C73D79">
        <w:rPr>
          <w:rFonts w:hint="eastAsia"/>
          <w:color w:val="000000"/>
          <w:sz w:val="24"/>
        </w:rPr>
        <w:t>年以来的机构配置行为对于债券市场的影响依然不可忽视。同样值得注意的是，金融去杠杆举措并未结束，政策监管依然是流动性骤紧的主要影响。此外，供给侧改革面临下游产业成本上行等阻力，难以短期扭转经济下行趋势，信用风险需持续警惕。中期来看，我们依旧观望各期限中低等级信用债的表现，认为信用利差难以持续压缩，同时我们依旧认为中长久期利率债或有较好的配置价值。债券市场从来不只是一个资产类别，而与国家大势息息相关。无论是决策者还是投资者，“惟能前知其当然，事至不惧，而徐为之图，是以得至于成功。”我们将一如既往，“大胆地假设未来，小心地求证现在”，努力为投资者贡献我们的智慧。</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2016</w:t>
      </w:r>
      <w:r w:rsidRPr="007F52FA">
        <w:rPr>
          <w:color w:val="000000"/>
          <w:sz w:val="24"/>
        </w:rPr>
        <w:t>年</w:t>
      </w:r>
      <w:r w:rsidRPr="007F52FA">
        <w:rPr>
          <w:color w:val="000000"/>
          <w:sz w:val="24"/>
        </w:rPr>
        <w:t>9</w:t>
      </w:r>
      <w:r w:rsidRPr="007F52FA">
        <w:rPr>
          <w:color w:val="000000"/>
          <w:sz w:val="24"/>
        </w:rPr>
        <w:t>月</w:t>
      </w:r>
      <w:r w:rsidRPr="007F52FA">
        <w:rPr>
          <w:color w:val="000000"/>
          <w:sz w:val="24"/>
        </w:rPr>
        <w:t>30</w:t>
      </w:r>
      <w:r w:rsidRPr="007F52FA">
        <w:rPr>
          <w:color w:val="000000"/>
          <w:sz w:val="24"/>
        </w:rPr>
        <w:t>日，交银纯债债券发起</w:t>
      </w:r>
      <w:r w:rsidRPr="007F52FA">
        <w:rPr>
          <w:color w:val="000000"/>
          <w:sz w:val="24"/>
        </w:rPr>
        <w:t>A/B</w:t>
      </w:r>
      <w:r w:rsidRPr="007F52FA">
        <w:rPr>
          <w:color w:val="000000"/>
          <w:sz w:val="24"/>
        </w:rPr>
        <w:t>份额净值为</w:t>
      </w:r>
      <w:r w:rsidRPr="007F52FA">
        <w:rPr>
          <w:color w:val="000000"/>
          <w:sz w:val="24"/>
        </w:rPr>
        <w:t>1.041</w:t>
      </w:r>
      <w:r w:rsidRPr="007F52FA">
        <w:rPr>
          <w:color w:val="000000"/>
          <w:sz w:val="24"/>
        </w:rPr>
        <w:t>元，本报告期份额净值增长率为</w:t>
      </w:r>
      <w:r w:rsidRPr="007F52FA">
        <w:rPr>
          <w:color w:val="000000"/>
          <w:sz w:val="24"/>
        </w:rPr>
        <w:t>1.46%</w:t>
      </w:r>
      <w:r w:rsidRPr="007F52FA">
        <w:rPr>
          <w:color w:val="000000"/>
          <w:sz w:val="24"/>
        </w:rPr>
        <w:t>，同期业绩比较基准增长率为</w:t>
      </w:r>
      <w:r w:rsidR="00126C36">
        <w:rPr>
          <w:color w:val="000000"/>
          <w:sz w:val="24"/>
        </w:rPr>
        <w:t>0.9</w:t>
      </w:r>
      <w:r w:rsidR="00A157E7">
        <w:rPr>
          <w:color w:val="000000"/>
          <w:sz w:val="24"/>
        </w:rPr>
        <w:t>1</w:t>
      </w:r>
      <w:r w:rsidRPr="007F52FA">
        <w:rPr>
          <w:color w:val="000000"/>
          <w:sz w:val="24"/>
        </w:rPr>
        <w:t>%</w:t>
      </w:r>
      <w:r w:rsidRPr="007F52FA">
        <w:rPr>
          <w:color w:val="000000"/>
          <w:sz w:val="24"/>
        </w:rPr>
        <w:t>；交银纯债债券发起</w:t>
      </w:r>
      <w:r w:rsidRPr="007F52FA">
        <w:rPr>
          <w:color w:val="000000"/>
          <w:sz w:val="24"/>
        </w:rPr>
        <w:t>C</w:t>
      </w:r>
      <w:r w:rsidRPr="007F52FA">
        <w:rPr>
          <w:color w:val="000000"/>
          <w:sz w:val="24"/>
        </w:rPr>
        <w:t>份额净值为</w:t>
      </w:r>
      <w:r w:rsidRPr="007F52FA">
        <w:rPr>
          <w:color w:val="000000"/>
          <w:sz w:val="24"/>
        </w:rPr>
        <w:t>1.038</w:t>
      </w:r>
      <w:r w:rsidRPr="007F52FA">
        <w:rPr>
          <w:color w:val="000000"/>
          <w:sz w:val="24"/>
        </w:rPr>
        <w:t>元，本报告期份额净值增长率为</w:t>
      </w:r>
      <w:r w:rsidRPr="007F52FA">
        <w:rPr>
          <w:color w:val="000000"/>
          <w:sz w:val="24"/>
        </w:rPr>
        <w:t>1.27%</w:t>
      </w:r>
      <w:r w:rsidRPr="007F52FA">
        <w:rPr>
          <w:color w:val="000000"/>
          <w:sz w:val="24"/>
        </w:rPr>
        <w:t>，同期业绩比较基准增长率为</w:t>
      </w:r>
      <w:r w:rsidR="00126C36">
        <w:rPr>
          <w:color w:val="000000"/>
          <w:sz w:val="24"/>
        </w:rPr>
        <w:t>0.9</w:t>
      </w:r>
      <w:r w:rsidR="00A157E7">
        <w:rPr>
          <w:color w:val="000000"/>
          <w:sz w:val="24"/>
        </w:rPr>
        <w:t>1</w:t>
      </w:r>
      <w:r w:rsidRPr="007F52FA">
        <w:rPr>
          <w:color w:val="000000"/>
          <w:sz w:val="24"/>
        </w:rPr>
        <w:t>%</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BF5A58">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lastRenderedPageBreak/>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863,826,627.94</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97.53</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768,277,159.45</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86.74</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95,549,468.49</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10.79</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14,731,114.79</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1.66</w:t>
            </w:r>
          </w:p>
        </w:tc>
      </w:tr>
      <w:tr w:rsidR="00323F25" w:rsidRPr="007F52FA" w:rsidTr="007E3766">
        <w:trPr>
          <w:jc w:val="center"/>
        </w:trPr>
        <w:tc>
          <w:tcPr>
            <w:tcW w:w="720" w:type="dxa"/>
            <w:tcBorders>
              <w:bottom w:val="single" w:sz="4" w:space="0" w:color="auto"/>
            </w:tcBorders>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tcBorders>
              <w:bottom w:val="single" w:sz="4" w:space="0" w:color="auto"/>
            </w:tcBorders>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tcBorders>
              <w:bottom w:val="single" w:sz="4" w:space="0" w:color="auto"/>
            </w:tcBorders>
            <w:vAlign w:val="center"/>
          </w:tcPr>
          <w:p w:rsidR="00323F25" w:rsidRPr="007F52FA" w:rsidRDefault="00323F25" w:rsidP="007C14DF">
            <w:pPr>
              <w:spacing w:before="29" w:line="288" w:lineRule="auto"/>
              <w:jc w:val="right"/>
              <w:rPr>
                <w:color w:val="000000"/>
                <w:sz w:val="24"/>
              </w:rPr>
            </w:pPr>
            <w:r w:rsidRPr="007F52FA">
              <w:rPr>
                <w:color w:val="000000"/>
                <w:sz w:val="24"/>
              </w:rPr>
              <w:t>7,130,166.11</w:t>
            </w:r>
          </w:p>
        </w:tc>
        <w:tc>
          <w:tcPr>
            <w:tcW w:w="1757" w:type="dxa"/>
            <w:tcBorders>
              <w:bottom w:val="single" w:sz="4" w:space="0" w:color="auto"/>
            </w:tcBorders>
            <w:vAlign w:val="center"/>
          </w:tcPr>
          <w:p w:rsidR="00323F25" w:rsidRPr="007F52FA" w:rsidRDefault="00323F25" w:rsidP="007C14DF">
            <w:pPr>
              <w:spacing w:before="29" w:line="288" w:lineRule="auto"/>
              <w:jc w:val="right"/>
              <w:rPr>
                <w:color w:val="000000"/>
                <w:sz w:val="24"/>
              </w:rPr>
            </w:pPr>
            <w:r w:rsidRPr="007F52FA">
              <w:rPr>
                <w:color w:val="000000"/>
                <w:sz w:val="24"/>
              </w:rPr>
              <w:t>0.81</w:t>
            </w:r>
          </w:p>
        </w:tc>
      </w:tr>
      <w:tr w:rsidR="00323F25" w:rsidRPr="007F52FA" w:rsidTr="007E3766">
        <w:trPr>
          <w:jc w:val="center"/>
        </w:trPr>
        <w:tc>
          <w:tcPr>
            <w:tcW w:w="720" w:type="dxa"/>
            <w:tcBorders>
              <w:bottom w:val="single" w:sz="4" w:space="0" w:color="auto"/>
            </w:tcBorders>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tcBorders>
              <w:bottom w:val="single" w:sz="4" w:space="0" w:color="auto"/>
            </w:tcBorders>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tcBorders>
              <w:bottom w:val="single" w:sz="4" w:space="0" w:color="auto"/>
            </w:tcBorders>
            <w:vAlign w:val="center"/>
          </w:tcPr>
          <w:p w:rsidR="00323F25" w:rsidRPr="007F52FA" w:rsidRDefault="00323F25" w:rsidP="007C14DF">
            <w:pPr>
              <w:spacing w:before="29" w:line="288" w:lineRule="auto"/>
              <w:jc w:val="right"/>
              <w:rPr>
                <w:color w:val="000000"/>
                <w:sz w:val="24"/>
              </w:rPr>
            </w:pPr>
            <w:r w:rsidRPr="007F52FA">
              <w:rPr>
                <w:color w:val="000000"/>
                <w:sz w:val="24"/>
              </w:rPr>
              <w:t>885,687,908.84</w:t>
            </w:r>
          </w:p>
        </w:tc>
        <w:tc>
          <w:tcPr>
            <w:tcW w:w="1757" w:type="dxa"/>
            <w:tcBorders>
              <w:bottom w:val="single" w:sz="4" w:space="0" w:color="auto"/>
            </w:tcBorders>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455B57" w:rsidRPr="007F52FA" w:rsidRDefault="00455B57" w:rsidP="007C14DF">
      <w:pPr>
        <w:autoSpaceDE w:val="0"/>
        <w:autoSpaceDN w:val="0"/>
        <w:adjustRightInd w:val="0"/>
        <w:spacing w:before="29" w:line="288" w:lineRule="auto"/>
        <w:jc w:val="left"/>
        <w:rPr>
          <w:color w:val="00000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本基金本报告期末未持有通过沪港通投资的股票。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lastRenderedPageBreak/>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151,460,000.00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22.00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151,460,000.00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22.00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146,347,159.45</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21.26</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319,941,000.00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46.48</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150,529,000.00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21.87</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768,277,159.45</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111.61</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2C0A6A">
        <w:trPr>
          <w:jc w:val="center"/>
        </w:trPr>
        <w:tc>
          <w:tcPr>
            <w:tcW w:w="1075" w:type="dxa"/>
            <w:vAlign w:val="center"/>
          </w:tcPr>
          <w:p w:rsidR="002C0A6A" w:rsidRDefault="00126C36">
            <w:pPr>
              <w:jc w:val="center"/>
            </w:pPr>
            <w:r>
              <w:rPr>
                <w:color w:val="000000"/>
                <w:sz w:val="24"/>
              </w:rPr>
              <w:t>1</w:t>
            </w:r>
          </w:p>
        </w:tc>
        <w:tc>
          <w:tcPr>
            <w:tcW w:w="1533" w:type="dxa"/>
            <w:vAlign w:val="center"/>
          </w:tcPr>
          <w:p w:rsidR="002C0A6A" w:rsidRDefault="00126C36">
            <w:pPr>
              <w:jc w:val="center"/>
            </w:pPr>
            <w:r>
              <w:rPr>
                <w:color w:val="000000"/>
                <w:sz w:val="24"/>
              </w:rPr>
              <w:t>041671007</w:t>
            </w:r>
          </w:p>
        </w:tc>
        <w:tc>
          <w:tcPr>
            <w:tcW w:w="1533" w:type="dxa"/>
            <w:vAlign w:val="center"/>
          </w:tcPr>
          <w:p w:rsidR="002C0A6A" w:rsidRDefault="00126C36">
            <w:pPr>
              <w:jc w:val="center"/>
            </w:pPr>
            <w:r>
              <w:rPr>
                <w:color w:val="000000"/>
                <w:sz w:val="24"/>
              </w:rPr>
              <w:t>16</w:t>
            </w:r>
            <w:r>
              <w:rPr>
                <w:color w:val="000000"/>
                <w:sz w:val="24"/>
              </w:rPr>
              <w:t>株洲城建</w:t>
            </w:r>
            <w:r>
              <w:rPr>
                <w:color w:val="000000"/>
                <w:sz w:val="24"/>
              </w:rPr>
              <w:t>CP001</w:t>
            </w:r>
          </w:p>
        </w:tc>
        <w:tc>
          <w:tcPr>
            <w:tcW w:w="1394" w:type="dxa"/>
            <w:vAlign w:val="center"/>
          </w:tcPr>
          <w:p w:rsidR="002C0A6A" w:rsidRDefault="00126C36">
            <w:pPr>
              <w:jc w:val="right"/>
            </w:pPr>
            <w:r>
              <w:rPr>
                <w:color w:val="000000"/>
                <w:sz w:val="24"/>
              </w:rPr>
              <w:t>600,000</w:t>
            </w:r>
          </w:p>
        </w:tc>
        <w:tc>
          <w:tcPr>
            <w:tcW w:w="1944" w:type="dxa"/>
            <w:vAlign w:val="center"/>
          </w:tcPr>
          <w:p w:rsidR="002C0A6A" w:rsidRDefault="00126C36">
            <w:pPr>
              <w:jc w:val="right"/>
            </w:pPr>
            <w:r>
              <w:rPr>
                <w:color w:val="000000"/>
                <w:sz w:val="24"/>
              </w:rPr>
              <w:t>59,934,000.00</w:t>
            </w:r>
          </w:p>
        </w:tc>
        <w:tc>
          <w:tcPr>
            <w:tcW w:w="1389" w:type="dxa"/>
            <w:vAlign w:val="center"/>
          </w:tcPr>
          <w:p w:rsidR="002C0A6A" w:rsidRDefault="00126C36">
            <w:pPr>
              <w:jc w:val="right"/>
            </w:pPr>
            <w:r>
              <w:rPr>
                <w:color w:val="000000"/>
                <w:sz w:val="24"/>
              </w:rPr>
              <w:t>8.71</w:t>
            </w:r>
          </w:p>
        </w:tc>
      </w:tr>
      <w:tr w:rsidR="002C0A6A">
        <w:trPr>
          <w:jc w:val="center"/>
        </w:trPr>
        <w:tc>
          <w:tcPr>
            <w:tcW w:w="1075" w:type="dxa"/>
            <w:vAlign w:val="center"/>
          </w:tcPr>
          <w:p w:rsidR="002C0A6A" w:rsidRDefault="00126C36">
            <w:pPr>
              <w:jc w:val="center"/>
            </w:pPr>
            <w:r>
              <w:rPr>
                <w:color w:val="000000"/>
                <w:sz w:val="24"/>
              </w:rPr>
              <w:t>2</w:t>
            </w:r>
          </w:p>
        </w:tc>
        <w:tc>
          <w:tcPr>
            <w:tcW w:w="1533" w:type="dxa"/>
            <w:vAlign w:val="center"/>
          </w:tcPr>
          <w:p w:rsidR="002C0A6A" w:rsidRDefault="00126C36">
            <w:pPr>
              <w:jc w:val="center"/>
            </w:pPr>
            <w:r>
              <w:rPr>
                <w:color w:val="000000"/>
                <w:sz w:val="24"/>
              </w:rPr>
              <w:t>101552006</w:t>
            </w:r>
          </w:p>
        </w:tc>
        <w:tc>
          <w:tcPr>
            <w:tcW w:w="1533" w:type="dxa"/>
            <w:vAlign w:val="center"/>
          </w:tcPr>
          <w:p w:rsidR="002C0A6A" w:rsidRDefault="00126C36">
            <w:pPr>
              <w:jc w:val="center"/>
            </w:pPr>
            <w:r>
              <w:rPr>
                <w:color w:val="000000"/>
                <w:sz w:val="24"/>
              </w:rPr>
              <w:t>15</w:t>
            </w:r>
            <w:r>
              <w:rPr>
                <w:color w:val="000000"/>
                <w:sz w:val="24"/>
              </w:rPr>
              <w:t>三峡</w:t>
            </w:r>
            <w:r>
              <w:rPr>
                <w:color w:val="000000"/>
                <w:sz w:val="24"/>
              </w:rPr>
              <w:t>MTN001</w:t>
            </w:r>
          </w:p>
        </w:tc>
        <w:tc>
          <w:tcPr>
            <w:tcW w:w="1394" w:type="dxa"/>
            <w:vAlign w:val="center"/>
          </w:tcPr>
          <w:p w:rsidR="002C0A6A" w:rsidRDefault="00126C36">
            <w:pPr>
              <w:jc w:val="right"/>
            </w:pPr>
            <w:r>
              <w:rPr>
                <w:color w:val="000000"/>
                <w:sz w:val="24"/>
              </w:rPr>
              <w:t>500,000</w:t>
            </w:r>
          </w:p>
        </w:tc>
        <w:tc>
          <w:tcPr>
            <w:tcW w:w="1944" w:type="dxa"/>
            <w:vAlign w:val="center"/>
          </w:tcPr>
          <w:p w:rsidR="002C0A6A" w:rsidRDefault="00126C36">
            <w:pPr>
              <w:jc w:val="right"/>
            </w:pPr>
            <w:r>
              <w:rPr>
                <w:color w:val="000000"/>
                <w:sz w:val="24"/>
              </w:rPr>
              <w:t>55,975,000.00</w:t>
            </w:r>
          </w:p>
        </w:tc>
        <w:tc>
          <w:tcPr>
            <w:tcW w:w="1389" w:type="dxa"/>
            <w:vAlign w:val="center"/>
          </w:tcPr>
          <w:p w:rsidR="002C0A6A" w:rsidRDefault="00126C36">
            <w:pPr>
              <w:jc w:val="right"/>
            </w:pPr>
            <w:r>
              <w:rPr>
                <w:color w:val="000000"/>
                <w:sz w:val="24"/>
              </w:rPr>
              <w:t>8.13</w:t>
            </w:r>
          </w:p>
        </w:tc>
      </w:tr>
      <w:tr w:rsidR="002C0A6A">
        <w:trPr>
          <w:jc w:val="center"/>
        </w:trPr>
        <w:tc>
          <w:tcPr>
            <w:tcW w:w="1075" w:type="dxa"/>
            <w:vAlign w:val="center"/>
          </w:tcPr>
          <w:p w:rsidR="002C0A6A" w:rsidRDefault="00126C36">
            <w:pPr>
              <w:jc w:val="center"/>
            </w:pPr>
            <w:r>
              <w:rPr>
                <w:color w:val="000000"/>
                <w:sz w:val="24"/>
              </w:rPr>
              <w:t>3</w:t>
            </w:r>
          </w:p>
        </w:tc>
        <w:tc>
          <w:tcPr>
            <w:tcW w:w="1533" w:type="dxa"/>
            <w:vAlign w:val="center"/>
          </w:tcPr>
          <w:p w:rsidR="002C0A6A" w:rsidRDefault="00126C36">
            <w:pPr>
              <w:jc w:val="center"/>
            </w:pPr>
            <w:r>
              <w:rPr>
                <w:color w:val="000000"/>
                <w:sz w:val="24"/>
              </w:rPr>
              <w:t>160408</w:t>
            </w:r>
          </w:p>
        </w:tc>
        <w:tc>
          <w:tcPr>
            <w:tcW w:w="1533" w:type="dxa"/>
            <w:vAlign w:val="center"/>
          </w:tcPr>
          <w:p w:rsidR="002C0A6A" w:rsidRDefault="00126C36">
            <w:pPr>
              <w:jc w:val="center"/>
            </w:pPr>
            <w:r>
              <w:rPr>
                <w:color w:val="000000"/>
                <w:sz w:val="24"/>
              </w:rPr>
              <w:t>16</w:t>
            </w:r>
            <w:r>
              <w:rPr>
                <w:color w:val="000000"/>
                <w:sz w:val="24"/>
              </w:rPr>
              <w:t>农发</w:t>
            </w:r>
            <w:r>
              <w:rPr>
                <w:color w:val="000000"/>
                <w:sz w:val="24"/>
              </w:rPr>
              <w:t>08</w:t>
            </w:r>
          </w:p>
        </w:tc>
        <w:tc>
          <w:tcPr>
            <w:tcW w:w="1394" w:type="dxa"/>
            <w:vAlign w:val="center"/>
          </w:tcPr>
          <w:p w:rsidR="002C0A6A" w:rsidRDefault="00126C36">
            <w:pPr>
              <w:jc w:val="right"/>
            </w:pPr>
            <w:r>
              <w:rPr>
                <w:color w:val="000000"/>
                <w:sz w:val="24"/>
              </w:rPr>
              <w:t>500,000</w:t>
            </w:r>
          </w:p>
        </w:tc>
        <w:tc>
          <w:tcPr>
            <w:tcW w:w="1944" w:type="dxa"/>
            <w:vAlign w:val="center"/>
          </w:tcPr>
          <w:p w:rsidR="002C0A6A" w:rsidRDefault="00126C36">
            <w:pPr>
              <w:jc w:val="right"/>
            </w:pPr>
            <w:r>
              <w:rPr>
                <w:color w:val="000000"/>
                <w:sz w:val="24"/>
              </w:rPr>
              <w:t>50,790,000.00</w:t>
            </w:r>
          </w:p>
        </w:tc>
        <w:tc>
          <w:tcPr>
            <w:tcW w:w="1389" w:type="dxa"/>
            <w:vAlign w:val="center"/>
          </w:tcPr>
          <w:p w:rsidR="002C0A6A" w:rsidRDefault="00126C36">
            <w:pPr>
              <w:jc w:val="right"/>
            </w:pPr>
            <w:r>
              <w:rPr>
                <w:color w:val="000000"/>
                <w:sz w:val="24"/>
              </w:rPr>
              <w:t>7.38</w:t>
            </w:r>
          </w:p>
        </w:tc>
      </w:tr>
      <w:tr w:rsidR="002C0A6A">
        <w:trPr>
          <w:jc w:val="center"/>
        </w:trPr>
        <w:tc>
          <w:tcPr>
            <w:tcW w:w="1075" w:type="dxa"/>
            <w:vAlign w:val="center"/>
          </w:tcPr>
          <w:p w:rsidR="002C0A6A" w:rsidRDefault="00126C36">
            <w:pPr>
              <w:jc w:val="center"/>
            </w:pPr>
            <w:r>
              <w:rPr>
                <w:color w:val="000000"/>
                <w:sz w:val="24"/>
              </w:rPr>
              <w:t>4</w:t>
            </w:r>
          </w:p>
        </w:tc>
        <w:tc>
          <w:tcPr>
            <w:tcW w:w="1533" w:type="dxa"/>
            <w:vAlign w:val="center"/>
          </w:tcPr>
          <w:p w:rsidR="002C0A6A" w:rsidRDefault="00126C36">
            <w:pPr>
              <w:jc w:val="center"/>
            </w:pPr>
            <w:r>
              <w:rPr>
                <w:color w:val="000000"/>
                <w:sz w:val="24"/>
              </w:rPr>
              <w:t>160303</w:t>
            </w:r>
          </w:p>
        </w:tc>
        <w:tc>
          <w:tcPr>
            <w:tcW w:w="1533" w:type="dxa"/>
            <w:vAlign w:val="center"/>
          </w:tcPr>
          <w:p w:rsidR="002C0A6A" w:rsidRDefault="00126C36">
            <w:pPr>
              <w:jc w:val="center"/>
            </w:pPr>
            <w:r>
              <w:rPr>
                <w:color w:val="000000"/>
                <w:sz w:val="24"/>
              </w:rPr>
              <w:t>16</w:t>
            </w:r>
            <w:r>
              <w:rPr>
                <w:color w:val="000000"/>
                <w:sz w:val="24"/>
              </w:rPr>
              <w:t>进出</w:t>
            </w:r>
            <w:r>
              <w:rPr>
                <w:color w:val="000000"/>
                <w:sz w:val="24"/>
              </w:rPr>
              <w:t>03</w:t>
            </w:r>
          </w:p>
        </w:tc>
        <w:tc>
          <w:tcPr>
            <w:tcW w:w="1394" w:type="dxa"/>
            <w:vAlign w:val="center"/>
          </w:tcPr>
          <w:p w:rsidR="002C0A6A" w:rsidRDefault="00126C36">
            <w:pPr>
              <w:jc w:val="right"/>
            </w:pPr>
            <w:r>
              <w:rPr>
                <w:color w:val="000000"/>
                <w:sz w:val="24"/>
              </w:rPr>
              <w:t>500,000</w:t>
            </w:r>
          </w:p>
        </w:tc>
        <w:tc>
          <w:tcPr>
            <w:tcW w:w="1944" w:type="dxa"/>
            <w:vAlign w:val="center"/>
          </w:tcPr>
          <w:p w:rsidR="002C0A6A" w:rsidRDefault="00126C36">
            <w:pPr>
              <w:jc w:val="right"/>
            </w:pPr>
            <w:r>
              <w:rPr>
                <w:color w:val="000000"/>
                <w:sz w:val="24"/>
              </w:rPr>
              <w:t>50,650,000.00</w:t>
            </w:r>
          </w:p>
        </w:tc>
        <w:tc>
          <w:tcPr>
            <w:tcW w:w="1389" w:type="dxa"/>
            <w:vAlign w:val="center"/>
          </w:tcPr>
          <w:p w:rsidR="002C0A6A" w:rsidRDefault="00126C36">
            <w:pPr>
              <w:jc w:val="right"/>
            </w:pPr>
            <w:r>
              <w:rPr>
                <w:color w:val="000000"/>
                <w:sz w:val="24"/>
              </w:rPr>
              <w:t>7.36</w:t>
            </w:r>
          </w:p>
        </w:tc>
      </w:tr>
      <w:tr w:rsidR="002C0A6A">
        <w:trPr>
          <w:jc w:val="center"/>
        </w:trPr>
        <w:tc>
          <w:tcPr>
            <w:tcW w:w="1075" w:type="dxa"/>
            <w:vAlign w:val="center"/>
          </w:tcPr>
          <w:p w:rsidR="002C0A6A" w:rsidRDefault="00126C36">
            <w:pPr>
              <w:jc w:val="center"/>
            </w:pPr>
            <w:r>
              <w:rPr>
                <w:color w:val="000000"/>
                <w:sz w:val="24"/>
              </w:rPr>
              <w:t>5</w:t>
            </w:r>
          </w:p>
        </w:tc>
        <w:tc>
          <w:tcPr>
            <w:tcW w:w="1533" w:type="dxa"/>
            <w:vAlign w:val="center"/>
          </w:tcPr>
          <w:p w:rsidR="002C0A6A" w:rsidRDefault="00126C36">
            <w:pPr>
              <w:jc w:val="center"/>
            </w:pPr>
            <w:r>
              <w:rPr>
                <w:color w:val="000000"/>
                <w:sz w:val="24"/>
              </w:rPr>
              <w:t>011698168</w:t>
            </w:r>
          </w:p>
        </w:tc>
        <w:tc>
          <w:tcPr>
            <w:tcW w:w="1533" w:type="dxa"/>
            <w:vAlign w:val="center"/>
          </w:tcPr>
          <w:p w:rsidR="002C0A6A" w:rsidRDefault="00126C36">
            <w:pPr>
              <w:jc w:val="center"/>
            </w:pPr>
            <w:r>
              <w:rPr>
                <w:color w:val="000000"/>
                <w:sz w:val="24"/>
              </w:rPr>
              <w:t>16</w:t>
            </w:r>
            <w:r>
              <w:rPr>
                <w:color w:val="000000"/>
                <w:sz w:val="24"/>
              </w:rPr>
              <w:t>深圳航空</w:t>
            </w:r>
            <w:r>
              <w:rPr>
                <w:color w:val="000000"/>
                <w:sz w:val="24"/>
              </w:rPr>
              <w:t>SCP007</w:t>
            </w:r>
          </w:p>
        </w:tc>
        <w:tc>
          <w:tcPr>
            <w:tcW w:w="1394" w:type="dxa"/>
            <w:vAlign w:val="center"/>
          </w:tcPr>
          <w:p w:rsidR="002C0A6A" w:rsidRDefault="00126C36">
            <w:pPr>
              <w:jc w:val="right"/>
            </w:pPr>
            <w:r>
              <w:rPr>
                <w:color w:val="000000"/>
                <w:sz w:val="24"/>
              </w:rPr>
              <w:t>500,000</w:t>
            </w:r>
          </w:p>
        </w:tc>
        <w:tc>
          <w:tcPr>
            <w:tcW w:w="1944" w:type="dxa"/>
            <w:vAlign w:val="center"/>
          </w:tcPr>
          <w:p w:rsidR="002C0A6A" w:rsidRDefault="00126C36">
            <w:pPr>
              <w:jc w:val="right"/>
            </w:pPr>
            <w:r>
              <w:rPr>
                <w:color w:val="000000"/>
                <w:sz w:val="24"/>
              </w:rPr>
              <w:t>50,020,000.00</w:t>
            </w:r>
          </w:p>
        </w:tc>
        <w:tc>
          <w:tcPr>
            <w:tcW w:w="1389" w:type="dxa"/>
            <w:vAlign w:val="center"/>
          </w:tcPr>
          <w:p w:rsidR="002C0A6A" w:rsidRDefault="00126C36">
            <w:pPr>
              <w:jc w:val="right"/>
            </w:pPr>
            <w:r>
              <w:rPr>
                <w:color w:val="000000"/>
                <w:sz w:val="24"/>
              </w:rPr>
              <w:t>7.27</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tbl>
      <w:tblPr>
        <w:tblStyle w:val="af2"/>
        <w:tblW w:w="8868" w:type="dxa"/>
        <w:jc w:val="center"/>
        <w:tblCellMar>
          <w:top w:w="57" w:type="dxa"/>
          <w:bottom w:w="57" w:type="dxa"/>
        </w:tblCellMar>
        <w:tblLook w:val="04A0" w:firstRow="1" w:lastRow="0" w:firstColumn="1" w:lastColumn="0" w:noHBand="0" w:noVBand="1"/>
      </w:tblPr>
      <w:tblGrid>
        <w:gridCol w:w="1377"/>
        <w:gridCol w:w="1449"/>
        <w:gridCol w:w="1569"/>
        <w:gridCol w:w="1441"/>
        <w:gridCol w:w="1596"/>
        <w:gridCol w:w="1436"/>
      </w:tblGrid>
      <w:tr w:rsidR="009A0513" w:rsidRPr="007F52FA" w:rsidTr="00B236A5">
        <w:trPr>
          <w:jc w:val="center"/>
        </w:trPr>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CB7A3B" w:rsidRPr="007F52FA">
              <w:rPr>
                <w:color w:val="000000"/>
                <w:kern w:val="0"/>
                <w:sz w:val="24"/>
              </w:rPr>
              <w:t>（</w:t>
            </w:r>
            <w:r w:rsidR="007627C8">
              <w:rPr>
                <w:rFonts w:hint="eastAsia"/>
                <w:color w:val="000000"/>
                <w:kern w:val="0"/>
                <w:sz w:val="24"/>
              </w:rPr>
              <w:t>份</w:t>
            </w:r>
            <w:r w:rsidR="00CB7A3B"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1B5C86" w:rsidRPr="007F52FA">
              <w:rPr>
                <w:color w:val="000000"/>
                <w:kern w:val="0"/>
                <w:sz w:val="24"/>
              </w:rPr>
              <w:t>（</w:t>
            </w:r>
            <w:r w:rsidR="001B5C86" w:rsidRPr="007F52FA">
              <w:rPr>
                <w:sz w:val="24"/>
              </w:rPr>
              <w:t>元</w:t>
            </w:r>
            <w:r w:rsidR="001B5C86"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B5C86" w:rsidRPr="007F52FA">
              <w:rPr>
                <w:color w:val="000000"/>
                <w:kern w:val="0"/>
                <w:sz w:val="24"/>
              </w:rPr>
              <w:t>（％）</w:t>
            </w:r>
          </w:p>
        </w:tc>
      </w:tr>
      <w:tr w:rsidR="002C0A6A">
        <w:trPr>
          <w:jc w:val="center"/>
        </w:trPr>
        <w:tc>
          <w:tcPr>
            <w:tcW w:w="0" w:type="auto"/>
            <w:vAlign w:val="center"/>
          </w:tcPr>
          <w:p w:rsidR="002C0A6A" w:rsidRDefault="00126C36">
            <w:pPr>
              <w:jc w:val="center"/>
            </w:pPr>
            <w:r>
              <w:rPr>
                <w:color w:val="000000"/>
                <w:sz w:val="24"/>
              </w:rPr>
              <w:t>1</w:t>
            </w:r>
          </w:p>
        </w:tc>
        <w:tc>
          <w:tcPr>
            <w:tcW w:w="0" w:type="auto"/>
            <w:vAlign w:val="center"/>
          </w:tcPr>
          <w:p w:rsidR="002C0A6A" w:rsidRDefault="00126C36">
            <w:pPr>
              <w:jc w:val="center"/>
            </w:pPr>
            <w:r>
              <w:rPr>
                <w:color w:val="000000"/>
                <w:sz w:val="24"/>
              </w:rPr>
              <w:t>1589279</w:t>
            </w:r>
          </w:p>
        </w:tc>
        <w:tc>
          <w:tcPr>
            <w:tcW w:w="0" w:type="auto"/>
            <w:vAlign w:val="center"/>
          </w:tcPr>
          <w:p w:rsidR="002C0A6A" w:rsidRDefault="00126C36">
            <w:pPr>
              <w:jc w:val="center"/>
            </w:pPr>
            <w:r>
              <w:rPr>
                <w:color w:val="000000"/>
                <w:sz w:val="24"/>
              </w:rPr>
              <w:t>15</w:t>
            </w:r>
            <w:r>
              <w:rPr>
                <w:color w:val="000000"/>
                <w:sz w:val="24"/>
              </w:rPr>
              <w:t>开元</w:t>
            </w:r>
            <w:r>
              <w:rPr>
                <w:color w:val="000000"/>
                <w:sz w:val="24"/>
              </w:rPr>
              <w:t>8</w:t>
            </w:r>
            <w:r>
              <w:rPr>
                <w:color w:val="000000"/>
                <w:sz w:val="24"/>
              </w:rPr>
              <w:t>优先</w:t>
            </w:r>
          </w:p>
        </w:tc>
        <w:tc>
          <w:tcPr>
            <w:tcW w:w="0" w:type="auto"/>
            <w:vAlign w:val="center"/>
          </w:tcPr>
          <w:p w:rsidR="002C0A6A" w:rsidRDefault="00126C36">
            <w:pPr>
              <w:jc w:val="right"/>
            </w:pPr>
            <w:r>
              <w:rPr>
                <w:color w:val="000000"/>
                <w:sz w:val="24"/>
              </w:rPr>
              <w:t>400,000</w:t>
            </w:r>
          </w:p>
        </w:tc>
        <w:tc>
          <w:tcPr>
            <w:tcW w:w="0" w:type="auto"/>
            <w:vAlign w:val="center"/>
          </w:tcPr>
          <w:p w:rsidR="002C0A6A" w:rsidRDefault="00126C36">
            <w:pPr>
              <w:jc w:val="right"/>
            </w:pPr>
            <w:r>
              <w:rPr>
                <w:color w:val="000000"/>
                <w:sz w:val="24"/>
              </w:rPr>
              <w:t>40,696,000.00</w:t>
            </w:r>
          </w:p>
        </w:tc>
        <w:tc>
          <w:tcPr>
            <w:tcW w:w="0" w:type="auto"/>
            <w:vAlign w:val="center"/>
          </w:tcPr>
          <w:p w:rsidR="002C0A6A" w:rsidRDefault="00126C36">
            <w:pPr>
              <w:jc w:val="right"/>
            </w:pPr>
            <w:r>
              <w:rPr>
                <w:color w:val="000000"/>
                <w:sz w:val="24"/>
              </w:rPr>
              <w:t>5.91</w:t>
            </w:r>
          </w:p>
        </w:tc>
      </w:tr>
      <w:tr w:rsidR="002C0A6A">
        <w:trPr>
          <w:jc w:val="center"/>
        </w:trPr>
        <w:tc>
          <w:tcPr>
            <w:tcW w:w="0" w:type="auto"/>
            <w:vAlign w:val="center"/>
          </w:tcPr>
          <w:p w:rsidR="002C0A6A" w:rsidRDefault="00126C36">
            <w:pPr>
              <w:jc w:val="center"/>
            </w:pPr>
            <w:r>
              <w:rPr>
                <w:color w:val="000000"/>
                <w:sz w:val="24"/>
              </w:rPr>
              <w:t>2</w:t>
            </w:r>
          </w:p>
        </w:tc>
        <w:tc>
          <w:tcPr>
            <w:tcW w:w="0" w:type="auto"/>
            <w:vAlign w:val="center"/>
          </w:tcPr>
          <w:p w:rsidR="002C0A6A" w:rsidRDefault="00126C36">
            <w:pPr>
              <w:jc w:val="center"/>
            </w:pPr>
            <w:r>
              <w:rPr>
                <w:color w:val="000000"/>
                <w:sz w:val="24"/>
              </w:rPr>
              <w:t>119238</w:t>
            </w:r>
          </w:p>
        </w:tc>
        <w:tc>
          <w:tcPr>
            <w:tcW w:w="0" w:type="auto"/>
            <w:vAlign w:val="center"/>
          </w:tcPr>
          <w:p w:rsidR="002C0A6A" w:rsidRDefault="00126C36">
            <w:pPr>
              <w:jc w:val="center"/>
            </w:pPr>
            <w:r>
              <w:rPr>
                <w:color w:val="000000"/>
                <w:sz w:val="24"/>
              </w:rPr>
              <w:t>南方</w:t>
            </w:r>
            <w:r>
              <w:rPr>
                <w:color w:val="000000"/>
                <w:sz w:val="24"/>
              </w:rPr>
              <w:t>A2</w:t>
            </w:r>
          </w:p>
        </w:tc>
        <w:tc>
          <w:tcPr>
            <w:tcW w:w="0" w:type="auto"/>
            <w:vAlign w:val="center"/>
          </w:tcPr>
          <w:p w:rsidR="002C0A6A" w:rsidRDefault="00126C36">
            <w:pPr>
              <w:jc w:val="right"/>
            </w:pPr>
            <w:r>
              <w:rPr>
                <w:color w:val="000000"/>
                <w:sz w:val="24"/>
              </w:rPr>
              <w:t>400,000</w:t>
            </w:r>
          </w:p>
        </w:tc>
        <w:tc>
          <w:tcPr>
            <w:tcW w:w="0" w:type="auto"/>
            <w:vAlign w:val="center"/>
          </w:tcPr>
          <w:p w:rsidR="002C0A6A" w:rsidRDefault="00126C36">
            <w:pPr>
              <w:jc w:val="right"/>
            </w:pPr>
            <w:r>
              <w:rPr>
                <w:color w:val="000000"/>
                <w:sz w:val="24"/>
              </w:rPr>
              <w:t>40,353,468.49</w:t>
            </w:r>
          </w:p>
        </w:tc>
        <w:tc>
          <w:tcPr>
            <w:tcW w:w="0" w:type="auto"/>
            <w:vAlign w:val="center"/>
          </w:tcPr>
          <w:p w:rsidR="002C0A6A" w:rsidRDefault="00126C36">
            <w:pPr>
              <w:jc w:val="right"/>
            </w:pPr>
            <w:r>
              <w:rPr>
                <w:color w:val="000000"/>
                <w:sz w:val="24"/>
              </w:rPr>
              <w:t>5.86</w:t>
            </w:r>
          </w:p>
        </w:tc>
      </w:tr>
      <w:tr w:rsidR="002C0A6A">
        <w:trPr>
          <w:jc w:val="center"/>
        </w:trPr>
        <w:tc>
          <w:tcPr>
            <w:tcW w:w="0" w:type="auto"/>
            <w:vAlign w:val="center"/>
          </w:tcPr>
          <w:p w:rsidR="002C0A6A" w:rsidRDefault="00126C36">
            <w:pPr>
              <w:jc w:val="center"/>
            </w:pPr>
            <w:r>
              <w:rPr>
                <w:color w:val="000000"/>
                <w:sz w:val="24"/>
              </w:rPr>
              <w:t>3</w:t>
            </w:r>
          </w:p>
        </w:tc>
        <w:tc>
          <w:tcPr>
            <w:tcW w:w="0" w:type="auto"/>
            <w:vAlign w:val="center"/>
          </w:tcPr>
          <w:p w:rsidR="002C0A6A" w:rsidRDefault="00126C36">
            <w:pPr>
              <w:jc w:val="center"/>
            </w:pPr>
            <w:r>
              <w:rPr>
                <w:color w:val="000000"/>
                <w:sz w:val="24"/>
              </w:rPr>
              <w:t>123935</w:t>
            </w:r>
          </w:p>
        </w:tc>
        <w:tc>
          <w:tcPr>
            <w:tcW w:w="0" w:type="auto"/>
            <w:vAlign w:val="center"/>
          </w:tcPr>
          <w:p w:rsidR="002C0A6A" w:rsidRDefault="00126C36">
            <w:pPr>
              <w:jc w:val="center"/>
            </w:pPr>
            <w:r>
              <w:rPr>
                <w:color w:val="000000"/>
                <w:sz w:val="24"/>
              </w:rPr>
              <w:t>15</w:t>
            </w:r>
            <w:r>
              <w:rPr>
                <w:color w:val="000000"/>
                <w:sz w:val="24"/>
              </w:rPr>
              <w:t>濮热</w:t>
            </w:r>
            <w:r>
              <w:rPr>
                <w:color w:val="000000"/>
                <w:sz w:val="24"/>
              </w:rPr>
              <w:t>03</w:t>
            </w:r>
          </w:p>
        </w:tc>
        <w:tc>
          <w:tcPr>
            <w:tcW w:w="0" w:type="auto"/>
            <w:vAlign w:val="center"/>
          </w:tcPr>
          <w:p w:rsidR="002C0A6A" w:rsidRDefault="00126C36">
            <w:pPr>
              <w:jc w:val="right"/>
            </w:pPr>
            <w:r>
              <w:rPr>
                <w:color w:val="000000"/>
                <w:sz w:val="24"/>
              </w:rPr>
              <w:t>50,000</w:t>
            </w:r>
          </w:p>
        </w:tc>
        <w:tc>
          <w:tcPr>
            <w:tcW w:w="0" w:type="auto"/>
            <w:vAlign w:val="center"/>
          </w:tcPr>
          <w:p w:rsidR="002C0A6A" w:rsidRDefault="00126C36">
            <w:pPr>
              <w:jc w:val="right"/>
            </w:pPr>
            <w:r>
              <w:rPr>
                <w:color w:val="000000"/>
                <w:sz w:val="24"/>
              </w:rPr>
              <w:t>5,000,000.00</w:t>
            </w:r>
          </w:p>
        </w:tc>
        <w:tc>
          <w:tcPr>
            <w:tcW w:w="0" w:type="auto"/>
            <w:vAlign w:val="center"/>
          </w:tcPr>
          <w:p w:rsidR="002C0A6A" w:rsidRDefault="00126C36">
            <w:pPr>
              <w:jc w:val="right"/>
            </w:pPr>
            <w:r>
              <w:rPr>
                <w:color w:val="000000"/>
                <w:sz w:val="24"/>
              </w:rPr>
              <w:t>0.73</w:t>
            </w:r>
          </w:p>
        </w:tc>
      </w:tr>
      <w:tr w:rsidR="002C0A6A">
        <w:trPr>
          <w:jc w:val="center"/>
        </w:trPr>
        <w:tc>
          <w:tcPr>
            <w:tcW w:w="0" w:type="auto"/>
            <w:vAlign w:val="center"/>
          </w:tcPr>
          <w:p w:rsidR="002C0A6A" w:rsidRDefault="00126C36">
            <w:pPr>
              <w:jc w:val="center"/>
            </w:pPr>
            <w:r>
              <w:rPr>
                <w:color w:val="000000"/>
                <w:sz w:val="24"/>
              </w:rPr>
              <w:t>4</w:t>
            </w:r>
          </w:p>
        </w:tc>
        <w:tc>
          <w:tcPr>
            <w:tcW w:w="0" w:type="auto"/>
            <w:vAlign w:val="center"/>
          </w:tcPr>
          <w:p w:rsidR="002C0A6A" w:rsidRDefault="00126C36">
            <w:pPr>
              <w:jc w:val="center"/>
            </w:pPr>
            <w:r>
              <w:rPr>
                <w:color w:val="000000"/>
                <w:sz w:val="24"/>
              </w:rPr>
              <w:t>123934</w:t>
            </w:r>
          </w:p>
        </w:tc>
        <w:tc>
          <w:tcPr>
            <w:tcW w:w="0" w:type="auto"/>
            <w:vAlign w:val="center"/>
          </w:tcPr>
          <w:p w:rsidR="002C0A6A" w:rsidRDefault="00126C36">
            <w:pPr>
              <w:jc w:val="center"/>
            </w:pPr>
            <w:r>
              <w:rPr>
                <w:color w:val="000000"/>
                <w:sz w:val="24"/>
              </w:rPr>
              <w:t>15</w:t>
            </w:r>
            <w:r>
              <w:rPr>
                <w:color w:val="000000"/>
                <w:sz w:val="24"/>
              </w:rPr>
              <w:t>濮热</w:t>
            </w:r>
            <w:r>
              <w:rPr>
                <w:color w:val="000000"/>
                <w:sz w:val="24"/>
              </w:rPr>
              <w:t>02</w:t>
            </w:r>
          </w:p>
        </w:tc>
        <w:tc>
          <w:tcPr>
            <w:tcW w:w="0" w:type="auto"/>
            <w:vAlign w:val="center"/>
          </w:tcPr>
          <w:p w:rsidR="002C0A6A" w:rsidRDefault="00126C36">
            <w:pPr>
              <w:jc w:val="right"/>
            </w:pPr>
            <w:r>
              <w:rPr>
                <w:color w:val="000000"/>
                <w:sz w:val="24"/>
              </w:rPr>
              <w:t>40,000</w:t>
            </w:r>
          </w:p>
        </w:tc>
        <w:tc>
          <w:tcPr>
            <w:tcW w:w="0" w:type="auto"/>
            <w:vAlign w:val="center"/>
          </w:tcPr>
          <w:p w:rsidR="002C0A6A" w:rsidRDefault="00126C36">
            <w:pPr>
              <w:jc w:val="right"/>
            </w:pPr>
            <w:r>
              <w:rPr>
                <w:color w:val="000000"/>
                <w:sz w:val="24"/>
              </w:rPr>
              <w:t>4,000,000.00</w:t>
            </w:r>
          </w:p>
        </w:tc>
        <w:tc>
          <w:tcPr>
            <w:tcW w:w="0" w:type="auto"/>
            <w:vAlign w:val="center"/>
          </w:tcPr>
          <w:p w:rsidR="002C0A6A" w:rsidRDefault="00126C36">
            <w:pPr>
              <w:jc w:val="right"/>
            </w:pPr>
            <w:r>
              <w:rPr>
                <w:color w:val="000000"/>
                <w:sz w:val="24"/>
              </w:rPr>
              <w:t>0.58</w:t>
            </w:r>
          </w:p>
        </w:tc>
      </w:tr>
      <w:tr w:rsidR="002C0A6A">
        <w:trPr>
          <w:jc w:val="center"/>
        </w:trPr>
        <w:tc>
          <w:tcPr>
            <w:tcW w:w="0" w:type="auto"/>
            <w:vAlign w:val="center"/>
          </w:tcPr>
          <w:p w:rsidR="002C0A6A" w:rsidRDefault="00126C36">
            <w:pPr>
              <w:jc w:val="center"/>
            </w:pPr>
            <w:r>
              <w:rPr>
                <w:color w:val="000000"/>
                <w:sz w:val="24"/>
              </w:rPr>
              <w:t>5</w:t>
            </w:r>
          </w:p>
        </w:tc>
        <w:tc>
          <w:tcPr>
            <w:tcW w:w="0" w:type="auto"/>
            <w:vAlign w:val="center"/>
          </w:tcPr>
          <w:p w:rsidR="002C0A6A" w:rsidRDefault="00126C36">
            <w:pPr>
              <w:jc w:val="center"/>
            </w:pPr>
            <w:r>
              <w:rPr>
                <w:color w:val="000000"/>
                <w:sz w:val="24"/>
              </w:rPr>
              <w:t>123933</w:t>
            </w:r>
          </w:p>
        </w:tc>
        <w:tc>
          <w:tcPr>
            <w:tcW w:w="0" w:type="auto"/>
            <w:vAlign w:val="center"/>
          </w:tcPr>
          <w:p w:rsidR="002C0A6A" w:rsidRDefault="00126C36">
            <w:pPr>
              <w:jc w:val="center"/>
            </w:pPr>
            <w:r>
              <w:rPr>
                <w:color w:val="000000"/>
                <w:sz w:val="24"/>
              </w:rPr>
              <w:t>15</w:t>
            </w:r>
            <w:r>
              <w:rPr>
                <w:color w:val="000000"/>
                <w:sz w:val="24"/>
              </w:rPr>
              <w:t>濮热</w:t>
            </w:r>
            <w:r>
              <w:rPr>
                <w:color w:val="000000"/>
                <w:sz w:val="24"/>
              </w:rPr>
              <w:t>01</w:t>
            </w:r>
          </w:p>
        </w:tc>
        <w:tc>
          <w:tcPr>
            <w:tcW w:w="0" w:type="auto"/>
            <w:vAlign w:val="center"/>
          </w:tcPr>
          <w:p w:rsidR="002C0A6A" w:rsidRDefault="00126C36">
            <w:pPr>
              <w:jc w:val="right"/>
            </w:pPr>
            <w:r>
              <w:rPr>
                <w:color w:val="000000"/>
                <w:sz w:val="24"/>
              </w:rPr>
              <w:t>35,000</w:t>
            </w:r>
          </w:p>
        </w:tc>
        <w:tc>
          <w:tcPr>
            <w:tcW w:w="0" w:type="auto"/>
            <w:vAlign w:val="center"/>
          </w:tcPr>
          <w:p w:rsidR="002C0A6A" w:rsidRDefault="00126C36">
            <w:pPr>
              <w:jc w:val="right"/>
            </w:pPr>
            <w:r>
              <w:rPr>
                <w:color w:val="000000"/>
                <w:sz w:val="24"/>
              </w:rPr>
              <w:t>3,500,000.00</w:t>
            </w:r>
          </w:p>
        </w:tc>
        <w:tc>
          <w:tcPr>
            <w:tcW w:w="0" w:type="auto"/>
            <w:vAlign w:val="center"/>
          </w:tcPr>
          <w:p w:rsidR="002C0A6A" w:rsidRDefault="00126C36">
            <w:pPr>
              <w:jc w:val="right"/>
            </w:pPr>
            <w:r>
              <w:rPr>
                <w:color w:val="000000"/>
                <w:sz w:val="24"/>
              </w:rPr>
              <w:t>0.51</w:t>
            </w:r>
          </w:p>
        </w:tc>
      </w:tr>
      <w:tr w:rsidR="002C0A6A">
        <w:trPr>
          <w:jc w:val="center"/>
        </w:trPr>
        <w:tc>
          <w:tcPr>
            <w:tcW w:w="0" w:type="auto"/>
            <w:vAlign w:val="center"/>
          </w:tcPr>
          <w:p w:rsidR="002C0A6A" w:rsidRDefault="00126C36">
            <w:pPr>
              <w:jc w:val="center"/>
            </w:pPr>
            <w:r>
              <w:rPr>
                <w:color w:val="000000"/>
                <w:sz w:val="24"/>
              </w:rPr>
              <w:lastRenderedPageBreak/>
              <w:t>6</w:t>
            </w:r>
          </w:p>
        </w:tc>
        <w:tc>
          <w:tcPr>
            <w:tcW w:w="0" w:type="auto"/>
            <w:vAlign w:val="center"/>
          </w:tcPr>
          <w:p w:rsidR="002C0A6A" w:rsidRDefault="00126C36">
            <w:pPr>
              <w:jc w:val="center"/>
            </w:pPr>
            <w:r>
              <w:rPr>
                <w:color w:val="000000"/>
                <w:sz w:val="24"/>
              </w:rPr>
              <w:t>116239</w:t>
            </w:r>
          </w:p>
        </w:tc>
        <w:tc>
          <w:tcPr>
            <w:tcW w:w="0" w:type="auto"/>
            <w:vAlign w:val="center"/>
          </w:tcPr>
          <w:p w:rsidR="002C0A6A" w:rsidRDefault="00126C36">
            <w:pPr>
              <w:jc w:val="center"/>
            </w:pPr>
            <w:r>
              <w:rPr>
                <w:color w:val="000000"/>
                <w:sz w:val="24"/>
              </w:rPr>
              <w:t>16</w:t>
            </w:r>
            <w:r>
              <w:rPr>
                <w:color w:val="000000"/>
                <w:sz w:val="24"/>
              </w:rPr>
              <w:t>惠通</w:t>
            </w:r>
            <w:r>
              <w:rPr>
                <w:color w:val="000000"/>
                <w:sz w:val="24"/>
              </w:rPr>
              <w:t>A3</w:t>
            </w:r>
          </w:p>
        </w:tc>
        <w:tc>
          <w:tcPr>
            <w:tcW w:w="0" w:type="auto"/>
            <w:vAlign w:val="center"/>
          </w:tcPr>
          <w:p w:rsidR="002C0A6A" w:rsidRDefault="00126C36">
            <w:pPr>
              <w:jc w:val="right"/>
            </w:pPr>
            <w:r>
              <w:rPr>
                <w:color w:val="000000"/>
                <w:sz w:val="24"/>
              </w:rPr>
              <w:t>20,000</w:t>
            </w:r>
          </w:p>
        </w:tc>
        <w:tc>
          <w:tcPr>
            <w:tcW w:w="0" w:type="auto"/>
            <w:vAlign w:val="center"/>
          </w:tcPr>
          <w:p w:rsidR="002C0A6A" w:rsidRDefault="00126C36">
            <w:pPr>
              <w:jc w:val="right"/>
            </w:pPr>
            <w:r>
              <w:rPr>
                <w:color w:val="000000"/>
                <w:sz w:val="24"/>
              </w:rPr>
              <w:t>2,000,000.00</w:t>
            </w:r>
          </w:p>
        </w:tc>
        <w:tc>
          <w:tcPr>
            <w:tcW w:w="0" w:type="auto"/>
            <w:vAlign w:val="center"/>
          </w:tcPr>
          <w:p w:rsidR="002C0A6A" w:rsidRDefault="00126C36">
            <w:pPr>
              <w:jc w:val="right"/>
            </w:pPr>
            <w:r>
              <w:rPr>
                <w:color w:val="000000"/>
                <w:sz w:val="24"/>
              </w:rPr>
              <w:t>0.29</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EC1A08">
      <w:pPr>
        <w:autoSpaceDE w:val="0"/>
        <w:autoSpaceDN w:val="0"/>
        <w:adjustRightInd w:val="0"/>
        <w:spacing w:before="29" w:line="288" w:lineRule="auto"/>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6"/>
        <w:gridCol w:w="4846"/>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90,382.58</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6,952,348.88</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87,375.85</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58.80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7,130,166.11</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lastRenderedPageBreak/>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BF5A5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交银纯债债券发起</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交银纯债债券发起</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627,677,804.13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114,424,024.05</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27,271,582.76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17,315,857.63</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11,882,824.85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113,413,282.15</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643,066,562.04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18,326,599.53</w:t>
            </w:r>
          </w:p>
        </w:tc>
      </w:tr>
    </w:tbl>
    <w:p w:rsidR="002C0A6A" w:rsidRDefault="00126C36">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BF5A58">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AE55CC" w:rsidRPr="00AE55CC" w:rsidRDefault="00AE55CC" w:rsidP="00AE55CC">
      <w:pPr>
        <w:autoSpaceDE w:val="0"/>
        <w:autoSpaceDN w:val="0"/>
        <w:adjustRightInd w:val="0"/>
        <w:spacing w:before="29" w:line="360" w:lineRule="auto"/>
        <w:ind w:left="15"/>
        <w:jc w:val="right"/>
        <w:rPr>
          <w:color w:val="000000"/>
          <w:kern w:val="0"/>
          <w:sz w:val="24"/>
        </w:rPr>
      </w:pPr>
      <w:r w:rsidRPr="00AE55CC">
        <w:rPr>
          <w:color w:val="000000"/>
          <w:kern w:val="0"/>
          <w:sz w:val="24"/>
        </w:rPr>
        <w:t>单位：份</w:t>
      </w:r>
    </w:p>
    <w:tbl>
      <w:tblPr>
        <w:tblW w:w="8998" w:type="dxa"/>
        <w:tblInd w:w="108" w:type="dxa"/>
        <w:tblLayout w:type="fixed"/>
        <w:tblLook w:val="0000" w:firstRow="0" w:lastRow="0" w:firstColumn="0" w:lastColumn="0" w:noHBand="0" w:noVBand="0"/>
      </w:tblPr>
      <w:tblGrid>
        <w:gridCol w:w="3204"/>
        <w:gridCol w:w="2897"/>
        <w:gridCol w:w="2897"/>
      </w:tblGrid>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utoSpaceDE w:val="0"/>
              <w:autoSpaceDN w:val="0"/>
              <w:adjustRightInd w:val="0"/>
              <w:spacing w:before="29" w:line="360" w:lineRule="auto"/>
              <w:ind w:left="17"/>
              <w:jc w:val="center"/>
              <w:rPr>
                <w:color w:val="000000"/>
                <w:kern w:val="0"/>
                <w:sz w:val="24"/>
              </w:rPr>
            </w:pPr>
            <w:r w:rsidRPr="00AE55CC">
              <w:rPr>
                <w:color w:val="000000"/>
                <w:kern w:val="0"/>
                <w:sz w:val="24"/>
              </w:rPr>
              <w:t>项目</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utoSpaceDE w:val="0"/>
              <w:autoSpaceDN w:val="0"/>
              <w:adjustRightInd w:val="0"/>
              <w:spacing w:before="29" w:line="360" w:lineRule="auto"/>
              <w:ind w:left="17"/>
              <w:jc w:val="right"/>
              <w:rPr>
                <w:color w:val="000000"/>
                <w:sz w:val="24"/>
              </w:rPr>
            </w:pPr>
            <w:r w:rsidRPr="00AE55CC">
              <w:rPr>
                <w:sz w:val="24"/>
              </w:rPr>
              <w:t>交银纯债债券发起</w:t>
            </w:r>
            <w:r w:rsidRPr="00AE55CC">
              <w:rPr>
                <w:sz w:val="24"/>
              </w:rPr>
              <w:t>A/B</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utoSpaceDE w:val="0"/>
              <w:autoSpaceDN w:val="0"/>
              <w:adjustRightInd w:val="0"/>
              <w:spacing w:before="29" w:line="360" w:lineRule="auto"/>
              <w:ind w:left="17"/>
              <w:jc w:val="right"/>
              <w:rPr>
                <w:color w:val="000000"/>
                <w:sz w:val="24"/>
              </w:rPr>
            </w:pPr>
            <w:r w:rsidRPr="00AE55CC">
              <w:rPr>
                <w:sz w:val="24"/>
              </w:rPr>
              <w:t>交银纯债债券发起</w:t>
            </w:r>
            <w:r w:rsidRPr="00AE55CC">
              <w:rPr>
                <w:sz w:val="24"/>
              </w:rPr>
              <w:t>C</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pStyle w:val="ac"/>
              <w:adjustRightInd w:val="0"/>
              <w:snapToGrid w:val="0"/>
              <w:spacing w:line="360" w:lineRule="exact"/>
              <w:rPr>
                <w:color w:val="000000"/>
                <w:szCs w:val="24"/>
              </w:rPr>
            </w:pPr>
            <w:r w:rsidRPr="00AE55CC">
              <w:rPr>
                <w:color w:val="000000"/>
                <w:szCs w:val="24"/>
              </w:rPr>
              <w:t>报告期期初管理人持有的本基金份额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11,755,517.93</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kern w:val="0"/>
                <w:sz w:val="24"/>
              </w:rPr>
              <w:t>本报告期</w:t>
            </w:r>
            <w:r w:rsidRPr="00AE55CC">
              <w:rPr>
                <w:color w:val="000000"/>
                <w:sz w:val="24"/>
              </w:rPr>
              <w:t>买入</w:t>
            </w:r>
            <w:r w:rsidRPr="00AE55CC">
              <w:rPr>
                <w:color w:val="000000"/>
                <w:sz w:val="24"/>
              </w:rPr>
              <w:t>/</w:t>
            </w:r>
            <w:r w:rsidRPr="00AE55CC">
              <w:rPr>
                <w:color w:val="000000"/>
                <w:sz w:val="24"/>
              </w:rPr>
              <w:t>申购总份额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kern w:val="0"/>
                <w:sz w:val="24"/>
              </w:rPr>
              <w:t>本报告期</w:t>
            </w:r>
            <w:r w:rsidRPr="00AE55CC">
              <w:rPr>
                <w:color w:val="000000"/>
                <w:sz w:val="24"/>
              </w:rPr>
              <w:t>卖出</w:t>
            </w:r>
            <w:r w:rsidRPr="00AE55CC">
              <w:rPr>
                <w:color w:val="000000"/>
                <w:sz w:val="24"/>
              </w:rPr>
              <w:t>/</w:t>
            </w:r>
            <w:r w:rsidRPr="00AE55CC">
              <w:rPr>
                <w:color w:val="000000"/>
                <w:sz w:val="24"/>
              </w:rPr>
              <w:t>赎回总份额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sz w:val="24"/>
              </w:rPr>
              <w:t>报告期期末管理人持有的本基金份额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11,755,517.93</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sz w:val="24"/>
              </w:rPr>
              <w:lastRenderedPageBreak/>
              <w:t>报告期期末持有的本基金份额占基金总份额比例（</w:t>
            </w:r>
            <w:r w:rsidRPr="00AE55CC">
              <w:rPr>
                <w:color w:val="000000"/>
                <w:sz w:val="24"/>
              </w:rPr>
              <w:t>%</w:t>
            </w: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1.78</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r>
    </w:tbl>
    <w:p w:rsidR="002C0A6A" w:rsidRDefault="00126C36">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 xml:space="preserve">    2</w:t>
      </w:r>
      <w:r w:rsidRPr="00AE55CC">
        <w:rPr>
          <w:color w:val="000000"/>
          <w:sz w:val="24"/>
        </w:rPr>
        <w:t>、如果本报告期间发生转换出业务，则总赎回份额中包含该业务。</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B47574" w:rsidRPr="007F52FA" w:rsidRDefault="00B47574" w:rsidP="00BF5A58">
      <w:pPr>
        <w:pStyle w:val="1"/>
        <w:spacing w:beforeLines="100" w:before="312" w:afterLines="100" w:after="312" w:line="288" w:lineRule="auto"/>
        <w:jc w:val="center"/>
        <w:rPr>
          <w:rFonts w:eastAsiaTheme="minorEastAsia"/>
          <w:b w:val="0"/>
          <w:color w:val="000000"/>
          <w:sz w:val="24"/>
          <w:szCs w:val="24"/>
        </w:rPr>
      </w:pPr>
      <w:r w:rsidRPr="007F52FA">
        <w:rPr>
          <w:rFonts w:eastAsiaTheme="minorEastAsia"/>
          <w:color w:val="000000"/>
          <w:kern w:val="0"/>
          <w:sz w:val="24"/>
          <w:szCs w:val="24"/>
        </w:rPr>
        <w:t xml:space="preserve">§8  </w:t>
      </w:r>
      <w:r w:rsidR="00EA7533" w:rsidRPr="007F52FA">
        <w:rPr>
          <w:rFonts w:eastAsiaTheme="minorEastAsia"/>
          <w:color w:val="000000"/>
          <w:kern w:val="0"/>
          <w:sz w:val="24"/>
          <w:szCs w:val="24"/>
        </w:rPr>
        <w:t>报告期末</w:t>
      </w:r>
      <w:r w:rsidRPr="007F52FA">
        <w:rPr>
          <w:rFonts w:eastAsiaTheme="minorEastAsia"/>
          <w:color w:val="000000"/>
          <w:kern w:val="0"/>
          <w:sz w:val="24"/>
          <w:szCs w:val="24"/>
        </w:rPr>
        <w:t>发起式基金发起资金持有份额情况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156"/>
        <w:gridCol w:w="1312"/>
        <w:gridCol w:w="1064"/>
        <w:gridCol w:w="1456"/>
        <w:gridCol w:w="1493"/>
      </w:tblGrid>
      <w:tr w:rsidR="00B47574" w:rsidRPr="007F52FA" w:rsidTr="00735E32">
        <w:trPr>
          <w:trHeight w:val="543"/>
          <w:jc w:val="center"/>
        </w:trPr>
        <w:tc>
          <w:tcPr>
            <w:tcW w:w="239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widowControl/>
              <w:spacing w:before="29" w:line="288" w:lineRule="auto"/>
              <w:jc w:val="left"/>
              <w:rPr>
                <w:rFonts w:eastAsiaTheme="minorEastAsia"/>
                <w:color w:val="000000"/>
                <w:sz w:val="24"/>
              </w:rPr>
            </w:pPr>
            <w:r w:rsidRPr="007F52FA">
              <w:rPr>
                <w:rFonts w:eastAsiaTheme="minorEastAsia"/>
                <w:color w:val="000000"/>
                <w:sz w:val="24"/>
              </w:rPr>
              <w:t>项目</w:t>
            </w:r>
          </w:p>
        </w:tc>
        <w:tc>
          <w:tcPr>
            <w:tcW w:w="115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持有份额总数</w:t>
            </w:r>
          </w:p>
        </w:tc>
        <w:tc>
          <w:tcPr>
            <w:tcW w:w="1314"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持有份额占基金总份额比例</w:t>
            </w:r>
          </w:p>
        </w:tc>
        <w:tc>
          <w:tcPr>
            <w:tcW w:w="106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发起份额总数</w:t>
            </w:r>
          </w:p>
        </w:tc>
        <w:tc>
          <w:tcPr>
            <w:tcW w:w="1458"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发起份额占基金总份额比例</w:t>
            </w:r>
          </w:p>
        </w:tc>
        <w:tc>
          <w:tcPr>
            <w:tcW w:w="149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widowControl/>
              <w:spacing w:before="29" w:line="288" w:lineRule="auto"/>
              <w:jc w:val="left"/>
              <w:rPr>
                <w:rFonts w:eastAsiaTheme="minorEastAsia"/>
                <w:color w:val="000000"/>
                <w:sz w:val="24"/>
              </w:rPr>
            </w:pPr>
            <w:r w:rsidRPr="007F52FA">
              <w:rPr>
                <w:rFonts w:eastAsiaTheme="minorEastAsia"/>
                <w:color w:val="000000"/>
                <w:sz w:val="24"/>
              </w:rPr>
              <w:t>发起份额承诺持有期限</w:t>
            </w:r>
          </w:p>
        </w:tc>
      </w:tr>
      <w:tr w:rsidR="00B47574" w:rsidRPr="007F52FA" w:rsidTr="00735E32">
        <w:trPr>
          <w:jc w:val="center"/>
        </w:trPr>
        <w:tc>
          <w:tcPr>
            <w:tcW w:w="239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基金管理人固有资金</w:t>
            </w:r>
          </w:p>
        </w:tc>
        <w:tc>
          <w:tcPr>
            <w:tcW w:w="115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11,755,517.93</w:t>
            </w:r>
          </w:p>
        </w:tc>
        <w:tc>
          <w:tcPr>
            <w:tcW w:w="1314"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155022">
            <w:pPr>
              <w:adjustRightInd w:val="0"/>
              <w:snapToGrid w:val="0"/>
              <w:spacing w:before="29" w:line="288" w:lineRule="auto"/>
              <w:jc w:val="right"/>
              <w:rPr>
                <w:rFonts w:eastAsiaTheme="minorEastAsia"/>
                <w:kern w:val="0"/>
                <w:sz w:val="24"/>
              </w:rPr>
            </w:pPr>
            <w:r w:rsidRPr="007F52FA">
              <w:rPr>
                <w:rFonts w:eastAsiaTheme="minorEastAsia"/>
                <w:kern w:val="0"/>
                <w:sz w:val="24"/>
              </w:rPr>
              <w:t>1.</w:t>
            </w:r>
            <w:r w:rsidR="00155022" w:rsidRPr="007F52FA">
              <w:rPr>
                <w:rFonts w:eastAsiaTheme="minorEastAsia"/>
                <w:kern w:val="0"/>
                <w:sz w:val="24"/>
              </w:rPr>
              <w:t>7</w:t>
            </w:r>
            <w:r w:rsidR="00155022">
              <w:rPr>
                <w:rFonts w:eastAsiaTheme="minorEastAsia"/>
                <w:kern w:val="0"/>
                <w:sz w:val="24"/>
              </w:rPr>
              <w:t>8</w:t>
            </w:r>
            <w:r w:rsidRPr="007F52FA">
              <w:rPr>
                <w:rFonts w:eastAsiaTheme="minorEastAsia"/>
                <w:kern w:val="0"/>
                <w:sz w:val="24"/>
              </w:rPr>
              <w:t>%</w:t>
            </w:r>
          </w:p>
        </w:tc>
        <w:tc>
          <w:tcPr>
            <w:tcW w:w="106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10,072,734.64</w:t>
            </w:r>
          </w:p>
        </w:tc>
        <w:tc>
          <w:tcPr>
            <w:tcW w:w="1458"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155022">
            <w:pPr>
              <w:adjustRightInd w:val="0"/>
              <w:snapToGrid w:val="0"/>
              <w:spacing w:before="29" w:line="288" w:lineRule="auto"/>
              <w:jc w:val="right"/>
              <w:rPr>
                <w:rFonts w:eastAsiaTheme="minorEastAsia"/>
                <w:kern w:val="0"/>
                <w:sz w:val="24"/>
              </w:rPr>
            </w:pPr>
            <w:r w:rsidRPr="007F52FA">
              <w:rPr>
                <w:rFonts w:eastAsiaTheme="minorEastAsia"/>
                <w:kern w:val="0"/>
                <w:sz w:val="24"/>
              </w:rPr>
              <w:t>1.</w:t>
            </w:r>
            <w:r w:rsidR="00155022">
              <w:rPr>
                <w:rFonts w:eastAsiaTheme="minorEastAsia"/>
                <w:kern w:val="0"/>
                <w:sz w:val="24"/>
              </w:rPr>
              <w:t>52</w:t>
            </w:r>
            <w:r w:rsidRPr="007F52FA">
              <w:rPr>
                <w:rFonts w:eastAsiaTheme="minorEastAsia"/>
                <w:kern w:val="0"/>
                <w:sz w:val="24"/>
              </w:rPr>
              <w:t>%</w:t>
            </w:r>
          </w:p>
        </w:tc>
        <w:tc>
          <w:tcPr>
            <w:tcW w:w="149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不低于三年</w:t>
            </w:r>
          </w:p>
        </w:tc>
      </w:tr>
      <w:tr w:rsidR="00B47574" w:rsidRPr="007F52FA" w:rsidTr="00735E32">
        <w:trPr>
          <w:trHeight w:val="790"/>
          <w:jc w:val="center"/>
        </w:trPr>
        <w:tc>
          <w:tcPr>
            <w:tcW w:w="239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基金管理人高级管理人员</w:t>
            </w:r>
          </w:p>
        </w:tc>
        <w:tc>
          <w:tcPr>
            <w:tcW w:w="115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314"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06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9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735E32">
        <w:trPr>
          <w:jc w:val="center"/>
        </w:trPr>
        <w:tc>
          <w:tcPr>
            <w:tcW w:w="239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基金经理等人员</w:t>
            </w:r>
          </w:p>
        </w:tc>
        <w:tc>
          <w:tcPr>
            <w:tcW w:w="115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314"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06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9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735E32">
        <w:trPr>
          <w:jc w:val="center"/>
        </w:trPr>
        <w:tc>
          <w:tcPr>
            <w:tcW w:w="239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基金管理人股东</w:t>
            </w:r>
          </w:p>
        </w:tc>
        <w:tc>
          <w:tcPr>
            <w:tcW w:w="115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314"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06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9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735E32">
        <w:trPr>
          <w:jc w:val="center"/>
        </w:trPr>
        <w:tc>
          <w:tcPr>
            <w:tcW w:w="239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其他</w:t>
            </w:r>
          </w:p>
        </w:tc>
        <w:tc>
          <w:tcPr>
            <w:tcW w:w="115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314"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06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9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735E32">
        <w:trPr>
          <w:jc w:val="center"/>
        </w:trPr>
        <w:tc>
          <w:tcPr>
            <w:tcW w:w="2391"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合计</w:t>
            </w:r>
          </w:p>
        </w:tc>
        <w:tc>
          <w:tcPr>
            <w:tcW w:w="1157"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11,755,517.93</w:t>
            </w:r>
          </w:p>
        </w:tc>
        <w:tc>
          <w:tcPr>
            <w:tcW w:w="1314"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155022">
            <w:pPr>
              <w:adjustRightInd w:val="0"/>
              <w:snapToGrid w:val="0"/>
              <w:spacing w:before="29" w:line="288" w:lineRule="auto"/>
              <w:jc w:val="right"/>
              <w:rPr>
                <w:rFonts w:eastAsiaTheme="minorEastAsia"/>
                <w:kern w:val="0"/>
                <w:sz w:val="24"/>
              </w:rPr>
            </w:pPr>
            <w:r w:rsidRPr="007F52FA">
              <w:rPr>
                <w:rFonts w:eastAsiaTheme="minorEastAsia"/>
                <w:kern w:val="0"/>
                <w:sz w:val="24"/>
              </w:rPr>
              <w:t>1.</w:t>
            </w:r>
            <w:r w:rsidR="00155022" w:rsidRPr="007F52FA">
              <w:rPr>
                <w:rFonts w:eastAsiaTheme="minorEastAsia"/>
                <w:kern w:val="0"/>
                <w:sz w:val="24"/>
              </w:rPr>
              <w:t>7</w:t>
            </w:r>
            <w:r w:rsidR="00155022">
              <w:rPr>
                <w:rFonts w:eastAsiaTheme="minorEastAsia"/>
                <w:kern w:val="0"/>
                <w:sz w:val="24"/>
              </w:rPr>
              <w:t>8</w:t>
            </w:r>
            <w:r w:rsidRPr="007F52FA">
              <w:rPr>
                <w:rFonts w:eastAsiaTheme="minorEastAsia"/>
                <w:kern w:val="0"/>
                <w:sz w:val="24"/>
              </w:rPr>
              <w:t>%</w:t>
            </w:r>
          </w:p>
        </w:tc>
        <w:tc>
          <w:tcPr>
            <w:tcW w:w="106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10,072,734.64</w:t>
            </w:r>
          </w:p>
        </w:tc>
        <w:tc>
          <w:tcPr>
            <w:tcW w:w="1458"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155022">
            <w:pPr>
              <w:adjustRightInd w:val="0"/>
              <w:snapToGrid w:val="0"/>
              <w:spacing w:before="29" w:line="288" w:lineRule="auto"/>
              <w:jc w:val="right"/>
              <w:rPr>
                <w:rFonts w:eastAsiaTheme="minorEastAsia"/>
                <w:kern w:val="0"/>
                <w:sz w:val="24"/>
              </w:rPr>
            </w:pPr>
            <w:r w:rsidRPr="007F52FA">
              <w:rPr>
                <w:rFonts w:eastAsiaTheme="minorEastAsia"/>
                <w:kern w:val="0"/>
                <w:sz w:val="24"/>
              </w:rPr>
              <w:t>1.</w:t>
            </w:r>
            <w:r w:rsidR="00155022">
              <w:rPr>
                <w:rFonts w:eastAsiaTheme="minorEastAsia"/>
                <w:kern w:val="0"/>
                <w:sz w:val="24"/>
              </w:rPr>
              <w:t>52</w:t>
            </w:r>
            <w:r w:rsidRPr="007F52FA">
              <w:rPr>
                <w:rFonts w:eastAsiaTheme="minorEastAsia"/>
                <w:kern w:val="0"/>
                <w:sz w:val="24"/>
              </w:rPr>
              <w:t>%</w:t>
            </w:r>
          </w:p>
        </w:tc>
        <w:tc>
          <w:tcPr>
            <w:tcW w:w="1495" w:type="dxa"/>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bl>
    <w:p w:rsidR="00B47574" w:rsidRPr="007F52FA" w:rsidRDefault="00B4757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注：本报告期末持有份额总数为发起份额总数和截至本报告期末红利再投份额数的合计。</w:t>
      </w:r>
    </w:p>
    <w:p w:rsidR="00574FC7" w:rsidRPr="007F52FA" w:rsidRDefault="00574FC7"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BF5A5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、中国证监会批准交银施罗德纯债债券型发起式证券投资基金募集的文件；</w:t>
      </w:r>
      <w:r>
        <w:rPr>
          <w:rFonts w:eastAsiaTheme="minorEastAsia"/>
          <w:color w:val="000000"/>
          <w:sz w:val="24"/>
        </w:rPr>
        <w:t xml:space="preserve"> </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、《交银施罗德纯债债券型发起式证券投资基金基金合同》；</w:t>
      </w:r>
      <w:r>
        <w:rPr>
          <w:rFonts w:eastAsiaTheme="minorEastAsia"/>
          <w:color w:val="000000"/>
          <w:sz w:val="24"/>
        </w:rPr>
        <w:t xml:space="preserve"> </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、《交银施罗德纯债债券型发起式证券投资基金招募说明书》；</w:t>
      </w:r>
      <w:r>
        <w:rPr>
          <w:rFonts w:eastAsiaTheme="minorEastAsia"/>
          <w:color w:val="000000"/>
          <w:sz w:val="24"/>
        </w:rPr>
        <w:t xml:space="preserve"> </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、《交银施罗德纯债债券型发起式证券投资基金托管协议》；</w:t>
      </w:r>
      <w:r>
        <w:rPr>
          <w:rFonts w:eastAsiaTheme="minorEastAsia"/>
          <w:color w:val="000000"/>
          <w:sz w:val="24"/>
        </w:rPr>
        <w:t xml:space="preserve"> </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、关于募集交银施罗德纯债债券型发起式证券投资基金之法律意见书；</w:t>
      </w:r>
      <w:r>
        <w:rPr>
          <w:rFonts w:eastAsiaTheme="minorEastAsia"/>
          <w:color w:val="000000"/>
          <w:sz w:val="24"/>
        </w:rPr>
        <w:t xml:space="preserve"> </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lastRenderedPageBreak/>
        <w:t>8</w:t>
      </w:r>
      <w:r w:rsidRPr="007F52FA">
        <w:rPr>
          <w:rFonts w:eastAsiaTheme="minorEastAsia"/>
          <w:color w:val="000000"/>
          <w:sz w:val="24"/>
        </w:rPr>
        <w:t>、报告期内交银施罗德纯债债券型发起式证券投资基金在指定报刊上各项公告的原稿。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2C0A6A" w:rsidRDefault="00126C36">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DB7" w:rsidRDefault="00F67DB7">
      <w:r>
        <w:separator/>
      </w:r>
    </w:p>
  </w:endnote>
  <w:endnote w:type="continuationSeparator" w:id="0">
    <w:p w:rsidR="00F67DB7" w:rsidRDefault="00F6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Pr>
        <w:rFonts w:hint="eastAsia"/>
        <w:kern w:val="0"/>
        <w:szCs w:val="21"/>
      </w:rPr>
      <w:t xml:space="preserve"> </w:t>
    </w:r>
    <w:r w:rsidR="009F0C6B">
      <w:rPr>
        <w:kern w:val="0"/>
        <w:szCs w:val="21"/>
      </w:rPr>
      <w:fldChar w:fldCharType="begin"/>
    </w:r>
    <w:r>
      <w:rPr>
        <w:kern w:val="0"/>
        <w:szCs w:val="21"/>
      </w:rPr>
      <w:instrText xml:space="preserve"> PAGE </w:instrText>
    </w:r>
    <w:r w:rsidR="009F0C6B">
      <w:rPr>
        <w:kern w:val="0"/>
        <w:szCs w:val="21"/>
      </w:rPr>
      <w:fldChar w:fldCharType="separate"/>
    </w:r>
    <w:r w:rsidR="00EE7D7D">
      <w:rPr>
        <w:noProof/>
        <w:kern w:val="0"/>
        <w:szCs w:val="21"/>
      </w:rPr>
      <w:t>3</w:t>
    </w:r>
    <w:r w:rsidR="009F0C6B">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F0C6B">
      <w:rPr>
        <w:kern w:val="0"/>
        <w:szCs w:val="21"/>
      </w:rPr>
      <w:fldChar w:fldCharType="begin"/>
    </w:r>
    <w:r>
      <w:rPr>
        <w:kern w:val="0"/>
        <w:szCs w:val="21"/>
      </w:rPr>
      <w:instrText xml:space="preserve"> NUMPAGES </w:instrText>
    </w:r>
    <w:r w:rsidR="009F0C6B">
      <w:rPr>
        <w:kern w:val="0"/>
        <w:szCs w:val="21"/>
      </w:rPr>
      <w:fldChar w:fldCharType="separate"/>
    </w:r>
    <w:r w:rsidR="00EE7D7D">
      <w:rPr>
        <w:noProof/>
        <w:kern w:val="0"/>
        <w:szCs w:val="21"/>
      </w:rPr>
      <w:t>14</w:t>
    </w:r>
    <w:r w:rsidR="009F0C6B">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9F0C6B">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DB7" w:rsidRDefault="00F67DB7">
      <w:r>
        <w:separator/>
      </w:r>
    </w:p>
  </w:footnote>
  <w:footnote w:type="continuationSeparator" w:id="0">
    <w:p w:rsidR="00F67DB7" w:rsidRDefault="00F67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EE7D7D"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6C36"/>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022"/>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A6A"/>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55B57"/>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26B1"/>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3766"/>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5A13"/>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7E7"/>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3D79"/>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0E22"/>
    <w:rsid w:val="00EC1A08"/>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E7D7D"/>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5BDA"/>
    <w:rsid w:val="00F56162"/>
    <w:rsid w:val="00F56B7E"/>
    <w:rsid w:val="00F56E5B"/>
    <w:rsid w:val="00F6052F"/>
    <w:rsid w:val="00F62FDE"/>
    <w:rsid w:val="00F654E6"/>
    <w:rsid w:val="00F662CD"/>
    <w:rsid w:val="00F67DB7"/>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766C8238-2CAA-465B-A77C-15513E0C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paragraph" w:styleId="af7">
    <w:name w:val="Revision"/>
    <w:hidden/>
    <w:uiPriority w:val="99"/>
    <w:semiHidden/>
    <w:rsid w:val="007E37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61E8-3006-4887-915E-B46B5D4F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203</TotalTime>
  <Pages>14</Pages>
  <Words>1221</Words>
  <Characters>6960</Characters>
  <Application>Microsoft Office Word</Application>
  <DocSecurity>0</DocSecurity>
  <Lines>58</Lines>
  <Paragraphs>16</Paragraphs>
  <ScaleCrop>false</ScaleCrop>
  <Company>TRT. Ltd. Co.</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377</cp:revision>
  <cp:lastPrinted>2007-07-19T00:46:00Z</cp:lastPrinted>
  <dcterms:created xsi:type="dcterms:W3CDTF">2014-01-17T06:19:00Z</dcterms:created>
  <dcterms:modified xsi:type="dcterms:W3CDTF">2016-10-24T03:23:00Z</dcterms:modified>
</cp:coreProperties>
</file>