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交银施罗德丰硕收益债券型证券投资基金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交银丰硕收益债券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w:t>
            </w:r>
            <w:r w:rsidRPr="005C672D">
              <w:rPr>
                <w:sz w:val="24"/>
              </w:rPr>
              <w:t>,</w:t>
            </w:r>
            <w:r w:rsidRPr="005C672D">
              <w:rPr>
                <w:sz w:val="24"/>
              </w:rPr>
              <w:t>本基金在基金合同生效之日起两年（含两年）的期间内封闭式运作（按照基金合同的约定提前转换基金运作方式的除外），封闭期结束后转为开放式运作。</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11</w:t>
            </w:r>
            <w:r w:rsidRPr="005C672D">
              <w:rPr>
                <w:sz w:val="24"/>
              </w:rPr>
              <w:t>月</w:t>
            </w:r>
            <w:r w:rsidRPr="005C672D">
              <w:rPr>
                <w:sz w:val="24"/>
              </w:rPr>
              <w:t>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438,630,665.79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注：本基金在基金合同生效之日起两年（含两年）的期间内封闭式运作（按照基金合同的约定提前转换基金运作方式的除外）。封闭期内，基金投资者不能申购、赎回本基金基金份额，即</w:t>
      </w:r>
      <w:r w:rsidRPr="005C672D">
        <w:rPr>
          <w:kern w:val="0"/>
          <w:sz w:val="24"/>
        </w:rPr>
        <w:t>C</w:t>
      </w:r>
      <w:r w:rsidRPr="005C672D">
        <w:rPr>
          <w:kern w:val="0"/>
          <w:sz w:val="24"/>
        </w:rPr>
        <w:t>类基金份额。</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在有效控制风险的前提下</w:t>
            </w:r>
            <w:r w:rsidRPr="005C672D">
              <w:rPr>
                <w:sz w:val="24"/>
              </w:rPr>
              <w:t>,</w:t>
            </w:r>
            <w:r w:rsidRPr="005C672D">
              <w:rPr>
                <w:sz w:val="24"/>
              </w:rPr>
              <w:t>力求获得高于业绩基准的投资收益。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两年期银行定期存款税后收益率</w:t>
            </w:r>
            <w:r w:rsidRPr="005C672D">
              <w:rPr>
                <w:sz w:val="24"/>
              </w:rPr>
              <w:t>+1.25%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本基金是一只债券型基金，其风险与预期收益高于货币市场基金，低于混合型基金和股票型基金，属于证券投资基金中中等风险的品种。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010-89936330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6,253,065.93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4,134,603.58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0.0094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0.90%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444,884,056.50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1.014</w:t>
            </w:r>
          </w:p>
        </w:tc>
      </w:tr>
    </w:tbl>
    <w:bookmarkEnd w:id="14"/>
    <w:bookmarkEnd w:id="15"/>
    <w:p w:rsidR="006852E3" w:rsidRDefault="00C30DF6">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6852E3">
        <w:tc>
          <w:tcPr>
            <w:tcW w:w="1497" w:type="dxa"/>
            <w:vAlign w:val="center"/>
          </w:tcPr>
          <w:p w:rsidR="006852E3" w:rsidRDefault="00C30DF6">
            <w:pPr>
              <w:jc w:val="left"/>
            </w:pPr>
            <w:r>
              <w:rPr>
                <w:color w:val="000000"/>
                <w:sz w:val="24"/>
              </w:rPr>
              <w:t>过去一个月</w:t>
            </w:r>
          </w:p>
        </w:tc>
        <w:tc>
          <w:tcPr>
            <w:tcW w:w="1251" w:type="dxa"/>
            <w:vAlign w:val="center"/>
          </w:tcPr>
          <w:p w:rsidR="006852E3" w:rsidRDefault="00C30DF6">
            <w:pPr>
              <w:jc w:val="center"/>
            </w:pPr>
            <w:r>
              <w:rPr>
                <w:color w:val="000000"/>
                <w:sz w:val="24"/>
              </w:rPr>
              <w:t>0.90%</w:t>
            </w:r>
          </w:p>
        </w:tc>
        <w:tc>
          <w:tcPr>
            <w:tcW w:w="1250" w:type="dxa"/>
            <w:vAlign w:val="center"/>
          </w:tcPr>
          <w:p w:rsidR="006852E3" w:rsidRDefault="00C30DF6">
            <w:pPr>
              <w:jc w:val="center"/>
            </w:pPr>
            <w:r>
              <w:rPr>
                <w:color w:val="000000"/>
                <w:sz w:val="24"/>
              </w:rPr>
              <w:t>0.09%</w:t>
            </w:r>
          </w:p>
        </w:tc>
        <w:tc>
          <w:tcPr>
            <w:tcW w:w="1250" w:type="dxa"/>
            <w:vAlign w:val="center"/>
          </w:tcPr>
          <w:p w:rsidR="006852E3" w:rsidRDefault="00C30DF6">
            <w:pPr>
              <w:jc w:val="center"/>
            </w:pPr>
            <w:r>
              <w:rPr>
                <w:color w:val="000000"/>
                <w:sz w:val="24"/>
              </w:rPr>
              <w:t>0.28%</w:t>
            </w:r>
          </w:p>
        </w:tc>
        <w:tc>
          <w:tcPr>
            <w:tcW w:w="1250" w:type="dxa"/>
            <w:vAlign w:val="center"/>
          </w:tcPr>
          <w:p w:rsidR="006852E3" w:rsidRDefault="00C30DF6">
            <w:pPr>
              <w:jc w:val="center"/>
            </w:pPr>
            <w:r>
              <w:rPr>
                <w:color w:val="000000"/>
                <w:sz w:val="24"/>
              </w:rPr>
              <w:t>0.01%</w:t>
            </w:r>
          </w:p>
        </w:tc>
        <w:tc>
          <w:tcPr>
            <w:tcW w:w="1250" w:type="dxa"/>
            <w:vAlign w:val="center"/>
          </w:tcPr>
          <w:p w:rsidR="006852E3" w:rsidRDefault="00C30DF6">
            <w:pPr>
              <w:jc w:val="center"/>
            </w:pPr>
            <w:r>
              <w:rPr>
                <w:color w:val="000000"/>
                <w:sz w:val="24"/>
              </w:rPr>
              <w:t>0.62%</w:t>
            </w:r>
          </w:p>
        </w:tc>
        <w:tc>
          <w:tcPr>
            <w:tcW w:w="1250" w:type="dxa"/>
            <w:vAlign w:val="center"/>
          </w:tcPr>
          <w:p w:rsidR="006852E3" w:rsidRDefault="00C30DF6">
            <w:pPr>
              <w:jc w:val="center"/>
            </w:pPr>
            <w:r>
              <w:rPr>
                <w:color w:val="000000"/>
                <w:sz w:val="24"/>
              </w:rPr>
              <w:t>0.08%</w:t>
            </w:r>
          </w:p>
        </w:tc>
      </w:tr>
      <w:tr w:rsidR="006852E3">
        <w:tc>
          <w:tcPr>
            <w:tcW w:w="1497" w:type="dxa"/>
            <w:vAlign w:val="center"/>
          </w:tcPr>
          <w:p w:rsidR="006852E3" w:rsidRDefault="00C30DF6">
            <w:pPr>
              <w:jc w:val="left"/>
            </w:pPr>
            <w:r>
              <w:rPr>
                <w:color w:val="000000"/>
                <w:sz w:val="24"/>
              </w:rPr>
              <w:t>过去三个月</w:t>
            </w:r>
          </w:p>
        </w:tc>
        <w:tc>
          <w:tcPr>
            <w:tcW w:w="1251" w:type="dxa"/>
            <w:vAlign w:val="center"/>
          </w:tcPr>
          <w:p w:rsidR="006852E3" w:rsidRDefault="00C30DF6">
            <w:pPr>
              <w:jc w:val="center"/>
            </w:pPr>
            <w:r>
              <w:rPr>
                <w:color w:val="000000"/>
                <w:sz w:val="24"/>
              </w:rPr>
              <w:t>-0.49%</w:t>
            </w:r>
          </w:p>
        </w:tc>
        <w:tc>
          <w:tcPr>
            <w:tcW w:w="1250" w:type="dxa"/>
            <w:vAlign w:val="center"/>
          </w:tcPr>
          <w:p w:rsidR="006852E3" w:rsidRDefault="00C30DF6">
            <w:pPr>
              <w:jc w:val="center"/>
            </w:pPr>
            <w:r>
              <w:rPr>
                <w:color w:val="000000"/>
                <w:sz w:val="24"/>
              </w:rPr>
              <w:t>0.11%</w:t>
            </w:r>
          </w:p>
        </w:tc>
        <w:tc>
          <w:tcPr>
            <w:tcW w:w="1250" w:type="dxa"/>
            <w:vAlign w:val="center"/>
          </w:tcPr>
          <w:p w:rsidR="006852E3" w:rsidRDefault="00C30DF6">
            <w:pPr>
              <w:jc w:val="center"/>
            </w:pPr>
            <w:r>
              <w:rPr>
                <w:color w:val="000000"/>
                <w:sz w:val="24"/>
              </w:rPr>
              <w:t>0.85%</w:t>
            </w:r>
          </w:p>
        </w:tc>
        <w:tc>
          <w:tcPr>
            <w:tcW w:w="1250" w:type="dxa"/>
            <w:vAlign w:val="center"/>
          </w:tcPr>
          <w:p w:rsidR="006852E3" w:rsidRDefault="00C30DF6">
            <w:pPr>
              <w:jc w:val="center"/>
            </w:pPr>
            <w:r>
              <w:rPr>
                <w:color w:val="000000"/>
                <w:sz w:val="24"/>
              </w:rPr>
              <w:t>0.01%</w:t>
            </w:r>
          </w:p>
        </w:tc>
        <w:tc>
          <w:tcPr>
            <w:tcW w:w="1250" w:type="dxa"/>
            <w:vAlign w:val="center"/>
          </w:tcPr>
          <w:p w:rsidR="006852E3" w:rsidRDefault="00C30DF6">
            <w:pPr>
              <w:jc w:val="center"/>
            </w:pPr>
            <w:r>
              <w:rPr>
                <w:color w:val="000000"/>
                <w:sz w:val="24"/>
              </w:rPr>
              <w:t>-1.34%</w:t>
            </w:r>
          </w:p>
        </w:tc>
        <w:tc>
          <w:tcPr>
            <w:tcW w:w="1250" w:type="dxa"/>
            <w:vAlign w:val="center"/>
          </w:tcPr>
          <w:p w:rsidR="006852E3" w:rsidRDefault="00C30DF6">
            <w:pPr>
              <w:jc w:val="center"/>
            </w:pPr>
            <w:r>
              <w:rPr>
                <w:color w:val="000000"/>
                <w:sz w:val="24"/>
              </w:rPr>
              <w:t>0.10%</w:t>
            </w:r>
          </w:p>
        </w:tc>
      </w:tr>
      <w:tr w:rsidR="006852E3">
        <w:tc>
          <w:tcPr>
            <w:tcW w:w="1497" w:type="dxa"/>
            <w:vAlign w:val="center"/>
          </w:tcPr>
          <w:p w:rsidR="006852E3" w:rsidRDefault="00C30DF6">
            <w:pPr>
              <w:jc w:val="left"/>
            </w:pPr>
            <w:r>
              <w:rPr>
                <w:color w:val="000000"/>
                <w:sz w:val="24"/>
              </w:rPr>
              <w:t>过去六个月</w:t>
            </w:r>
          </w:p>
        </w:tc>
        <w:tc>
          <w:tcPr>
            <w:tcW w:w="1251" w:type="dxa"/>
            <w:vAlign w:val="center"/>
          </w:tcPr>
          <w:p w:rsidR="006852E3" w:rsidRDefault="00C30DF6">
            <w:pPr>
              <w:jc w:val="center"/>
            </w:pPr>
            <w:r>
              <w:rPr>
                <w:color w:val="000000"/>
                <w:sz w:val="24"/>
              </w:rPr>
              <w:t>0.90%</w:t>
            </w:r>
          </w:p>
        </w:tc>
        <w:tc>
          <w:tcPr>
            <w:tcW w:w="1250" w:type="dxa"/>
            <w:vAlign w:val="center"/>
          </w:tcPr>
          <w:p w:rsidR="006852E3" w:rsidRDefault="00C30DF6">
            <w:pPr>
              <w:jc w:val="center"/>
            </w:pPr>
            <w:r>
              <w:rPr>
                <w:color w:val="000000"/>
                <w:sz w:val="24"/>
              </w:rPr>
              <w:t>0.10%</w:t>
            </w:r>
          </w:p>
        </w:tc>
        <w:tc>
          <w:tcPr>
            <w:tcW w:w="1250" w:type="dxa"/>
            <w:vAlign w:val="center"/>
          </w:tcPr>
          <w:p w:rsidR="006852E3" w:rsidRDefault="00C30DF6">
            <w:pPr>
              <w:jc w:val="center"/>
            </w:pPr>
            <w:r>
              <w:rPr>
                <w:color w:val="000000"/>
                <w:sz w:val="24"/>
              </w:rPr>
              <w:t>1.69%</w:t>
            </w:r>
          </w:p>
        </w:tc>
        <w:tc>
          <w:tcPr>
            <w:tcW w:w="1250" w:type="dxa"/>
            <w:vAlign w:val="center"/>
          </w:tcPr>
          <w:p w:rsidR="006852E3" w:rsidRDefault="00C30DF6">
            <w:pPr>
              <w:jc w:val="center"/>
            </w:pPr>
            <w:r>
              <w:rPr>
                <w:color w:val="000000"/>
                <w:sz w:val="24"/>
              </w:rPr>
              <w:t>0.01%</w:t>
            </w:r>
          </w:p>
        </w:tc>
        <w:tc>
          <w:tcPr>
            <w:tcW w:w="1250" w:type="dxa"/>
            <w:vAlign w:val="center"/>
          </w:tcPr>
          <w:p w:rsidR="006852E3" w:rsidRDefault="00C30DF6">
            <w:pPr>
              <w:jc w:val="center"/>
            </w:pPr>
            <w:r>
              <w:rPr>
                <w:color w:val="000000"/>
                <w:sz w:val="24"/>
              </w:rPr>
              <w:t>-0.79%</w:t>
            </w:r>
          </w:p>
        </w:tc>
        <w:tc>
          <w:tcPr>
            <w:tcW w:w="1250" w:type="dxa"/>
            <w:vAlign w:val="center"/>
          </w:tcPr>
          <w:p w:rsidR="006852E3" w:rsidRDefault="00C30DF6">
            <w:pPr>
              <w:jc w:val="center"/>
            </w:pPr>
            <w:r>
              <w:rPr>
                <w:color w:val="000000"/>
                <w:sz w:val="24"/>
              </w:rPr>
              <w:t>0.09%</w:t>
            </w:r>
          </w:p>
        </w:tc>
      </w:tr>
      <w:tr w:rsidR="006852E3">
        <w:tc>
          <w:tcPr>
            <w:tcW w:w="1497" w:type="dxa"/>
            <w:vAlign w:val="center"/>
          </w:tcPr>
          <w:p w:rsidR="006852E3" w:rsidRDefault="00C30DF6">
            <w:pPr>
              <w:jc w:val="left"/>
            </w:pPr>
            <w:r>
              <w:rPr>
                <w:color w:val="000000"/>
                <w:sz w:val="24"/>
              </w:rPr>
              <w:t>自基金合同生效起至今</w:t>
            </w:r>
          </w:p>
        </w:tc>
        <w:tc>
          <w:tcPr>
            <w:tcW w:w="1251" w:type="dxa"/>
            <w:vAlign w:val="center"/>
          </w:tcPr>
          <w:p w:rsidR="006852E3" w:rsidRDefault="00C30DF6">
            <w:pPr>
              <w:jc w:val="center"/>
            </w:pPr>
            <w:r>
              <w:rPr>
                <w:color w:val="000000"/>
                <w:sz w:val="24"/>
              </w:rPr>
              <w:t>1.40%</w:t>
            </w:r>
          </w:p>
        </w:tc>
        <w:tc>
          <w:tcPr>
            <w:tcW w:w="1250" w:type="dxa"/>
            <w:vAlign w:val="center"/>
          </w:tcPr>
          <w:p w:rsidR="006852E3" w:rsidRDefault="00C30DF6">
            <w:pPr>
              <w:jc w:val="center"/>
            </w:pPr>
            <w:r>
              <w:rPr>
                <w:color w:val="000000"/>
                <w:sz w:val="24"/>
              </w:rPr>
              <w:t>0.09%</w:t>
            </w:r>
          </w:p>
        </w:tc>
        <w:tc>
          <w:tcPr>
            <w:tcW w:w="1250" w:type="dxa"/>
            <w:vAlign w:val="center"/>
          </w:tcPr>
          <w:p w:rsidR="006852E3" w:rsidRDefault="00C30DF6">
            <w:pPr>
              <w:jc w:val="center"/>
            </w:pPr>
            <w:r>
              <w:rPr>
                <w:color w:val="000000"/>
                <w:sz w:val="24"/>
              </w:rPr>
              <w:t>2.19%</w:t>
            </w:r>
          </w:p>
        </w:tc>
        <w:tc>
          <w:tcPr>
            <w:tcW w:w="1250" w:type="dxa"/>
            <w:vAlign w:val="center"/>
          </w:tcPr>
          <w:p w:rsidR="006852E3" w:rsidRDefault="00C30DF6">
            <w:pPr>
              <w:jc w:val="center"/>
            </w:pPr>
            <w:r>
              <w:rPr>
                <w:color w:val="000000"/>
                <w:sz w:val="24"/>
              </w:rPr>
              <w:t>0.01%</w:t>
            </w:r>
          </w:p>
        </w:tc>
        <w:tc>
          <w:tcPr>
            <w:tcW w:w="1250" w:type="dxa"/>
            <w:vAlign w:val="center"/>
          </w:tcPr>
          <w:p w:rsidR="006852E3" w:rsidRDefault="00C30DF6">
            <w:pPr>
              <w:jc w:val="center"/>
            </w:pPr>
            <w:r>
              <w:rPr>
                <w:color w:val="000000"/>
                <w:sz w:val="24"/>
              </w:rPr>
              <w:t>-0.79%</w:t>
            </w:r>
          </w:p>
        </w:tc>
        <w:tc>
          <w:tcPr>
            <w:tcW w:w="1250" w:type="dxa"/>
            <w:vAlign w:val="center"/>
          </w:tcPr>
          <w:p w:rsidR="006852E3" w:rsidRDefault="00C30DF6">
            <w:pPr>
              <w:jc w:val="center"/>
            </w:pPr>
            <w:r>
              <w:rPr>
                <w:color w:val="000000"/>
                <w:sz w:val="24"/>
              </w:rPr>
              <w:t>0.08%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注：本基金业绩比较基准为两年期银行定期存款税后收益率</w:t>
      </w:r>
      <w:r w:rsidRPr="005C672D">
        <w:rPr>
          <w:kern w:val="0"/>
          <w:sz w:val="24"/>
        </w:rPr>
        <w:t>+1.25%</w:t>
      </w:r>
      <w:r w:rsidRPr="005C672D">
        <w:rPr>
          <w:kern w:val="0"/>
          <w:sz w:val="24"/>
        </w:rPr>
        <w:t>。</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交银施罗德丰硕收益债券型证券投资基金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11</w:t>
      </w:r>
      <w:r w:rsidR="001548F9" w:rsidRPr="005C672D">
        <w:rPr>
          <w:rFonts w:ascii="Times New Roman" w:hAnsi="Times New Roman"/>
          <w:sz w:val="24"/>
          <w:szCs w:val="24"/>
        </w:rPr>
        <w:t>月</w:t>
      </w:r>
      <w:r w:rsidR="001548F9" w:rsidRPr="005C672D">
        <w:rPr>
          <w:rFonts w:ascii="Times New Roman" w:hAnsi="Times New Roman"/>
          <w:sz w:val="24"/>
          <w:szCs w:val="24"/>
        </w:rPr>
        <w:t>9</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2015</w:t>
      </w:r>
      <w:r w:rsidRPr="005C672D">
        <w:rPr>
          <w:kern w:val="0"/>
          <w:sz w:val="24"/>
        </w:rPr>
        <w:t>年</w:t>
      </w:r>
      <w:r w:rsidRPr="005C672D">
        <w:rPr>
          <w:kern w:val="0"/>
          <w:sz w:val="24"/>
        </w:rPr>
        <w:t>11</w:t>
      </w:r>
      <w:r w:rsidRPr="005C672D">
        <w:rPr>
          <w:kern w:val="0"/>
          <w:sz w:val="24"/>
        </w:rPr>
        <w:t>月</w:t>
      </w:r>
      <w:r w:rsidRPr="005C672D">
        <w:rPr>
          <w:kern w:val="0"/>
          <w:sz w:val="24"/>
        </w:rPr>
        <w:t>9</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6852E3" w:rsidRDefault="00C30DF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6852E3">
        <w:tc>
          <w:tcPr>
            <w:tcW w:w="1033" w:type="dxa"/>
            <w:vAlign w:val="center"/>
          </w:tcPr>
          <w:p w:rsidR="006852E3" w:rsidRDefault="00C30DF6">
            <w:pPr>
              <w:jc w:val="center"/>
            </w:pPr>
            <w:r>
              <w:rPr>
                <w:color w:val="000000"/>
                <w:sz w:val="24"/>
              </w:rPr>
              <w:t>孙超</w:t>
            </w:r>
          </w:p>
        </w:tc>
        <w:tc>
          <w:tcPr>
            <w:tcW w:w="1416" w:type="dxa"/>
            <w:vAlign w:val="center"/>
          </w:tcPr>
          <w:p w:rsidR="006852E3" w:rsidRDefault="00C30DF6">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6852E3" w:rsidRDefault="00C30DF6">
            <w:pPr>
              <w:jc w:val="center"/>
            </w:pPr>
            <w:r>
              <w:rPr>
                <w:color w:val="000000"/>
                <w:sz w:val="24"/>
              </w:rPr>
              <w:t>2015-11-09</w:t>
            </w:r>
          </w:p>
        </w:tc>
        <w:tc>
          <w:tcPr>
            <w:tcW w:w="1192" w:type="dxa"/>
            <w:vAlign w:val="center"/>
          </w:tcPr>
          <w:p w:rsidR="006852E3" w:rsidRDefault="00C30DF6">
            <w:pPr>
              <w:jc w:val="center"/>
            </w:pPr>
            <w:r>
              <w:rPr>
                <w:color w:val="000000"/>
                <w:sz w:val="24"/>
              </w:rPr>
              <w:t>-</w:t>
            </w:r>
          </w:p>
        </w:tc>
        <w:tc>
          <w:tcPr>
            <w:tcW w:w="1169" w:type="dxa"/>
            <w:vAlign w:val="center"/>
          </w:tcPr>
          <w:p w:rsidR="006852E3" w:rsidRDefault="00C30DF6">
            <w:pPr>
              <w:jc w:val="center"/>
            </w:pPr>
            <w:r>
              <w:rPr>
                <w:color w:val="000000"/>
                <w:sz w:val="24"/>
              </w:rPr>
              <w:t>5</w:t>
            </w:r>
            <w:r>
              <w:rPr>
                <w:color w:val="000000"/>
                <w:sz w:val="24"/>
              </w:rPr>
              <w:t>年</w:t>
            </w:r>
          </w:p>
        </w:tc>
        <w:tc>
          <w:tcPr>
            <w:tcW w:w="3062" w:type="dxa"/>
            <w:vAlign w:val="center"/>
          </w:tcPr>
          <w:p w:rsidR="006852E3" w:rsidRDefault="00C30DF6">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6852E3" w:rsidRDefault="00C30DF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852E3" w:rsidRDefault="00C30DF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6852E3" w:rsidRDefault="00C30DF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6852E3" w:rsidRDefault="00C30DF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52E3" w:rsidRDefault="00C30DF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52E3" w:rsidRDefault="00C30DF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6852E3" w:rsidRDefault="00C30DF6">
      <w:pPr>
        <w:spacing w:before="29" w:line="288" w:lineRule="auto"/>
        <w:ind w:firstLineChars="200" w:firstLine="480"/>
        <w:rPr>
          <w:color w:val="000000"/>
          <w:sz w:val="24"/>
        </w:rPr>
      </w:pPr>
      <w:r>
        <w:rPr>
          <w:color w:val="000000"/>
          <w:sz w:val="24"/>
        </w:rPr>
        <w:t>本报告期内，经济增长动能仍然呈现较为疲弱态势。进出口和消费持续较弱，加上房地产投资开始放缓，基建投资依然上行，体现政府托底经济的意愿，但仅仅依靠基建很难拉动经济向上。通胀方面，随着蔬菜和猪肉价格回落，</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6852E3" w:rsidRDefault="00C30DF6">
      <w:pPr>
        <w:spacing w:before="29" w:line="288" w:lineRule="auto"/>
        <w:ind w:firstLineChars="200" w:firstLine="480"/>
        <w:rPr>
          <w:color w:val="000000"/>
          <w:sz w:val="24"/>
        </w:rPr>
      </w:pPr>
      <w:r>
        <w:rPr>
          <w:color w:val="000000"/>
          <w:sz w:val="24"/>
        </w:rPr>
        <w:t>债券市场方面，一季度基建和房地产投资向好，再加上巨量信贷规模，体现了政策托底意向，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4</w:t>
      </w:r>
      <w:r>
        <w:rPr>
          <w:color w:val="000000"/>
          <w:sz w:val="24"/>
        </w:rPr>
        <w:t>月份以来，随着中铁物资信用事件爆发，市场情绪非常脆弱，再叠加营改增可能会对金融同业产生的影响，主力国开利率大幅上行，信用债尤其是中低等级的信用利差扩大明显。国债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w:t>
      </w:r>
    </w:p>
    <w:p w:rsidR="00C02A8F" w:rsidRPr="005C672D" w:rsidRDefault="00C02A8F" w:rsidP="00AC6DDA">
      <w:pPr>
        <w:spacing w:before="29" w:line="288" w:lineRule="auto"/>
        <w:ind w:firstLineChars="200" w:firstLine="480"/>
        <w:rPr>
          <w:color w:val="000000"/>
          <w:sz w:val="24"/>
        </w:rPr>
      </w:pPr>
      <w:r w:rsidRPr="005C672D">
        <w:rPr>
          <w:color w:val="000000"/>
          <w:sz w:val="24"/>
        </w:rPr>
        <w:t>我们依旧相信经济内生的下行压力将长期存在，</w:t>
      </w:r>
      <w:r w:rsidRPr="005C672D">
        <w:rPr>
          <w:color w:val="000000"/>
          <w:sz w:val="24"/>
        </w:rPr>
        <w:t>“</w:t>
      </w:r>
      <w:r w:rsidRPr="005C672D">
        <w:rPr>
          <w:color w:val="000000"/>
          <w:sz w:val="24"/>
        </w:rPr>
        <w:t>供给侧改革</w:t>
      </w:r>
      <w:r w:rsidRPr="005C672D">
        <w:rPr>
          <w:color w:val="000000"/>
          <w:sz w:val="24"/>
        </w:rPr>
        <w:t>”</w:t>
      </w:r>
      <w:r w:rsidRPr="005C672D">
        <w:rPr>
          <w:color w:val="000000"/>
          <w:sz w:val="24"/>
        </w:rPr>
        <w:t>难以一蹴而就。经济下行期信用风险频发实属意料之中，公开评级下调低于预期并不意味着信用事件爆发将少于预期。我们一如既往地规避中低等级信用债、防范信用风险。我们基本完成了建仓工作，组合实现了较高的杠杆，并配置了剩余期限与本基金封闭期基本匹配的中高等级信用债。</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 xml:space="preserve"> 1.014</w:t>
      </w:r>
      <w:r w:rsidRPr="005C672D">
        <w:rPr>
          <w:color w:val="000000"/>
          <w:sz w:val="24"/>
        </w:rPr>
        <w:t>元，本报告期份额净值增长率为</w:t>
      </w:r>
      <w:r w:rsidRPr="005C672D">
        <w:rPr>
          <w:color w:val="000000"/>
          <w:sz w:val="24"/>
        </w:rPr>
        <w:t>0.90%</w:t>
      </w:r>
      <w:r w:rsidRPr="005C672D">
        <w:rPr>
          <w:color w:val="000000"/>
          <w:sz w:val="24"/>
        </w:rPr>
        <w:t>，同期业绩比较基准增长率为</w:t>
      </w:r>
      <w:r w:rsidRPr="005C672D">
        <w:rPr>
          <w:color w:val="000000"/>
          <w:sz w:val="24"/>
        </w:rPr>
        <w:t>1.69%</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5C672D">
        <w:rPr>
          <w:color w:val="000000"/>
          <w:sz w:val="24"/>
        </w:rPr>
        <w:t>“</w:t>
      </w:r>
      <w:r w:rsidRPr="005C672D">
        <w:rPr>
          <w:color w:val="000000"/>
          <w:sz w:val="24"/>
        </w:rPr>
        <w:t>金融去杠杆</w:t>
      </w:r>
      <w:r w:rsidRPr="005C672D">
        <w:rPr>
          <w:color w:val="000000"/>
          <w:sz w:val="24"/>
        </w:rPr>
        <w:t>”</w:t>
      </w:r>
      <w:r w:rsidRPr="005C672D">
        <w:rPr>
          <w:color w:val="000000"/>
          <w:sz w:val="24"/>
        </w:rPr>
        <w:t>或会逐渐被投资者遗忘，但政策风险依旧是悬在市场之上的利剑，庞大、复杂、相互交错的</w:t>
      </w:r>
      <w:r w:rsidRPr="005C672D">
        <w:rPr>
          <w:color w:val="000000"/>
          <w:sz w:val="24"/>
        </w:rPr>
        <w:t>“</w:t>
      </w:r>
      <w:r w:rsidRPr="005C672D">
        <w:rPr>
          <w:color w:val="000000"/>
          <w:sz w:val="24"/>
        </w:rPr>
        <w:t>影子银行</w:t>
      </w:r>
      <w:r w:rsidRPr="005C672D">
        <w:rPr>
          <w:color w:val="000000"/>
          <w:sz w:val="24"/>
        </w:rPr>
        <w:t>”</w:t>
      </w:r>
      <w:r w:rsidRPr="005C672D">
        <w:rPr>
          <w:color w:val="000000"/>
          <w:sz w:val="24"/>
        </w:rPr>
        <w:t>体系并非不能治理，</w:t>
      </w:r>
      <w:r w:rsidRPr="005C672D">
        <w:rPr>
          <w:color w:val="000000"/>
          <w:sz w:val="24"/>
        </w:rPr>
        <w:t>“</w:t>
      </w:r>
      <w:r w:rsidRPr="005C672D">
        <w:rPr>
          <w:color w:val="000000"/>
          <w:sz w:val="24"/>
        </w:rPr>
        <w:t>投鼠忌器</w:t>
      </w:r>
      <w:r w:rsidRPr="005C672D">
        <w:rPr>
          <w:color w:val="000000"/>
          <w:sz w:val="24"/>
        </w:rPr>
        <w:t>”</w:t>
      </w:r>
      <w:r w:rsidRPr="005C672D">
        <w:rPr>
          <w:color w:val="000000"/>
          <w:sz w:val="24"/>
        </w:rPr>
        <w:t>只会是暂时的，走向更加规范、风险可控的未来才是大势所趋。我们警惕交易所信用债质押率持续下调的可能性，并为组合维持杠杆率预留了较多的可质押品空间。</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6852E3" w:rsidRDefault="00C30DF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852E3" w:rsidRDefault="00C30DF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2015</w:t>
      </w:r>
      <w:r w:rsidRPr="005C672D">
        <w:rPr>
          <w:color w:val="000000"/>
          <w:sz w:val="24"/>
        </w:rPr>
        <w:t>年</w:t>
      </w:r>
      <w:r w:rsidRPr="005C672D">
        <w:rPr>
          <w:color w:val="000000"/>
          <w:sz w:val="24"/>
        </w:rPr>
        <w:t>11</w:t>
      </w:r>
      <w:r w:rsidRPr="005C672D">
        <w:rPr>
          <w:color w:val="000000"/>
          <w:sz w:val="24"/>
        </w:rPr>
        <w:t>月</w:t>
      </w:r>
      <w:r w:rsidRPr="005C672D">
        <w:rPr>
          <w:color w:val="000000"/>
          <w:sz w:val="24"/>
        </w:rPr>
        <w:t>9</w:t>
      </w:r>
      <w:r w:rsidRPr="005C672D">
        <w:rPr>
          <w:color w:val="000000"/>
          <w:sz w:val="24"/>
        </w:rPr>
        <w:t>日交银施罗德丰硕收益债券型证券投资基金（以下简称</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会计主体：交银施罗德丰硕收益债券型证券投资基金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698,803.70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143,153,321.52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12,622,039.86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880,064.76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48,734.23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640.87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723,215,372.00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296,077,169.70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665,215,372.00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296,077,169.70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9,078,789.84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1,284,719.98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745,663,739.63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441,395,916.83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299,999,590.00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33,889.27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290,280.93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298,253.10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54,427.66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55,922.43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217,710.68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223,689.82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7,718.30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19,704.41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156,361.88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68,348.56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300,779,683.13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646,463.91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438,630,665.79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438,630,665.79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6,253,390.71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2,118,787.13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444,884,056.50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440,749,452.92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745,663,739.63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441,395,916.83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1.014</w:t>
      </w:r>
      <w:r w:rsidR="006C5149" w:rsidRPr="005C672D">
        <w:rPr>
          <w:kern w:val="0"/>
          <w:sz w:val="24"/>
        </w:rPr>
        <w:t>元，基金份额总额</w:t>
      </w:r>
      <w:r w:rsidR="006C5149" w:rsidRPr="005C672D">
        <w:rPr>
          <w:kern w:val="0"/>
          <w:sz w:val="24"/>
        </w:rPr>
        <w:t>438,630,665.79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交银施罗德丰硕收益债券型证券投资基金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14945" w:rsidRPr="005C672D" w:rsidTr="00614945">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614945" w:rsidRPr="005C672D" w:rsidTr="00614945">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10,547,206.20</w:t>
            </w:r>
          </w:p>
        </w:tc>
      </w:tr>
      <w:tr w:rsidR="00614945" w:rsidRPr="005C672D" w:rsidTr="00614945">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10,634,920.08</w:t>
            </w:r>
          </w:p>
        </w:tc>
      </w:tr>
      <w:tr w:rsidR="00614945" w:rsidRPr="005C672D" w:rsidTr="00614945">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294,603.41</w:t>
            </w:r>
          </w:p>
        </w:tc>
      </w:tr>
      <w:tr w:rsidR="00614945" w:rsidRPr="005C672D" w:rsidTr="00614945">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10,191,105.17</w:t>
            </w:r>
          </w:p>
        </w:tc>
      </w:tr>
      <w:tr w:rsidR="00614945" w:rsidRPr="005C672D" w:rsidTr="00614945">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149,211.50</w:t>
            </w:r>
          </w:p>
        </w:tc>
      </w:tr>
      <w:tr w:rsidR="00614945" w:rsidRPr="005C672D" w:rsidTr="00614945">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2,030,748.47</w:t>
            </w:r>
          </w:p>
        </w:tc>
      </w:tr>
      <w:tr w:rsidR="00614945" w:rsidRPr="005C672D" w:rsidTr="00614945">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2,030,748.47</w:t>
            </w:r>
          </w:p>
        </w:tc>
      </w:tr>
      <w:tr w:rsidR="00614945" w:rsidRPr="005C672D" w:rsidTr="00614945">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-2,118,462.35</w:t>
            </w:r>
          </w:p>
        </w:tc>
      </w:tr>
      <w:tr w:rsidR="00614945" w:rsidRPr="005C672D" w:rsidTr="00614945">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6,412,602.62</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1,758,685.82</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329,753.53</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1,319,014.37</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3,493.86</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2,830,457.78</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2,830,457.78</w:t>
            </w:r>
          </w:p>
        </w:tc>
      </w:tr>
      <w:tr w:rsidR="00614945" w:rsidRPr="005C672D" w:rsidTr="00614945">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171,197.26</w:t>
            </w:r>
          </w:p>
        </w:tc>
      </w:tr>
      <w:tr w:rsidR="00614945" w:rsidRPr="005C672D" w:rsidTr="00614945">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4,134,603.58</w:t>
            </w:r>
          </w:p>
        </w:tc>
      </w:tr>
      <w:tr w:rsidR="00614945" w:rsidRPr="005C672D" w:rsidTr="00614945">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14945" w:rsidRPr="005C672D" w:rsidTr="00614945">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4,134,603.58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交银施罗德丰硕收益债券型证券投资基金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438,630,665.79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2,118,787.13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440,749,452.92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4,134,603.58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4,134,603.58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438,630,665.79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6,253,390.71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444,884,056.50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6852E3" w:rsidRDefault="00C30DF6">
      <w:pPr>
        <w:spacing w:before="29" w:line="288" w:lineRule="auto"/>
        <w:ind w:firstLineChars="200" w:firstLine="480"/>
        <w:rPr>
          <w:color w:val="000000"/>
          <w:sz w:val="24"/>
        </w:rPr>
      </w:pPr>
      <w:r>
        <w:rPr>
          <w:color w:val="000000"/>
          <w:sz w:val="24"/>
        </w:rPr>
        <w:t>交银施罗德丰硕收益债券型证券投资基金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[2015]2267</w:t>
      </w:r>
      <w:r>
        <w:rPr>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封闭式，存续期限不定，首次设立募集不包括认购资金利息共募集人民币</w:t>
      </w:r>
      <w:r>
        <w:rPr>
          <w:color w:val="000000"/>
          <w:sz w:val="24"/>
        </w:rPr>
        <w:t>438,442,304.66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1235</w:t>
      </w:r>
      <w:r>
        <w:rPr>
          <w:color w:val="000000"/>
          <w:sz w:val="24"/>
        </w:rPr>
        <w:t>号验资报告予以验证。经向中国证监会备案，《交银施罗德丰硕收益债券型证券投资基金基金合同》于</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日正式生效，基金合同生效日的基金份额总额为</w:t>
      </w:r>
      <w:r>
        <w:rPr>
          <w:color w:val="000000"/>
          <w:sz w:val="24"/>
        </w:rPr>
        <w:t>438,630,665.79</w:t>
      </w:r>
      <w:r>
        <w:rPr>
          <w:color w:val="000000"/>
          <w:sz w:val="24"/>
        </w:rPr>
        <w:t>份基金份额，其中认购资金利息折合</w:t>
      </w:r>
      <w:r>
        <w:rPr>
          <w:color w:val="000000"/>
          <w:sz w:val="24"/>
        </w:rPr>
        <w:t>188,361.13</w:t>
      </w:r>
      <w:r>
        <w:rPr>
          <w:color w:val="000000"/>
          <w:sz w:val="24"/>
        </w:rPr>
        <w:t>份基金份额。本基金的基金管理人为交银施罗德基金管理有限公司，基金托管人为中信银行股份有限公司。</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根据《交银施罗德丰硕收益债券型证券投资基金基金合同》和《交银施罗德丰硕收益债券型证券投资基金招募说明书》，本基金根据认购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的期间内封闭式运作（按照基金合同的约定提前转换基金运作方式的除外），封闭期结束后转为开放式运作，并可视业务情况择时增开</w:t>
      </w:r>
      <w:r>
        <w:rPr>
          <w:color w:val="000000"/>
          <w:sz w:val="24"/>
        </w:rPr>
        <w:t>A</w:t>
      </w:r>
      <w:r>
        <w:rPr>
          <w:color w:val="000000"/>
          <w:sz w:val="24"/>
        </w:rPr>
        <w:t>类基金份额的申购。</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丰硕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sidRPr="005C672D">
        <w:rPr>
          <w:color w:val="000000"/>
          <w:sz w:val="24"/>
        </w:rPr>
        <w:t>AA</w:t>
      </w:r>
      <w:r w:rsidRPr="005C672D">
        <w:rPr>
          <w:color w:val="000000"/>
          <w:sz w:val="24"/>
        </w:rPr>
        <w:t>级</w:t>
      </w:r>
      <w:r w:rsidRPr="005C672D">
        <w:rPr>
          <w:color w:val="000000"/>
          <w:sz w:val="24"/>
        </w:rPr>
        <w:t>(</w:t>
      </w:r>
      <w:r w:rsidRPr="005C672D">
        <w:rPr>
          <w:color w:val="000000"/>
          <w:sz w:val="24"/>
        </w:rPr>
        <w:t>含</w:t>
      </w:r>
      <w:r w:rsidRPr="005C672D">
        <w:rPr>
          <w:color w:val="000000"/>
          <w:sz w:val="24"/>
        </w:rPr>
        <w:t>)</w:t>
      </w:r>
      <w:r w:rsidRPr="005C672D">
        <w:rPr>
          <w:color w:val="000000"/>
          <w:sz w:val="24"/>
        </w:rPr>
        <w:t>以上。本基金不投资股票、权证等权益类资产。同时本基金不参与可转换债券投资</w:t>
      </w:r>
      <w:r w:rsidRPr="005C672D">
        <w:rPr>
          <w:color w:val="000000"/>
          <w:sz w:val="24"/>
        </w:rPr>
        <w:t>(</w:t>
      </w:r>
      <w:r w:rsidRPr="005C672D">
        <w:rPr>
          <w:color w:val="000000"/>
          <w:sz w:val="24"/>
        </w:rPr>
        <w:t>分离交易可转债的纯债部分除外</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。如法律法规或监管机构以后允许基金投资其他品种，基金管理人在履行适当程序后，可以将其纳入投资范围。基金的投资组合比例为：债券资产的比例不低于基金资产的</w:t>
      </w:r>
      <w:r w:rsidRPr="005C672D">
        <w:rPr>
          <w:color w:val="000000"/>
          <w:sz w:val="24"/>
        </w:rPr>
        <w:t>80%</w:t>
      </w:r>
      <w:r w:rsidRPr="005C672D">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5C672D">
        <w:rPr>
          <w:color w:val="000000"/>
          <w:sz w:val="24"/>
        </w:rPr>
        <w:t>5%</w:t>
      </w:r>
      <w:r w:rsidRPr="005C672D">
        <w:rPr>
          <w:color w:val="000000"/>
          <w:sz w:val="24"/>
        </w:rPr>
        <w:t>。本基金封闭期内投资的业绩比较基准为两年期银行定期存款税后收益率</w:t>
      </w:r>
      <w:r w:rsidRPr="005C672D">
        <w:rPr>
          <w:color w:val="000000"/>
          <w:sz w:val="24"/>
        </w:rPr>
        <w:t>+1.25%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w:t>
      </w:r>
      <w:r w:rsidRPr="005C672D">
        <w:rPr>
          <w:color w:val="000000"/>
          <w:sz w:val="24"/>
        </w:rPr>
        <w:t>-</w:t>
      </w:r>
      <w:r w:rsidRPr="005C672D">
        <w:rPr>
          <w:color w:val="000000"/>
          <w:sz w:val="24"/>
        </w:rPr>
        <w:t>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颁布的《证券投资基金会计核算业务指引》、《交银施罗德丰硕收益债券型证券投资基金基金合同》和在财务报表附注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614945" w:rsidP="00AC6DDA">
      <w:pPr>
        <w:autoSpaceDE w:val="0"/>
        <w:autoSpaceDN w:val="0"/>
        <w:adjustRightInd w:val="0"/>
        <w:snapToGrid w:val="0"/>
        <w:spacing w:before="29" w:line="288" w:lineRule="auto"/>
        <w:jc w:val="left"/>
        <w:rPr>
          <w:b/>
          <w:color w:val="000000"/>
          <w:kern w:val="0"/>
          <w:sz w:val="24"/>
        </w:rPr>
      </w:pPr>
      <w:r w:rsidRPr="00614945">
        <w:rPr>
          <w:rFonts w:hint="eastAsia"/>
          <w:b/>
          <w:bCs/>
          <w:kern w:val="0"/>
          <w:sz w:val="24"/>
        </w:rPr>
        <w:t>6.4.4</w:t>
      </w:r>
      <w:r w:rsidRPr="00614945">
        <w:rPr>
          <w:rFonts w:hint="eastAsia"/>
          <w:b/>
          <w:bCs/>
          <w:kern w:val="0"/>
          <w:sz w:val="24"/>
        </w:rPr>
        <w:t>重要会计政策和会计估计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6852E3" w:rsidRDefault="00C30DF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852E3" w:rsidRDefault="00C30DF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C672D" w:rsidRDefault="001548F9" w:rsidP="00AC6DDA">
      <w:pPr>
        <w:spacing w:before="29" w:line="288" w:lineRule="auto"/>
        <w:ind w:firstLineChars="200" w:firstLine="480"/>
        <w:rPr>
          <w:color w:val="000000"/>
          <w:sz w:val="24"/>
        </w:rPr>
      </w:pPr>
      <w:r w:rsidRPr="005C672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6852E3" w:rsidRDefault="00C30DF6">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6852E3" w:rsidRDefault="00C30DF6">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金融资产和金融负债的抵销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具有抵销已确认金额的法定权利且该种法定权利现在是可执行的；且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交易双方准备按净额结算时，金融资产与金融负债按抵销后的净额在资产负债表中列示。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封闭期内实收基金为对外发行基金份额所募集的总金额。每份基金份额面值为</w:t>
      </w:r>
      <w:r w:rsidRPr="005C672D">
        <w:rPr>
          <w:color w:val="000000"/>
          <w:sz w:val="24"/>
        </w:rPr>
        <w:t>1.00</w:t>
      </w:r>
      <w:r w:rsidRPr="005C672D">
        <w:rPr>
          <w:color w:val="000000"/>
          <w:sz w:val="24"/>
        </w:rPr>
        <w:t>元。</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r w:rsidRPr="005C672D">
        <w:rPr>
          <w:b/>
          <w:color w:val="000000"/>
          <w:kern w:val="0"/>
          <w:sz w:val="24"/>
        </w:rPr>
        <w:t>损益平准金</w:t>
      </w:r>
    </w:p>
    <w:p w:rsidR="001548F9" w:rsidRPr="005C672D" w:rsidRDefault="001548F9" w:rsidP="00AC6DDA">
      <w:pPr>
        <w:spacing w:before="29" w:line="288" w:lineRule="auto"/>
        <w:ind w:firstLineChars="200" w:firstLine="480"/>
        <w:rPr>
          <w:color w:val="000000"/>
          <w:sz w:val="24"/>
        </w:rPr>
      </w:pPr>
      <w:r w:rsidRPr="005C672D">
        <w:rPr>
          <w:color w:val="000000"/>
          <w:sz w:val="24"/>
        </w:rPr>
        <w:t>封闭期内不适用。</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6852E3" w:rsidRDefault="00C30DF6">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6.4.4.10</w:t>
      </w:r>
      <w:r w:rsidRPr="005C672D">
        <w:rPr>
          <w:b/>
          <w:color w:val="000000"/>
          <w:kern w:val="0"/>
          <w:sz w:val="24"/>
        </w:rPr>
        <w:t>费用的确认和计量</w:t>
      </w:r>
    </w:p>
    <w:p w:rsidR="006852E3" w:rsidRDefault="00C30DF6">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6852E3" w:rsidRDefault="00C30DF6">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6852E3" w:rsidRDefault="00C30DF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本基金目前以一个单一的经营分部运作，不需要进行分部报告的披露。</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6852E3" w:rsidRDefault="00C30DF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 xml:space="preserve">(a)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(b) </w:t>
      </w:r>
      <w:r w:rsidRPr="005C672D">
        <w:rPr>
          <w:color w:val="000000"/>
          <w:sz w:val="24"/>
        </w:rPr>
        <w:t>对于在证券交易所上市或挂牌转让的固定收益品种</w:t>
      </w:r>
      <w:r w:rsidRPr="005C672D">
        <w:rPr>
          <w:color w:val="000000"/>
          <w:sz w:val="24"/>
        </w:rPr>
        <w:t>(</w:t>
      </w:r>
      <w:r w:rsidRPr="005C672D">
        <w:rPr>
          <w:color w:val="000000"/>
          <w:sz w:val="24"/>
        </w:rPr>
        <w:t>可转换债券、资产支持证券和中小企业私募债券除外</w:t>
      </w:r>
      <w:r w:rsidRPr="005C672D">
        <w:rPr>
          <w:color w:val="000000"/>
          <w:sz w:val="24"/>
        </w:rPr>
        <w:t>)</w:t>
      </w:r>
      <w:r w:rsidRPr="005C672D">
        <w:rPr>
          <w:color w:val="000000"/>
          <w:sz w:val="24"/>
        </w:rPr>
        <w:t>，按照中证指数有限公司根据《中国证券投资基金业协会估值核算工作小组关于</w:t>
      </w:r>
      <w:r w:rsidRPr="005C672D">
        <w:rPr>
          <w:color w:val="000000"/>
          <w:sz w:val="24"/>
        </w:rPr>
        <w:t>2015</w:t>
      </w:r>
      <w:r w:rsidRPr="005C672D">
        <w:rPr>
          <w:color w:val="000000"/>
          <w:sz w:val="24"/>
        </w:rPr>
        <w:t>年</w:t>
      </w:r>
      <w:r w:rsidRPr="005C672D">
        <w:rPr>
          <w:color w:val="000000"/>
          <w:sz w:val="24"/>
        </w:rPr>
        <w:t>1</w:t>
      </w:r>
      <w:r w:rsidRPr="005C672D">
        <w:rPr>
          <w:color w:val="000000"/>
          <w:sz w:val="24"/>
        </w:rPr>
        <w:t>季度固定收益品种的估值处理标准》所独立提供的债券估值结果确定公允价值。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6852E3" w:rsidRDefault="00C30DF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以发行基金方式募集资金不属于营业税征收范围，不征收营业税。基金买卖债券的差价收入不予征收营业税。</w:t>
      </w:r>
    </w:p>
    <w:p w:rsidR="006852E3" w:rsidRDefault="006852E3">
      <w:pPr>
        <w:spacing w:before="29" w:line="288" w:lineRule="auto"/>
        <w:ind w:firstLineChars="200" w:firstLine="480"/>
        <w:rPr>
          <w:color w:val="000000"/>
          <w:sz w:val="24"/>
        </w:rPr>
      </w:pPr>
    </w:p>
    <w:p w:rsidR="006852E3" w:rsidRDefault="00C30DF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6852E3" w:rsidRDefault="006852E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对基金取得的企业债券利息收入，应由发行债券的企业在向基金支付利息时代扣代缴</w:t>
      </w:r>
      <w:r w:rsidRPr="005C672D">
        <w:rPr>
          <w:color w:val="000000"/>
          <w:sz w:val="24"/>
        </w:rPr>
        <w:t>20%</w:t>
      </w:r>
      <w:r w:rsidRPr="005C672D">
        <w:rPr>
          <w:color w:val="000000"/>
          <w:sz w:val="24"/>
        </w:rPr>
        <w:t>的个人所得税。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6852E3">
        <w:tc>
          <w:tcPr>
            <w:tcW w:w="5219" w:type="dxa"/>
            <w:vAlign w:val="center"/>
          </w:tcPr>
          <w:p w:rsidR="006852E3" w:rsidRDefault="00C30DF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852E3" w:rsidRDefault="00C30DF6">
            <w:pPr>
              <w:jc w:val="left"/>
            </w:pPr>
            <w:r>
              <w:rPr>
                <w:color w:val="000000"/>
                <w:sz w:val="24"/>
              </w:rPr>
              <w:t>基金管理人、基金销售机构</w:t>
            </w:r>
          </w:p>
        </w:tc>
      </w:tr>
      <w:tr w:rsidR="006852E3">
        <w:tc>
          <w:tcPr>
            <w:tcW w:w="5219" w:type="dxa"/>
            <w:vAlign w:val="center"/>
          </w:tcPr>
          <w:p w:rsidR="006852E3" w:rsidRDefault="00C30DF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852E3" w:rsidRDefault="00C30DF6">
            <w:pPr>
              <w:jc w:val="left"/>
            </w:pPr>
            <w:r>
              <w:rPr>
                <w:color w:val="000000"/>
                <w:sz w:val="24"/>
              </w:rPr>
              <w:t>基金托管人、基金销售机构</w:t>
            </w:r>
          </w:p>
        </w:tc>
      </w:tr>
      <w:tr w:rsidR="006852E3">
        <w:tc>
          <w:tcPr>
            <w:tcW w:w="5219" w:type="dxa"/>
            <w:vAlign w:val="center"/>
          </w:tcPr>
          <w:p w:rsidR="006852E3" w:rsidRDefault="00C30DF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852E3" w:rsidRDefault="00C30DF6">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D96B80">
      <w:pPr>
        <w:spacing w:before="29" w:line="288" w:lineRule="auto"/>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14945" w:rsidRPr="005C672D" w:rsidTr="00614945">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614945" w:rsidRPr="005C672D" w:rsidTr="00614945">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1,758,685.82</w:t>
            </w:r>
          </w:p>
        </w:tc>
      </w:tr>
      <w:tr w:rsidR="00614945" w:rsidRPr="005C672D" w:rsidTr="00614945">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892,924.68</w:t>
            </w:r>
          </w:p>
        </w:tc>
      </w:tr>
    </w:tbl>
    <w:p w:rsidR="006852E3" w:rsidRDefault="00C30DF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×0.8%÷</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14945" w:rsidRPr="005C672D" w:rsidTr="00614945">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614945" w:rsidRPr="005C672D" w:rsidTr="00614945">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329,753.53</w:t>
            </w:r>
          </w:p>
        </w:tc>
      </w:tr>
    </w:tbl>
    <w:p w:rsidR="006852E3" w:rsidRDefault="00C30DF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×0.15% ÷ </w:t>
      </w:r>
      <w:r w:rsidRPr="005C672D">
        <w:rPr>
          <w:kern w:val="0"/>
          <w:sz w:val="24"/>
        </w:rPr>
        <w:t>当年天数。</w:t>
      </w:r>
    </w:p>
    <w:p w:rsidR="001548F9" w:rsidRPr="005C672D" w:rsidRDefault="001548F9" w:rsidP="00AC6DDA">
      <w:pPr>
        <w:spacing w:before="29" w:line="288" w:lineRule="auto"/>
        <w:rPr>
          <w:color w:val="000000"/>
          <w:sz w:val="24"/>
        </w:rPr>
      </w:pPr>
    </w:p>
    <w:p w:rsidR="001548F9"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C30DF6" w:rsidRPr="00C30DF6" w:rsidRDefault="00C30DF6" w:rsidP="00C30DF6">
      <w:pPr>
        <w:autoSpaceDE w:val="0"/>
        <w:autoSpaceDN w:val="0"/>
        <w:adjustRightInd w:val="0"/>
        <w:spacing w:before="29" w:line="360" w:lineRule="auto"/>
        <w:jc w:val="right"/>
        <w:rPr>
          <w:rFonts w:eastAsiaTheme="minorEastAsia"/>
          <w:color w:val="000000"/>
          <w:szCs w:val="21"/>
        </w:rPr>
      </w:pPr>
      <w:r w:rsidRPr="007715B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1"/>
        <w:gridCol w:w="6161"/>
      </w:tblGrid>
      <w:tr w:rsidR="001548F9" w:rsidRPr="005C672D" w:rsidTr="00C17210">
        <w:tc>
          <w:tcPr>
            <w:tcW w:w="2821" w:type="dxa"/>
            <w:vMerge w:val="restart"/>
            <w:vAlign w:val="center"/>
          </w:tcPr>
          <w:p w:rsidR="001548F9" w:rsidRPr="005C672D" w:rsidRDefault="001548F9" w:rsidP="00AC6DDA">
            <w:pPr>
              <w:spacing w:before="29" w:line="288" w:lineRule="auto"/>
              <w:rPr>
                <w:color w:val="000000"/>
                <w:kern w:val="0"/>
                <w:sz w:val="24"/>
              </w:rPr>
            </w:pPr>
            <w:r w:rsidRPr="005C672D">
              <w:rPr>
                <w:color w:val="000000"/>
                <w:sz w:val="24"/>
              </w:rPr>
              <w:t>获得销售服务费的各关联方名称</w:t>
            </w:r>
          </w:p>
        </w:tc>
        <w:tc>
          <w:tcPr>
            <w:tcW w:w="6161"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spacing w:before="29" w:line="288" w:lineRule="auto"/>
              <w:jc w:val="center"/>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1548F9" w:rsidRPr="005C672D" w:rsidTr="00C17210">
        <w:tc>
          <w:tcPr>
            <w:tcW w:w="2821" w:type="dxa"/>
            <w:vMerge/>
            <w:vAlign w:val="center"/>
          </w:tcPr>
          <w:p w:rsidR="001548F9" w:rsidRPr="005C672D" w:rsidRDefault="001548F9" w:rsidP="00AC6DDA">
            <w:pPr>
              <w:widowControl/>
              <w:spacing w:before="29" w:line="288" w:lineRule="auto"/>
              <w:jc w:val="left"/>
              <w:rPr>
                <w:color w:val="000000"/>
                <w:kern w:val="0"/>
                <w:sz w:val="24"/>
              </w:rPr>
            </w:pPr>
          </w:p>
        </w:tc>
        <w:tc>
          <w:tcPr>
            <w:tcW w:w="6161" w:type="dxa"/>
            <w:vAlign w:val="center"/>
          </w:tcPr>
          <w:p w:rsidR="001548F9" w:rsidRPr="005C672D" w:rsidRDefault="001548F9" w:rsidP="00AC6DDA">
            <w:pPr>
              <w:spacing w:before="29" w:line="288" w:lineRule="auto"/>
              <w:jc w:val="center"/>
              <w:rPr>
                <w:color w:val="000000"/>
                <w:sz w:val="24"/>
              </w:rPr>
            </w:pPr>
            <w:r w:rsidRPr="005C672D">
              <w:rPr>
                <w:color w:val="000000"/>
                <w:sz w:val="24"/>
              </w:rPr>
              <w:t>当期发生的基金应支付的销售服务费</w:t>
            </w:r>
          </w:p>
        </w:tc>
      </w:tr>
      <w:tr w:rsidR="006852E3">
        <w:tc>
          <w:tcPr>
            <w:tcW w:w="2821" w:type="dxa"/>
            <w:vAlign w:val="center"/>
          </w:tcPr>
          <w:p w:rsidR="006852E3" w:rsidRDefault="00C30DF6">
            <w:pPr>
              <w:jc w:val="left"/>
            </w:pPr>
            <w:r>
              <w:rPr>
                <w:color w:val="000000"/>
                <w:sz w:val="24"/>
              </w:rPr>
              <w:t>交通银行</w:t>
            </w:r>
          </w:p>
        </w:tc>
        <w:tc>
          <w:tcPr>
            <w:tcW w:w="6161" w:type="dxa"/>
            <w:vAlign w:val="center"/>
          </w:tcPr>
          <w:p w:rsidR="006852E3" w:rsidRDefault="00C30DF6">
            <w:pPr>
              <w:jc w:val="right"/>
            </w:pPr>
            <w:r>
              <w:rPr>
                <w:color w:val="000000"/>
                <w:sz w:val="24"/>
              </w:rPr>
              <w:t>206,646.95</w:t>
            </w:r>
          </w:p>
        </w:tc>
      </w:tr>
      <w:tr w:rsidR="006852E3">
        <w:tc>
          <w:tcPr>
            <w:tcW w:w="2821" w:type="dxa"/>
            <w:vAlign w:val="center"/>
          </w:tcPr>
          <w:p w:rsidR="006852E3" w:rsidRDefault="00C30DF6">
            <w:pPr>
              <w:jc w:val="left"/>
            </w:pPr>
            <w:r>
              <w:rPr>
                <w:color w:val="000000"/>
                <w:sz w:val="24"/>
              </w:rPr>
              <w:t>中信银行</w:t>
            </w:r>
          </w:p>
        </w:tc>
        <w:tc>
          <w:tcPr>
            <w:tcW w:w="6161" w:type="dxa"/>
            <w:vAlign w:val="center"/>
          </w:tcPr>
          <w:p w:rsidR="006852E3" w:rsidRDefault="00C30DF6">
            <w:pPr>
              <w:jc w:val="right"/>
            </w:pPr>
            <w:r>
              <w:rPr>
                <w:color w:val="000000"/>
                <w:sz w:val="24"/>
              </w:rPr>
              <w:t>11,180.16</w:t>
            </w:r>
          </w:p>
        </w:tc>
      </w:tr>
      <w:tr w:rsidR="006852E3">
        <w:tc>
          <w:tcPr>
            <w:tcW w:w="2821" w:type="dxa"/>
            <w:vAlign w:val="center"/>
          </w:tcPr>
          <w:p w:rsidR="006852E3" w:rsidRDefault="00C30DF6">
            <w:pPr>
              <w:jc w:val="left"/>
            </w:pPr>
            <w:r>
              <w:rPr>
                <w:color w:val="000000"/>
                <w:sz w:val="24"/>
              </w:rPr>
              <w:t>交银施罗德基金</w:t>
            </w:r>
          </w:p>
        </w:tc>
        <w:tc>
          <w:tcPr>
            <w:tcW w:w="6161" w:type="dxa"/>
            <w:vAlign w:val="center"/>
          </w:tcPr>
          <w:p w:rsidR="006852E3" w:rsidRDefault="00C30DF6">
            <w:pPr>
              <w:jc w:val="right"/>
            </w:pPr>
            <w:r>
              <w:rPr>
                <w:color w:val="000000"/>
                <w:sz w:val="24"/>
              </w:rPr>
              <w:t>2,596.32</w:t>
            </w:r>
          </w:p>
        </w:tc>
      </w:tr>
      <w:tr w:rsidR="001548F9" w:rsidRPr="005C672D" w:rsidTr="00C17210">
        <w:tc>
          <w:tcPr>
            <w:tcW w:w="2821" w:type="dxa"/>
            <w:vAlign w:val="center"/>
          </w:tcPr>
          <w:p w:rsidR="001548F9" w:rsidRPr="005C672D" w:rsidRDefault="001548F9" w:rsidP="00AC6DDA">
            <w:pPr>
              <w:spacing w:before="29" w:line="288" w:lineRule="auto"/>
              <w:rPr>
                <w:color w:val="000000"/>
                <w:sz w:val="24"/>
              </w:rPr>
            </w:pPr>
            <w:r w:rsidRPr="005C672D">
              <w:rPr>
                <w:color w:val="000000"/>
                <w:sz w:val="24"/>
              </w:rPr>
              <w:t>合计</w:t>
            </w:r>
          </w:p>
        </w:tc>
        <w:tc>
          <w:tcPr>
            <w:tcW w:w="6161" w:type="dxa"/>
            <w:vAlign w:val="center"/>
          </w:tcPr>
          <w:p w:rsidR="001548F9" w:rsidRPr="005C672D" w:rsidRDefault="001548F9" w:rsidP="00AC6DDA">
            <w:pPr>
              <w:spacing w:before="29" w:line="288" w:lineRule="auto"/>
              <w:jc w:val="right"/>
              <w:rPr>
                <w:color w:val="000000"/>
                <w:sz w:val="24"/>
              </w:rPr>
            </w:pPr>
            <w:r w:rsidRPr="005C672D">
              <w:rPr>
                <w:color w:val="000000"/>
                <w:sz w:val="24"/>
              </w:rPr>
              <w:t>220,423.43</w:t>
            </w:r>
          </w:p>
        </w:tc>
      </w:tr>
    </w:tbl>
    <w:p w:rsidR="006852E3" w:rsidRDefault="00C30DF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日基金销售服务费＝前一日</w:t>
      </w:r>
      <w:r w:rsidRPr="005C672D">
        <w:rPr>
          <w:kern w:val="0"/>
          <w:sz w:val="24"/>
        </w:rPr>
        <w:t>C</w:t>
      </w:r>
      <w:r w:rsidRPr="005C672D">
        <w:rPr>
          <w:kern w:val="0"/>
          <w:sz w:val="24"/>
        </w:rPr>
        <w:t>类基金份额对应的资产净值</w:t>
      </w:r>
      <w:r w:rsidRPr="005C672D">
        <w:rPr>
          <w:kern w:val="0"/>
          <w:sz w:val="24"/>
        </w:rPr>
        <w:t>×0.6%÷</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6852E3">
        <w:tc>
          <w:tcPr>
            <w:tcW w:w="2694" w:type="dxa"/>
            <w:vAlign w:val="center"/>
          </w:tcPr>
          <w:p w:rsidR="006852E3" w:rsidRDefault="00C30DF6">
            <w:pPr>
              <w:jc w:val="left"/>
            </w:pPr>
            <w:r>
              <w:rPr>
                <w:sz w:val="24"/>
              </w:rPr>
              <w:t>中信银行股份有限公司</w:t>
            </w:r>
          </w:p>
        </w:tc>
        <w:tc>
          <w:tcPr>
            <w:tcW w:w="3153" w:type="dxa"/>
            <w:vAlign w:val="center"/>
          </w:tcPr>
          <w:p w:rsidR="006852E3" w:rsidRDefault="00C30DF6">
            <w:pPr>
              <w:jc w:val="right"/>
            </w:pPr>
            <w:r>
              <w:rPr>
                <w:sz w:val="24"/>
              </w:rPr>
              <w:t>698,803.70</w:t>
            </w:r>
          </w:p>
        </w:tc>
        <w:tc>
          <w:tcPr>
            <w:tcW w:w="3153" w:type="dxa"/>
            <w:vAlign w:val="center"/>
          </w:tcPr>
          <w:p w:rsidR="006852E3" w:rsidRDefault="00C30DF6">
            <w:pPr>
              <w:jc w:val="right"/>
            </w:pPr>
            <w:r>
              <w:rPr>
                <w:sz w:val="24"/>
              </w:rPr>
              <w:t>53,237.90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D96B80">
      <w:pPr>
        <w:spacing w:before="29" w:line="288" w:lineRule="auto"/>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 xml:space="preserve">99,999,590.00 </w:t>
      </w:r>
      <w:r w:rsidRPr="005C672D">
        <w:rPr>
          <w:color w:val="000000"/>
          <w:sz w:val="24"/>
        </w:rPr>
        <w:t>元，是以如下债券作为抵押：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6852E3">
        <w:tc>
          <w:tcPr>
            <w:tcW w:w="1500" w:type="dxa"/>
            <w:vAlign w:val="center"/>
          </w:tcPr>
          <w:p w:rsidR="006852E3" w:rsidRDefault="00C30DF6">
            <w:pPr>
              <w:jc w:val="center"/>
            </w:pPr>
            <w:r>
              <w:rPr>
                <w:color w:val="000000"/>
                <w:kern w:val="0"/>
                <w:sz w:val="24"/>
              </w:rPr>
              <w:t>110359014G5803</w:t>
            </w:r>
          </w:p>
        </w:tc>
        <w:tc>
          <w:tcPr>
            <w:tcW w:w="1500" w:type="dxa"/>
            <w:vAlign w:val="center"/>
          </w:tcPr>
          <w:p w:rsidR="006852E3" w:rsidRDefault="00C30DF6">
            <w:pPr>
              <w:jc w:val="center"/>
            </w:pPr>
            <w:r>
              <w:rPr>
                <w:color w:val="000000"/>
                <w:kern w:val="0"/>
                <w:sz w:val="24"/>
              </w:rPr>
              <w:t>16</w:t>
            </w:r>
            <w:r>
              <w:rPr>
                <w:color w:val="000000"/>
                <w:kern w:val="0"/>
                <w:sz w:val="24"/>
              </w:rPr>
              <w:t>张保实业</w:t>
            </w:r>
            <w:r>
              <w:rPr>
                <w:color w:val="000000"/>
                <w:kern w:val="0"/>
                <w:sz w:val="24"/>
              </w:rPr>
              <w:t>CP001</w:t>
            </w:r>
          </w:p>
        </w:tc>
        <w:tc>
          <w:tcPr>
            <w:tcW w:w="1500" w:type="dxa"/>
            <w:vAlign w:val="center"/>
          </w:tcPr>
          <w:p w:rsidR="006852E3" w:rsidRDefault="00C30DF6">
            <w:pPr>
              <w:jc w:val="center"/>
            </w:pPr>
            <w:r>
              <w:rPr>
                <w:color w:val="000000"/>
                <w:kern w:val="0"/>
                <w:sz w:val="24"/>
              </w:rPr>
              <w:t>2016-07-01</w:t>
            </w:r>
          </w:p>
        </w:tc>
        <w:tc>
          <w:tcPr>
            <w:tcW w:w="1260" w:type="dxa"/>
            <w:vAlign w:val="center"/>
          </w:tcPr>
          <w:p w:rsidR="006852E3" w:rsidRDefault="00C30DF6">
            <w:pPr>
              <w:jc w:val="right"/>
            </w:pPr>
            <w:r>
              <w:rPr>
                <w:color w:val="000000"/>
                <w:kern w:val="0"/>
                <w:sz w:val="24"/>
              </w:rPr>
              <w:t>100.05</w:t>
            </w:r>
          </w:p>
        </w:tc>
        <w:tc>
          <w:tcPr>
            <w:tcW w:w="1440" w:type="dxa"/>
            <w:vAlign w:val="center"/>
          </w:tcPr>
          <w:p w:rsidR="006852E3" w:rsidRDefault="00C30DF6">
            <w:pPr>
              <w:jc w:val="right"/>
            </w:pPr>
            <w:r>
              <w:rPr>
                <w:color w:val="000000"/>
                <w:kern w:val="0"/>
                <w:sz w:val="24"/>
              </w:rPr>
              <w:t>100,000</w:t>
            </w:r>
          </w:p>
        </w:tc>
        <w:tc>
          <w:tcPr>
            <w:tcW w:w="1836" w:type="dxa"/>
            <w:vAlign w:val="center"/>
          </w:tcPr>
          <w:p w:rsidR="006852E3" w:rsidRDefault="00C30DF6">
            <w:pPr>
              <w:jc w:val="right"/>
            </w:pPr>
            <w:r>
              <w:rPr>
                <w:color w:val="000000"/>
                <w:kern w:val="0"/>
                <w:sz w:val="24"/>
              </w:rPr>
              <w:t>10,005,000.00</w:t>
            </w:r>
          </w:p>
        </w:tc>
      </w:tr>
      <w:tr w:rsidR="006852E3">
        <w:tc>
          <w:tcPr>
            <w:tcW w:w="1500" w:type="dxa"/>
            <w:vAlign w:val="center"/>
          </w:tcPr>
          <w:p w:rsidR="006852E3" w:rsidRDefault="00C30DF6">
            <w:pPr>
              <w:jc w:val="center"/>
            </w:pPr>
            <w:r>
              <w:rPr>
                <w:color w:val="000000"/>
                <w:kern w:val="0"/>
                <w:sz w:val="24"/>
              </w:rPr>
              <w:t>110359011G99PX</w:t>
            </w:r>
          </w:p>
        </w:tc>
        <w:tc>
          <w:tcPr>
            <w:tcW w:w="1500" w:type="dxa"/>
            <w:vAlign w:val="center"/>
          </w:tcPr>
          <w:p w:rsidR="006852E3" w:rsidRDefault="00C30DF6">
            <w:pPr>
              <w:jc w:val="center"/>
            </w:pPr>
            <w:r>
              <w:rPr>
                <w:color w:val="000000"/>
                <w:kern w:val="0"/>
                <w:sz w:val="24"/>
              </w:rPr>
              <w:t>16</w:t>
            </w:r>
            <w:r>
              <w:rPr>
                <w:color w:val="000000"/>
                <w:kern w:val="0"/>
                <w:sz w:val="24"/>
              </w:rPr>
              <w:t>商飞</w:t>
            </w:r>
            <w:r>
              <w:rPr>
                <w:color w:val="000000"/>
                <w:kern w:val="0"/>
                <w:sz w:val="24"/>
              </w:rPr>
              <w:t>SCP002</w:t>
            </w:r>
          </w:p>
        </w:tc>
        <w:tc>
          <w:tcPr>
            <w:tcW w:w="1500" w:type="dxa"/>
            <w:vAlign w:val="center"/>
          </w:tcPr>
          <w:p w:rsidR="006852E3" w:rsidRDefault="00C30DF6">
            <w:pPr>
              <w:jc w:val="center"/>
            </w:pPr>
            <w:r>
              <w:rPr>
                <w:color w:val="000000"/>
                <w:kern w:val="0"/>
                <w:sz w:val="24"/>
              </w:rPr>
              <w:t>2016-07-05</w:t>
            </w:r>
          </w:p>
        </w:tc>
        <w:tc>
          <w:tcPr>
            <w:tcW w:w="1260" w:type="dxa"/>
            <w:vAlign w:val="center"/>
          </w:tcPr>
          <w:p w:rsidR="006852E3" w:rsidRDefault="00C30DF6">
            <w:pPr>
              <w:jc w:val="right"/>
            </w:pPr>
            <w:r>
              <w:rPr>
                <w:color w:val="000000"/>
                <w:kern w:val="0"/>
                <w:sz w:val="24"/>
              </w:rPr>
              <w:t>100.08</w:t>
            </w:r>
          </w:p>
        </w:tc>
        <w:tc>
          <w:tcPr>
            <w:tcW w:w="1440" w:type="dxa"/>
            <w:vAlign w:val="center"/>
          </w:tcPr>
          <w:p w:rsidR="006852E3" w:rsidRDefault="00C30DF6">
            <w:pPr>
              <w:jc w:val="right"/>
            </w:pPr>
            <w:r>
              <w:rPr>
                <w:color w:val="000000"/>
                <w:kern w:val="0"/>
                <w:sz w:val="24"/>
              </w:rPr>
              <w:t>400,000</w:t>
            </w:r>
          </w:p>
        </w:tc>
        <w:tc>
          <w:tcPr>
            <w:tcW w:w="1836" w:type="dxa"/>
            <w:vAlign w:val="center"/>
          </w:tcPr>
          <w:p w:rsidR="006852E3" w:rsidRDefault="00C30DF6">
            <w:pPr>
              <w:jc w:val="right"/>
            </w:pPr>
            <w:r>
              <w:rPr>
                <w:color w:val="000000"/>
                <w:kern w:val="0"/>
                <w:sz w:val="24"/>
              </w:rPr>
              <w:t>40,032,000.00</w:t>
            </w:r>
          </w:p>
        </w:tc>
      </w:tr>
      <w:tr w:rsidR="006852E3">
        <w:tc>
          <w:tcPr>
            <w:tcW w:w="1500" w:type="dxa"/>
            <w:vAlign w:val="center"/>
          </w:tcPr>
          <w:p w:rsidR="006852E3" w:rsidRDefault="00C30DF6">
            <w:pPr>
              <w:jc w:val="center"/>
            </w:pPr>
            <w:r>
              <w:rPr>
                <w:color w:val="000000"/>
                <w:kern w:val="0"/>
                <w:sz w:val="24"/>
              </w:rPr>
              <w:t>11035801AD6410</w:t>
            </w:r>
          </w:p>
        </w:tc>
        <w:tc>
          <w:tcPr>
            <w:tcW w:w="1500" w:type="dxa"/>
            <w:vAlign w:val="center"/>
          </w:tcPr>
          <w:p w:rsidR="006852E3" w:rsidRDefault="00C30DF6">
            <w:pPr>
              <w:jc w:val="center"/>
            </w:pPr>
            <w:r>
              <w:rPr>
                <w:color w:val="000000"/>
                <w:kern w:val="0"/>
                <w:sz w:val="24"/>
              </w:rPr>
              <w:t>13</w:t>
            </w:r>
            <w:r>
              <w:rPr>
                <w:color w:val="000000"/>
                <w:kern w:val="0"/>
                <w:sz w:val="24"/>
              </w:rPr>
              <w:t>泉州路桥</w:t>
            </w:r>
            <w:r>
              <w:rPr>
                <w:color w:val="000000"/>
                <w:kern w:val="0"/>
                <w:sz w:val="24"/>
              </w:rPr>
              <w:t>MTN001</w:t>
            </w:r>
          </w:p>
        </w:tc>
        <w:tc>
          <w:tcPr>
            <w:tcW w:w="1500" w:type="dxa"/>
            <w:vAlign w:val="center"/>
          </w:tcPr>
          <w:p w:rsidR="006852E3" w:rsidRDefault="00C30DF6">
            <w:pPr>
              <w:jc w:val="center"/>
            </w:pPr>
            <w:r>
              <w:rPr>
                <w:color w:val="000000"/>
                <w:kern w:val="0"/>
                <w:sz w:val="24"/>
              </w:rPr>
              <w:t>2016-07-05</w:t>
            </w:r>
          </w:p>
        </w:tc>
        <w:tc>
          <w:tcPr>
            <w:tcW w:w="1260" w:type="dxa"/>
            <w:vAlign w:val="center"/>
          </w:tcPr>
          <w:p w:rsidR="006852E3" w:rsidRDefault="00C30DF6">
            <w:pPr>
              <w:jc w:val="right"/>
            </w:pPr>
            <w:r>
              <w:rPr>
                <w:color w:val="000000"/>
                <w:kern w:val="0"/>
                <w:sz w:val="24"/>
              </w:rPr>
              <w:t>108.80</w:t>
            </w:r>
          </w:p>
        </w:tc>
        <w:tc>
          <w:tcPr>
            <w:tcW w:w="1440" w:type="dxa"/>
            <w:vAlign w:val="center"/>
          </w:tcPr>
          <w:p w:rsidR="006852E3" w:rsidRDefault="00C30DF6">
            <w:pPr>
              <w:jc w:val="right"/>
            </w:pPr>
            <w:r>
              <w:rPr>
                <w:color w:val="000000"/>
                <w:kern w:val="0"/>
                <w:sz w:val="24"/>
              </w:rPr>
              <w:t>100,000</w:t>
            </w:r>
          </w:p>
        </w:tc>
        <w:tc>
          <w:tcPr>
            <w:tcW w:w="1836" w:type="dxa"/>
            <w:vAlign w:val="center"/>
          </w:tcPr>
          <w:p w:rsidR="006852E3" w:rsidRDefault="00C30DF6">
            <w:pPr>
              <w:jc w:val="right"/>
            </w:pPr>
            <w:r>
              <w:rPr>
                <w:color w:val="000000"/>
                <w:kern w:val="0"/>
                <w:sz w:val="24"/>
              </w:rPr>
              <w:t>10,880,000.00</w:t>
            </w:r>
          </w:p>
        </w:tc>
      </w:tr>
      <w:tr w:rsidR="006852E3">
        <w:tc>
          <w:tcPr>
            <w:tcW w:w="1500" w:type="dxa"/>
            <w:vAlign w:val="center"/>
          </w:tcPr>
          <w:p w:rsidR="006852E3" w:rsidRDefault="00C30DF6">
            <w:pPr>
              <w:jc w:val="center"/>
            </w:pPr>
            <w:r>
              <w:rPr>
                <w:color w:val="000000"/>
                <w:kern w:val="0"/>
                <w:sz w:val="24"/>
              </w:rPr>
              <w:t>11035801AF6246</w:t>
            </w:r>
          </w:p>
        </w:tc>
        <w:tc>
          <w:tcPr>
            <w:tcW w:w="1500" w:type="dxa"/>
            <w:vAlign w:val="center"/>
          </w:tcPr>
          <w:p w:rsidR="006852E3" w:rsidRDefault="00C30DF6">
            <w:pPr>
              <w:jc w:val="center"/>
            </w:pPr>
            <w:r>
              <w:rPr>
                <w:color w:val="000000"/>
                <w:kern w:val="0"/>
                <w:sz w:val="24"/>
              </w:rPr>
              <w:t>15</w:t>
            </w:r>
            <w:r>
              <w:rPr>
                <w:color w:val="000000"/>
                <w:kern w:val="0"/>
                <w:sz w:val="24"/>
              </w:rPr>
              <w:t>东方</w:t>
            </w:r>
            <w:r>
              <w:rPr>
                <w:color w:val="000000"/>
                <w:kern w:val="0"/>
                <w:sz w:val="24"/>
              </w:rPr>
              <w:t>MTN003</w:t>
            </w:r>
          </w:p>
        </w:tc>
        <w:tc>
          <w:tcPr>
            <w:tcW w:w="1500" w:type="dxa"/>
            <w:vAlign w:val="center"/>
          </w:tcPr>
          <w:p w:rsidR="006852E3" w:rsidRDefault="00C30DF6">
            <w:pPr>
              <w:jc w:val="center"/>
            </w:pPr>
            <w:r>
              <w:rPr>
                <w:color w:val="000000"/>
                <w:kern w:val="0"/>
                <w:sz w:val="24"/>
              </w:rPr>
              <w:t>2016-07-05</w:t>
            </w:r>
          </w:p>
        </w:tc>
        <w:tc>
          <w:tcPr>
            <w:tcW w:w="1260" w:type="dxa"/>
            <w:vAlign w:val="center"/>
          </w:tcPr>
          <w:p w:rsidR="006852E3" w:rsidRDefault="00C30DF6">
            <w:pPr>
              <w:jc w:val="right"/>
            </w:pPr>
            <w:r>
              <w:rPr>
                <w:color w:val="000000"/>
                <w:kern w:val="0"/>
                <w:sz w:val="24"/>
              </w:rPr>
              <w:t>100.84</w:t>
            </w:r>
          </w:p>
        </w:tc>
        <w:tc>
          <w:tcPr>
            <w:tcW w:w="1440" w:type="dxa"/>
            <w:vAlign w:val="center"/>
          </w:tcPr>
          <w:p w:rsidR="006852E3" w:rsidRDefault="00C30DF6">
            <w:pPr>
              <w:jc w:val="right"/>
            </w:pPr>
            <w:r>
              <w:rPr>
                <w:color w:val="000000"/>
                <w:kern w:val="0"/>
                <w:sz w:val="24"/>
              </w:rPr>
              <w:t>400,000</w:t>
            </w:r>
          </w:p>
        </w:tc>
        <w:tc>
          <w:tcPr>
            <w:tcW w:w="1836" w:type="dxa"/>
            <w:vAlign w:val="center"/>
          </w:tcPr>
          <w:p w:rsidR="006852E3" w:rsidRDefault="00C30DF6">
            <w:pPr>
              <w:jc w:val="right"/>
            </w:pPr>
            <w:r>
              <w:rPr>
                <w:color w:val="000000"/>
                <w:kern w:val="0"/>
                <w:sz w:val="24"/>
              </w:rPr>
              <w:t>40,336,000.00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1,000,000</w:t>
            </w:r>
          </w:p>
        </w:tc>
        <w:tc>
          <w:tcPr>
            <w:tcW w:w="1836" w:type="dxa"/>
            <w:vAlign w:val="center"/>
          </w:tcPr>
          <w:p w:rsidR="001548F9" w:rsidRPr="005C672D" w:rsidRDefault="001548F9" w:rsidP="00AC6DDA">
            <w:pPr>
              <w:spacing w:before="29" w:line="288" w:lineRule="auto"/>
              <w:jc w:val="right"/>
              <w:rPr>
                <w:sz w:val="24"/>
              </w:rPr>
            </w:pPr>
            <w:r w:rsidRPr="005C672D">
              <w:rPr>
                <w:sz w:val="24"/>
              </w:rPr>
              <w:t>101,253,000.00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200,000,000.00</w:t>
      </w:r>
      <w:r w:rsidRPr="005C672D">
        <w:rPr>
          <w:color w:val="000000"/>
          <w:sz w:val="24"/>
        </w:rPr>
        <w:t>元，于</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723,215,372.00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96.99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665,215,372.00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89.21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58,000,000.00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7.78</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13,320,843.56</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1.79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9,127,524.07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1.22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745,663,739.63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D96B80" w:rsidRPr="005C672D" w:rsidRDefault="00D96B80"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C30DF6" w:rsidRPr="005C672D" w:rsidRDefault="00C30DF6"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Default="001548F9" w:rsidP="00AC6DDA">
      <w:pPr>
        <w:tabs>
          <w:tab w:val="left" w:pos="426"/>
        </w:tabs>
        <w:spacing w:before="29" w:line="288" w:lineRule="auto"/>
        <w:jc w:val="left"/>
        <w:rPr>
          <w:kern w:val="0"/>
          <w:sz w:val="24"/>
        </w:rPr>
      </w:pPr>
      <w:r w:rsidRPr="005C672D">
        <w:rPr>
          <w:kern w:val="0"/>
          <w:sz w:val="24"/>
        </w:rPr>
        <w:t>本基金本报告期内未持有股票。</w:t>
      </w:r>
    </w:p>
    <w:p w:rsidR="00C30DF6" w:rsidRPr="00C30DF6" w:rsidRDefault="00C30DF6"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9,999,000.00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2.25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454,249,372.00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102.11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90,017,000.00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20.23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110,950,000.00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24.94</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665,215,372.00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149.53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6852E3">
        <w:tc>
          <w:tcPr>
            <w:tcW w:w="1320" w:type="dxa"/>
            <w:vAlign w:val="center"/>
          </w:tcPr>
          <w:p w:rsidR="006852E3" w:rsidRDefault="00C30DF6">
            <w:pPr>
              <w:jc w:val="center"/>
            </w:pPr>
            <w:r>
              <w:rPr>
                <w:color w:val="000000"/>
                <w:sz w:val="24"/>
              </w:rPr>
              <w:t>1</w:t>
            </w:r>
          </w:p>
        </w:tc>
        <w:tc>
          <w:tcPr>
            <w:tcW w:w="1382" w:type="dxa"/>
            <w:vAlign w:val="center"/>
          </w:tcPr>
          <w:p w:rsidR="006852E3" w:rsidRDefault="00C30DF6">
            <w:pPr>
              <w:jc w:val="center"/>
            </w:pPr>
            <w:r>
              <w:rPr>
                <w:color w:val="000000"/>
                <w:sz w:val="24"/>
              </w:rPr>
              <w:t>112312</w:t>
            </w:r>
          </w:p>
        </w:tc>
        <w:tc>
          <w:tcPr>
            <w:tcW w:w="1353" w:type="dxa"/>
            <w:vAlign w:val="center"/>
          </w:tcPr>
          <w:p w:rsidR="006852E3" w:rsidRDefault="00C30DF6">
            <w:pPr>
              <w:jc w:val="center"/>
            </w:pPr>
            <w:r>
              <w:rPr>
                <w:color w:val="000000"/>
                <w:sz w:val="24"/>
              </w:rPr>
              <w:t>16</w:t>
            </w:r>
            <w:r>
              <w:rPr>
                <w:color w:val="000000"/>
                <w:sz w:val="24"/>
              </w:rPr>
              <w:t>徐工</w:t>
            </w:r>
            <w:r>
              <w:rPr>
                <w:color w:val="000000"/>
                <w:sz w:val="24"/>
              </w:rPr>
              <w:t>01</w:t>
            </w:r>
          </w:p>
        </w:tc>
        <w:tc>
          <w:tcPr>
            <w:tcW w:w="1505" w:type="dxa"/>
            <w:vAlign w:val="center"/>
          </w:tcPr>
          <w:p w:rsidR="006852E3" w:rsidRDefault="00C30DF6">
            <w:pPr>
              <w:jc w:val="right"/>
            </w:pPr>
            <w:r>
              <w:rPr>
                <w:color w:val="000000"/>
                <w:sz w:val="24"/>
              </w:rPr>
              <w:t>400,000</w:t>
            </w:r>
          </w:p>
        </w:tc>
        <w:tc>
          <w:tcPr>
            <w:tcW w:w="1737" w:type="dxa"/>
            <w:vAlign w:val="center"/>
          </w:tcPr>
          <w:p w:rsidR="006852E3" w:rsidRDefault="00C30DF6">
            <w:pPr>
              <w:jc w:val="right"/>
            </w:pPr>
            <w:r>
              <w:rPr>
                <w:color w:val="000000"/>
                <w:sz w:val="24"/>
              </w:rPr>
              <w:t>40,564,000.00</w:t>
            </w:r>
          </w:p>
        </w:tc>
        <w:tc>
          <w:tcPr>
            <w:tcW w:w="1701" w:type="dxa"/>
            <w:vAlign w:val="center"/>
          </w:tcPr>
          <w:p w:rsidR="006852E3" w:rsidRDefault="00C30DF6">
            <w:pPr>
              <w:jc w:val="right"/>
            </w:pPr>
            <w:r>
              <w:rPr>
                <w:color w:val="000000"/>
                <w:sz w:val="24"/>
              </w:rPr>
              <w:t>9.12</w:t>
            </w:r>
          </w:p>
        </w:tc>
      </w:tr>
      <w:tr w:rsidR="006852E3">
        <w:tc>
          <w:tcPr>
            <w:tcW w:w="1320" w:type="dxa"/>
            <w:vAlign w:val="center"/>
          </w:tcPr>
          <w:p w:rsidR="006852E3" w:rsidRDefault="00C30DF6">
            <w:pPr>
              <w:jc w:val="center"/>
            </w:pPr>
            <w:r>
              <w:rPr>
                <w:color w:val="000000"/>
                <w:sz w:val="24"/>
              </w:rPr>
              <w:t>2</w:t>
            </w:r>
          </w:p>
        </w:tc>
        <w:tc>
          <w:tcPr>
            <w:tcW w:w="1382" w:type="dxa"/>
            <w:vAlign w:val="center"/>
          </w:tcPr>
          <w:p w:rsidR="006852E3" w:rsidRDefault="00C30DF6">
            <w:pPr>
              <w:jc w:val="center"/>
            </w:pPr>
            <w:r>
              <w:rPr>
                <w:color w:val="000000"/>
                <w:sz w:val="24"/>
              </w:rPr>
              <w:t>101562046</w:t>
            </w:r>
          </w:p>
        </w:tc>
        <w:tc>
          <w:tcPr>
            <w:tcW w:w="1353" w:type="dxa"/>
            <w:vAlign w:val="center"/>
          </w:tcPr>
          <w:p w:rsidR="006852E3" w:rsidRDefault="00C30DF6">
            <w:pPr>
              <w:jc w:val="center"/>
            </w:pPr>
            <w:r>
              <w:rPr>
                <w:color w:val="000000"/>
                <w:sz w:val="24"/>
              </w:rPr>
              <w:t>15</w:t>
            </w:r>
            <w:r>
              <w:rPr>
                <w:color w:val="000000"/>
                <w:sz w:val="24"/>
              </w:rPr>
              <w:t>东方</w:t>
            </w:r>
            <w:r>
              <w:rPr>
                <w:color w:val="000000"/>
                <w:sz w:val="24"/>
              </w:rPr>
              <w:t>MTN003</w:t>
            </w:r>
          </w:p>
        </w:tc>
        <w:tc>
          <w:tcPr>
            <w:tcW w:w="1505" w:type="dxa"/>
            <w:vAlign w:val="center"/>
          </w:tcPr>
          <w:p w:rsidR="006852E3" w:rsidRDefault="00C30DF6">
            <w:pPr>
              <w:jc w:val="right"/>
            </w:pPr>
            <w:r>
              <w:rPr>
                <w:color w:val="000000"/>
                <w:sz w:val="24"/>
              </w:rPr>
              <w:t>400,000</w:t>
            </w:r>
          </w:p>
        </w:tc>
        <w:tc>
          <w:tcPr>
            <w:tcW w:w="1737" w:type="dxa"/>
            <w:vAlign w:val="center"/>
          </w:tcPr>
          <w:p w:rsidR="006852E3" w:rsidRDefault="00C30DF6">
            <w:pPr>
              <w:jc w:val="right"/>
            </w:pPr>
            <w:r>
              <w:rPr>
                <w:color w:val="000000"/>
                <w:sz w:val="24"/>
              </w:rPr>
              <w:t>40,336,000.00</w:t>
            </w:r>
          </w:p>
        </w:tc>
        <w:tc>
          <w:tcPr>
            <w:tcW w:w="1701" w:type="dxa"/>
            <w:vAlign w:val="center"/>
          </w:tcPr>
          <w:p w:rsidR="006852E3" w:rsidRDefault="00C30DF6">
            <w:pPr>
              <w:jc w:val="right"/>
            </w:pPr>
            <w:r>
              <w:rPr>
                <w:color w:val="000000"/>
                <w:sz w:val="24"/>
              </w:rPr>
              <w:t>9.07</w:t>
            </w:r>
          </w:p>
        </w:tc>
      </w:tr>
      <w:tr w:rsidR="006852E3">
        <w:tc>
          <w:tcPr>
            <w:tcW w:w="1320" w:type="dxa"/>
            <w:vAlign w:val="center"/>
          </w:tcPr>
          <w:p w:rsidR="006852E3" w:rsidRDefault="00C30DF6">
            <w:pPr>
              <w:jc w:val="center"/>
            </w:pPr>
            <w:r>
              <w:rPr>
                <w:color w:val="000000"/>
                <w:sz w:val="24"/>
              </w:rPr>
              <w:t>3</w:t>
            </w:r>
          </w:p>
        </w:tc>
        <w:tc>
          <w:tcPr>
            <w:tcW w:w="1382" w:type="dxa"/>
            <w:vAlign w:val="center"/>
          </w:tcPr>
          <w:p w:rsidR="006852E3" w:rsidRDefault="00C30DF6">
            <w:pPr>
              <w:jc w:val="center"/>
            </w:pPr>
            <w:r>
              <w:rPr>
                <w:color w:val="000000"/>
                <w:sz w:val="24"/>
              </w:rPr>
              <w:t>136370</w:t>
            </w:r>
          </w:p>
        </w:tc>
        <w:tc>
          <w:tcPr>
            <w:tcW w:w="1353" w:type="dxa"/>
            <w:vAlign w:val="center"/>
          </w:tcPr>
          <w:p w:rsidR="006852E3" w:rsidRDefault="00C30DF6">
            <w:pPr>
              <w:jc w:val="center"/>
            </w:pPr>
            <w:r>
              <w:rPr>
                <w:color w:val="000000"/>
                <w:sz w:val="24"/>
              </w:rPr>
              <w:t>16</w:t>
            </w:r>
            <w:r>
              <w:rPr>
                <w:color w:val="000000"/>
                <w:sz w:val="24"/>
              </w:rPr>
              <w:t>宁开控</w:t>
            </w:r>
          </w:p>
        </w:tc>
        <w:tc>
          <w:tcPr>
            <w:tcW w:w="1505" w:type="dxa"/>
            <w:vAlign w:val="center"/>
          </w:tcPr>
          <w:p w:rsidR="006852E3" w:rsidRDefault="00C30DF6">
            <w:pPr>
              <w:jc w:val="right"/>
            </w:pPr>
            <w:r>
              <w:rPr>
                <w:color w:val="000000"/>
                <w:sz w:val="24"/>
              </w:rPr>
              <w:t>400,000</w:t>
            </w:r>
          </w:p>
        </w:tc>
        <w:tc>
          <w:tcPr>
            <w:tcW w:w="1737" w:type="dxa"/>
            <w:vAlign w:val="center"/>
          </w:tcPr>
          <w:p w:rsidR="006852E3" w:rsidRDefault="00C30DF6">
            <w:pPr>
              <w:jc w:val="right"/>
            </w:pPr>
            <w:r>
              <w:rPr>
                <w:color w:val="000000"/>
                <w:sz w:val="24"/>
              </w:rPr>
              <w:t>40,328,000.00</w:t>
            </w:r>
          </w:p>
        </w:tc>
        <w:tc>
          <w:tcPr>
            <w:tcW w:w="1701" w:type="dxa"/>
            <w:vAlign w:val="center"/>
          </w:tcPr>
          <w:p w:rsidR="006852E3" w:rsidRDefault="00C30DF6">
            <w:pPr>
              <w:jc w:val="right"/>
            </w:pPr>
            <w:r>
              <w:rPr>
                <w:color w:val="000000"/>
                <w:sz w:val="24"/>
              </w:rPr>
              <w:t>9.06</w:t>
            </w:r>
          </w:p>
        </w:tc>
      </w:tr>
      <w:tr w:rsidR="006852E3">
        <w:tc>
          <w:tcPr>
            <w:tcW w:w="1320" w:type="dxa"/>
            <w:vAlign w:val="center"/>
          </w:tcPr>
          <w:p w:rsidR="006852E3" w:rsidRDefault="00C30DF6">
            <w:pPr>
              <w:jc w:val="center"/>
            </w:pPr>
            <w:r>
              <w:rPr>
                <w:color w:val="000000"/>
                <w:sz w:val="24"/>
              </w:rPr>
              <w:t>4</w:t>
            </w:r>
          </w:p>
        </w:tc>
        <w:tc>
          <w:tcPr>
            <w:tcW w:w="1382" w:type="dxa"/>
            <w:vAlign w:val="center"/>
          </w:tcPr>
          <w:p w:rsidR="006852E3" w:rsidRDefault="00C30DF6">
            <w:pPr>
              <w:jc w:val="center"/>
            </w:pPr>
            <w:r>
              <w:rPr>
                <w:color w:val="000000"/>
                <w:sz w:val="24"/>
              </w:rPr>
              <w:t>136449</w:t>
            </w:r>
          </w:p>
        </w:tc>
        <w:tc>
          <w:tcPr>
            <w:tcW w:w="1353" w:type="dxa"/>
            <w:vAlign w:val="center"/>
          </w:tcPr>
          <w:p w:rsidR="006852E3" w:rsidRDefault="00C30DF6">
            <w:pPr>
              <w:jc w:val="center"/>
            </w:pPr>
            <w:r>
              <w:rPr>
                <w:color w:val="000000"/>
                <w:sz w:val="24"/>
              </w:rPr>
              <w:t>16</w:t>
            </w:r>
            <w:r>
              <w:rPr>
                <w:color w:val="000000"/>
                <w:sz w:val="24"/>
              </w:rPr>
              <w:t>油服</w:t>
            </w:r>
            <w:r>
              <w:rPr>
                <w:color w:val="000000"/>
                <w:sz w:val="24"/>
              </w:rPr>
              <w:t>01</w:t>
            </w:r>
          </w:p>
        </w:tc>
        <w:tc>
          <w:tcPr>
            <w:tcW w:w="1505" w:type="dxa"/>
            <w:vAlign w:val="center"/>
          </w:tcPr>
          <w:p w:rsidR="006852E3" w:rsidRDefault="00C30DF6">
            <w:pPr>
              <w:jc w:val="right"/>
            </w:pPr>
            <w:r>
              <w:rPr>
                <w:color w:val="000000"/>
                <w:sz w:val="24"/>
              </w:rPr>
              <w:t>400,000</w:t>
            </w:r>
          </w:p>
        </w:tc>
        <w:tc>
          <w:tcPr>
            <w:tcW w:w="1737" w:type="dxa"/>
            <w:vAlign w:val="center"/>
          </w:tcPr>
          <w:p w:rsidR="006852E3" w:rsidRDefault="00C30DF6">
            <w:pPr>
              <w:jc w:val="right"/>
            </w:pPr>
            <w:r>
              <w:rPr>
                <w:color w:val="000000"/>
                <w:sz w:val="24"/>
              </w:rPr>
              <w:t>40,288,000.00</w:t>
            </w:r>
          </w:p>
        </w:tc>
        <w:tc>
          <w:tcPr>
            <w:tcW w:w="1701" w:type="dxa"/>
            <w:vAlign w:val="center"/>
          </w:tcPr>
          <w:p w:rsidR="006852E3" w:rsidRDefault="00C30DF6">
            <w:pPr>
              <w:jc w:val="right"/>
            </w:pPr>
            <w:r>
              <w:rPr>
                <w:color w:val="000000"/>
                <w:sz w:val="24"/>
              </w:rPr>
              <w:t>9.06</w:t>
            </w:r>
          </w:p>
        </w:tc>
      </w:tr>
      <w:tr w:rsidR="006852E3">
        <w:tc>
          <w:tcPr>
            <w:tcW w:w="1320" w:type="dxa"/>
            <w:vAlign w:val="center"/>
          </w:tcPr>
          <w:p w:rsidR="006852E3" w:rsidRDefault="00C30DF6">
            <w:pPr>
              <w:jc w:val="center"/>
            </w:pPr>
            <w:r>
              <w:rPr>
                <w:color w:val="000000"/>
                <w:sz w:val="24"/>
              </w:rPr>
              <w:t>5</w:t>
            </w:r>
          </w:p>
        </w:tc>
        <w:tc>
          <w:tcPr>
            <w:tcW w:w="1382" w:type="dxa"/>
            <w:vAlign w:val="center"/>
          </w:tcPr>
          <w:p w:rsidR="006852E3" w:rsidRDefault="00C30DF6">
            <w:pPr>
              <w:jc w:val="center"/>
            </w:pPr>
            <w:r>
              <w:rPr>
                <w:color w:val="000000"/>
                <w:sz w:val="24"/>
              </w:rPr>
              <w:t>011699773</w:t>
            </w:r>
          </w:p>
        </w:tc>
        <w:tc>
          <w:tcPr>
            <w:tcW w:w="1353" w:type="dxa"/>
            <w:vAlign w:val="center"/>
          </w:tcPr>
          <w:p w:rsidR="006852E3" w:rsidRDefault="00C30DF6">
            <w:pPr>
              <w:jc w:val="center"/>
            </w:pPr>
            <w:r>
              <w:rPr>
                <w:color w:val="000000"/>
                <w:sz w:val="24"/>
              </w:rPr>
              <w:t>16</w:t>
            </w:r>
            <w:r>
              <w:rPr>
                <w:color w:val="000000"/>
                <w:sz w:val="24"/>
              </w:rPr>
              <w:t>商飞</w:t>
            </w:r>
            <w:r>
              <w:rPr>
                <w:color w:val="000000"/>
                <w:sz w:val="24"/>
              </w:rPr>
              <w:t>SCP002</w:t>
            </w:r>
          </w:p>
        </w:tc>
        <w:tc>
          <w:tcPr>
            <w:tcW w:w="1505" w:type="dxa"/>
            <w:vAlign w:val="center"/>
          </w:tcPr>
          <w:p w:rsidR="006852E3" w:rsidRDefault="00C30DF6">
            <w:pPr>
              <w:jc w:val="right"/>
            </w:pPr>
            <w:r>
              <w:rPr>
                <w:color w:val="000000"/>
                <w:sz w:val="24"/>
              </w:rPr>
              <w:t>400,000</w:t>
            </w:r>
          </w:p>
        </w:tc>
        <w:tc>
          <w:tcPr>
            <w:tcW w:w="1737" w:type="dxa"/>
            <w:vAlign w:val="center"/>
          </w:tcPr>
          <w:p w:rsidR="006852E3" w:rsidRDefault="00C30DF6">
            <w:pPr>
              <w:jc w:val="right"/>
            </w:pPr>
            <w:r>
              <w:rPr>
                <w:color w:val="000000"/>
                <w:sz w:val="24"/>
              </w:rPr>
              <w:t>40,032,000.00</w:t>
            </w:r>
          </w:p>
        </w:tc>
        <w:tc>
          <w:tcPr>
            <w:tcW w:w="1701" w:type="dxa"/>
            <w:vAlign w:val="center"/>
          </w:tcPr>
          <w:p w:rsidR="006852E3" w:rsidRDefault="00C30DF6">
            <w:pPr>
              <w:jc w:val="right"/>
            </w:pPr>
            <w:r>
              <w:rPr>
                <w:color w:val="000000"/>
                <w:sz w:val="24"/>
              </w:rPr>
              <w:t>9.00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5C672D" w:rsidTr="007A373E">
        <w:tc>
          <w:tcPr>
            <w:tcW w:w="131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5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证券代码</w:t>
            </w:r>
          </w:p>
        </w:tc>
        <w:tc>
          <w:tcPr>
            <w:tcW w:w="134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证券名称</w:t>
            </w:r>
          </w:p>
        </w:tc>
        <w:tc>
          <w:tcPr>
            <w:tcW w:w="159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Pr="005C672D">
              <w:rPr>
                <w:color w:val="000000"/>
                <w:sz w:val="24"/>
              </w:rPr>
              <w:t>(</w:t>
            </w:r>
            <w:r w:rsidRPr="005C672D">
              <w:rPr>
                <w:color w:val="000000"/>
                <w:sz w:val="24"/>
              </w:rPr>
              <w:t>份</w:t>
            </w:r>
            <w:r w:rsidRPr="005C672D">
              <w:rPr>
                <w:color w:val="000000"/>
                <w:sz w:val="24"/>
              </w:rPr>
              <w:t>)</w:t>
            </w:r>
          </w:p>
        </w:tc>
        <w:tc>
          <w:tcPr>
            <w:tcW w:w="168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r w:rsidRPr="005C672D">
              <w:rPr>
                <w:color w:val="000000"/>
                <w:sz w:val="24"/>
              </w:rPr>
              <w:t>％</w:t>
            </w:r>
            <w:r w:rsidRPr="005C672D">
              <w:rPr>
                <w:color w:val="000000"/>
                <w:sz w:val="24"/>
              </w:rPr>
              <w:t>)</w:t>
            </w:r>
          </w:p>
        </w:tc>
      </w:tr>
      <w:tr w:rsidR="006852E3">
        <w:tc>
          <w:tcPr>
            <w:tcW w:w="1315" w:type="dxa"/>
            <w:vAlign w:val="center"/>
          </w:tcPr>
          <w:p w:rsidR="006852E3" w:rsidRDefault="00C30DF6">
            <w:pPr>
              <w:jc w:val="center"/>
            </w:pPr>
            <w:r>
              <w:rPr>
                <w:color w:val="000000"/>
                <w:sz w:val="24"/>
              </w:rPr>
              <w:t>1</w:t>
            </w:r>
          </w:p>
        </w:tc>
        <w:tc>
          <w:tcPr>
            <w:tcW w:w="1359" w:type="dxa"/>
            <w:vAlign w:val="center"/>
          </w:tcPr>
          <w:p w:rsidR="006852E3" w:rsidRDefault="00C30DF6">
            <w:pPr>
              <w:jc w:val="center"/>
            </w:pPr>
            <w:r>
              <w:rPr>
                <w:color w:val="000000"/>
                <w:sz w:val="24"/>
              </w:rPr>
              <w:t>G0000G</w:t>
            </w:r>
          </w:p>
        </w:tc>
        <w:tc>
          <w:tcPr>
            <w:tcW w:w="1341" w:type="dxa"/>
            <w:vAlign w:val="center"/>
          </w:tcPr>
          <w:p w:rsidR="006852E3" w:rsidRDefault="00C30DF6">
            <w:pPr>
              <w:jc w:val="center"/>
            </w:pPr>
            <w:r>
              <w:rPr>
                <w:color w:val="000000"/>
                <w:sz w:val="24"/>
              </w:rPr>
              <w:t>16</w:t>
            </w:r>
            <w:r>
              <w:rPr>
                <w:color w:val="000000"/>
                <w:sz w:val="24"/>
              </w:rPr>
              <w:t>福碧</w:t>
            </w:r>
            <w:r>
              <w:rPr>
                <w:color w:val="000000"/>
                <w:sz w:val="24"/>
              </w:rPr>
              <w:t>A2</w:t>
            </w:r>
          </w:p>
        </w:tc>
        <w:tc>
          <w:tcPr>
            <w:tcW w:w="1590" w:type="dxa"/>
            <w:vAlign w:val="center"/>
          </w:tcPr>
          <w:p w:rsidR="006852E3" w:rsidRDefault="00C30DF6">
            <w:pPr>
              <w:jc w:val="right"/>
            </w:pPr>
            <w:r>
              <w:rPr>
                <w:color w:val="000000"/>
                <w:sz w:val="24"/>
              </w:rPr>
              <w:t>400,000</w:t>
            </w:r>
          </w:p>
        </w:tc>
        <w:tc>
          <w:tcPr>
            <w:tcW w:w="1684" w:type="dxa"/>
            <w:vAlign w:val="center"/>
          </w:tcPr>
          <w:p w:rsidR="006852E3" w:rsidRDefault="00C30DF6">
            <w:pPr>
              <w:jc w:val="right"/>
            </w:pPr>
            <w:r>
              <w:rPr>
                <w:color w:val="000000"/>
                <w:sz w:val="24"/>
              </w:rPr>
              <w:t>40,000,000.00</w:t>
            </w:r>
          </w:p>
        </w:tc>
        <w:tc>
          <w:tcPr>
            <w:tcW w:w="1709" w:type="dxa"/>
            <w:vAlign w:val="center"/>
          </w:tcPr>
          <w:p w:rsidR="006852E3" w:rsidRDefault="00C30DF6">
            <w:pPr>
              <w:jc w:val="right"/>
            </w:pPr>
            <w:r>
              <w:rPr>
                <w:color w:val="000000"/>
                <w:sz w:val="24"/>
              </w:rPr>
              <w:t>8.99</w:t>
            </w:r>
          </w:p>
        </w:tc>
      </w:tr>
      <w:tr w:rsidR="006852E3">
        <w:tc>
          <w:tcPr>
            <w:tcW w:w="1315" w:type="dxa"/>
            <w:vAlign w:val="center"/>
          </w:tcPr>
          <w:p w:rsidR="006852E3" w:rsidRDefault="00C30DF6">
            <w:pPr>
              <w:jc w:val="center"/>
            </w:pPr>
            <w:r>
              <w:rPr>
                <w:color w:val="000000"/>
                <w:sz w:val="24"/>
              </w:rPr>
              <w:t>2</w:t>
            </w:r>
          </w:p>
        </w:tc>
        <w:tc>
          <w:tcPr>
            <w:tcW w:w="1359" w:type="dxa"/>
            <w:vAlign w:val="center"/>
          </w:tcPr>
          <w:p w:rsidR="006852E3" w:rsidRDefault="00C30DF6">
            <w:pPr>
              <w:jc w:val="center"/>
            </w:pPr>
            <w:r>
              <w:rPr>
                <w:color w:val="000000"/>
                <w:sz w:val="24"/>
              </w:rPr>
              <w:t>131684</w:t>
            </w:r>
          </w:p>
        </w:tc>
        <w:tc>
          <w:tcPr>
            <w:tcW w:w="1341" w:type="dxa"/>
            <w:vAlign w:val="center"/>
          </w:tcPr>
          <w:p w:rsidR="006852E3" w:rsidRDefault="00C30DF6">
            <w:pPr>
              <w:jc w:val="center"/>
            </w:pPr>
            <w:r>
              <w:rPr>
                <w:color w:val="000000"/>
                <w:sz w:val="24"/>
              </w:rPr>
              <w:t>汇金</w:t>
            </w:r>
            <w:r>
              <w:rPr>
                <w:color w:val="000000"/>
                <w:sz w:val="24"/>
              </w:rPr>
              <w:t>1B</w:t>
            </w:r>
          </w:p>
        </w:tc>
        <w:tc>
          <w:tcPr>
            <w:tcW w:w="1590" w:type="dxa"/>
            <w:vAlign w:val="center"/>
          </w:tcPr>
          <w:p w:rsidR="006852E3" w:rsidRDefault="00C30DF6">
            <w:pPr>
              <w:jc w:val="right"/>
            </w:pPr>
            <w:r>
              <w:rPr>
                <w:color w:val="000000"/>
                <w:sz w:val="24"/>
              </w:rPr>
              <w:t>180,000</w:t>
            </w:r>
          </w:p>
        </w:tc>
        <w:tc>
          <w:tcPr>
            <w:tcW w:w="1684" w:type="dxa"/>
            <w:vAlign w:val="center"/>
          </w:tcPr>
          <w:p w:rsidR="006852E3" w:rsidRDefault="00C30DF6">
            <w:pPr>
              <w:jc w:val="right"/>
            </w:pPr>
            <w:r>
              <w:rPr>
                <w:color w:val="000000"/>
                <w:sz w:val="24"/>
              </w:rPr>
              <w:t>18,000,000.00</w:t>
            </w:r>
          </w:p>
        </w:tc>
        <w:tc>
          <w:tcPr>
            <w:tcW w:w="1709" w:type="dxa"/>
            <w:vAlign w:val="center"/>
          </w:tcPr>
          <w:p w:rsidR="006852E3" w:rsidRDefault="00C30DF6">
            <w:pPr>
              <w:jc w:val="right"/>
            </w:pPr>
            <w:r>
              <w:rPr>
                <w:color w:val="000000"/>
                <w:sz w:val="24"/>
              </w:rPr>
              <w:t>4.05</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48,734.23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9,078,789.84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9,127,524.07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D96B80">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614945" w:rsidRPr="005C672D" w:rsidTr="0061494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852E3" w:rsidRDefault="00C30DF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614945" w:rsidRPr="005C672D" w:rsidTr="0061494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852E3" w:rsidRDefault="006852E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614945" w:rsidRPr="005C672D" w:rsidTr="0061494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852E3" w:rsidRDefault="006852E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614945" w:rsidRPr="005C672D" w:rsidTr="0061494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852E3" w:rsidRDefault="00C30DF6">
            <w:pPr>
              <w:jc w:val="center"/>
            </w:pPr>
            <w:r>
              <w:rPr>
                <w:bCs/>
                <w:color w:val="000000"/>
                <w:sz w:val="24"/>
              </w:rPr>
              <w:t>2,244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195,468.21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80,043.20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438,550,622.59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99.98%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58,012.69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r w:rsidRPr="005C672D">
        <w:rPr>
          <w:b/>
          <w:bCs/>
          <w:szCs w:val="24"/>
          <w:lang w:val="en-US"/>
        </w:rPr>
        <w:t xml:space="preserve">9  </w:t>
      </w:r>
      <w:r w:rsidRPr="005C672D">
        <w:rPr>
          <w:b/>
          <w:bCs/>
          <w:szCs w:val="24"/>
          <w:lang w:val="en-US"/>
        </w:rPr>
        <w:t>重大事件揭示</w:t>
      </w:r>
      <w:bookmarkEnd w:id="75"/>
      <w:bookmarkEnd w:id="76"/>
    </w:p>
    <w:p w:rsidR="001548F9" w:rsidRPr="005C672D" w:rsidRDefault="001548F9" w:rsidP="00AC6DDA">
      <w:pPr>
        <w:pStyle w:val="20"/>
        <w:spacing w:before="29" w:after="0" w:line="288" w:lineRule="auto"/>
        <w:rPr>
          <w:rFonts w:ascii="Times New Roman" w:hAnsi="Times New Roman"/>
          <w:kern w:val="0"/>
          <w:szCs w:val="24"/>
        </w:rPr>
      </w:pPr>
      <w:bookmarkStart w:id="77" w:name="_Toc331410117"/>
      <w:r w:rsidRPr="005C672D">
        <w:rPr>
          <w:rFonts w:ascii="Times New Roman" w:hAnsi="Times New Roman"/>
          <w:kern w:val="0"/>
          <w:szCs w:val="24"/>
        </w:rPr>
        <w:t xml:space="preserve">9.1 </w:t>
      </w:r>
      <w:r w:rsidRPr="005C672D">
        <w:rPr>
          <w:rFonts w:ascii="Times New Roman" w:hAnsi="Times New Roman"/>
          <w:kern w:val="0"/>
          <w:szCs w:val="24"/>
        </w:rPr>
        <w:t>基金份额持有人大会决议</w:t>
      </w:r>
      <w:bookmarkEnd w:id="77"/>
    </w:p>
    <w:p w:rsidR="001548F9" w:rsidRPr="005C672D" w:rsidRDefault="001548F9" w:rsidP="00AC6DDA">
      <w:pPr>
        <w:spacing w:before="29" w:line="288" w:lineRule="auto"/>
        <w:ind w:firstLineChars="200" w:firstLine="480"/>
        <w:rPr>
          <w:color w:val="000000"/>
          <w:sz w:val="24"/>
        </w:rPr>
      </w:pPr>
      <w:bookmarkStart w:id="78"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9.2 </w:t>
      </w:r>
      <w:r w:rsidRPr="005C672D">
        <w:rPr>
          <w:rFonts w:ascii="Times New Roman" w:hAnsi="Times New Roman"/>
          <w:kern w:val="0"/>
          <w:szCs w:val="24"/>
        </w:rPr>
        <w:t>基金管理人、基金托管人的专门基金托管部门的重大人事变动</w:t>
      </w:r>
      <w:bookmarkEnd w:id="78"/>
    </w:p>
    <w:p w:rsidR="006852E3" w:rsidRDefault="00C30DF6">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79"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9.3 </w:t>
      </w:r>
      <w:r w:rsidRPr="005C672D">
        <w:rPr>
          <w:rFonts w:ascii="Times New Roman" w:hAnsi="Times New Roman"/>
          <w:kern w:val="0"/>
          <w:szCs w:val="24"/>
        </w:rPr>
        <w:t>涉及基金管理人、基金财产、基金托管业务的诉讼</w:t>
      </w:r>
      <w:bookmarkEnd w:id="79"/>
    </w:p>
    <w:p w:rsidR="001548F9" w:rsidRPr="005C672D" w:rsidRDefault="001548F9" w:rsidP="00AC6DDA">
      <w:pPr>
        <w:spacing w:before="29" w:line="288" w:lineRule="auto"/>
        <w:ind w:firstLineChars="200" w:firstLine="480"/>
        <w:rPr>
          <w:color w:val="000000"/>
          <w:sz w:val="24"/>
        </w:rPr>
      </w:pPr>
      <w:bookmarkStart w:id="80"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9.4 </w:t>
      </w:r>
      <w:r w:rsidRPr="005C672D">
        <w:rPr>
          <w:rFonts w:ascii="Times New Roman" w:hAnsi="Times New Roman"/>
          <w:kern w:val="0"/>
          <w:szCs w:val="24"/>
        </w:rPr>
        <w:t>基金投资策略的改变</w:t>
      </w:r>
      <w:bookmarkEnd w:id="80"/>
    </w:p>
    <w:p w:rsidR="001548F9" w:rsidRPr="005C672D" w:rsidRDefault="001548F9" w:rsidP="00AC6DDA">
      <w:pPr>
        <w:spacing w:before="29" w:line="288" w:lineRule="auto"/>
        <w:ind w:firstLineChars="200" w:firstLine="480"/>
        <w:rPr>
          <w:color w:val="000000"/>
          <w:sz w:val="24"/>
        </w:rPr>
      </w:pPr>
      <w:bookmarkStart w:id="81"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9.5</w:t>
      </w:r>
      <w:bookmarkEnd w:id="81"/>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2" w:name="OLE_LINK3"/>
      <w:bookmarkStart w:id="83"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2"/>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9.6</w:t>
      </w:r>
      <w:bookmarkEnd w:id="83"/>
      <w:r w:rsidR="00062814" w:rsidRPr="005C672D">
        <w:rPr>
          <w:rFonts w:ascii="Times New Roman" w:hAnsi="Times New Roman"/>
          <w:szCs w:val="24"/>
        </w:rPr>
        <w:t>管理人、托管人及其高级管理人员受稽查或处罚等情况</w:t>
      </w:r>
    </w:p>
    <w:p w:rsidR="006852E3" w:rsidRDefault="00C30DF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852E3" w:rsidRDefault="00C30DF6">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6852E3" w:rsidRDefault="00C30DF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4"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9.7 </w:t>
      </w:r>
      <w:r w:rsidRPr="005C672D">
        <w:rPr>
          <w:rFonts w:ascii="Times New Roman" w:hAnsi="Times New Roman"/>
          <w:kern w:val="0"/>
          <w:szCs w:val="24"/>
        </w:rPr>
        <w:t>基金租用证券公司交易单元的有关情况</w:t>
      </w:r>
      <w:bookmarkEnd w:id="84"/>
    </w:p>
    <w:p w:rsidR="001548F9" w:rsidRPr="005C672D" w:rsidRDefault="001548F9" w:rsidP="00AC6DDA">
      <w:pPr>
        <w:spacing w:before="29" w:line="288" w:lineRule="auto"/>
        <w:rPr>
          <w:b/>
          <w:sz w:val="24"/>
        </w:rPr>
      </w:pPr>
      <w:bookmarkStart w:id="85" w:name="_Toc249760070"/>
      <w:r w:rsidRPr="005C672D">
        <w:rPr>
          <w:b/>
          <w:sz w:val="24"/>
        </w:rPr>
        <w:t xml:space="preserve">9.7.1 </w:t>
      </w:r>
      <w:r w:rsidRPr="005C672D">
        <w:rPr>
          <w:b/>
          <w:sz w:val="24"/>
        </w:rPr>
        <w:t>基金租用证券公司交易单元进行股票投资及佣金支付情况</w:t>
      </w:r>
      <w:bookmarkEnd w:id="85"/>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6"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6852E3">
        <w:tc>
          <w:tcPr>
            <w:tcW w:w="1559" w:type="dxa"/>
            <w:vAlign w:val="center"/>
          </w:tcPr>
          <w:p w:rsidR="006852E3" w:rsidRDefault="00C30DF6">
            <w:pPr>
              <w:jc w:val="center"/>
            </w:pPr>
            <w:r>
              <w:rPr>
                <w:color w:val="000000"/>
                <w:sz w:val="24"/>
              </w:rPr>
              <w:t>安信证券股份有限公司</w:t>
            </w:r>
          </w:p>
        </w:tc>
        <w:tc>
          <w:tcPr>
            <w:tcW w:w="779" w:type="dxa"/>
            <w:vAlign w:val="center"/>
          </w:tcPr>
          <w:p w:rsidR="006852E3" w:rsidRDefault="00C30DF6">
            <w:pPr>
              <w:jc w:val="center"/>
            </w:pPr>
            <w:r>
              <w:rPr>
                <w:color w:val="000000"/>
                <w:sz w:val="24"/>
              </w:rPr>
              <w:t>2</w:t>
            </w:r>
          </w:p>
        </w:tc>
        <w:tc>
          <w:tcPr>
            <w:tcW w:w="1800" w:type="dxa"/>
            <w:vAlign w:val="center"/>
          </w:tcPr>
          <w:p w:rsidR="006852E3" w:rsidRDefault="00C30DF6">
            <w:pPr>
              <w:jc w:val="right"/>
            </w:pPr>
            <w:r>
              <w:rPr>
                <w:color w:val="000000"/>
                <w:sz w:val="24"/>
              </w:rPr>
              <w:t>-</w:t>
            </w:r>
          </w:p>
        </w:tc>
        <w:tc>
          <w:tcPr>
            <w:tcW w:w="1080" w:type="dxa"/>
            <w:vAlign w:val="center"/>
          </w:tcPr>
          <w:p w:rsidR="006852E3" w:rsidRDefault="00C30DF6">
            <w:pPr>
              <w:jc w:val="right"/>
            </w:pPr>
            <w:r>
              <w:rPr>
                <w:color w:val="000000"/>
                <w:sz w:val="24"/>
              </w:rPr>
              <w:t>-</w:t>
            </w:r>
          </w:p>
        </w:tc>
        <w:tc>
          <w:tcPr>
            <w:tcW w:w="1620" w:type="dxa"/>
            <w:vAlign w:val="center"/>
          </w:tcPr>
          <w:p w:rsidR="006852E3" w:rsidRDefault="00C30DF6">
            <w:pPr>
              <w:jc w:val="right"/>
            </w:pPr>
            <w:r>
              <w:rPr>
                <w:color w:val="000000"/>
                <w:sz w:val="24"/>
              </w:rPr>
              <w:t>0.00</w:t>
            </w:r>
          </w:p>
        </w:tc>
        <w:tc>
          <w:tcPr>
            <w:tcW w:w="1080" w:type="dxa"/>
            <w:vAlign w:val="center"/>
          </w:tcPr>
          <w:p w:rsidR="006852E3" w:rsidRDefault="00C30DF6">
            <w:pPr>
              <w:jc w:val="right"/>
            </w:pPr>
            <w:r>
              <w:rPr>
                <w:color w:val="000000"/>
                <w:sz w:val="24"/>
              </w:rPr>
              <w:t>0.00%</w:t>
            </w:r>
          </w:p>
        </w:tc>
        <w:tc>
          <w:tcPr>
            <w:tcW w:w="1080" w:type="dxa"/>
            <w:vAlign w:val="center"/>
          </w:tcPr>
          <w:p w:rsidR="006852E3" w:rsidRDefault="00C30DF6">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9.7.2 </w:t>
      </w:r>
      <w:r w:rsidRPr="005C672D">
        <w:rPr>
          <w:b/>
          <w:sz w:val="24"/>
        </w:rPr>
        <w:t>基金租用证券公司交易单元进行其他证券投资的情况</w:t>
      </w:r>
      <w:bookmarkEnd w:id="86"/>
    </w:p>
    <w:p w:rsidR="001548F9" w:rsidRPr="005C672D" w:rsidRDefault="001548F9" w:rsidP="00AC6DDA">
      <w:pPr>
        <w:spacing w:before="29" w:line="288" w:lineRule="auto"/>
        <w:ind w:firstLine="420"/>
        <w:jc w:val="right"/>
        <w:rPr>
          <w:color w:val="000000"/>
          <w:sz w:val="24"/>
        </w:rPr>
      </w:pPr>
      <w:bookmarkStart w:id="87"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6852E3">
        <w:tc>
          <w:tcPr>
            <w:tcW w:w="1559" w:type="dxa"/>
            <w:vAlign w:val="center"/>
          </w:tcPr>
          <w:p w:rsidR="006852E3" w:rsidRDefault="00C30DF6">
            <w:pPr>
              <w:jc w:val="left"/>
            </w:pPr>
            <w:r>
              <w:rPr>
                <w:color w:val="000000"/>
                <w:sz w:val="24"/>
              </w:rPr>
              <w:t>安信证券股份有限公司</w:t>
            </w:r>
          </w:p>
        </w:tc>
        <w:tc>
          <w:tcPr>
            <w:tcW w:w="1319" w:type="dxa"/>
            <w:vAlign w:val="center"/>
          </w:tcPr>
          <w:p w:rsidR="006852E3" w:rsidRDefault="00C30DF6">
            <w:pPr>
              <w:jc w:val="right"/>
            </w:pPr>
            <w:r>
              <w:rPr>
                <w:color w:val="000000"/>
                <w:sz w:val="24"/>
              </w:rPr>
              <w:t>274,400,884.36</w:t>
            </w:r>
          </w:p>
        </w:tc>
        <w:tc>
          <w:tcPr>
            <w:tcW w:w="1080" w:type="dxa"/>
            <w:vAlign w:val="center"/>
          </w:tcPr>
          <w:p w:rsidR="006852E3" w:rsidRDefault="00C30DF6">
            <w:pPr>
              <w:jc w:val="right"/>
            </w:pPr>
            <w:r>
              <w:rPr>
                <w:color w:val="000000"/>
                <w:sz w:val="24"/>
              </w:rPr>
              <w:t>100.00%</w:t>
            </w:r>
          </w:p>
        </w:tc>
        <w:tc>
          <w:tcPr>
            <w:tcW w:w="1143" w:type="dxa"/>
            <w:vAlign w:val="center"/>
          </w:tcPr>
          <w:p w:rsidR="006852E3" w:rsidRDefault="00C30DF6">
            <w:pPr>
              <w:jc w:val="right"/>
            </w:pPr>
            <w:r>
              <w:rPr>
                <w:color w:val="000000"/>
                <w:sz w:val="24"/>
              </w:rPr>
              <w:t>15,545,239,000.00</w:t>
            </w:r>
          </w:p>
        </w:tc>
        <w:tc>
          <w:tcPr>
            <w:tcW w:w="1197" w:type="dxa"/>
            <w:vAlign w:val="center"/>
          </w:tcPr>
          <w:p w:rsidR="006852E3" w:rsidRDefault="00C30DF6">
            <w:pPr>
              <w:jc w:val="right"/>
            </w:pPr>
            <w:r>
              <w:rPr>
                <w:color w:val="000000"/>
                <w:sz w:val="24"/>
              </w:rPr>
              <w:t>100.00%</w:t>
            </w:r>
          </w:p>
        </w:tc>
        <w:tc>
          <w:tcPr>
            <w:tcW w:w="1497" w:type="dxa"/>
            <w:vAlign w:val="center"/>
          </w:tcPr>
          <w:p w:rsidR="006852E3" w:rsidRDefault="00C30DF6">
            <w:pPr>
              <w:jc w:val="right"/>
            </w:pPr>
            <w:r>
              <w:rPr>
                <w:color w:val="000000"/>
                <w:sz w:val="24"/>
              </w:rPr>
              <w:t>-</w:t>
            </w:r>
          </w:p>
        </w:tc>
        <w:tc>
          <w:tcPr>
            <w:tcW w:w="1203" w:type="dxa"/>
            <w:vAlign w:val="center"/>
          </w:tcPr>
          <w:p w:rsidR="006852E3" w:rsidRDefault="00C30DF6">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6852E3" w:rsidRDefault="00C30DF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6852E3" w:rsidRDefault="00C30DF6">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2D" w:rsidRDefault="009F192D">
      <w:r>
        <w:separator/>
      </w:r>
    </w:p>
  </w:endnote>
  <w:endnote w:type="continuationSeparator" w:id="0">
    <w:p w:rsidR="009F192D" w:rsidRDefault="009F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320610">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320610">
      <w:rPr>
        <w:noProof/>
        <w:kern w:val="0"/>
        <w:szCs w:val="21"/>
      </w:rPr>
      <w:t>28</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2D" w:rsidRDefault="009F192D">
      <w:r>
        <w:separator/>
      </w:r>
    </w:p>
  </w:footnote>
  <w:footnote w:type="continuationSeparator" w:id="0">
    <w:p w:rsidR="009F192D" w:rsidRDefault="009F1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交银施罗德丰硕收益债券型证券投资基金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610"/>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945"/>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52E3"/>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2D1C"/>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192D"/>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0DF6"/>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6B80"/>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3DDB-7394-47C4-91DC-F44AEF58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28</Pages>
  <Words>2987</Words>
  <Characters>17026</Characters>
  <Application>Microsoft Office Word</Application>
  <DocSecurity>0</DocSecurity>
  <Lines>141</Lines>
  <Paragraphs>39</Paragraphs>
  <ScaleCrop>false</ScaleCrop>
  <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1247</cp:revision>
  <cp:lastPrinted>2007-07-19T00:46:00Z</cp:lastPrinted>
  <dcterms:created xsi:type="dcterms:W3CDTF">2013-08-19T07:44:00Z</dcterms:created>
  <dcterms:modified xsi:type="dcterms:W3CDTF">2016-08-25T09:53:00Z</dcterms:modified>
</cp:coreProperties>
</file>