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交银施罗德信用添利债券证券投资基金（</w:t>
      </w:r>
      <w:r w:rsidRPr="005C672D">
        <w:rPr>
          <w:b/>
          <w:sz w:val="36"/>
          <w:szCs w:val="36"/>
        </w:rPr>
        <w:t>LOF</w:t>
      </w:r>
      <w:r w:rsidRPr="005C672D">
        <w:rPr>
          <w:b/>
          <w:sz w:val="36"/>
          <w:szCs w:val="36"/>
        </w:rPr>
        <w:t>）</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交银信用添利债券（</w:t>
            </w:r>
            <w:r w:rsidRPr="005C672D">
              <w:rPr>
                <w:sz w:val="24"/>
              </w:rPr>
              <w:t>LOF</w:t>
            </w:r>
            <w:r w:rsidRPr="005C672D">
              <w:rPr>
                <w:sz w:val="24"/>
              </w:rPr>
              <w:t>）</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gridSpan w:val="2"/>
            <w:vAlign w:val="center"/>
          </w:tcPr>
          <w:p w:rsidR="005914A2" w:rsidRPr="005C672D" w:rsidRDefault="005914A2" w:rsidP="00DB5718">
            <w:pPr>
              <w:spacing w:before="29" w:line="288" w:lineRule="auto"/>
              <w:jc w:val="center"/>
              <w:rPr>
                <w:sz w:val="24"/>
              </w:rPr>
            </w:pPr>
            <w:r w:rsidRPr="005C672D">
              <w:rPr>
                <w:sz w:val="24"/>
              </w:rPr>
              <w:t>交银添利</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164902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164902(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164903(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上市契约型开放式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106,644,181.75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4</w:t>
            </w:r>
            <w:r w:rsidRPr="005C672D">
              <w:rPr>
                <w:sz w:val="24"/>
              </w:rPr>
              <w:t>月</w:t>
            </w:r>
            <w:r w:rsidRPr="005C672D">
              <w:rPr>
                <w:sz w:val="24"/>
              </w:rPr>
              <w:t>20</w:t>
            </w:r>
            <w:r w:rsidRPr="005C672D">
              <w:rPr>
                <w:sz w:val="24"/>
              </w:rPr>
              <w:t>日</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注：根据本基金《基金合同》及《招募说明书》的相关规定，本基金在基金合同生效之日起三年</w:t>
      </w:r>
      <w:r w:rsidRPr="005C672D">
        <w:rPr>
          <w:kern w:val="0"/>
          <w:sz w:val="24"/>
        </w:rPr>
        <w:t>(</w:t>
      </w:r>
      <w:r w:rsidRPr="005C672D">
        <w:rPr>
          <w:kern w:val="0"/>
          <w:sz w:val="24"/>
        </w:rPr>
        <w:t>含三年</w:t>
      </w:r>
      <w:r w:rsidRPr="005C672D">
        <w:rPr>
          <w:kern w:val="0"/>
          <w:sz w:val="24"/>
        </w:rPr>
        <w:t>)</w:t>
      </w:r>
      <w:r w:rsidRPr="005C672D">
        <w:rPr>
          <w:kern w:val="0"/>
          <w:sz w:val="24"/>
        </w:rPr>
        <w:t>的期间内，采取封闭式运作，在深圳证券交易所上市交易，封闭期结束后转为上市开放式基金（</w:t>
      </w:r>
      <w:r w:rsidRPr="005C672D">
        <w:rPr>
          <w:kern w:val="0"/>
          <w:sz w:val="24"/>
        </w:rPr>
        <w:t>LOF</w:t>
      </w:r>
      <w:r w:rsidRPr="005C672D">
        <w:rPr>
          <w:kern w:val="0"/>
          <w:sz w:val="24"/>
        </w:rPr>
        <w:t>）。本基金封闭期自</w:t>
      </w:r>
      <w:r w:rsidRPr="005C672D">
        <w:rPr>
          <w:kern w:val="0"/>
          <w:sz w:val="24"/>
        </w:rPr>
        <w:t>2011</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w:t>
      </w:r>
      <w:r w:rsidRPr="005C672D">
        <w:rPr>
          <w:kern w:val="0"/>
          <w:sz w:val="24"/>
        </w:rPr>
        <w:t>(</w:t>
      </w:r>
      <w:r w:rsidRPr="005C672D">
        <w:rPr>
          <w:kern w:val="0"/>
          <w:sz w:val="24"/>
        </w:rPr>
        <w:t>基金合同生效日</w:t>
      </w:r>
      <w:r w:rsidRPr="005C672D">
        <w:rPr>
          <w:kern w:val="0"/>
          <w:sz w:val="24"/>
        </w:rPr>
        <w:t>)</w:t>
      </w:r>
      <w:r w:rsidRPr="005C672D">
        <w:rPr>
          <w:kern w:val="0"/>
          <w:sz w:val="24"/>
        </w:rPr>
        <w:t>起至</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日止，自</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28</w:t>
      </w:r>
      <w:r w:rsidRPr="005C672D">
        <w:rPr>
          <w:kern w:val="0"/>
          <w:sz w:val="24"/>
        </w:rPr>
        <w:t>日起基金运作方式转为</w:t>
      </w:r>
      <w:r w:rsidRPr="005C672D">
        <w:rPr>
          <w:kern w:val="0"/>
          <w:sz w:val="24"/>
        </w:rPr>
        <w:t>“</w:t>
      </w:r>
      <w:r w:rsidRPr="005C672D">
        <w:rPr>
          <w:kern w:val="0"/>
          <w:sz w:val="24"/>
        </w:rPr>
        <w:t>上市契约型开放式</w:t>
      </w:r>
      <w:r w:rsidRPr="005C672D">
        <w:rPr>
          <w:kern w:val="0"/>
          <w:sz w:val="24"/>
        </w:rPr>
        <w:t>”</w:t>
      </w:r>
      <w:r w:rsidRPr="005C672D">
        <w:rPr>
          <w:kern w:val="0"/>
          <w:sz w:val="24"/>
        </w:rPr>
        <w:t>，并于同日起开放本基金的申购、赎回业务。本基金在募集期仅开通前端基金份额的认购，转为上市开放式基金（</w:t>
      </w:r>
      <w:r w:rsidRPr="005C672D">
        <w:rPr>
          <w:kern w:val="0"/>
          <w:sz w:val="24"/>
        </w:rPr>
        <w:t>LOF</w:t>
      </w:r>
      <w:r w:rsidRPr="005C672D">
        <w:rPr>
          <w:kern w:val="0"/>
          <w:sz w:val="24"/>
        </w:rPr>
        <w:t>）后同时开通前端基金份额和后端基金份额的申购和赎回。</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80%×</w:t>
            </w:r>
            <w:r w:rsidRPr="005C672D">
              <w:rPr>
                <w:sz w:val="24"/>
              </w:rPr>
              <w:t>中债企业债总全价指数收益率</w:t>
            </w:r>
            <w:r w:rsidRPr="005C672D">
              <w:rPr>
                <w:sz w:val="24"/>
              </w:rPr>
              <w:t>+20%×</w:t>
            </w:r>
            <w:r w:rsidRPr="005C672D">
              <w:rPr>
                <w:sz w:val="24"/>
              </w:rPr>
              <w:t>中债国债总全价指数收益率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本基金是一只债券型基金，属于证券投资基金中中等风险的品种，其长期平均的预期收益和风险高于货币市场基金，低于混合型基金和股票型基金。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3,334,859.06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1,547,094.00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0.0129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1.13%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143,045,967.26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1.341</w:t>
            </w:r>
          </w:p>
        </w:tc>
      </w:tr>
    </w:tbl>
    <w:bookmarkEnd w:id="14"/>
    <w:bookmarkEnd w:id="15"/>
    <w:p w:rsidR="000F6F5A" w:rsidRDefault="000E366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0F6F5A">
        <w:tc>
          <w:tcPr>
            <w:tcW w:w="1497" w:type="dxa"/>
            <w:vAlign w:val="center"/>
          </w:tcPr>
          <w:p w:rsidR="000F6F5A" w:rsidRDefault="000E366D">
            <w:pPr>
              <w:jc w:val="left"/>
            </w:pPr>
            <w:r>
              <w:rPr>
                <w:color w:val="000000"/>
                <w:sz w:val="24"/>
              </w:rPr>
              <w:t>过去一个月</w:t>
            </w:r>
          </w:p>
        </w:tc>
        <w:tc>
          <w:tcPr>
            <w:tcW w:w="1251" w:type="dxa"/>
            <w:vAlign w:val="center"/>
          </w:tcPr>
          <w:p w:rsidR="000F6F5A" w:rsidRDefault="000E366D">
            <w:pPr>
              <w:jc w:val="center"/>
            </w:pPr>
            <w:r>
              <w:rPr>
                <w:color w:val="000000"/>
                <w:sz w:val="24"/>
              </w:rPr>
              <w:t>0.60%</w:t>
            </w:r>
          </w:p>
        </w:tc>
        <w:tc>
          <w:tcPr>
            <w:tcW w:w="1250" w:type="dxa"/>
            <w:vAlign w:val="center"/>
          </w:tcPr>
          <w:p w:rsidR="000F6F5A" w:rsidRDefault="000E366D">
            <w:pPr>
              <w:jc w:val="center"/>
            </w:pPr>
            <w:r>
              <w:rPr>
                <w:color w:val="000000"/>
                <w:sz w:val="24"/>
              </w:rPr>
              <w:t>0.06%</w:t>
            </w:r>
          </w:p>
        </w:tc>
        <w:tc>
          <w:tcPr>
            <w:tcW w:w="1250" w:type="dxa"/>
            <w:vAlign w:val="center"/>
          </w:tcPr>
          <w:p w:rsidR="000F6F5A" w:rsidRDefault="000E366D">
            <w:pPr>
              <w:jc w:val="center"/>
            </w:pPr>
            <w:r>
              <w:rPr>
                <w:color w:val="000000"/>
                <w:sz w:val="24"/>
              </w:rPr>
              <w:t>0.17%</w:t>
            </w:r>
          </w:p>
        </w:tc>
        <w:tc>
          <w:tcPr>
            <w:tcW w:w="1250" w:type="dxa"/>
            <w:vAlign w:val="center"/>
          </w:tcPr>
          <w:p w:rsidR="000F6F5A" w:rsidRDefault="000E366D">
            <w:pPr>
              <w:jc w:val="center"/>
            </w:pPr>
            <w:r>
              <w:rPr>
                <w:color w:val="000000"/>
                <w:sz w:val="24"/>
              </w:rPr>
              <w:t>0.05%</w:t>
            </w:r>
          </w:p>
        </w:tc>
        <w:tc>
          <w:tcPr>
            <w:tcW w:w="1250" w:type="dxa"/>
            <w:vAlign w:val="center"/>
          </w:tcPr>
          <w:p w:rsidR="000F6F5A" w:rsidRDefault="000E366D">
            <w:pPr>
              <w:jc w:val="center"/>
            </w:pPr>
            <w:r>
              <w:rPr>
                <w:color w:val="000000"/>
                <w:sz w:val="24"/>
              </w:rPr>
              <w:t>0.43%</w:t>
            </w:r>
          </w:p>
        </w:tc>
        <w:tc>
          <w:tcPr>
            <w:tcW w:w="1250" w:type="dxa"/>
            <w:vAlign w:val="center"/>
          </w:tcPr>
          <w:p w:rsidR="000F6F5A" w:rsidRDefault="000E366D">
            <w:pPr>
              <w:jc w:val="center"/>
            </w:pPr>
            <w:r>
              <w:rPr>
                <w:color w:val="000000"/>
                <w:sz w:val="24"/>
              </w:rPr>
              <w:t>0.01%</w:t>
            </w:r>
          </w:p>
        </w:tc>
      </w:tr>
      <w:tr w:rsidR="000F6F5A">
        <w:tc>
          <w:tcPr>
            <w:tcW w:w="1497" w:type="dxa"/>
            <w:vAlign w:val="center"/>
          </w:tcPr>
          <w:p w:rsidR="000F6F5A" w:rsidRDefault="000E366D">
            <w:pPr>
              <w:jc w:val="left"/>
            </w:pPr>
            <w:r>
              <w:rPr>
                <w:color w:val="000000"/>
                <w:sz w:val="24"/>
              </w:rPr>
              <w:t>过去三个月</w:t>
            </w:r>
          </w:p>
        </w:tc>
        <w:tc>
          <w:tcPr>
            <w:tcW w:w="1251" w:type="dxa"/>
            <w:vAlign w:val="center"/>
          </w:tcPr>
          <w:p w:rsidR="000F6F5A" w:rsidRDefault="000E366D">
            <w:pPr>
              <w:jc w:val="center"/>
            </w:pPr>
            <w:r>
              <w:rPr>
                <w:color w:val="000000"/>
                <w:sz w:val="24"/>
              </w:rPr>
              <w:t>-0.07%</w:t>
            </w:r>
          </w:p>
        </w:tc>
        <w:tc>
          <w:tcPr>
            <w:tcW w:w="1250" w:type="dxa"/>
            <w:vAlign w:val="center"/>
          </w:tcPr>
          <w:p w:rsidR="000F6F5A" w:rsidRDefault="000E366D">
            <w:pPr>
              <w:jc w:val="center"/>
            </w:pPr>
            <w:r>
              <w:rPr>
                <w:color w:val="000000"/>
                <w:sz w:val="24"/>
              </w:rPr>
              <w:t>0.08%</w:t>
            </w:r>
          </w:p>
        </w:tc>
        <w:tc>
          <w:tcPr>
            <w:tcW w:w="1250" w:type="dxa"/>
            <w:vAlign w:val="center"/>
          </w:tcPr>
          <w:p w:rsidR="000F6F5A" w:rsidRDefault="000E366D">
            <w:pPr>
              <w:jc w:val="center"/>
            </w:pPr>
            <w:r>
              <w:rPr>
                <w:color w:val="000000"/>
                <w:sz w:val="24"/>
              </w:rPr>
              <w:t>-1.93%</w:t>
            </w:r>
          </w:p>
        </w:tc>
        <w:tc>
          <w:tcPr>
            <w:tcW w:w="1250" w:type="dxa"/>
            <w:vAlign w:val="center"/>
          </w:tcPr>
          <w:p w:rsidR="000F6F5A" w:rsidRDefault="000E366D">
            <w:pPr>
              <w:jc w:val="center"/>
            </w:pPr>
            <w:r>
              <w:rPr>
                <w:color w:val="000000"/>
                <w:sz w:val="24"/>
              </w:rPr>
              <w:t>0.10%</w:t>
            </w:r>
          </w:p>
        </w:tc>
        <w:tc>
          <w:tcPr>
            <w:tcW w:w="1250" w:type="dxa"/>
            <w:vAlign w:val="center"/>
          </w:tcPr>
          <w:p w:rsidR="000F6F5A" w:rsidRDefault="000E366D">
            <w:pPr>
              <w:jc w:val="center"/>
            </w:pPr>
            <w:r>
              <w:rPr>
                <w:color w:val="000000"/>
                <w:sz w:val="24"/>
              </w:rPr>
              <w:t>1.86%</w:t>
            </w:r>
          </w:p>
        </w:tc>
        <w:tc>
          <w:tcPr>
            <w:tcW w:w="1250" w:type="dxa"/>
            <w:vAlign w:val="center"/>
          </w:tcPr>
          <w:p w:rsidR="000F6F5A" w:rsidRDefault="000E366D">
            <w:pPr>
              <w:jc w:val="center"/>
            </w:pPr>
            <w:r>
              <w:rPr>
                <w:color w:val="000000"/>
                <w:sz w:val="24"/>
              </w:rPr>
              <w:t>-0.02%</w:t>
            </w:r>
          </w:p>
        </w:tc>
      </w:tr>
      <w:tr w:rsidR="000F6F5A">
        <w:tc>
          <w:tcPr>
            <w:tcW w:w="1497" w:type="dxa"/>
            <w:vAlign w:val="center"/>
          </w:tcPr>
          <w:p w:rsidR="000F6F5A" w:rsidRDefault="000E366D">
            <w:pPr>
              <w:jc w:val="left"/>
            </w:pPr>
            <w:r>
              <w:rPr>
                <w:color w:val="000000"/>
                <w:sz w:val="24"/>
              </w:rPr>
              <w:t>过去六个月</w:t>
            </w:r>
          </w:p>
        </w:tc>
        <w:tc>
          <w:tcPr>
            <w:tcW w:w="1251" w:type="dxa"/>
            <w:vAlign w:val="center"/>
          </w:tcPr>
          <w:p w:rsidR="000F6F5A" w:rsidRDefault="000E366D">
            <w:pPr>
              <w:jc w:val="center"/>
            </w:pPr>
            <w:r>
              <w:rPr>
                <w:color w:val="000000"/>
                <w:sz w:val="24"/>
              </w:rPr>
              <w:t>1.13%</w:t>
            </w:r>
          </w:p>
        </w:tc>
        <w:tc>
          <w:tcPr>
            <w:tcW w:w="1250" w:type="dxa"/>
            <w:vAlign w:val="center"/>
          </w:tcPr>
          <w:p w:rsidR="000F6F5A" w:rsidRDefault="000E366D">
            <w:pPr>
              <w:jc w:val="center"/>
            </w:pPr>
            <w:r>
              <w:rPr>
                <w:color w:val="000000"/>
                <w:sz w:val="24"/>
              </w:rPr>
              <w:t>0.08%</w:t>
            </w:r>
          </w:p>
        </w:tc>
        <w:tc>
          <w:tcPr>
            <w:tcW w:w="1250" w:type="dxa"/>
            <w:vAlign w:val="center"/>
          </w:tcPr>
          <w:p w:rsidR="000F6F5A" w:rsidRDefault="000E366D">
            <w:pPr>
              <w:jc w:val="center"/>
            </w:pPr>
            <w:r>
              <w:rPr>
                <w:color w:val="000000"/>
                <w:sz w:val="24"/>
              </w:rPr>
              <w:t>-2.72%</w:t>
            </w:r>
          </w:p>
        </w:tc>
        <w:tc>
          <w:tcPr>
            <w:tcW w:w="1250" w:type="dxa"/>
            <w:vAlign w:val="center"/>
          </w:tcPr>
          <w:p w:rsidR="000F6F5A" w:rsidRDefault="000E366D">
            <w:pPr>
              <w:jc w:val="center"/>
            </w:pPr>
            <w:r>
              <w:rPr>
                <w:color w:val="000000"/>
                <w:sz w:val="24"/>
              </w:rPr>
              <w:t>0.09%</w:t>
            </w:r>
          </w:p>
        </w:tc>
        <w:tc>
          <w:tcPr>
            <w:tcW w:w="1250" w:type="dxa"/>
            <w:vAlign w:val="center"/>
          </w:tcPr>
          <w:p w:rsidR="000F6F5A" w:rsidRDefault="000E366D">
            <w:pPr>
              <w:jc w:val="center"/>
            </w:pPr>
            <w:r>
              <w:rPr>
                <w:color w:val="000000"/>
                <w:sz w:val="24"/>
              </w:rPr>
              <w:t>3.85%</w:t>
            </w:r>
          </w:p>
        </w:tc>
        <w:tc>
          <w:tcPr>
            <w:tcW w:w="1250" w:type="dxa"/>
            <w:vAlign w:val="center"/>
          </w:tcPr>
          <w:p w:rsidR="000F6F5A" w:rsidRDefault="000E366D">
            <w:pPr>
              <w:jc w:val="center"/>
            </w:pPr>
            <w:r>
              <w:rPr>
                <w:color w:val="000000"/>
                <w:sz w:val="24"/>
              </w:rPr>
              <w:t>-0.01%</w:t>
            </w:r>
          </w:p>
        </w:tc>
      </w:tr>
      <w:tr w:rsidR="000F6F5A">
        <w:tc>
          <w:tcPr>
            <w:tcW w:w="1497" w:type="dxa"/>
            <w:vAlign w:val="center"/>
          </w:tcPr>
          <w:p w:rsidR="000F6F5A" w:rsidRDefault="000E366D">
            <w:pPr>
              <w:jc w:val="left"/>
            </w:pPr>
            <w:r>
              <w:rPr>
                <w:color w:val="000000"/>
                <w:sz w:val="24"/>
              </w:rPr>
              <w:t>过去一年</w:t>
            </w:r>
          </w:p>
        </w:tc>
        <w:tc>
          <w:tcPr>
            <w:tcW w:w="1251" w:type="dxa"/>
            <w:vAlign w:val="center"/>
          </w:tcPr>
          <w:p w:rsidR="000F6F5A" w:rsidRDefault="000E366D">
            <w:pPr>
              <w:jc w:val="center"/>
            </w:pPr>
            <w:r>
              <w:rPr>
                <w:color w:val="000000"/>
                <w:sz w:val="24"/>
              </w:rPr>
              <w:t>6.09%</w:t>
            </w:r>
          </w:p>
        </w:tc>
        <w:tc>
          <w:tcPr>
            <w:tcW w:w="1250" w:type="dxa"/>
            <w:vAlign w:val="center"/>
          </w:tcPr>
          <w:p w:rsidR="000F6F5A" w:rsidRDefault="000E366D">
            <w:pPr>
              <w:jc w:val="center"/>
            </w:pPr>
            <w:r>
              <w:rPr>
                <w:color w:val="000000"/>
                <w:sz w:val="24"/>
              </w:rPr>
              <w:t>0.13%</w:t>
            </w:r>
          </w:p>
        </w:tc>
        <w:tc>
          <w:tcPr>
            <w:tcW w:w="1250" w:type="dxa"/>
            <w:vAlign w:val="center"/>
          </w:tcPr>
          <w:p w:rsidR="000F6F5A" w:rsidRDefault="000E366D">
            <w:pPr>
              <w:jc w:val="center"/>
            </w:pPr>
            <w:r>
              <w:rPr>
                <w:color w:val="000000"/>
                <w:sz w:val="24"/>
              </w:rPr>
              <w:t>-0.95%</w:t>
            </w:r>
          </w:p>
        </w:tc>
        <w:tc>
          <w:tcPr>
            <w:tcW w:w="1250" w:type="dxa"/>
            <w:vAlign w:val="center"/>
          </w:tcPr>
          <w:p w:rsidR="000F6F5A" w:rsidRDefault="000E366D">
            <w:pPr>
              <w:jc w:val="center"/>
            </w:pPr>
            <w:r>
              <w:rPr>
                <w:color w:val="000000"/>
                <w:sz w:val="24"/>
              </w:rPr>
              <w:t>0.09%</w:t>
            </w:r>
          </w:p>
        </w:tc>
        <w:tc>
          <w:tcPr>
            <w:tcW w:w="1250" w:type="dxa"/>
            <w:vAlign w:val="center"/>
          </w:tcPr>
          <w:p w:rsidR="000F6F5A" w:rsidRDefault="000E366D">
            <w:pPr>
              <w:jc w:val="center"/>
            </w:pPr>
            <w:r>
              <w:rPr>
                <w:color w:val="000000"/>
                <w:sz w:val="24"/>
              </w:rPr>
              <w:t>7.04%</w:t>
            </w:r>
          </w:p>
        </w:tc>
        <w:tc>
          <w:tcPr>
            <w:tcW w:w="1250" w:type="dxa"/>
            <w:vAlign w:val="center"/>
          </w:tcPr>
          <w:p w:rsidR="000F6F5A" w:rsidRDefault="000E366D">
            <w:pPr>
              <w:jc w:val="center"/>
            </w:pPr>
            <w:r>
              <w:rPr>
                <w:color w:val="000000"/>
                <w:sz w:val="24"/>
              </w:rPr>
              <w:t>0.04%</w:t>
            </w:r>
          </w:p>
        </w:tc>
      </w:tr>
      <w:tr w:rsidR="000F6F5A">
        <w:tc>
          <w:tcPr>
            <w:tcW w:w="1497" w:type="dxa"/>
            <w:vAlign w:val="center"/>
          </w:tcPr>
          <w:p w:rsidR="000F6F5A" w:rsidRDefault="000E366D">
            <w:pPr>
              <w:jc w:val="left"/>
            </w:pPr>
            <w:r>
              <w:rPr>
                <w:color w:val="000000"/>
                <w:sz w:val="24"/>
              </w:rPr>
              <w:t>过去三年</w:t>
            </w:r>
          </w:p>
        </w:tc>
        <w:tc>
          <w:tcPr>
            <w:tcW w:w="1251" w:type="dxa"/>
            <w:vAlign w:val="center"/>
          </w:tcPr>
          <w:p w:rsidR="000F6F5A" w:rsidRDefault="000E366D">
            <w:pPr>
              <w:jc w:val="center"/>
            </w:pPr>
            <w:r>
              <w:rPr>
                <w:color w:val="000000"/>
                <w:sz w:val="24"/>
              </w:rPr>
              <w:t>29.97%</w:t>
            </w:r>
          </w:p>
        </w:tc>
        <w:tc>
          <w:tcPr>
            <w:tcW w:w="1250" w:type="dxa"/>
            <w:vAlign w:val="center"/>
          </w:tcPr>
          <w:p w:rsidR="000F6F5A" w:rsidRDefault="000E366D">
            <w:pPr>
              <w:jc w:val="center"/>
            </w:pPr>
            <w:r>
              <w:rPr>
                <w:color w:val="000000"/>
                <w:sz w:val="24"/>
              </w:rPr>
              <w:t>0.31%</w:t>
            </w:r>
          </w:p>
        </w:tc>
        <w:tc>
          <w:tcPr>
            <w:tcW w:w="1250" w:type="dxa"/>
            <w:vAlign w:val="center"/>
          </w:tcPr>
          <w:p w:rsidR="000F6F5A" w:rsidRDefault="000E366D">
            <w:pPr>
              <w:jc w:val="center"/>
            </w:pPr>
            <w:r>
              <w:rPr>
                <w:color w:val="000000"/>
                <w:sz w:val="24"/>
              </w:rPr>
              <w:t>0.30%</w:t>
            </w:r>
          </w:p>
        </w:tc>
        <w:tc>
          <w:tcPr>
            <w:tcW w:w="1250" w:type="dxa"/>
            <w:vAlign w:val="center"/>
          </w:tcPr>
          <w:p w:rsidR="000F6F5A" w:rsidRDefault="000E366D">
            <w:pPr>
              <w:jc w:val="center"/>
            </w:pPr>
            <w:r>
              <w:rPr>
                <w:color w:val="000000"/>
                <w:sz w:val="24"/>
              </w:rPr>
              <w:t>0.10%</w:t>
            </w:r>
          </w:p>
        </w:tc>
        <w:tc>
          <w:tcPr>
            <w:tcW w:w="1250" w:type="dxa"/>
            <w:vAlign w:val="center"/>
          </w:tcPr>
          <w:p w:rsidR="000F6F5A" w:rsidRDefault="000E366D">
            <w:pPr>
              <w:jc w:val="center"/>
            </w:pPr>
            <w:r>
              <w:rPr>
                <w:color w:val="000000"/>
                <w:sz w:val="24"/>
              </w:rPr>
              <w:t>29.67%</w:t>
            </w:r>
          </w:p>
        </w:tc>
        <w:tc>
          <w:tcPr>
            <w:tcW w:w="1250" w:type="dxa"/>
            <w:vAlign w:val="center"/>
          </w:tcPr>
          <w:p w:rsidR="000F6F5A" w:rsidRDefault="000E366D">
            <w:pPr>
              <w:jc w:val="center"/>
            </w:pPr>
            <w:r>
              <w:rPr>
                <w:color w:val="000000"/>
                <w:sz w:val="24"/>
              </w:rPr>
              <w:t>0.21%</w:t>
            </w:r>
          </w:p>
        </w:tc>
      </w:tr>
      <w:tr w:rsidR="000F6F5A">
        <w:tc>
          <w:tcPr>
            <w:tcW w:w="1497" w:type="dxa"/>
            <w:vAlign w:val="center"/>
          </w:tcPr>
          <w:p w:rsidR="000F6F5A" w:rsidRDefault="000E366D">
            <w:pPr>
              <w:jc w:val="left"/>
            </w:pPr>
            <w:r>
              <w:rPr>
                <w:color w:val="000000"/>
                <w:sz w:val="24"/>
              </w:rPr>
              <w:t>自基金合同生效起至今</w:t>
            </w:r>
          </w:p>
        </w:tc>
        <w:tc>
          <w:tcPr>
            <w:tcW w:w="1251" w:type="dxa"/>
            <w:vAlign w:val="center"/>
          </w:tcPr>
          <w:p w:rsidR="000F6F5A" w:rsidRDefault="000E366D">
            <w:pPr>
              <w:jc w:val="center"/>
            </w:pPr>
            <w:r>
              <w:rPr>
                <w:color w:val="000000"/>
                <w:sz w:val="24"/>
              </w:rPr>
              <w:t>49.01%</w:t>
            </w:r>
          </w:p>
        </w:tc>
        <w:tc>
          <w:tcPr>
            <w:tcW w:w="1250" w:type="dxa"/>
            <w:vAlign w:val="center"/>
          </w:tcPr>
          <w:p w:rsidR="000F6F5A" w:rsidRDefault="000E366D">
            <w:pPr>
              <w:jc w:val="center"/>
            </w:pPr>
            <w:r>
              <w:rPr>
                <w:color w:val="000000"/>
                <w:sz w:val="24"/>
              </w:rPr>
              <w:t>0.28%</w:t>
            </w:r>
          </w:p>
        </w:tc>
        <w:tc>
          <w:tcPr>
            <w:tcW w:w="1250" w:type="dxa"/>
            <w:vAlign w:val="center"/>
          </w:tcPr>
          <w:p w:rsidR="000F6F5A" w:rsidRDefault="000E366D">
            <w:pPr>
              <w:jc w:val="center"/>
            </w:pPr>
            <w:r>
              <w:rPr>
                <w:color w:val="000000"/>
                <w:sz w:val="24"/>
              </w:rPr>
              <w:t>4.04%</w:t>
            </w:r>
          </w:p>
        </w:tc>
        <w:tc>
          <w:tcPr>
            <w:tcW w:w="1250" w:type="dxa"/>
            <w:vAlign w:val="center"/>
          </w:tcPr>
          <w:p w:rsidR="000F6F5A" w:rsidRDefault="000E366D">
            <w:pPr>
              <w:jc w:val="center"/>
            </w:pPr>
            <w:r>
              <w:rPr>
                <w:color w:val="000000"/>
                <w:sz w:val="24"/>
              </w:rPr>
              <w:t>0.10%</w:t>
            </w:r>
          </w:p>
        </w:tc>
        <w:tc>
          <w:tcPr>
            <w:tcW w:w="1250" w:type="dxa"/>
            <w:vAlign w:val="center"/>
          </w:tcPr>
          <w:p w:rsidR="000F6F5A" w:rsidRDefault="000E366D">
            <w:pPr>
              <w:jc w:val="center"/>
            </w:pPr>
            <w:r>
              <w:rPr>
                <w:color w:val="000000"/>
                <w:sz w:val="24"/>
              </w:rPr>
              <w:t>44.97%</w:t>
            </w:r>
          </w:p>
        </w:tc>
        <w:tc>
          <w:tcPr>
            <w:tcW w:w="1250" w:type="dxa"/>
            <w:vAlign w:val="center"/>
          </w:tcPr>
          <w:p w:rsidR="000F6F5A" w:rsidRDefault="000E366D">
            <w:pPr>
              <w:jc w:val="center"/>
            </w:pPr>
            <w:r>
              <w:rPr>
                <w:color w:val="000000"/>
                <w:sz w:val="24"/>
              </w:rPr>
              <w:t>0.18%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80%×</w:t>
      </w:r>
      <w:r w:rsidRPr="005C672D">
        <w:rPr>
          <w:kern w:val="0"/>
          <w:sz w:val="24"/>
        </w:rPr>
        <w:t>中债企业债总全价指数收益率</w:t>
      </w:r>
      <w:r w:rsidRPr="005C672D">
        <w:rPr>
          <w:kern w:val="0"/>
          <w:sz w:val="24"/>
        </w:rPr>
        <w:t>+20%×</w:t>
      </w:r>
      <w:r w:rsidRPr="005C672D">
        <w:rPr>
          <w:kern w:val="0"/>
          <w:sz w:val="24"/>
        </w:rPr>
        <w:t>中债国债总全价指数收益率，每日进行再平衡过程。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27</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0F6F5A" w:rsidRDefault="000E366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0F6F5A">
        <w:tc>
          <w:tcPr>
            <w:tcW w:w="1033" w:type="dxa"/>
            <w:vAlign w:val="center"/>
          </w:tcPr>
          <w:p w:rsidR="000F6F5A" w:rsidRDefault="000E366D">
            <w:pPr>
              <w:jc w:val="center"/>
            </w:pPr>
            <w:r>
              <w:rPr>
                <w:color w:val="000000"/>
                <w:sz w:val="24"/>
              </w:rPr>
              <w:t>唐赟</w:t>
            </w:r>
          </w:p>
        </w:tc>
        <w:tc>
          <w:tcPr>
            <w:tcW w:w="1416" w:type="dxa"/>
            <w:vAlign w:val="center"/>
          </w:tcPr>
          <w:p w:rsidR="000F6F5A" w:rsidRDefault="000E366D">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126" w:type="dxa"/>
            <w:vAlign w:val="center"/>
          </w:tcPr>
          <w:p w:rsidR="000F6F5A" w:rsidRDefault="000E366D">
            <w:pPr>
              <w:jc w:val="center"/>
            </w:pPr>
            <w:r>
              <w:rPr>
                <w:color w:val="000000"/>
                <w:sz w:val="24"/>
              </w:rPr>
              <w:t>2015-08-04</w:t>
            </w:r>
          </w:p>
        </w:tc>
        <w:tc>
          <w:tcPr>
            <w:tcW w:w="1192" w:type="dxa"/>
            <w:vAlign w:val="center"/>
          </w:tcPr>
          <w:p w:rsidR="000F6F5A" w:rsidRDefault="000E366D">
            <w:pPr>
              <w:jc w:val="center"/>
            </w:pPr>
            <w:r>
              <w:rPr>
                <w:color w:val="000000"/>
                <w:sz w:val="24"/>
              </w:rPr>
              <w:t>-</w:t>
            </w:r>
          </w:p>
        </w:tc>
        <w:tc>
          <w:tcPr>
            <w:tcW w:w="1169" w:type="dxa"/>
            <w:vAlign w:val="center"/>
          </w:tcPr>
          <w:p w:rsidR="000F6F5A" w:rsidRDefault="000E366D">
            <w:pPr>
              <w:jc w:val="center"/>
            </w:pPr>
            <w:r>
              <w:rPr>
                <w:color w:val="000000"/>
                <w:sz w:val="24"/>
              </w:rPr>
              <w:t>4</w:t>
            </w:r>
            <w:r>
              <w:rPr>
                <w:color w:val="000000"/>
                <w:sz w:val="24"/>
              </w:rPr>
              <w:t>年</w:t>
            </w:r>
          </w:p>
        </w:tc>
        <w:tc>
          <w:tcPr>
            <w:tcW w:w="3062" w:type="dxa"/>
            <w:vAlign w:val="center"/>
          </w:tcPr>
          <w:p w:rsidR="000F6F5A" w:rsidRDefault="000E366D">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0F6F5A" w:rsidRDefault="000E366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F6F5A" w:rsidRDefault="000E366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0F6F5A" w:rsidRDefault="000E366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0F6F5A" w:rsidRDefault="000E366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F6F5A" w:rsidRDefault="000E366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F6F5A" w:rsidRDefault="000E366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0F6F5A" w:rsidRDefault="000E366D">
      <w:pPr>
        <w:spacing w:before="29" w:line="288" w:lineRule="auto"/>
        <w:ind w:firstLineChars="200" w:firstLine="480"/>
        <w:rPr>
          <w:color w:val="000000"/>
          <w:sz w:val="24"/>
        </w:rPr>
      </w:pPr>
      <w:r>
        <w:rPr>
          <w:color w:val="000000"/>
          <w:sz w:val="24"/>
        </w:rPr>
        <w:t>本报告期内，债券市场并未延续</w:t>
      </w:r>
      <w:r>
        <w:rPr>
          <w:color w:val="000000"/>
          <w:sz w:val="24"/>
        </w:rPr>
        <w:t>2014</w:t>
      </w:r>
      <w:r>
        <w:rPr>
          <w:color w:val="000000"/>
          <w:sz w:val="24"/>
        </w:rPr>
        <w:t>年以来的牛市行情，而是转为横向震荡。债券收益率在一季度整体上小幅震荡上行，在</w:t>
      </w:r>
      <w:r>
        <w:rPr>
          <w:color w:val="000000"/>
          <w:sz w:val="24"/>
        </w:rPr>
        <w:t>4</w:t>
      </w:r>
      <w:r>
        <w:rPr>
          <w:color w:val="000000"/>
          <w:sz w:val="24"/>
        </w:rPr>
        <w:t>月份利率债及信用债收益率均出现了明显上行，随后在</w:t>
      </w:r>
      <w:r>
        <w:rPr>
          <w:color w:val="000000"/>
          <w:sz w:val="24"/>
        </w:rPr>
        <w:t>5</w:t>
      </w:r>
      <w:r>
        <w:rPr>
          <w:color w:val="000000"/>
          <w:sz w:val="24"/>
        </w:rPr>
        <w:t>月份、</w:t>
      </w:r>
      <w:r>
        <w:rPr>
          <w:color w:val="000000"/>
          <w:sz w:val="24"/>
        </w:rPr>
        <w:t>6</w:t>
      </w:r>
      <w:r>
        <w:rPr>
          <w:color w:val="000000"/>
          <w:sz w:val="24"/>
        </w:rPr>
        <w:t>月份逐步稳定并小幅回落。</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本报告期内，本基金操作偏向防御，报告期初减持了长端利率债之后，保留中性偏短久期的信用债仓位。组合整体在</w:t>
      </w:r>
      <w:r w:rsidRPr="005C672D">
        <w:rPr>
          <w:color w:val="000000"/>
          <w:sz w:val="24"/>
        </w:rPr>
        <w:t>6</w:t>
      </w:r>
      <w:r w:rsidRPr="005C672D">
        <w:rPr>
          <w:color w:val="000000"/>
          <w:sz w:val="24"/>
        </w:rPr>
        <w:t>月份之前都维持低杠杆、中短久期的策略，有效控制了债券市场回调带来的净值回撤。转债则以较低仓位参与反弹。</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1.341</w:t>
      </w:r>
      <w:r w:rsidRPr="005C672D">
        <w:rPr>
          <w:color w:val="000000"/>
          <w:sz w:val="24"/>
        </w:rPr>
        <w:t>元，本报告期份额净值增长率为</w:t>
      </w:r>
      <w:r w:rsidRPr="005C672D">
        <w:rPr>
          <w:color w:val="000000"/>
          <w:sz w:val="24"/>
        </w:rPr>
        <w:t>1.13%</w:t>
      </w:r>
      <w:r w:rsidRPr="005C672D">
        <w:rPr>
          <w:color w:val="000000"/>
          <w:sz w:val="24"/>
        </w:rPr>
        <w:t>，同期业绩比较基准增长率为</w:t>
      </w:r>
      <w:r w:rsidRPr="005C672D">
        <w:rPr>
          <w:color w:val="000000"/>
          <w:sz w:val="24"/>
        </w:rPr>
        <w:t>-2.72%</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0F6F5A" w:rsidRDefault="000E366D">
      <w:pPr>
        <w:spacing w:before="29" w:line="288" w:lineRule="auto"/>
        <w:ind w:firstLineChars="200" w:firstLine="480"/>
        <w:rPr>
          <w:color w:val="000000"/>
          <w:sz w:val="24"/>
        </w:rPr>
      </w:pPr>
      <w:r>
        <w:rPr>
          <w:color w:val="000000"/>
          <w:sz w:val="24"/>
        </w:rPr>
        <w:t>展望下半年，预计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下半年将向着有利于债券市场的方向发展。但考虑到目前相对较为平坦的利率曲线，债券趋势性的上涨行情仍然需要货币政策进一步放松、短端资金价格下行空间打开的配合。整体而言我们认为</w:t>
      </w:r>
      <w:r>
        <w:rPr>
          <w:color w:val="000000"/>
          <w:sz w:val="24"/>
        </w:rPr>
        <w:t>2016</w:t>
      </w:r>
      <w:r>
        <w:rPr>
          <w:color w:val="000000"/>
          <w:sz w:val="24"/>
        </w:rPr>
        <w:t>年下半年债券市场的机会大于</w:t>
      </w:r>
      <w:r>
        <w:rPr>
          <w:color w:val="000000"/>
          <w:sz w:val="24"/>
        </w:rPr>
        <w:t>2016</w:t>
      </w:r>
      <w:r>
        <w:rPr>
          <w:color w:val="000000"/>
          <w:sz w:val="24"/>
        </w:rPr>
        <w:t>年上半年。另外，随着</w:t>
      </w:r>
      <w:r>
        <w:rPr>
          <w:color w:val="000000"/>
          <w:sz w:val="24"/>
        </w:rPr>
        <w:t>“</w:t>
      </w:r>
      <w:r>
        <w:rPr>
          <w:color w:val="000000"/>
          <w:sz w:val="24"/>
        </w:rPr>
        <w:t>刚兑</w:t>
      </w:r>
      <w:r>
        <w:rPr>
          <w:color w:val="000000"/>
          <w:sz w:val="24"/>
        </w:rPr>
        <w:t>”</w:t>
      </w:r>
      <w:r>
        <w:rPr>
          <w:color w:val="000000"/>
          <w:sz w:val="24"/>
        </w:rPr>
        <w:t>的不断打破，债券市场的信用风险不断加大，能否有效规避潜在的信用风险，将对债券组合的收益产生较为重大的影响。本基金计划将适度增加组合久期，择机增配长端利率债，并力争提高组合整体信用等级以降低组合的信用风险敞口。</w:t>
      </w:r>
    </w:p>
    <w:p w:rsidR="001548F9" w:rsidRPr="005C672D" w:rsidRDefault="001548F9" w:rsidP="00AC6DDA">
      <w:pPr>
        <w:spacing w:before="29" w:line="288" w:lineRule="auto"/>
        <w:ind w:firstLineChars="200" w:firstLine="480"/>
        <w:rPr>
          <w:color w:val="000000"/>
          <w:sz w:val="24"/>
        </w:rPr>
      </w:pPr>
      <w:r w:rsidRPr="005C672D">
        <w:rPr>
          <w:color w:val="000000"/>
          <w:sz w:val="24"/>
        </w:rPr>
        <w:t>对于权益资产，我们认为目前风险偏好驱动大类资产价格的走势较为明显，市场内部的不稳定因素显著增加，下半年全球风险偏好预计仍将出现较大的波动。作为债券型基金，更需要注重控制市场震荡带来的回撤风险。转债市场短期内可能仍存在估值相对较高的问题，除非权益市场再次出现一波趋势性的牛市，否则大规模配置转债的意义有限。</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0F6F5A" w:rsidRDefault="000E366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F6F5A" w:rsidRDefault="000E366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会计主体：交银施罗德信用添利债券证券投资基金（</w:t>
      </w:r>
      <w:r w:rsidRPr="005C672D">
        <w:rPr>
          <w:color w:val="000000"/>
          <w:sz w:val="24"/>
        </w:rPr>
        <w:t>LOF</w:t>
      </w:r>
      <w:r w:rsidRPr="005C672D">
        <w:rPr>
          <w:color w:val="000000"/>
          <w:sz w:val="24"/>
        </w:rPr>
        <w:t>）</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912,369.06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2,433,961.71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925,121.94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2,167,464.15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18,453.41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37,185.91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166,819,489.53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163,651,173.39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166,819,489.53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163,651,173.39</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675,672.97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2,659,943.77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3,456,689.40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709.83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5,033,179.03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172,011,760.51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176,779,653.59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27,199,870.00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48,499,770.00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1,506,070.95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984,461.43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80,754.08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72,597.48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61,211.91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24,199.16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20,403.97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1,411.45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7,576.90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570,143.97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570,143.97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1,335.48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8,241.00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110,134.28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170,020.07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28,965,793.25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50,924,192.85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106,644,181.75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94,921,723.81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36,401,785.51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30,933,736.93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143,045,967.26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125,855,460.74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172,011,760.51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176,779,653.59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1.341</w:t>
      </w:r>
      <w:r w:rsidR="006C5149" w:rsidRPr="005C672D">
        <w:rPr>
          <w:kern w:val="0"/>
          <w:sz w:val="24"/>
        </w:rPr>
        <w:t>元，基金份额总额</w:t>
      </w:r>
      <w:r w:rsidR="006C5149" w:rsidRPr="005C672D">
        <w:rPr>
          <w:kern w:val="0"/>
          <w:sz w:val="24"/>
        </w:rPr>
        <w:t>106,644,181.75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2,640,492.55</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12,947,581.92</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4,465,573.33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5,730,008.24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46,932.38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63,490.83</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4,396,844.02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5,665,748.97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21,796.93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768.44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-79,988.04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9,332,385.77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8,920,017.24</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-79,988.04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355,893.73</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56,474.80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-1,787,765.06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-2,142,473.13</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42,672.32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27,661.04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1,093,398.55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1,730,100.18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476,539.56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378,045.79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158,846.51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126,015.33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4,042.39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60,329.17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316,503.34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1,001,180.99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316,503.34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1,001,180.99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137,466.75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164,528.90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1,547,094.00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11,217,481.74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1,547,094.00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11,217,481.74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94,921,723.81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30,933,736.93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125,855,460.74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1,547,094.00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1,547,094.00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11,722,457.94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3,920,954.58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15,643,412.52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143,668,505.90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47,877,550.81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191,546,056.71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-131,946,047.96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-43,956,596.23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-175,902,644.19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106,644,181.75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36,401,785.51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143,045,967.26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118,796,383.24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18,208,752.79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137,005,136.03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11,217,481.74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11,217,481.74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-58,028,844.29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-13,369,607.30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-71,398,451.59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85,158,130.99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18,805,075.58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103,963,206.57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-143,186,975.28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-32,174,682.88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-175,361,658.16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60,767,538.95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16,056,627.23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76,824,166.18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0F6F5A" w:rsidRDefault="000E366D">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0F6F5A" w:rsidRDefault="000E366D">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0F6F5A" w:rsidRDefault="000E366D">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5C672D">
        <w:rPr>
          <w:color w:val="000000"/>
          <w:sz w:val="24"/>
        </w:rPr>
        <w:t>80%</w:t>
      </w:r>
      <w:r w:rsidRPr="005C672D">
        <w:rPr>
          <w:color w:val="000000"/>
          <w:sz w:val="24"/>
        </w:rPr>
        <w:t>，其中对信用债券的投资比例不低于固定收益类资产的</w:t>
      </w:r>
      <w:r w:rsidRPr="005C672D">
        <w:rPr>
          <w:color w:val="000000"/>
          <w:sz w:val="24"/>
        </w:rPr>
        <w:t>80%</w:t>
      </w:r>
      <w:r w:rsidRPr="005C672D">
        <w:rPr>
          <w:color w:val="000000"/>
          <w:sz w:val="24"/>
        </w:rPr>
        <w:t>；对股票、权证等非固定收益类资产的投资比例不高于基金资产的</w:t>
      </w:r>
      <w:r w:rsidRPr="005C672D">
        <w:rPr>
          <w:color w:val="000000"/>
          <w:sz w:val="24"/>
        </w:rPr>
        <w:t>20%</w:t>
      </w:r>
      <w:r w:rsidRPr="005C672D">
        <w:rPr>
          <w:color w:val="000000"/>
          <w:sz w:val="24"/>
        </w:rPr>
        <w:t>；其中现金及到期日在一年以内的政府债券的投资比例合计不低于基金资产净值的</w:t>
      </w:r>
      <w:r w:rsidRPr="005C672D">
        <w:rPr>
          <w:color w:val="000000"/>
          <w:sz w:val="24"/>
        </w:rPr>
        <w:t>5%</w:t>
      </w:r>
      <w:r w:rsidRPr="005C672D">
        <w:rPr>
          <w:color w:val="000000"/>
          <w:sz w:val="24"/>
        </w:rPr>
        <w:t>。本基金的业绩比较基准为：</w:t>
      </w:r>
      <w:r w:rsidRPr="005C672D">
        <w:rPr>
          <w:color w:val="000000"/>
          <w:sz w:val="24"/>
        </w:rPr>
        <w:t>80%×</w:t>
      </w:r>
      <w:r w:rsidRPr="005C672D">
        <w:rPr>
          <w:color w:val="000000"/>
          <w:sz w:val="24"/>
        </w:rPr>
        <w:t>中债企业债总全价指数收益率</w:t>
      </w:r>
      <w:r w:rsidRPr="005C672D">
        <w:rPr>
          <w:color w:val="000000"/>
          <w:sz w:val="24"/>
        </w:rPr>
        <w:t>+20%×</w:t>
      </w:r>
      <w:r w:rsidRPr="005C672D">
        <w:rPr>
          <w:color w:val="000000"/>
          <w:sz w:val="24"/>
        </w:rPr>
        <w:t>中债国债总全价指数收益率。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颁布的《证券投资基金会计核算业务指引》、《交银施罗德信用添利债券证券投资基金基金合同》和在财务报表附注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0F6F5A" w:rsidRDefault="000E366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0F6F5A" w:rsidRDefault="000E366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0F6F5A" w:rsidRDefault="000E366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0F6F5A" w:rsidRDefault="000E366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0F6F5A">
        <w:tc>
          <w:tcPr>
            <w:tcW w:w="5219" w:type="dxa"/>
            <w:vAlign w:val="center"/>
          </w:tcPr>
          <w:p w:rsidR="000F6F5A" w:rsidRDefault="000E366D">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0F6F5A" w:rsidRDefault="000E366D">
            <w:pPr>
              <w:jc w:val="left"/>
            </w:pPr>
            <w:r>
              <w:rPr>
                <w:color w:val="000000"/>
                <w:sz w:val="24"/>
              </w:rPr>
              <w:t>基金管理人、基金销售机构</w:t>
            </w:r>
          </w:p>
        </w:tc>
      </w:tr>
      <w:tr w:rsidR="000F6F5A">
        <w:tc>
          <w:tcPr>
            <w:tcW w:w="5219" w:type="dxa"/>
            <w:vAlign w:val="center"/>
          </w:tcPr>
          <w:p w:rsidR="000F6F5A" w:rsidRDefault="000E366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F6F5A" w:rsidRDefault="000E366D">
            <w:pPr>
              <w:jc w:val="left"/>
            </w:pPr>
            <w:r>
              <w:rPr>
                <w:color w:val="000000"/>
                <w:sz w:val="24"/>
              </w:rPr>
              <w:t>基金托管人、基金销售机构</w:t>
            </w:r>
          </w:p>
        </w:tc>
      </w:tr>
      <w:tr w:rsidR="000F6F5A">
        <w:tc>
          <w:tcPr>
            <w:tcW w:w="5219" w:type="dxa"/>
            <w:vAlign w:val="center"/>
          </w:tcPr>
          <w:p w:rsidR="000F6F5A" w:rsidRDefault="000E366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F6F5A" w:rsidRDefault="000E366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476,539.56</w:t>
            </w:r>
          </w:p>
        </w:tc>
        <w:tc>
          <w:tcPr>
            <w:tcW w:w="2657" w:type="dxa"/>
            <w:vAlign w:val="center"/>
          </w:tcPr>
          <w:p w:rsidR="001548F9" w:rsidRPr="005C672D" w:rsidRDefault="001548F9" w:rsidP="00AC6DDA">
            <w:pPr>
              <w:spacing w:before="29" w:line="288" w:lineRule="auto"/>
              <w:jc w:val="right"/>
              <w:rPr>
                <w:sz w:val="24"/>
              </w:rPr>
            </w:pPr>
            <w:r w:rsidRPr="005C672D">
              <w:rPr>
                <w:sz w:val="24"/>
              </w:rPr>
              <w:t>378,045.79</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131,550.99</w:t>
            </w:r>
          </w:p>
        </w:tc>
        <w:tc>
          <w:tcPr>
            <w:tcW w:w="2657" w:type="dxa"/>
            <w:vAlign w:val="center"/>
          </w:tcPr>
          <w:p w:rsidR="001548F9" w:rsidRPr="005C672D" w:rsidRDefault="001548F9" w:rsidP="00AC6DDA">
            <w:pPr>
              <w:spacing w:before="29" w:line="288" w:lineRule="auto"/>
              <w:jc w:val="right"/>
              <w:rPr>
                <w:sz w:val="24"/>
              </w:rPr>
            </w:pPr>
            <w:r w:rsidRPr="005C672D">
              <w:rPr>
                <w:sz w:val="24"/>
              </w:rPr>
              <w:t>105,009.43</w:t>
            </w:r>
          </w:p>
        </w:tc>
      </w:tr>
    </w:tbl>
    <w:p w:rsidR="000F6F5A" w:rsidRDefault="000E366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158,846.51</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126,015.33</w:t>
            </w:r>
          </w:p>
        </w:tc>
      </w:tr>
    </w:tbl>
    <w:p w:rsidR="000F6F5A" w:rsidRDefault="000E366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0F6F5A">
        <w:tc>
          <w:tcPr>
            <w:tcW w:w="2171" w:type="dxa"/>
            <w:vAlign w:val="center"/>
          </w:tcPr>
          <w:p w:rsidR="000F6F5A" w:rsidRDefault="000E366D">
            <w:pPr>
              <w:jc w:val="left"/>
            </w:pPr>
            <w:r>
              <w:rPr>
                <w:sz w:val="24"/>
              </w:rPr>
              <w:t>中国农业银行股份有限公司</w:t>
            </w:r>
          </w:p>
        </w:tc>
        <w:tc>
          <w:tcPr>
            <w:tcW w:w="2023" w:type="dxa"/>
            <w:vAlign w:val="center"/>
          </w:tcPr>
          <w:p w:rsidR="000F6F5A" w:rsidRDefault="000E366D">
            <w:pPr>
              <w:jc w:val="right"/>
            </w:pPr>
            <w:r>
              <w:rPr>
                <w:sz w:val="24"/>
              </w:rPr>
              <w:t>912,369.06</w:t>
            </w:r>
          </w:p>
        </w:tc>
        <w:tc>
          <w:tcPr>
            <w:tcW w:w="1772" w:type="dxa"/>
            <w:vAlign w:val="center"/>
          </w:tcPr>
          <w:p w:rsidR="000F6F5A" w:rsidRDefault="000E366D">
            <w:pPr>
              <w:jc w:val="right"/>
            </w:pPr>
            <w:r>
              <w:rPr>
                <w:sz w:val="24"/>
              </w:rPr>
              <w:t>28,402.70</w:t>
            </w:r>
          </w:p>
        </w:tc>
        <w:tc>
          <w:tcPr>
            <w:tcW w:w="1412" w:type="dxa"/>
            <w:vAlign w:val="center"/>
          </w:tcPr>
          <w:p w:rsidR="000F6F5A" w:rsidRDefault="000E366D">
            <w:pPr>
              <w:jc w:val="right"/>
            </w:pPr>
            <w:r>
              <w:rPr>
                <w:sz w:val="24"/>
              </w:rPr>
              <w:t>20,990,799.05</w:t>
            </w:r>
          </w:p>
        </w:tc>
        <w:tc>
          <w:tcPr>
            <w:tcW w:w="1807" w:type="dxa"/>
            <w:vAlign w:val="center"/>
          </w:tcPr>
          <w:p w:rsidR="000F6F5A" w:rsidRDefault="000E366D">
            <w:pPr>
              <w:jc w:val="right"/>
            </w:pPr>
            <w:r>
              <w:rPr>
                <w:sz w:val="24"/>
              </w:rPr>
              <w:t>14,879.41</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0E366D">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19,999,870.00</w:t>
      </w:r>
      <w:r w:rsidRPr="005C672D">
        <w:rPr>
          <w:color w:val="000000"/>
          <w:sz w:val="24"/>
        </w:rPr>
        <w:t>元，是以如下债券作为抵押：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0F6F5A">
        <w:tc>
          <w:tcPr>
            <w:tcW w:w="1500" w:type="dxa"/>
            <w:vAlign w:val="center"/>
          </w:tcPr>
          <w:p w:rsidR="000F6F5A" w:rsidRDefault="000E366D">
            <w:pPr>
              <w:jc w:val="center"/>
            </w:pPr>
            <w:r>
              <w:rPr>
                <w:color w:val="000000"/>
                <w:kern w:val="0"/>
                <w:sz w:val="24"/>
              </w:rPr>
              <w:t>1382136</w:t>
            </w:r>
          </w:p>
        </w:tc>
        <w:tc>
          <w:tcPr>
            <w:tcW w:w="1500" w:type="dxa"/>
            <w:vAlign w:val="center"/>
          </w:tcPr>
          <w:p w:rsidR="000F6F5A" w:rsidRDefault="000E366D">
            <w:pPr>
              <w:jc w:val="center"/>
            </w:pPr>
            <w:r>
              <w:rPr>
                <w:color w:val="000000"/>
                <w:kern w:val="0"/>
                <w:sz w:val="24"/>
              </w:rPr>
              <w:t>13</w:t>
            </w:r>
            <w:r>
              <w:rPr>
                <w:color w:val="000000"/>
                <w:kern w:val="0"/>
                <w:sz w:val="24"/>
              </w:rPr>
              <w:t>乌兰煤</w:t>
            </w:r>
            <w:r>
              <w:rPr>
                <w:color w:val="000000"/>
                <w:kern w:val="0"/>
                <w:sz w:val="24"/>
              </w:rPr>
              <w:t>MTN1</w:t>
            </w:r>
          </w:p>
        </w:tc>
        <w:tc>
          <w:tcPr>
            <w:tcW w:w="1500" w:type="dxa"/>
            <w:vAlign w:val="center"/>
          </w:tcPr>
          <w:p w:rsidR="000F6F5A" w:rsidRDefault="000E366D">
            <w:pPr>
              <w:jc w:val="center"/>
            </w:pPr>
            <w:r>
              <w:rPr>
                <w:color w:val="000000"/>
                <w:kern w:val="0"/>
                <w:sz w:val="24"/>
              </w:rPr>
              <w:t>2016-07-01</w:t>
            </w:r>
          </w:p>
        </w:tc>
        <w:tc>
          <w:tcPr>
            <w:tcW w:w="1260" w:type="dxa"/>
            <w:vAlign w:val="center"/>
          </w:tcPr>
          <w:p w:rsidR="000F6F5A" w:rsidRDefault="000E366D">
            <w:pPr>
              <w:jc w:val="right"/>
            </w:pPr>
            <w:r>
              <w:rPr>
                <w:color w:val="000000"/>
                <w:kern w:val="0"/>
                <w:sz w:val="24"/>
              </w:rPr>
              <w:t>99.81</w:t>
            </w:r>
          </w:p>
        </w:tc>
        <w:tc>
          <w:tcPr>
            <w:tcW w:w="1440" w:type="dxa"/>
            <w:vAlign w:val="center"/>
          </w:tcPr>
          <w:p w:rsidR="000F6F5A" w:rsidRDefault="000E366D">
            <w:pPr>
              <w:jc w:val="right"/>
            </w:pPr>
            <w:r>
              <w:rPr>
                <w:color w:val="000000"/>
                <w:kern w:val="0"/>
                <w:sz w:val="24"/>
              </w:rPr>
              <w:t>200,000</w:t>
            </w:r>
          </w:p>
        </w:tc>
        <w:tc>
          <w:tcPr>
            <w:tcW w:w="1836" w:type="dxa"/>
            <w:vAlign w:val="center"/>
          </w:tcPr>
          <w:p w:rsidR="000F6F5A" w:rsidRDefault="000E366D">
            <w:pPr>
              <w:jc w:val="right"/>
            </w:pPr>
            <w:r>
              <w:rPr>
                <w:color w:val="000000"/>
                <w:kern w:val="0"/>
                <w:sz w:val="24"/>
              </w:rPr>
              <w:t>19,962,000.00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200,000</w:t>
            </w:r>
          </w:p>
        </w:tc>
        <w:tc>
          <w:tcPr>
            <w:tcW w:w="1836" w:type="dxa"/>
            <w:vAlign w:val="center"/>
          </w:tcPr>
          <w:p w:rsidR="001548F9" w:rsidRPr="005C672D" w:rsidRDefault="001548F9" w:rsidP="00AC6DDA">
            <w:pPr>
              <w:spacing w:before="29" w:line="288" w:lineRule="auto"/>
              <w:jc w:val="right"/>
              <w:rPr>
                <w:sz w:val="24"/>
              </w:rPr>
            </w:pPr>
            <w:r w:rsidRPr="005C672D">
              <w:rPr>
                <w:sz w:val="24"/>
              </w:rPr>
              <w:t>19,962,000.00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7,200,000.00</w:t>
      </w:r>
      <w:r w:rsidRPr="005C672D">
        <w:rPr>
          <w:color w:val="000000"/>
          <w:sz w:val="24"/>
        </w:rPr>
        <w:t>元，于</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166,819,489.53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96.98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166,819,489.53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96.98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1,837,491.00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1.07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3,354,779.98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1.95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172,011,760.51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本基金本报告期内未持有股票。</w:t>
      </w: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6.99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6.99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89,530,799.20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62.59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20,075,000.00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14.03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30,362,000.00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21.23</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16,851,690.33</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11.78</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166,819,489.53</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116.62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0F6F5A">
        <w:tc>
          <w:tcPr>
            <w:tcW w:w="1320" w:type="dxa"/>
            <w:vAlign w:val="center"/>
          </w:tcPr>
          <w:p w:rsidR="000F6F5A" w:rsidRDefault="000E366D">
            <w:pPr>
              <w:jc w:val="center"/>
            </w:pPr>
            <w:r>
              <w:rPr>
                <w:color w:val="000000"/>
                <w:sz w:val="24"/>
              </w:rPr>
              <w:t>1</w:t>
            </w:r>
          </w:p>
        </w:tc>
        <w:tc>
          <w:tcPr>
            <w:tcW w:w="1382" w:type="dxa"/>
            <w:vAlign w:val="center"/>
          </w:tcPr>
          <w:p w:rsidR="000F6F5A" w:rsidRDefault="000E366D">
            <w:pPr>
              <w:jc w:val="center"/>
            </w:pPr>
            <w:r>
              <w:rPr>
                <w:color w:val="000000"/>
                <w:sz w:val="24"/>
              </w:rPr>
              <w:t>1382136</w:t>
            </w:r>
          </w:p>
        </w:tc>
        <w:tc>
          <w:tcPr>
            <w:tcW w:w="1353" w:type="dxa"/>
            <w:vAlign w:val="center"/>
          </w:tcPr>
          <w:p w:rsidR="000F6F5A" w:rsidRDefault="000E366D">
            <w:pPr>
              <w:jc w:val="center"/>
            </w:pPr>
            <w:r>
              <w:rPr>
                <w:color w:val="000000"/>
                <w:sz w:val="24"/>
              </w:rPr>
              <w:t>13</w:t>
            </w:r>
            <w:r>
              <w:rPr>
                <w:color w:val="000000"/>
                <w:sz w:val="24"/>
              </w:rPr>
              <w:t>乌兰煤</w:t>
            </w:r>
            <w:r>
              <w:rPr>
                <w:color w:val="000000"/>
                <w:sz w:val="24"/>
              </w:rPr>
              <w:t>MTN1</w:t>
            </w:r>
          </w:p>
        </w:tc>
        <w:tc>
          <w:tcPr>
            <w:tcW w:w="1505" w:type="dxa"/>
            <w:vAlign w:val="center"/>
          </w:tcPr>
          <w:p w:rsidR="000F6F5A" w:rsidRDefault="000E366D">
            <w:pPr>
              <w:jc w:val="right"/>
            </w:pPr>
            <w:r>
              <w:rPr>
                <w:color w:val="000000"/>
                <w:sz w:val="24"/>
              </w:rPr>
              <w:t>200,000</w:t>
            </w:r>
          </w:p>
        </w:tc>
        <w:tc>
          <w:tcPr>
            <w:tcW w:w="1737" w:type="dxa"/>
            <w:vAlign w:val="center"/>
          </w:tcPr>
          <w:p w:rsidR="000F6F5A" w:rsidRDefault="000E366D">
            <w:pPr>
              <w:jc w:val="right"/>
            </w:pPr>
            <w:r>
              <w:rPr>
                <w:color w:val="000000"/>
                <w:sz w:val="24"/>
              </w:rPr>
              <w:t>19,962,000.00</w:t>
            </w:r>
          </w:p>
        </w:tc>
        <w:tc>
          <w:tcPr>
            <w:tcW w:w="1701" w:type="dxa"/>
            <w:vAlign w:val="center"/>
          </w:tcPr>
          <w:p w:rsidR="000F6F5A" w:rsidRDefault="000E366D">
            <w:pPr>
              <w:jc w:val="right"/>
            </w:pPr>
            <w:r>
              <w:rPr>
                <w:color w:val="000000"/>
                <w:sz w:val="24"/>
              </w:rPr>
              <w:t>13.95</w:t>
            </w:r>
          </w:p>
        </w:tc>
      </w:tr>
      <w:tr w:rsidR="000F6F5A">
        <w:tc>
          <w:tcPr>
            <w:tcW w:w="1320" w:type="dxa"/>
            <w:vAlign w:val="center"/>
          </w:tcPr>
          <w:p w:rsidR="000F6F5A" w:rsidRDefault="000E366D">
            <w:pPr>
              <w:jc w:val="center"/>
            </w:pPr>
            <w:r>
              <w:rPr>
                <w:color w:val="000000"/>
                <w:sz w:val="24"/>
              </w:rPr>
              <w:t>2</w:t>
            </w:r>
          </w:p>
        </w:tc>
        <w:tc>
          <w:tcPr>
            <w:tcW w:w="1382" w:type="dxa"/>
            <w:vAlign w:val="center"/>
          </w:tcPr>
          <w:p w:rsidR="000F6F5A" w:rsidRDefault="000E366D">
            <w:pPr>
              <w:jc w:val="center"/>
            </w:pPr>
            <w:r>
              <w:rPr>
                <w:color w:val="000000"/>
                <w:sz w:val="24"/>
              </w:rPr>
              <w:t>1480142</w:t>
            </w:r>
          </w:p>
        </w:tc>
        <w:tc>
          <w:tcPr>
            <w:tcW w:w="1353" w:type="dxa"/>
            <w:vAlign w:val="center"/>
          </w:tcPr>
          <w:p w:rsidR="000F6F5A" w:rsidRDefault="000E366D">
            <w:pPr>
              <w:jc w:val="center"/>
            </w:pPr>
            <w:r>
              <w:rPr>
                <w:color w:val="000000"/>
                <w:sz w:val="24"/>
              </w:rPr>
              <w:t>13</w:t>
            </w:r>
            <w:r>
              <w:rPr>
                <w:color w:val="000000"/>
                <w:sz w:val="24"/>
              </w:rPr>
              <w:t>武清国投债</w:t>
            </w:r>
            <w:r>
              <w:rPr>
                <w:color w:val="000000"/>
                <w:sz w:val="24"/>
              </w:rPr>
              <w:t>02</w:t>
            </w:r>
          </w:p>
        </w:tc>
        <w:tc>
          <w:tcPr>
            <w:tcW w:w="1505" w:type="dxa"/>
            <w:vAlign w:val="center"/>
          </w:tcPr>
          <w:p w:rsidR="000F6F5A" w:rsidRDefault="000E366D">
            <w:pPr>
              <w:jc w:val="right"/>
            </w:pPr>
            <w:r>
              <w:rPr>
                <w:color w:val="000000"/>
                <w:sz w:val="24"/>
              </w:rPr>
              <w:t>100,000</w:t>
            </w:r>
          </w:p>
        </w:tc>
        <w:tc>
          <w:tcPr>
            <w:tcW w:w="1737" w:type="dxa"/>
            <w:vAlign w:val="center"/>
          </w:tcPr>
          <w:p w:rsidR="000F6F5A" w:rsidRDefault="000E366D">
            <w:pPr>
              <w:jc w:val="right"/>
            </w:pPr>
            <w:r>
              <w:rPr>
                <w:color w:val="000000"/>
                <w:sz w:val="24"/>
              </w:rPr>
              <w:t>10,905,000.00</w:t>
            </w:r>
          </w:p>
        </w:tc>
        <w:tc>
          <w:tcPr>
            <w:tcW w:w="1701" w:type="dxa"/>
            <w:vAlign w:val="center"/>
          </w:tcPr>
          <w:p w:rsidR="000F6F5A" w:rsidRDefault="000E366D">
            <w:pPr>
              <w:jc w:val="right"/>
            </w:pPr>
            <w:r>
              <w:rPr>
                <w:color w:val="000000"/>
                <w:sz w:val="24"/>
              </w:rPr>
              <w:t>7.62</w:t>
            </w:r>
          </w:p>
        </w:tc>
      </w:tr>
      <w:tr w:rsidR="000F6F5A">
        <w:tc>
          <w:tcPr>
            <w:tcW w:w="1320" w:type="dxa"/>
            <w:vAlign w:val="center"/>
          </w:tcPr>
          <w:p w:rsidR="000F6F5A" w:rsidRDefault="000E366D">
            <w:pPr>
              <w:jc w:val="center"/>
            </w:pPr>
            <w:r>
              <w:rPr>
                <w:color w:val="000000"/>
                <w:sz w:val="24"/>
              </w:rPr>
              <w:t>3</w:t>
            </w:r>
          </w:p>
        </w:tc>
        <w:tc>
          <w:tcPr>
            <w:tcW w:w="1382" w:type="dxa"/>
            <w:vAlign w:val="center"/>
          </w:tcPr>
          <w:p w:rsidR="000F6F5A" w:rsidRDefault="000E366D">
            <w:pPr>
              <w:jc w:val="center"/>
            </w:pPr>
            <w:r>
              <w:rPr>
                <w:color w:val="000000"/>
                <w:sz w:val="24"/>
              </w:rPr>
              <w:t>124508</w:t>
            </w:r>
          </w:p>
        </w:tc>
        <w:tc>
          <w:tcPr>
            <w:tcW w:w="1353" w:type="dxa"/>
            <w:vAlign w:val="center"/>
          </w:tcPr>
          <w:p w:rsidR="000F6F5A" w:rsidRDefault="000E366D">
            <w:pPr>
              <w:jc w:val="center"/>
            </w:pPr>
            <w:r>
              <w:rPr>
                <w:color w:val="000000"/>
                <w:sz w:val="24"/>
              </w:rPr>
              <w:t>14</w:t>
            </w:r>
            <w:r>
              <w:rPr>
                <w:color w:val="000000"/>
                <w:sz w:val="24"/>
              </w:rPr>
              <w:t>滕州</w:t>
            </w:r>
            <w:r>
              <w:rPr>
                <w:color w:val="000000"/>
                <w:sz w:val="24"/>
              </w:rPr>
              <w:t>02</w:t>
            </w:r>
          </w:p>
        </w:tc>
        <w:tc>
          <w:tcPr>
            <w:tcW w:w="1505" w:type="dxa"/>
            <w:vAlign w:val="center"/>
          </w:tcPr>
          <w:p w:rsidR="000F6F5A" w:rsidRDefault="000E366D">
            <w:pPr>
              <w:jc w:val="right"/>
            </w:pPr>
            <w:r>
              <w:rPr>
                <w:color w:val="000000"/>
                <w:sz w:val="24"/>
              </w:rPr>
              <w:t>100,000</w:t>
            </w:r>
          </w:p>
        </w:tc>
        <w:tc>
          <w:tcPr>
            <w:tcW w:w="1737" w:type="dxa"/>
            <w:vAlign w:val="center"/>
          </w:tcPr>
          <w:p w:rsidR="000F6F5A" w:rsidRDefault="000E366D">
            <w:pPr>
              <w:jc w:val="right"/>
            </w:pPr>
            <w:r>
              <w:rPr>
                <w:color w:val="000000"/>
                <w:sz w:val="24"/>
              </w:rPr>
              <w:t>10,773,000.00</w:t>
            </w:r>
          </w:p>
        </w:tc>
        <w:tc>
          <w:tcPr>
            <w:tcW w:w="1701" w:type="dxa"/>
            <w:vAlign w:val="center"/>
          </w:tcPr>
          <w:p w:rsidR="000F6F5A" w:rsidRDefault="000E366D">
            <w:pPr>
              <w:jc w:val="right"/>
            </w:pPr>
            <w:r>
              <w:rPr>
                <w:color w:val="000000"/>
                <w:sz w:val="24"/>
              </w:rPr>
              <w:t>7.53</w:t>
            </w:r>
          </w:p>
        </w:tc>
      </w:tr>
      <w:tr w:rsidR="000F6F5A">
        <w:tc>
          <w:tcPr>
            <w:tcW w:w="1320" w:type="dxa"/>
            <w:vAlign w:val="center"/>
          </w:tcPr>
          <w:p w:rsidR="000F6F5A" w:rsidRDefault="000E366D">
            <w:pPr>
              <w:jc w:val="center"/>
            </w:pPr>
            <w:r>
              <w:rPr>
                <w:color w:val="000000"/>
                <w:sz w:val="24"/>
              </w:rPr>
              <w:t>4</w:t>
            </w:r>
          </w:p>
        </w:tc>
        <w:tc>
          <w:tcPr>
            <w:tcW w:w="1382" w:type="dxa"/>
            <w:vAlign w:val="center"/>
          </w:tcPr>
          <w:p w:rsidR="000F6F5A" w:rsidRDefault="000E366D">
            <w:pPr>
              <w:jc w:val="center"/>
            </w:pPr>
            <w:r>
              <w:rPr>
                <w:color w:val="000000"/>
                <w:sz w:val="24"/>
              </w:rPr>
              <w:t>101580004</w:t>
            </w:r>
          </w:p>
        </w:tc>
        <w:tc>
          <w:tcPr>
            <w:tcW w:w="1353" w:type="dxa"/>
            <w:vAlign w:val="center"/>
          </w:tcPr>
          <w:p w:rsidR="000F6F5A" w:rsidRDefault="000E366D">
            <w:pPr>
              <w:jc w:val="center"/>
            </w:pPr>
            <w:r>
              <w:rPr>
                <w:color w:val="000000"/>
                <w:sz w:val="24"/>
              </w:rPr>
              <w:t>15</w:t>
            </w:r>
            <w:r>
              <w:rPr>
                <w:color w:val="000000"/>
                <w:sz w:val="24"/>
              </w:rPr>
              <w:t>营口沿海</w:t>
            </w:r>
            <w:r>
              <w:rPr>
                <w:color w:val="000000"/>
                <w:sz w:val="24"/>
              </w:rPr>
              <w:t>MTN001</w:t>
            </w:r>
          </w:p>
        </w:tc>
        <w:tc>
          <w:tcPr>
            <w:tcW w:w="1505" w:type="dxa"/>
            <w:vAlign w:val="center"/>
          </w:tcPr>
          <w:p w:rsidR="000F6F5A" w:rsidRDefault="000E366D">
            <w:pPr>
              <w:jc w:val="right"/>
            </w:pPr>
            <w:r>
              <w:rPr>
                <w:color w:val="000000"/>
                <w:sz w:val="24"/>
              </w:rPr>
              <w:t>100,000</w:t>
            </w:r>
          </w:p>
        </w:tc>
        <w:tc>
          <w:tcPr>
            <w:tcW w:w="1737" w:type="dxa"/>
            <w:vAlign w:val="center"/>
          </w:tcPr>
          <w:p w:rsidR="000F6F5A" w:rsidRDefault="000E366D">
            <w:pPr>
              <w:jc w:val="right"/>
            </w:pPr>
            <w:r>
              <w:rPr>
                <w:color w:val="000000"/>
                <w:sz w:val="24"/>
              </w:rPr>
              <w:t>10,400,000.00</w:t>
            </w:r>
          </w:p>
        </w:tc>
        <w:tc>
          <w:tcPr>
            <w:tcW w:w="1701" w:type="dxa"/>
            <w:vAlign w:val="center"/>
          </w:tcPr>
          <w:p w:rsidR="000F6F5A" w:rsidRDefault="000E366D">
            <w:pPr>
              <w:jc w:val="right"/>
            </w:pPr>
            <w:r>
              <w:rPr>
                <w:color w:val="000000"/>
                <w:sz w:val="24"/>
              </w:rPr>
              <w:t>7.27</w:t>
            </w:r>
          </w:p>
        </w:tc>
      </w:tr>
      <w:tr w:rsidR="000F6F5A">
        <w:tc>
          <w:tcPr>
            <w:tcW w:w="1320" w:type="dxa"/>
            <w:vAlign w:val="center"/>
          </w:tcPr>
          <w:p w:rsidR="000F6F5A" w:rsidRDefault="000E366D">
            <w:pPr>
              <w:jc w:val="center"/>
            </w:pPr>
            <w:r>
              <w:rPr>
                <w:color w:val="000000"/>
                <w:sz w:val="24"/>
              </w:rPr>
              <w:t>5</w:t>
            </w:r>
          </w:p>
        </w:tc>
        <w:tc>
          <w:tcPr>
            <w:tcW w:w="1382" w:type="dxa"/>
            <w:vAlign w:val="center"/>
          </w:tcPr>
          <w:p w:rsidR="000F6F5A" w:rsidRDefault="000E366D">
            <w:pPr>
              <w:jc w:val="center"/>
            </w:pPr>
            <w:r>
              <w:rPr>
                <w:color w:val="000000"/>
                <w:sz w:val="24"/>
              </w:rPr>
              <w:t>124386</w:t>
            </w:r>
          </w:p>
        </w:tc>
        <w:tc>
          <w:tcPr>
            <w:tcW w:w="1353" w:type="dxa"/>
            <w:vAlign w:val="center"/>
          </w:tcPr>
          <w:p w:rsidR="000F6F5A" w:rsidRDefault="000E366D">
            <w:pPr>
              <w:jc w:val="center"/>
            </w:pPr>
            <w:r>
              <w:rPr>
                <w:color w:val="000000"/>
                <w:sz w:val="24"/>
              </w:rPr>
              <w:t>13</w:t>
            </w:r>
            <w:r>
              <w:rPr>
                <w:color w:val="000000"/>
                <w:sz w:val="24"/>
              </w:rPr>
              <w:t>新沂债</w:t>
            </w:r>
          </w:p>
        </w:tc>
        <w:tc>
          <w:tcPr>
            <w:tcW w:w="1505" w:type="dxa"/>
            <w:vAlign w:val="center"/>
          </w:tcPr>
          <w:p w:rsidR="000F6F5A" w:rsidRDefault="000E366D">
            <w:pPr>
              <w:jc w:val="right"/>
            </w:pPr>
            <w:r>
              <w:rPr>
                <w:color w:val="000000"/>
                <w:sz w:val="24"/>
              </w:rPr>
              <w:t>99,970</w:t>
            </w:r>
          </w:p>
        </w:tc>
        <w:tc>
          <w:tcPr>
            <w:tcW w:w="1737" w:type="dxa"/>
            <w:vAlign w:val="center"/>
          </w:tcPr>
          <w:p w:rsidR="000F6F5A" w:rsidRDefault="000E366D">
            <w:pPr>
              <w:jc w:val="right"/>
            </w:pPr>
            <w:r>
              <w:rPr>
                <w:color w:val="000000"/>
                <w:sz w:val="24"/>
              </w:rPr>
              <w:t>10,332,899.20</w:t>
            </w:r>
          </w:p>
        </w:tc>
        <w:tc>
          <w:tcPr>
            <w:tcW w:w="1701" w:type="dxa"/>
            <w:vAlign w:val="center"/>
          </w:tcPr>
          <w:p w:rsidR="000F6F5A" w:rsidRDefault="000E366D">
            <w:pPr>
              <w:jc w:val="right"/>
            </w:pPr>
            <w:r>
              <w:rPr>
                <w:color w:val="000000"/>
                <w:sz w:val="24"/>
              </w:rPr>
              <w:t>7.22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18,453.41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675,672.97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2,659,943.77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709.83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3,354,779.98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0F6F5A">
        <w:tc>
          <w:tcPr>
            <w:tcW w:w="1911" w:type="dxa"/>
            <w:vAlign w:val="center"/>
          </w:tcPr>
          <w:p w:rsidR="000F6F5A" w:rsidRDefault="000E366D">
            <w:pPr>
              <w:jc w:val="center"/>
            </w:pPr>
            <w:r>
              <w:rPr>
                <w:color w:val="000000"/>
                <w:sz w:val="24"/>
              </w:rPr>
              <w:t>1</w:t>
            </w:r>
          </w:p>
        </w:tc>
        <w:tc>
          <w:tcPr>
            <w:tcW w:w="1828" w:type="dxa"/>
            <w:vAlign w:val="center"/>
          </w:tcPr>
          <w:p w:rsidR="000F6F5A" w:rsidRDefault="000E366D">
            <w:pPr>
              <w:jc w:val="center"/>
            </w:pPr>
            <w:r>
              <w:rPr>
                <w:color w:val="000000"/>
                <w:sz w:val="24"/>
              </w:rPr>
              <w:t>113008</w:t>
            </w:r>
          </w:p>
        </w:tc>
        <w:tc>
          <w:tcPr>
            <w:tcW w:w="1752" w:type="dxa"/>
            <w:vAlign w:val="center"/>
          </w:tcPr>
          <w:p w:rsidR="000F6F5A" w:rsidRDefault="000E366D">
            <w:pPr>
              <w:jc w:val="center"/>
            </w:pPr>
            <w:r>
              <w:rPr>
                <w:color w:val="000000"/>
                <w:sz w:val="24"/>
              </w:rPr>
              <w:t>电气转债</w:t>
            </w:r>
          </w:p>
        </w:tc>
        <w:tc>
          <w:tcPr>
            <w:tcW w:w="1794" w:type="dxa"/>
            <w:vAlign w:val="center"/>
          </w:tcPr>
          <w:p w:rsidR="000F6F5A" w:rsidRDefault="000E366D">
            <w:pPr>
              <w:jc w:val="right"/>
            </w:pPr>
            <w:r>
              <w:rPr>
                <w:color w:val="000000"/>
                <w:sz w:val="24"/>
              </w:rPr>
              <w:t>2,702,750.00</w:t>
            </w:r>
          </w:p>
        </w:tc>
        <w:tc>
          <w:tcPr>
            <w:tcW w:w="1713" w:type="dxa"/>
            <w:vAlign w:val="center"/>
          </w:tcPr>
          <w:p w:rsidR="000F6F5A" w:rsidRDefault="000E366D">
            <w:pPr>
              <w:jc w:val="right"/>
            </w:pPr>
            <w:r>
              <w:rPr>
                <w:color w:val="000000"/>
                <w:sz w:val="24"/>
              </w:rPr>
              <w:t>1.89</w:t>
            </w:r>
          </w:p>
        </w:tc>
      </w:tr>
      <w:tr w:rsidR="000F6F5A">
        <w:tc>
          <w:tcPr>
            <w:tcW w:w="1911" w:type="dxa"/>
            <w:vAlign w:val="center"/>
          </w:tcPr>
          <w:p w:rsidR="000F6F5A" w:rsidRDefault="000E366D">
            <w:pPr>
              <w:jc w:val="center"/>
            </w:pPr>
            <w:r>
              <w:rPr>
                <w:color w:val="000000"/>
                <w:sz w:val="24"/>
              </w:rPr>
              <w:t>2</w:t>
            </w:r>
          </w:p>
        </w:tc>
        <w:tc>
          <w:tcPr>
            <w:tcW w:w="1828" w:type="dxa"/>
            <w:vAlign w:val="center"/>
          </w:tcPr>
          <w:p w:rsidR="000F6F5A" w:rsidRDefault="000E366D">
            <w:pPr>
              <w:jc w:val="center"/>
            </w:pPr>
            <w:r>
              <w:rPr>
                <w:color w:val="000000"/>
                <w:sz w:val="24"/>
              </w:rPr>
              <w:t>128009</w:t>
            </w:r>
          </w:p>
        </w:tc>
        <w:tc>
          <w:tcPr>
            <w:tcW w:w="1752" w:type="dxa"/>
            <w:vAlign w:val="center"/>
          </w:tcPr>
          <w:p w:rsidR="000F6F5A" w:rsidRDefault="000E366D">
            <w:pPr>
              <w:jc w:val="center"/>
            </w:pPr>
            <w:r>
              <w:rPr>
                <w:color w:val="000000"/>
                <w:sz w:val="24"/>
              </w:rPr>
              <w:t>歌尔转债</w:t>
            </w:r>
          </w:p>
        </w:tc>
        <w:tc>
          <w:tcPr>
            <w:tcW w:w="1794" w:type="dxa"/>
            <w:vAlign w:val="center"/>
          </w:tcPr>
          <w:p w:rsidR="000F6F5A" w:rsidRDefault="000E366D">
            <w:pPr>
              <w:jc w:val="right"/>
            </w:pPr>
            <w:r>
              <w:rPr>
                <w:color w:val="000000"/>
                <w:sz w:val="24"/>
              </w:rPr>
              <w:t>1,545,222.42</w:t>
            </w:r>
          </w:p>
        </w:tc>
        <w:tc>
          <w:tcPr>
            <w:tcW w:w="1713" w:type="dxa"/>
            <w:vAlign w:val="center"/>
          </w:tcPr>
          <w:p w:rsidR="000F6F5A" w:rsidRDefault="000E366D">
            <w:pPr>
              <w:jc w:val="right"/>
            </w:pPr>
            <w:r>
              <w:rPr>
                <w:color w:val="000000"/>
                <w:sz w:val="24"/>
              </w:rPr>
              <w:t>1.08</w:t>
            </w:r>
          </w:p>
        </w:tc>
      </w:tr>
      <w:tr w:rsidR="000F6F5A">
        <w:tc>
          <w:tcPr>
            <w:tcW w:w="1911" w:type="dxa"/>
            <w:vAlign w:val="center"/>
          </w:tcPr>
          <w:p w:rsidR="000F6F5A" w:rsidRDefault="000E366D">
            <w:pPr>
              <w:jc w:val="center"/>
            </w:pPr>
            <w:r>
              <w:rPr>
                <w:color w:val="000000"/>
                <w:sz w:val="24"/>
              </w:rPr>
              <w:t>3</w:t>
            </w:r>
          </w:p>
        </w:tc>
        <w:tc>
          <w:tcPr>
            <w:tcW w:w="1828" w:type="dxa"/>
            <w:vAlign w:val="center"/>
          </w:tcPr>
          <w:p w:rsidR="000F6F5A" w:rsidRDefault="000E366D">
            <w:pPr>
              <w:jc w:val="center"/>
            </w:pPr>
            <w:r>
              <w:rPr>
                <w:color w:val="000000"/>
                <w:sz w:val="24"/>
              </w:rPr>
              <w:t>132001</w:t>
            </w:r>
          </w:p>
        </w:tc>
        <w:tc>
          <w:tcPr>
            <w:tcW w:w="1752" w:type="dxa"/>
            <w:vAlign w:val="center"/>
          </w:tcPr>
          <w:p w:rsidR="000F6F5A" w:rsidRDefault="000E366D">
            <w:pPr>
              <w:jc w:val="center"/>
            </w:pPr>
            <w:r>
              <w:rPr>
                <w:color w:val="000000"/>
                <w:sz w:val="24"/>
              </w:rPr>
              <w:t>14</w:t>
            </w:r>
            <w:r>
              <w:rPr>
                <w:color w:val="000000"/>
                <w:sz w:val="24"/>
              </w:rPr>
              <w:t>宝钢</w:t>
            </w:r>
            <w:r>
              <w:rPr>
                <w:color w:val="000000"/>
                <w:sz w:val="24"/>
              </w:rPr>
              <w:t>EB</w:t>
            </w:r>
          </w:p>
        </w:tc>
        <w:tc>
          <w:tcPr>
            <w:tcW w:w="1794" w:type="dxa"/>
            <w:vAlign w:val="center"/>
          </w:tcPr>
          <w:p w:rsidR="000F6F5A" w:rsidRDefault="000E366D">
            <w:pPr>
              <w:jc w:val="right"/>
            </w:pPr>
            <w:r>
              <w:rPr>
                <w:color w:val="000000"/>
                <w:sz w:val="24"/>
              </w:rPr>
              <w:t>921,600.00</w:t>
            </w:r>
          </w:p>
        </w:tc>
        <w:tc>
          <w:tcPr>
            <w:tcW w:w="1713" w:type="dxa"/>
            <w:vAlign w:val="center"/>
          </w:tcPr>
          <w:p w:rsidR="000F6F5A" w:rsidRDefault="000E366D">
            <w:pPr>
              <w:jc w:val="right"/>
            </w:pPr>
            <w:r>
              <w:rPr>
                <w:color w:val="000000"/>
                <w:sz w:val="24"/>
              </w:rPr>
              <w:t>0.64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83"/>
        <w:gridCol w:w="1399"/>
        <w:gridCol w:w="1476"/>
        <w:gridCol w:w="1547"/>
        <w:gridCol w:w="1596"/>
        <w:gridCol w:w="1565"/>
      </w:tblGrid>
      <w:tr w:rsidR="000E366D" w:rsidRPr="005C672D" w:rsidTr="000E366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F6F5A" w:rsidRDefault="000E366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0E366D" w:rsidRPr="005C672D" w:rsidTr="000E366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F6F5A" w:rsidRDefault="000F6F5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0E366D" w:rsidRPr="005C672D" w:rsidTr="000E366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F6F5A" w:rsidRDefault="000F6F5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0E366D" w:rsidRPr="005C672D" w:rsidTr="000E366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F6F5A" w:rsidRDefault="000E366D">
            <w:pPr>
              <w:jc w:val="center"/>
            </w:pPr>
            <w:r>
              <w:rPr>
                <w:bCs/>
                <w:color w:val="000000"/>
                <w:sz w:val="24"/>
              </w:rPr>
              <w:t>2,601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41,001.22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9,336,358.88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8.75%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97,307,822.87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91.25%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0F6F5A">
        <w:tc>
          <w:tcPr>
            <w:tcW w:w="1107" w:type="dxa"/>
            <w:vAlign w:val="center"/>
          </w:tcPr>
          <w:p w:rsidR="000F6F5A" w:rsidRDefault="000E366D">
            <w:pPr>
              <w:jc w:val="center"/>
            </w:pPr>
            <w:r>
              <w:rPr>
                <w:color w:val="000000"/>
                <w:sz w:val="24"/>
              </w:rPr>
              <w:t>1</w:t>
            </w:r>
          </w:p>
        </w:tc>
        <w:tc>
          <w:tcPr>
            <w:tcW w:w="2583" w:type="dxa"/>
            <w:vAlign w:val="center"/>
          </w:tcPr>
          <w:p w:rsidR="000F6F5A" w:rsidRDefault="000E366D">
            <w:pPr>
              <w:jc w:val="left"/>
            </w:pPr>
            <w:r>
              <w:rPr>
                <w:color w:val="000000"/>
                <w:sz w:val="24"/>
              </w:rPr>
              <w:t>富安达基金－广发银行－利可</w:t>
            </w:r>
            <w:r>
              <w:rPr>
                <w:color w:val="000000"/>
                <w:sz w:val="24"/>
              </w:rPr>
              <w:t>6</w:t>
            </w:r>
            <w:r>
              <w:rPr>
                <w:color w:val="000000"/>
                <w:sz w:val="24"/>
              </w:rPr>
              <w:t>号资产管理计划</w:t>
            </w:r>
          </w:p>
        </w:tc>
        <w:tc>
          <w:tcPr>
            <w:tcW w:w="2286" w:type="dxa"/>
            <w:vAlign w:val="center"/>
          </w:tcPr>
          <w:p w:rsidR="000F6F5A" w:rsidRDefault="000E366D">
            <w:pPr>
              <w:jc w:val="right"/>
            </w:pPr>
            <w:r>
              <w:rPr>
                <w:color w:val="000000"/>
                <w:sz w:val="24"/>
              </w:rPr>
              <w:t>4,664,852.00</w:t>
            </w:r>
          </w:p>
        </w:tc>
        <w:tc>
          <w:tcPr>
            <w:tcW w:w="3022" w:type="dxa"/>
            <w:vAlign w:val="center"/>
          </w:tcPr>
          <w:p w:rsidR="000F6F5A" w:rsidRDefault="000E366D">
            <w:pPr>
              <w:jc w:val="right"/>
            </w:pPr>
            <w:r>
              <w:rPr>
                <w:color w:val="000000"/>
                <w:sz w:val="24"/>
              </w:rPr>
              <w:t>46.75%</w:t>
            </w:r>
          </w:p>
        </w:tc>
      </w:tr>
      <w:tr w:rsidR="000F6F5A">
        <w:tc>
          <w:tcPr>
            <w:tcW w:w="1107" w:type="dxa"/>
            <w:vAlign w:val="center"/>
          </w:tcPr>
          <w:p w:rsidR="000F6F5A" w:rsidRDefault="000E366D">
            <w:pPr>
              <w:jc w:val="center"/>
            </w:pPr>
            <w:r>
              <w:rPr>
                <w:color w:val="000000"/>
                <w:sz w:val="24"/>
              </w:rPr>
              <w:t>2</w:t>
            </w:r>
          </w:p>
        </w:tc>
        <w:tc>
          <w:tcPr>
            <w:tcW w:w="2583" w:type="dxa"/>
            <w:vAlign w:val="center"/>
          </w:tcPr>
          <w:p w:rsidR="000F6F5A" w:rsidRDefault="000E366D">
            <w:pPr>
              <w:jc w:val="left"/>
            </w:pPr>
            <w:r>
              <w:rPr>
                <w:color w:val="000000"/>
                <w:sz w:val="24"/>
              </w:rPr>
              <w:t>广东省粤电集团有限公司企业年金计划－中国工商银行股份有限公</w:t>
            </w:r>
          </w:p>
        </w:tc>
        <w:tc>
          <w:tcPr>
            <w:tcW w:w="2286" w:type="dxa"/>
            <w:vAlign w:val="center"/>
          </w:tcPr>
          <w:p w:rsidR="000F6F5A" w:rsidRDefault="000E366D">
            <w:pPr>
              <w:jc w:val="right"/>
            </w:pPr>
            <w:r>
              <w:rPr>
                <w:color w:val="000000"/>
                <w:sz w:val="24"/>
              </w:rPr>
              <w:t>1,084,516.00</w:t>
            </w:r>
          </w:p>
        </w:tc>
        <w:tc>
          <w:tcPr>
            <w:tcW w:w="3022" w:type="dxa"/>
            <w:vAlign w:val="center"/>
          </w:tcPr>
          <w:p w:rsidR="000F6F5A" w:rsidRDefault="000E366D">
            <w:pPr>
              <w:jc w:val="right"/>
            </w:pPr>
            <w:r>
              <w:rPr>
                <w:color w:val="000000"/>
                <w:sz w:val="24"/>
              </w:rPr>
              <w:t>10.87%</w:t>
            </w:r>
          </w:p>
        </w:tc>
      </w:tr>
      <w:tr w:rsidR="000F6F5A">
        <w:tc>
          <w:tcPr>
            <w:tcW w:w="1107" w:type="dxa"/>
            <w:vAlign w:val="center"/>
          </w:tcPr>
          <w:p w:rsidR="000F6F5A" w:rsidRDefault="000E366D">
            <w:pPr>
              <w:jc w:val="center"/>
            </w:pPr>
            <w:r>
              <w:rPr>
                <w:color w:val="000000"/>
                <w:sz w:val="24"/>
              </w:rPr>
              <w:t>3</w:t>
            </w:r>
          </w:p>
        </w:tc>
        <w:tc>
          <w:tcPr>
            <w:tcW w:w="2583" w:type="dxa"/>
            <w:vAlign w:val="center"/>
          </w:tcPr>
          <w:p w:rsidR="000F6F5A" w:rsidRDefault="000E366D">
            <w:pPr>
              <w:jc w:val="left"/>
            </w:pPr>
            <w:r>
              <w:rPr>
                <w:color w:val="000000"/>
                <w:sz w:val="24"/>
              </w:rPr>
              <w:t>成都铁路局企业年金计划－中国建设银行股份有限公司</w:t>
            </w:r>
          </w:p>
        </w:tc>
        <w:tc>
          <w:tcPr>
            <w:tcW w:w="2286" w:type="dxa"/>
            <w:vAlign w:val="center"/>
          </w:tcPr>
          <w:p w:rsidR="000F6F5A" w:rsidRDefault="000E366D">
            <w:pPr>
              <w:jc w:val="right"/>
            </w:pPr>
            <w:r>
              <w:rPr>
                <w:color w:val="000000"/>
                <w:sz w:val="24"/>
              </w:rPr>
              <w:t>1,000,000.00</w:t>
            </w:r>
          </w:p>
        </w:tc>
        <w:tc>
          <w:tcPr>
            <w:tcW w:w="3022" w:type="dxa"/>
            <w:vAlign w:val="center"/>
          </w:tcPr>
          <w:p w:rsidR="000F6F5A" w:rsidRDefault="000E366D">
            <w:pPr>
              <w:jc w:val="right"/>
            </w:pPr>
            <w:r>
              <w:rPr>
                <w:color w:val="000000"/>
                <w:sz w:val="24"/>
              </w:rPr>
              <w:t>10.02%</w:t>
            </w:r>
          </w:p>
        </w:tc>
      </w:tr>
      <w:tr w:rsidR="000F6F5A">
        <w:tc>
          <w:tcPr>
            <w:tcW w:w="1107" w:type="dxa"/>
            <w:vAlign w:val="center"/>
          </w:tcPr>
          <w:p w:rsidR="000F6F5A" w:rsidRDefault="000E366D">
            <w:pPr>
              <w:jc w:val="center"/>
            </w:pPr>
            <w:r>
              <w:rPr>
                <w:color w:val="000000"/>
                <w:sz w:val="24"/>
              </w:rPr>
              <w:t>4</w:t>
            </w:r>
          </w:p>
        </w:tc>
        <w:tc>
          <w:tcPr>
            <w:tcW w:w="2583" w:type="dxa"/>
            <w:vAlign w:val="center"/>
          </w:tcPr>
          <w:p w:rsidR="000F6F5A" w:rsidRDefault="000E366D">
            <w:pPr>
              <w:jc w:val="left"/>
            </w:pPr>
            <w:r>
              <w:rPr>
                <w:color w:val="000000"/>
                <w:sz w:val="24"/>
              </w:rPr>
              <w:t>中国第一汽车集团公司企业年金计划－中国银行股份有限公司</w:t>
            </w:r>
          </w:p>
        </w:tc>
        <w:tc>
          <w:tcPr>
            <w:tcW w:w="2286" w:type="dxa"/>
            <w:vAlign w:val="center"/>
          </w:tcPr>
          <w:p w:rsidR="000F6F5A" w:rsidRDefault="000E366D">
            <w:pPr>
              <w:jc w:val="right"/>
            </w:pPr>
            <w:r>
              <w:rPr>
                <w:color w:val="000000"/>
                <w:sz w:val="24"/>
              </w:rPr>
              <w:t>1,000,000.00</w:t>
            </w:r>
          </w:p>
        </w:tc>
        <w:tc>
          <w:tcPr>
            <w:tcW w:w="3022" w:type="dxa"/>
            <w:vAlign w:val="center"/>
          </w:tcPr>
          <w:p w:rsidR="000F6F5A" w:rsidRDefault="000E366D">
            <w:pPr>
              <w:jc w:val="right"/>
            </w:pPr>
            <w:r>
              <w:rPr>
                <w:color w:val="000000"/>
                <w:sz w:val="24"/>
              </w:rPr>
              <w:t>10.02%</w:t>
            </w:r>
          </w:p>
        </w:tc>
      </w:tr>
      <w:tr w:rsidR="000F6F5A">
        <w:tc>
          <w:tcPr>
            <w:tcW w:w="1107" w:type="dxa"/>
            <w:vAlign w:val="center"/>
          </w:tcPr>
          <w:p w:rsidR="000F6F5A" w:rsidRDefault="000E366D">
            <w:pPr>
              <w:jc w:val="center"/>
            </w:pPr>
            <w:r>
              <w:rPr>
                <w:color w:val="000000"/>
                <w:sz w:val="24"/>
              </w:rPr>
              <w:t>5</w:t>
            </w:r>
          </w:p>
        </w:tc>
        <w:tc>
          <w:tcPr>
            <w:tcW w:w="2583" w:type="dxa"/>
            <w:vAlign w:val="center"/>
          </w:tcPr>
          <w:p w:rsidR="000F6F5A" w:rsidRDefault="000E366D">
            <w:pPr>
              <w:jc w:val="left"/>
            </w:pPr>
            <w:r>
              <w:rPr>
                <w:color w:val="000000"/>
                <w:sz w:val="24"/>
              </w:rPr>
              <w:t>中国电力工程顾问集团公司企业年金计划－中国银行股份有限公司</w:t>
            </w:r>
          </w:p>
        </w:tc>
        <w:tc>
          <w:tcPr>
            <w:tcW w:w="2286" w:type="dxa"/>
            <w:vAlign w:val="center"/>
          </w:tcPr>
          <w:p w:rsidR="000F6F5A" w:rsidRDefault="000E366D">
            <w:pPr>
              <w:jc w:val="right"/>
            </w:pPr>
            <w:r>
              <w:rPr>
                <w:color w:val="000000"/>
                <w:sz w:val="24"/>
              </w:rPr>
              <w:t>757,026.00</w:t>
            </w:r>
          </w:p>
        </w:tc>
        <w:tc>
          <w:tcPr>
            <w:tcW w:w="3022" w:type="dxa"/>
            <w:vAlign w:val="center"/>
          </w:tcPr>
          <w:p w:rsidR="000F6F5A" w:rsidRDefault="000E366D">
            <w:pPr>
              <w:jc w:val="right"/>
            </w:pPr>
            <w:r>
              <w:rPr>
                <w:color w:val="000000"/>
                <w:sz w:val="24"/>
              </w:rPr>
              <w:t>7.59%</w:t>
            </w:r>
          </w:p>
        </w:tc>
      </w:tr>
      <w:tr w:rsidR="000F6F5A">
        <w:tc>
          <w:tcPr>
            <w:tcW w:w="1107" w:type="dxa"/>
            <w:vAlign w:val="center"/>
          </w:tcPr>
          <w:p w:rsidR="000F6F5A" w:rsidRDefault="000E366D">
            <w:pPr>
              <w:jc w:val="center"/>
            </w:pPr>
            <w:r>
              <w:rPr>
                <w:color w:val="000000"/>
                <w:sz w:val="24"/>
              </w:rPr>
              <w:t>6</w:t>
            </w:r>
          </w:p>
        </w:tc>
        <w:tc>
          <w:tcPr>
            <w:tcW w:w="2583" w:type="dxa"/>
            <w:vAlign w:val="center"/>
          </w:tcPr>
          <w:p w:rsidR="000F6F5A" w:rsidRDefault="000E366D">
            <w:pPr>
              <w:jc w:val="left"/>
            </w:pPr>
            <w:r>
              <w:rPr>
                <w:color w:val="000000"/>
                <w:sz w:val="24"/>
              </w:rPr>
              <w:t>海航集团有限公司企业年金计划－中国工商银行股份有限公司</w:t>
            </w:r>
          </w:p>
        </w:tc>
        <w:tc>
          <w:tcPr>
            <w:tcW w:w="2286" w:type="dxa"/>
            <w:vAlign w:val="center"/>
          </w:tcPr>
          <w:p w:rsidR="000F6F5A" w:rsidRDefault="000E366D">
            <w:pPr>
              <w:jc w:val="right"/>
            </w:pPr>
            <w:r>
              <w:rPr>
                <w:color w:val="000000"/>
                <w:sz w:val="24"/>
              </w:rPr>
              <w:t>711,046.00</w:t>
            </w:r>
          </w:p>
        </w:tc>
        <w:tc>
          <w:tcPr>
            <w:tcW w:w="3022" w:type="dxa"/>
            <w:vAlign w:val="center"/>
          </w:tcPr>
          <w:p w:rsidR="000F6F5A" w:rsidRDefault="000E366D">
            <w:pPr>
              <w:jc w:val="right"/>
            </w:pPr>
            <w:r>
              <w:rPr>
                <w:color w:val="000000"/>
                <w:sz w:val="24"/>
              </w:rPr>
              <w:t>7.13%</w:t>
            </w:r>
          </w:p>
        </w:tc>
      </w:tr>
      <w:tr w:rsidR="000F6F5A">
        <w:tc>
          <w:tcPr>
            <w:tcW w:w="1107" w:type="dxa"/>
            <w:vAlign w:val="center"/>
          </w:tcPr>
          <w:p w:rsidR="000F6F5A" w:rsidRDefault="000E366D">
            <w:pPr>
              <w:jc w:val="center"/>
            </w:pPr>
            <w:r>
              <w:rPr>
                <w:color w:val="000000"/>
                <w:sz w:val="24"/>
              </w:rPr>
              <w:t>7</w:t>
            </w:r>
          </w:p>
        </w:tc>
        <w:tc>
          <w:tcPr>
            <w:tcW w:w="2583" w:type="dxa"/>
            <w:vAlign w:val="center"/>
          </w:tcPr>
          <w:p w:rsidR="000F6F5A" w:rsidRDefault="000E366D">
            <w:pPr>
              <w:jc w:val="left"/>
            </w:pPr>
            <w:r>
              <w:rPr>
                <w:color w:val="000000"/>
                <w:sz w:val="24"/>
              </w:rPr>
              <w:t>孙建军</w:t>
            </w:r>
          </w:p>
        </w:tc>
        <w:tc>
          <w:tcPr>
            <w:tcW w:w="2286" w:type="dxa"/>
            <w:vAlign w:val="center"/>
          </w:tcPr>
          <w:p w:rsidR="000F6F5A" w:rsidRDefault="000E366D">
            <w:pPr>
              <w:jc w:val="right"/>
            </w:pPr>
            <w:r>
              <w:rPr>
                <w:color w:val="000000"/>
                <w:sz w:val="24"/>
              </w:rPr>
              <w:t>88,000.00</w:t>
            </w:r>
          </w:p>
        </w:tc>
        <w:tc>
          <w:tcPr>
            <w:tcW w:w="3022" w:type="dxa"/>
            <w:vAlign w:val="center"/>
          </w:tcPr>
          <w:p w:rsidR="000F6F5A" w:rsidRDefault="000E366D">
            <w:pPr>
              <w:jc w:val="right"/>
            </w:pPr>
            <w:r>
              <w:rPr>
                <w:color w:val="000000"/>
                <w:sz w:val="24"/>
              </w:rPr>
              <w:t>0.88%</w:t>
            </w:r>
          </w:p>
        </w:tc>
      </w:tr>
      <w:tr w:rsidR="000F6F5A">
        <w:tc>
          <w:tcPr>
            <w:tcW w:w="1107" w:type="dxa"/>
            <w:vAlign w:val="center"/>
          </w:tcPr>
          <w:p w:rsidR="000F6F5A" w:rsidRDefault="000E366D">
            <w:pPr>
              <w:jc w:val="center"/>
            </w:pPr>
            <w:r>
              <w:rPr>
                <w:color w:val="000000"/>
                <w:sz w:val="24"/>
              </w:rPr>
              <w:t>8</w:t>
            </w:r>
          </w:p>
        </w:tc>
        <w:tc>
          <w:tcPr>
            <w:tcW w:w="2583" w:type="dxa"/>
            <w:vAlign w:val="center"/>
          </w:tcPr>
          <w:p w:rsidR="000F6F5A" w:rsidRDefault="000E366D">
            <w:pPr>
              <w:jc w:val="left"/>
            </w:pPr>
            <w:r>
              <w:rPr>
                <w:color w:val="000000"/>
                <w:sz w:val="24"/>
              </w:rPr>
              <w:t>中铁快运股份有限公司企业年金计划－中国工商银行股份有限公司</w:t>
            </w:r>
          </w:p>
        </w:tc>
        <w:tc>
          <w:tcPr>
            <w:tcW w:w="2286" w:type="dxa"/>
            <w:vAlign w:val="center"/>
          </w:tcPr>
          <w:p w:rsidR="000F6F5A" w:rsidRDefault="000E366D">
            <w:pPr>
              <w:jc w:val="right"/>
            </w:pPr>
            <w:r>
              <w:rPr>
                <w:color w:val="000000"/>
                <w:sz w:val="24"/>
              </w:rPr>
              <w:t>69,200.00</w:t>
            </w:r>
          </w:p>
        </w:tc>
        <w:tc>
          <w:tcPr>
            <w:tcW w:w="3022" w:type="dxa"/>
            <w:vAlign w:val="center"/>
          </w:tcPr>
          <w:p w:rsidR="000F6F5A" w:rsidRDefault="000E366D">
            <w:pPr>
              <w:jc w:val="right"/>
            </w:pPr>
            <w:r>
              <w:rPr>
                <w:color w:val="000000"/>
                <w:sz w:val="24"/>
              </w:rPr>
              <w:t>0.69%</w:t>
            </w:r>
          </w:p>
        </w:tc>
      </w:tr>
      <w:tr w:rsidR="000F6F5A">
        <w:tc>
          <w:tcPr>
            <w:tcW w:w="1107" w:type="dxa"/>
            <w:vAlign w:val="center"/>
          </w:tcPr>
          <w:p w:rsidR="000F6F5A" w:rsidRDefault="000E366D">
            <w:pPr>
              <w:jc w:val="center"/>
            </w:pPr>
            <w:r>
              <w:rPr>
                <w:color w:val="000000"/>
                <w:sz w:val="24"/>
              </w:rPr>
              <w:t>9</w:t>
            </w:r>
          </w:p>
        </w:tc>
        <w:tc>
          <w:tcPr>
            <w:tcW w:w="2583" w:type="dxa"/>
            <w:vAlign w:val="center"/>
          </w:tcPr>
          <w:p w:rsidR="000F6F5A" w:rsidRDefault="000E366D">
            <w:pPr>
              <w:jc w:val="left"/>
            </w:pPr>
            <w:r>
              <w:rPr>
                <w:color w:val="000000"/>
                <w:sz w:val="24"/>
              </w:rPr>
              <w:t>王方</w:t>
            </w:r>
          </w:p>
        </w:tc>
        <w:tc>
          <w:tcPr>
            <w:tcW w:w="2286" w:type="dxa"/>
            <w:vAlign w:val="center"/>
          </w:tcPr>
          <w:p w:rsidR="000F6F5A" w:rsidRDefault="000E366D">
            <w:pPr>
              <w:jc w:val="right"/>
            </w:pPr>
            <w:r>
              <w:rPr>
                <w:color w:val="000000"/>
                <w:sz w:val="24"/>
              </w:rPr>
              <w:t>61,300.00</w:t>
            </w:r>
          </w:p>
        </w:tc>
        <w:tc>
          <w:tcPr>
            <w:tcW w:w="3022" w:type="dxa"/>
            <w:vAlign w:val="center"/>
          </w:tcPr>
          <w:p w:rsidR="000F6F5A" w:rsidRDefault="000E366D">
            <w:pPr>
              <w:jc w:val="right"/>
            </w:pPr>
            <w:r>
              <w:rPr>
                <w:color w:val="000000"/>
                <w:sz w:val="24"/>
              </w:rPr>
              <w:t>0.61%</w:t>
            </w:r>
          </w:p>
        </w:tc>
      </w:tr>
      <w:tr w:rsidR="000F6F5A">
        <w:tc>
          <w:tcPr>
            <w:tcW w:w="1107" w:type="dxa"/>
            <w:vAlign w:val="center"/>
          </w:tcPr>
          <w:p w:rsidR="000F6F5A" w:rsidRDefault="000E366D">
            <w:pPr>
              <w:jc w:val="center"/>
            </w:pPr>
            <w:r>
              <w:rPr>
                <w:color w:val="000000"/>
                <w:sz w:val="24"/>
              </w:rPr>
              <w:t>10</w:t>
            </w:r>
          </w:p>
        </w:tc>
        <w:tc>
          <w:tcPr>
            <w:tcW w:w="2583" w:type="dxa"/>
            <w:vAlign w:val="center"/>
          </w:tcPr>
          <w:p w:rsidR="000F6F5A" w:rsidRDefault="000E366D">
            <w:pPr>
              <w:jc w:val="left"/>
            </w:pPr>
            <w:r>
              <w:rPr>
                <w:color w:val="000000"/>
                <w:sz w:val="24"/>
              </w:rPr>
              <w:t>王志勇</w:t>
            </w:r>
          </w:p>
        </w:tc>
        <w:tc>
          <w:tcPr>
            <w:tcW w:w="2286" w:type="dxa"/>
            <w:vAlign w:val="center"/>
          </w:tcPr>
          <w:p w:rsidR="000F6F5A" w:rsidRDefault="000E366D">
            <w:pPr>
              <w:jc w:val="right"/>
            </w:pPr>
            <w:r>
              <w:rPr>
                <w:color w:val="000000"/>
                <w:sz w:val="24"/>
              </w:rPr>
              <w:t>60,000.00</w:t>
            </w:r>
          </w:p>
        </w:tc>
        <w:tc>
          <w:tcPr>
            <w:tcW w:w="3022" w:type="dxa"/>
            <w:vAlign w:val="center"/>
          </w:tcPr>
          <w:p w:rsidR="000F6F5A" w:rsidRDefault="000E366D">
            <w:pPr>
              <w:jc w:val="right"/>
            </w:pPr>
            <w:r>
              <w:rPr>
                <w:color w:val="000000"/>
                <w:sz w:val="24"/>
              </w:rPr>
              <w:t>0.60%</w:t>
            </w:r>
          </w:p>
        </w:tc>
      </w:tr>
      <w:tr w:rsidR="000F6F5A">
        <w:tc>
          <w:tcPr>
            <w:tcW w:w="1107" w:type="dxa"/>
            <w:vAlign w:val="center"/>
          </w:tcPr>
          <w:p w:rsidR="000F6F5A" w:rsidRDefault="000E366D">
            <w:pPr>
              <w:jc w:val="center"/>
            </w:pPr>
            <w:r>
              <w:rPr>
                <w:color w:val="000000"/>
                <w:sz w:val="24"/>
              </w:rPr>
              <w:t>10</w:t>
            </w:r>
          </w:p>
        </w:tc>
        <w:tc>
          <w:tcPr>
            <w:tcW w:w="2583" w:type="dxa"/>
            <w:vAlign w:val="center"/>
          </w:tcPr>
          <w:p w:rsidR="000F6F5A" w:rsidRDefault="000E366D">
            <w:pPr>
              <w:jc w:val="left"/>
            </w:pPr>
            <w:r>
              <w:rPr>
                <w:color w:val="000000"/>
                <w:sz w:val="24"/>
              </w:rPr>
              <w:t>高德荣</w:t>
            </w:r>
          </w:p>
        </w:tc>
        <w:tc>
          <w:tcPr>
            <w:tcW w:w="2286" w:type="dxa"/>
            <w:vAlign w:val="center"/>
          </w:tcPr>
          <w:p w:rsidR="000F6F5A" w:rsidRDefault="000E366D">
            <w:pPr>
              <w:jc w:val="right"/>
            </w:pPr>
            <w:r>
              <w:rPr>
                <w:color w:val="000000"/>
                <w:sz w:val="24"/>
              </w:rPr>
              <w:t>60,000.00</w:t>
            </w:r>
          </w:p>
        </w:tc>
        <w:tc>
          <w:tcPr>
            <w:tcW w:w="3022" w:type="dxa"/>
            <w:vAlign w:val="center"/>
          </w:tcPr>
          <w:p w:rsidR="000F6F5A" w:rsidRDefault="000E366D">
            <w:pPr>
              <w:jc w:val="right"/>
            </w:pPr>
            <w:r>
              <w:rPr>
                <w:color w:val="000000"/>
                <w:sz w:val="24"/>
              </w:rPr>
              <w:t>0.60%</w:t>
            </w:r>
          </w:p>
        </w:tc>
      </w:tr>
    </w:tbl>
    <w:p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7.45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1,895,085,749.23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94,921,723.81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143,668,505.90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131,946,047.96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106,644,181.75</w:t>
            </w:r>
          </w:p>
        </w:tc>
      </w:tr>
    </w:tbl>
    <w:p w:rsidR="000F6F5A" w:rsidRDefault="000E366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0F6F5A" w:rsidRDefault="000E366D">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0F6F5A" w:rsidRDefault="000E366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F6F5A" w:rsidRDefault="000E366D">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0F6F5A" w:rsidRDefault="000E366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0F6F5A">
        <w:tc>
          <w:tcPr>
            <w:tcW w:w="1559" w:type="dxa"/>
            <w:vAlign w:val="center"/>
          </w:tcPr>
          <w:p w:rsidR="000F6F5A" w:rsidRDefault="000E366D">
            <w:pPr>
              <w:jc w:val="center"/>
            </w:pPr>
            <w:r>
              <w:rPr>
                <w:color w:val="000000"/>
                <w:sz w:val="24"/>
              </w:rPr>
              <w:t>光大证券股份有限公司</w:t>
            </w:r>
          </w:p>
        </w:tc>
        <w:tc>
          <w:tcPr>
            <w:tcW w:w="779" w:type="dxa"/>
            <w:vAlign w:val="center"/>
          </w:tcPr>
          <w:p w:rsidR="000F6F5A" w:rsidRDefault="000E366D">
            <w:pPr>
              <w:jc w:val="center"/>
            </w:pPr>
            <w:r>
              <w:rPr>
                <w:color w:val="000000"/>
                <w:sz w:val="24"/>
              </w:rPr>
              <w:t>1</w:t>
            </w:r>
          </w:p>
        </w:tc>
        <w:tc>
          <w:tcPr>
            <w:tcW w:w="1800" w:type="dxa"/>
            <w:vAlign w:val="center"/>
          </w:tcPr>
          <w:p w:rsidR="000F6F5A" w:rsidRDefault="000E366D">
            <w:pPr>
              <w:jc w:val="right"/>
            </w:pPr>
            <w:r>
              <w:rPr>
                <w:color w:val="000000"/>
                <w:sz w:val="24"/>
              </w:rPr>
              <w:t>-</w:t>
            </w:r>
          </w:p>
        </w:tc>
        <w:tc>
          <w:tcPr>
            <w:tcW w:w="1080" w:type="dxa"/>
            <w:vAlign w:val="center"/>
          </w:tcPr>
          <w:p w:rsidR="000F6F5A" w:rsidRDefault="000E366D">
            <w:pPr>
              <w:jc w:val="right"/>
            </w:pPr>
            <w:r>
              <w:rPr>
                <w:color w:val="000000"/>
                <w:sz w:val="24"/>
              </w:rPr>
              <w:t>-</w:t>
            </w:r>
          </w:p>
        </w:tc>
        <w:tc>
          <w:tcPr>
            <w:tcW w:w="1620" w:type="dxa"/>
            <w:vAlign w:val="center"/>
          </w:tcPr>
          <w:p w:rsidR="000F6F5A" w:rsidRDefault="000E366D">
            <w:pPr>
              <w:jc w:val="right"/>
            </w:pPr>
            <w:r>
              <w:rPr>
                <w:color w:val="000000"/>
                <w:sz w:val="24"/>
              </w:rPr>
              <w:t>-</w:t>
            </w:r>
          </w:p>
        </w:tc>
        <w:tc>
          <w:tcPr>
            <w:tcW w:w="1080" w:type="dxa"/>
            <w:vAlign w:val="center"/>
          </w:tcPr>
          <w:p w:rsidR="000F6F5A" w:rsidRDefault="000E366D">
            <w:pPr>
              <w:jc w:val="right"/>
            </w:pPr>
            <w:r>
              <w:rPr>
                <w:color w:val="000000"/>
                <w:sz w:val="24"/>
              </w:rPr>
              <w:t>-</w:t>
            </w:r>
          </w:p>
        </w:tc>
        <w:tc>
          <w:tcPr>
            <w:tcW w:w="1080" w:type="dxa"/>
            <w:vAlign w:val="center"/>
          </w:tcPr>
          <w:p w:rsidR="000F6F5A" w:rsidRDefault="000E366D">
            <w:pPr>
              <w:jc w:val="left"/>
            </w:pPr>
            <w:r>
              <w:rPr>
                <w:color w:val="000000"/>
                <w:sz w:val="24"/>
              </w:rPr>
              <w:t>-</w:t>
            </w:r>
          </w:p>
        </w:tc>
      </w:tr>
      <w:tr w:rsidR="000F6F5A">
        <w:tc>
          <w:tcPr>
            <w:tcW w:w="1559" w:type="dxa"/>
            <w:vAlign w:val="center"/>
          </w:tcPr>
          <w:p w:rsidR="000F6F5A" w:rsidRDefault="000E366D">
            <w:pPr>
              <w:jc w:val="center"/>
            </w:pPr>
            <w:r>
              <w:rPr>
                <w:color w:val="000000"/>
                <w:sz w:val="24"/>
              </w:rPr>
              <w:t>招商证券股份有限公司</w:t>
            </w:r>
          </w:p>
        </w:tc>
        <w:tc>
          <w:tcPr>
            <w:tcW w:w="779" w:type="dxa"/>
            <w:vAlign w:val="center"/>
          </w:tcPr>
          <w:p w:rsidR="000F6F5A" w:rsidRDefault="000E366D">
            <w:pPr>
              <w:jc w:val="center"/>
            </w:pPr>
            <w:r>
              <w:rPr>
                <w:color w:val="000000"/>
                <w:sz w:val="24"/>
              </w:rPr>
              <w:t>1</w:t>
            </w:r>
          </w:p>
        </w:tc>
        <w:tc>
          <w:tcPr>
            <w:tcW w:w="1800" w:type="dxa"/>
            <w:vAlign w:val="center"/>
          </w:tcPr>
          <w:p w:rsidR="000F6F5A" w:rsidRDefault="000E366D">
            <w:pPr>
              <w:jc w:val="right"/>
            </w:pPr>
            <w:r>
              <w:rPr>
                <w:color w:val="000000"/>
                <w:sz w:val="24"/>
              </w:rPr>
              <w:t>-</w:t>
            </w:r>
          </w:p>
        </w:tc>
        <w:tc>
          <w:tcPr>
            <w:tcW w:w="1080" w:type="dxa"/>
            <w:vAlign w:val="center"/>
          </w:tcPr>
          <w:p w:rsidR="000F6F5A" w:rsidRDefault="000E366D">
            <w:pPr>
              <w:jc w:val="right"/>
            </w:pPr>
            <w:r>
              <w:rPr>
                <w:color w:val="000000"/>
                <w:sz w:val="24"/>
              </w:rPr>
              <w:t>-</w:t>
            </w:r>
          </w:p>
        </w:tc>
        <w:tc>
          <w:tcPr>
            <w:tcW w:w="1620" w:type="dxa"/>
            <w:vAlign w:val="center"/>
          </w:tcPr>
          <w:p w:rsidR="000F6F5A" w:rsidRDefault="000E366D">
            <w:pPr>
              <w:jc w:val="right"/>
            </w:pPr>
            <w:r>
              <w:rPr>
                <w:color w:val="000000"/>
                <w:sz w:val="24"/>
              </w:rPr>
              <w:t>-</w:t>
            </w:r>
          </w:p>
        </w:tc>
        <w:tc>
          <w:tcPr>
            <w:tcW w:w="1080" w:type="dxa"/>
            <w:vAlign w:val="center"/>
          </w:tcPr>
          <w:p w:rsidR="000F6F5A" w:rsidRDefault="000E366D">
            <w:pPr>
              <w:jc w:val="right"/>
            </w:pPr>
            <w:r>
              <w:rPr>
                <w:color w:val="000000"/>
                <w:sz w:val="24"/>
              </w:rPr>
              <w:t>-</w:t>
            </w:r>
          </w:p>
        </w:tc>
        <w:tc>
          <w:tcPr>
            <w:tcW w:w="1080" w:type="dxa"/>
            <w:vAlign w:val="center"/>
          </w:tcPr>
          <w:p w:rsidR="000F6F5A" w:rsidRDefault="000E366D">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0F6F5A">
        <w:tc>
          <w:tcPr>
            <w:tcW w:w="1559" w:type="dxa"/>
            <w:vAlign w:val="center"/>
          </w:tcPr>
          <w:p w:rsidR="000F6F5A" w:rsidRDefault="000E366D">
            <w:pPr>
              <w:jc w:val="left"/>
            </w:pPr>
            <w:r>
              <w:rPr>
                <w:color w:val="000000"/>
                <w:sz w:val="24"/>
              </w:rPr>
              <w:t>光大证券股份有限公司</w:t>
            </w:r>
          </w:p>
        </w:tc>
        <w:tc>
          <w:tcPr>
            <w:tcW w:w="1319" w:type="dxa"/>
            <w:vAlign w:val="center"/>
          </w:tcPr>
          <w:p w:rsidR="000F6F5A" w:rsidRDefault="000E366D">
            <w:pPr>
              <w:jc w:val="right"/>
            </w:pPr>
            <w:r>
              <w:rPr>
                <w:color w:val="000000"/>
                <w:sz w:val="24"/>
              </w:rPr>
              <w:t>66,600,814.33</w:t>
            </w:r>
          </w:p>
        </w:tc>
        <w:tc>
          <w:tcPr>
            <w:tcW w:w="1080" w:type="dxa"/>
            <w:vAlign w:val="center"/>
          </w:tcPr>
          <w:p w:rsidR="000F6F5A" w:rsidRDefault="000E366D">
            <w:pPr>
              <w:jc w:val="right"/>
            </w:pPr>
            <w:r>
              <w:rPr>
                <w:color w:val="000000"/>
                <w:sz w:val="24"/>
              </w:rPr>
              <w:t>28.32%</w:t>
            </w:r>
          </w:p>
        </w:tc>
        <w:tc>
          <w:tcPr>
            <w:tcW w:w="1143" w:type="dxa"/>
            <w:vAlign w:val="center"/>
          </w:tcPr>
          <w:p w:rsidR="000F6F5A" w:rsidRDefault="000E366D">
            <w:pPr>
              <w:jc w:val="right"/>
            </w:pPr>
            <w:r>
              <w:rPr>
                <w:color w:val="000000"/>
                <w:sz w:val="24"/>
              </w:rPr>
              <w:t>50,600,000.00</w:t>
            </w:r>
          </w:p>
        </w:tc>
        <w:tc>
          <w:tcPr>
            <w:tcW w:w="1197" w:type="dxa"/>
            <w:vAlign w:val="center"/>
          </w:tcPr>
          <w:p w:rsidR="000F6F5A" w:rsidRDefault="000E366D">
            <w:pPr>
              <w:jc w:val="right"/>
            </w:pPr>
            <w:r>
              <w:rPr>
                <w:color w:val="000000"/>
                <w:sz w:val="24"/>
              </w:rPr>
              <w:t>2.26%</w:t>
            </w:r>
          </w:p>
        </w:tc>
        <w:tc>
          <w:tcPr>
            <w:tcW w:w="1497" w:type="dxa"/>
            <w:vAlign w:val="center"/>
          </w:tcPr>
          <w:p w:rsidR="000F6F5A" w:rsidRDefault="000E366D">
            <w:pPr>
              <w:jc w:val="right"/>
            </w:pPr>
            <w:r>
              <w:rPr>
                <w:color w:val="000000"/>
                <w:sz w:val="24"/>
              </w:rPr>
              <w:t>-</w:t>
            </w:r>
          </w:p>
        </w:tc>
        <w:tc>
          <w:tcPr>
            <w:tcW w:w="1203" w:type="dxa"/>
            <w:vAlign w:val="center"/>
          </w:tcPr>
          <w:p w:rsidR="000F6F5A" w:rsidRDefault="000E366D">
            <w:pPr>
              <w:jc w:val="right"/>
            </w:pPr>
            <w:r>
              <w:rPr>
                <w:color w:val="000000"/>
                <w:sz w:val="24"/>
              </w:rPr>
              <w:t>-</w:t>
            </w:r>
          </w:p>
        </w:tc>
      </w:tr>
      <w:tr w:rsidR="000F6F5A">
        <w:tc>
          <w:tcPr>
            <w:tcW w:w="1559" w:type="dxa"/>
            <w:vAlign w:val="center"/>
          </w:tcPr>
          <w:p w:rsidR="000F6F5A" w:rsidRDefault="000E366D">
            <w:pPr>
              <w:jc w:val="left"/>
            </w:pPr>
            <w:r>
              <w:rPr>
                <w:color w:val="000000"/>
                <w:sz w:val="24"/>
              </w:rPr>
              <w:t>招商证券股份有限公司</w:t>
            </w:r>
          </w:p>
        </w:tc>
        <w:tc>
          <w:tcPr>
            <w:tcW w:w="1319" w:type="dxa"/>
            <w:vAlign w:val="center"/>
          </w:tcPr>
          <w:p w:rsidR="000F6F5A" w:rsidRDefault="000E366D">
            <w:pPr>
              <w:jc w:val="right"/>
            </w:pPr>
            <w:r>
              <w:rPr>
                <w:color w:val="000000"/>
                <w:sz w:val="24"/>
              </w:rPr>
              <w:t>168,546,991.41</w:t>
            </w:r>
          </w:p>
        </w:tc>
        <w:tc>
          <w:tcPr>
            <w:tcW w:w="1080" w:type="dxa"/>
            <w:vAlign w:val="center"/>
          </w:tcPr>
          <w:p w:rsidR="000F6F5A" w:rsidRDefault="000E366D">
            <w:pPr>
              <w:jc w:val="right"/>
            </w:pPr>
            <w:r>
              <w:rPr>
                <w:color w:val="000000"/>
                <w:sz w:val="24"/>
              </w:rPr>
              <w:t>71.68%</w:t>
            </w:r>
          </w:p>
        </w:tc>
        <w:tc>
          <w:tcPr>
            <w:tcW w:w="1143" w:type="dxa"/>
            <w:vAlign w:val="center"/>
          </w:tcPr>
          <w:p w:rsidR="000F6F5A" w:rsidRDefault="000E366D">
            <w:pPr>
              <w:jc w:val="right"/>
            </w:pPr>
            <w:r>
              <w:rPr>
                <w:color w:val="000000"/>
                <w:sz w:val="24"/>
              </w:rPr>
              <w:t>2,191,000,000.00</w:t>
            </w:r>
          </w:p>
        </w:tc>
        <w:tc>
          <w:tcPr>
            <w:tcW w:w="1197" w:type="dxa"/>
            <w:vAlign w:val="center"/>
          </w:tcPr>
          <w:p w:rsidR="000F6F5A" w:rsidRDefault="000E366D">
            <w:pPr>
              <w:jc w:val="right"/>
            </w:pPr>
            <w:r>
              <w:rPr>
                <w:color w:val="000000"/>
                <w:sz w:val="24"/>
              </w:rPr>
              <w:t>97.74%</w:t>
            </w:r>
          </w:p>
        </w:tc>
        <w:tc>
          <w:tcPr>
            <w:tcW w:w="1497" w:type="dxa"/>
            <w:vAlign w:val="center"/>
          </w:tcPr>
          <w:p w:rsidR="000F6F5A" w:rsidRDefault="000E366D">
            <w:pPr>
              <w:jc w:val="right"/>
            </w:pPr>
            <w:r>
              <w:rPr>
                <w:color w:val="000000"/>
                <w:sz w:val="24"/>
              </w:rPr>
              <w:t>-</w:t>
            </w:r>
          </w:p>
        </w:tc>
        <w:tc>
          <w:tcPr>
            <w:tcW w:w="1203" w:type="dxa"/>
            <w:vAlign w:val="center"/>
          </w:tcPr>
          <w:p w:rsidR="000F6F5A" w:rsidRDefault="000E366D">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0F6F5A" w:rsidRDefault="000E366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0F6F5A" w:rsidRDefault="000E366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94" w:rsidRDefault="00FA1F94">
      <w:r>
        <w:separator/>
      </w:r>
    </w:p>
  </w:endnote>
  <w:endnote w:type="continuationSeparator" w:id="0">
    <w:p w:rsidR="00FA1F94" w:rsidRDefault="00FA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495715">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495715">
      <w:rPr>
        <w:noProof/>
        <w:kern w:val="0"/>
        <w:szCs w:val="21"/>
      </w:rPr>
      <w:t>26</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94" w:rsidRDefault="00FA1F94">
      <w:r>
        <w:separator/>
      </w:r>
    </w:p>
  </w:footnote>
  <w:footnote w:type="continuationSeparator" w:id="0">
    <w:p w:rsidR="00FA1F94" w:rsidRDefault="00FA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交银施罗德信用添利债券证券投资基金（</w:t>
    </w:r>
    <w:r w:rsidRPr="00A27DD3">
      <w:t>LOF</w:t>
    </w:r>
    <w:r w:rsidRPr="00A27DD3">
      <w:t>）</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366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6F5A"/>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715"/>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B49"/>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0A7E-1B7C-4D82-8720-D2E02482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26</Pages>
  <Words>2872</Words>
  <Characters>16377</Characters>
  <Application>Microsoft Office Word</Application>
  <DocSecurity>0</DocSecurity>
  <Lines>136</Lines>
  <Paragraphs>38</Paragraphs>
  <ScaleCrop>false</ScaleCrop>
  <Company/>
  <LinksUpToDate>false</LinksUpToDate>
  <CharactersWithSpaces>19211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1245</cp:revision>
  <cp:lastPrinted>2007-07-19T00:46:00Z</cp:lastPrinted>
  <dcterms:created xsi:type="dcterms:W3CDTF">2013-08-19T07:44:00Z</dcterms:created>
  <dcterms:modified xsi:type="dcterms:W3CDTF">2016-08-25T09:47:00Z</dcterms:modified>
</cp:coreProperties>
</file>