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交银施罗德荣和保本混合型证券投资基金</w:t>
      </w:r>
    </w:p>
    <w:p w:rsidR="002279D3" w:rsidRPr="0081286B" w:rsidRDefault="002279D3" w:rsidP="00C15CAC">
      <w:pPr>
        <w:spacing w:before="29" w:line="288" w:lineRule="auto"/>
        <w:jc w:val="center"/>
        <w:rPr>
          <w:b/>
          <w:sz w:val="36"/>
          <w:szCs w:val="36"/>
        </w:rPr>
      </w:pPr>
      <w:r w:rsidRPr="0081286B">
        <w:rPr>
          <w:b/>
          <w:sz w:val="36"/>
          <w:szCs w:val="36"/>
        </w:rPr>
        <w:t>2016</w:t>
      </w:r>
      <w:r w:rsidRPr="0081286B">
        <w:rPr>
          <w:b/>
          <w:sz w:val="36"/>
          <w:szCs w:val="36"/>
        </w:rPr>
        <w:t>年第</w:t>
      </w:r>
      <w:r w:rsidRPr="0081286B">
        <w:rPr>
          <w:b/>
          <w:sz w:val="36"/>
          <w:szCs w:val="36"/>
        </w:rPr>
        <w:t>2</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2016</w:t>
      </w:r>
      <w:r w:rsidRPr="0081286B">
        <w:rPr>
          <w:b/>
          <w:sz w:val="36"/>
          <w:szCs w:val="36"/>
        </w:rPr>
        <w:t>年</w:t>
      </w:r>
      <w:r w:rsidRPr="0081286B">
        <w:rPr>
          <w:b/>
          <w:sz w:val="36"/>
          <w:szCs w:val="36"/>
        </w:rPr>
        <w:t>6</w:t>
      </w:r>
      <w:r w:rsidRPr="0081286B">
        <w:rPr>
          <w:b/>
          <w:sz w:val="36"/>
          <w:szCs w:val="36"/>
        </w:rPr>
        <w:t>月</w:t>
      </w:r>
      <w:r w:rsidRPr="0081286B">
        <w:rPr>
          <w:b/>
          <w:sz w:val="36"/>
          <w:szCs w:val="36"/>
        </w:rPr>
        <w:t>30</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基金托管人：中国民生银行股份有限公司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000678">
          <w:headerReference w:type="default" r:id="rId8"/>
          <w:footerReference w:type="default" r:id="rId9"/>
          <w:pgSz w:w="11926" w:h="15840"/>
          <w:pgMar w:top="1418" w:right="1440" w:bottom="851" w:left="1440" w:header="851" w:footer="992" w:gutter="0"/>
          <w:cols w:space="720"/>
          <w:noEndnote/>
        </w:sectPr>
      </w:pPr>
      <w:r w:rsidRPr="0081286B">
        <w:rPr>
          <w:b/>
          <w:color w:val="000000"/>
          <w:sz w:val="24"/>
          <w:szCs w:val="24"/>
        </w:rPr>
        <w:t>报告送出日期：</w:t>
      </w:r>
      <w:r w:rsidR="00F16E3F" w:rsidRPr="0081286B">
        <w:rPr>
          <w:b/>
          <w:color w:val="000000"/>
          <w:sz w:val="24"/>
          <w:szCs w:val="24"/>
        </w:rPr>
        <w:t>二〇一六年七月二十一日</w:t>
      </w:r>
    </w:p>
    <w:p w:rsidR="004061AC" w:rsidRPr="00414345" w:rsidRDefault="004061AC" w:rsidP="00AB6E79">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B73E30" w:rsidRDefault="00FA729D">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B73E30" w:rsidRDefault="00FA729D">
      <w:pPr>
        <w:spacing w:before="29" w:line="288" w:lineRule="auto"/>
        <w:ind w:firstLineChars="200" w:firstLine="480"/>
        <w:rPr>
          <w:color w:val="000000"/>
          <w:sz w:val="24"/>
          <w:szCs w:val="24"/>
        </w:rPr>
      </w:pPr>
      <w:r>
        <w:rPr>
          <w:color w:val="000000"/>
          <w:sz w:val="24"/>
          <w:szCs w:val="24"/>
        </w:rPr>
        <w:t>基金托管人中国民生银行股份有限公司根据本基金合同规定，于</w:t>
      </w:r>
      <w:r>
        <w:rPr>
          <w:color w:val="000000"/>
          <w:sz w:val="24"/>
          <w:szCs w:val="24"/>
        </w:rPr>
        <w:t>2016</w:t>
      </w:r>
      <w:r>
        <w:rPr>
          <w:color w:val="000000"/>
          <w:sz w:val="24"/>
          <w:szCs w:val="24"/>
        </w:rPr>
        <w:t>年</w:t>
      </w:r>
      <w:r>
        <w:rPr>
          <w:color w:val="000000"/>
          <w:sz w:val="24"/>
          <w:szCs w:val="24"/>
        </w:rPr>
        <w:t>7</w:t>
      </w:r>
      <w:r>
        <w:rPr>
          <w:color w:val="000000"/>
          <w:sz w:val="24"/>
          <w:szCs w:val="24"/>
        </w:rPr>
        <w:t>月</w:t>
      </w:r>
      <w:r>
        <w:rPr>
          <w:color w:val="000000"/>
          <w:sz w:val="24"/>
          <w:szCs w:val="24"/>
        </w:rPr>
        <w:t>20</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B73E30" w:rsidRDefault="00FA729D">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B73E30" w:rsidRDefault="00FA729D">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B73E30" w:rsidRDefault="00FA729D">
      <w:pPr>
        <w:spacing w:before="29" w:line="288" w:lineRule="auto"/>
        <w:ind w:firstLineChars="200" w:firstLine="480"/>
        <w:rPr>
          <w:color w:val="000000"/>
          <w:sz w:val="24"/>
          <w:szCs w:val="24"/>
        </w:rPr>
      </w:pPr>
      <w:r>
        <w:rPr>
          <w:color w:val="000000"/>
          <w:sz w:val="24"/>
          <w:szCs w:val="24"/>
        </w:rPr>
        <w:t>本报告中财务资料未经审计。</w:t>
      </w:r>
      <w:r>
        <w:rPr>
          <w:color w:val="000000"/>
          <w:sz w:val="24"/>
          <w:szCs w:val="24"/>
        </w:rPr>
        <w:t xml:space="preserve"> </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2016</w:t>
      </w:r>
      <w:r w:rsidRPr="00414345">
        <w:rPr>
          <w:color w:val="000000"/>
          <w:sz w:val="24"/>
          <w:szCs w:val="24"/>
        </w:rPr>
        <w:t>年</w:t>
      </w:r>
      <w:r w:rsidRPr="00414345">
        <w:rPr>
          <w:color w:val="000000"/>
          <w:sz w:val="24"/>
          <w:szCs w:val="24"/>
        </w:rPr>
        <w:t>4</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交银荣和保本混合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519753</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1B2F35" w:rsidRPr="00414345" w:rsidRDefault="00C5218C" w:rsidP="00C15CAC">
            <w:pPr>
              <w:adjustRightInd w:val="0"/>
              <w:spacing w:before="29" w:line="288" w:lineRule="auto"/>
              <w:ind w:left="17"/>
              <w:jc w:val="left"/>
              <w:rPr>
                <w:color w:val="000000"/>
                <w:kern w:val="0"/>
                <w:sz w:val="24"/>
                <w:szCs w:val="24"/>
              </w:rPr>
            </w:pPr>
            <w:r w:rsidRPr="00414345">
              <w:rPr>
                <w:kern w:val="0"/>
                <w:sz w:val="24"/>
              </w:rPr>
              <w:t>519753</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2015</w:t>
            </w:r>
            <w:r w:rsidRPr="00414345">
              <w:rPr>
                <w:color w:val="000000"/>
                <w:kern w:val="0"/>
                <w:sz w:val="24"/>
                <w:szCs w:val="24"/>
              </w:rPr>
              <w:t>年</w:t>
            </w:r>
            <w:r w:rsidRPr="00414345">
              <w:rPr>
                <w:color w:val="000000"/>
                <w:kern w:val="0"/>
                <w:sz w:val="24"/>
                <w:szCs w:val="24"/>
              </w:rPr>
              <w:t>5</w:t>
            </w:r>
            <w:r w:rsidRPr="00414345">
              <w:rPr>
                <w:color w:val="000000"/>
                <w:kern w:val="0"/>
                <w:sz w:val="24"/>
                <w:szCs w:val="24"/>
              </w:rPr>
              <w:t>月</w:t>
            </w:r>
            <w:r w:rsidRPr="00414345">
              <w:rPr>
                <w:color w:val="000000"/>
                <w:kern w:val="0"/>
                <w:sz w:val="24"/>
                <w:szCs w:val="24"/>
              </w:rPr>
              <w:t>29</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1,743,696,864.13</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本基金在追求保本周期到期时本金安全的基础上，通过运用投资组合保险技术，力争实现组合资产的稳定增值。</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本基金运用恒定比例组合保险（</w:t>
            </w:r>
            <w:r w:rsidRPr="00414345">
              <w:rPr>
                <w:color w:val="000000"/>
                <w:kern w:val="0"/>
                <w:sz w:val="24"/>
                <w:szCs w:val="24"/>
              </w:rPr>
              <w:t>CPPI</w:t>
            </w:r>
            <w:r w:rsidRPr="00414345">
              <w:rPr>
                <w:color w:val="000000"/>
                <w:kern w:val="0"/>
                <w:sz w:val="24"/>
                <w:szCs w:val="24"/>
              </w:rPr>
              <w:t>，</w:t>
            </w:r>
            <w:r w:rsidRPr="00414345">
              <w:rPr>
                <w:color w:val="000000"/>
                <w:kern w:val="0"/>
                <w:sz w:val="24"/>
                <w:szCs w:val="24"/>
              </w:rPr>
              <w:t>Constant Proportion Portfolio Insurance</w:t>
            </w:r>
            <w:r w:rsidRPr="00414345">
              <w:rPr>
                <w:color w:val="000000"/>
                <w:kern w:val="0"/>
                <w:sz w:val="24"/>
                <w:szCs w:val="24"/>
              </w:rPr>
              <w:t>）原理，动态调整稳健资产与风险资产在基金组合中的投资比例，以确保本基金在保本周期到期时的本金安全，并实现基金资产在保本基础上的保值增值目的。</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三年期银行定期存款税后收益率</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本基金是一只保本混合型基金，在证券投资基金中属于低风险品种。</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基金托管人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中国民生银行股份有限公司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基金保证人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中国投融资担保股份有限公司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FA729D" w:rsidRPr="00414345" w:rsidTr="00FA729D">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(2016</w:t>
            </w:r>
            <w:r w:rsidRPr="00414345">
              <w:rPr>
                <w:color w:val="000000"/>
                <w:sz w:val="24"/>
                <w:szCs w:val="24"/>
              </w:rPr>
              <w:t>年</w:t>
            </w:r>
            <w:r w:rsidRPr="00414345">
              <w:rPr>
                <w:color w:val="000000"/>
                <w:sz w:val="24"/>
                <w:szCs w:val="24"/>
              </w:rPr>
              <w:t>4</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-2016</w:t>
            </w:r>
            <w:r w:rsidRPr="00414345">
              <w:rPr>
                <w:color w:val="000000"/>
                <w:sz w:val="24"/>
                <w:szCs w:val="24"/>
              </w:rPr>
              <w:t>年</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w:t>
            </w:r>
            <w:r w:rsidRPr="00414345">
              <w:rPr>
                <w:color w:val="000000"/>
                <w:sz w:val="24"/>
                <w:szCs w:val="24"/>
              </w:rPr>
              <w:t>)</w:t>
            </w:r>
          </w:p>
        </w:tc>
      </w:tr>
      <w:tr w:rsidR="00FA729D" w:rsidRPr="00414345" w:rsidTr="00FA729D">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3,777,155.58</w:t>
            </w:r>
          </w:p>
        </w:tc>
      </w:tr>
      <w:tr w:rsidR="00FA729D" w:rsidRPr="00414345" w:rsidTr="00FA729D">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9,706,946.16</w:t>
            </w:r>
          </w:p>
        </w:tc>
      </w:tr>
      <w:tr w:rsidR="00FA729D" w:rsidRPr="00414345" w:rsidTr="00FA729D">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0.0054</w:t>
            </w:r>
          </w:p>
        </w:tc>
      </w:tr>
      <w:tr w:rsidR="00FA729D" w:rsidRPr="00414345" w:rsidTr="00FA729D">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1,709,460,732.08</w:t>
            </w:r>
          </w:p>
        </w:tc>
      </w:tr>
      <w:tr w:rsidR="00FA729D" w:rsidRPr="00414345" w:rsidTr="00FA729D">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0.980</w:t>
            </w:r>
          </w:p>
        </w:tc>
      </w:tr>
    </w:tbl>
    <w:p w:rsidR="00B73E30" w:rsidRDefault="00FA729D">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B73E30">
        <w:trPr>
          <w:jc w:val="center"/>
        </w:trPr>
        <w:tc>
          <w:tcPr>
            <w:tcW w:w="1701" w:type="dxa"/>
            <w:vAlign w:val="center"/>
          </w:tcPr>
          <w:p w:rsidR="00B73E30" w:rsidRDefault="00FA729D">
            <w:pPr>
              <w:jc w:val="left"/>
            </w:pPr>
            <w:r>
              <w:rPr>
                <w:color w:val="000000"/>
                <w:sz w:val="24"/>
                <w:szCs w:val="24"/>
              </w:rPr>
              <w:t>过去三个月</w:t>
            </w:r>
          </w:p>
        </w:tc>
        <w:tc>
          <w:tcPr>
            <w:tcW w:w="1045" w:type="dxa"/>
            <w:vAlign w:val="center"/>
          </w:tcPr>
          <w:p w:rsidR="00B73E30" w:rsidRDefault="00FA729D">
            <w:pPr>
              <w:jc w:val="center"/>
            </w:pPr>
            <w:r>
              <w:rPr>
                <w:color w:val="000000"/>
                <w:sz w:val="24"/>
                <w:szCs w:val="24"/>
              </w:rPr>
              <w:t>0.51%</w:t>
            </w:r>
          </w:p>
        </w:tc>
        <w:tc>
          <w:tcPr>
            <w:tcW w:w="1344" w:type="dxa"/>
            <w:vAlign w:val="center"/>
          </w:tcPr>
          <w:p w:rsidR="00B73E30" w:rsidRDefault="00FA729D">
            <w:pPr>
              <w:jc w:val="center"/>
            </w:pPr>
            <w:r>
              <w:rPr>
                <w:color w:val="000000"/>
                <w:sz w:val="24"/>
                <w:szCs w:val="24"/>
              </w:rPr>
              <w:t>0.08%</w:t>
            </w:r>
          </w:p>
        </w:tc>
        <w:tc>
          <w:tcPr>
            <w:tcW w:w="1194" w:type="dxa"/>
            <w:vAlign w:val="center"/>
          </w:tcPr>
          <w:p w:rsidR="00B73E30" w:rsidRDefault="00FA729D">
            <w:pPr>
              <w:jc w:val="center"/>
            </w:pPr>
            <w:r>
              <w:rPr>
                <w:color w:val="000000"/>
                <w:sz w:val="24"/>
                <w:szCs w:val="24"/>
              </w:rPr>
              <w:t>0.70%</w:t>
            </w:r>
          </w:p>
        </w:tc>
        <w:tc>
          <w:tcPr>
            <w:tcW w:w="1492" w:type="dxa"/>
            <w:vAlign w:val="center"/>
          </w:tcPr>
          <w:p w:rsidR="00B73E30" w:rsidRDefault="00FA729D">
            <w:pPr>
              <w:jc w:val="center"/>
            </w:pPr>
            <w:r>
              <w:rPr>
                <w:color w:val="000000"/>
                <w:sz w:val="24"/>
                <w:szCs w:val="24"/>
              </w:rPr>
              <w:t>0.01%</w:t>
            </w:r>
          </w:p>
        </w:tc>
        <w:tc>
          <w:tcPr>
            <w:tcW w:w="1194" w:type="dxa"/>
            <w:vAlign w:val="center"/>
          </w:tcPr>
          <w:p w:rsidR="00B73E30" w:rsidRDefault="00FA729D">
            <w:pPr>
              <w:jc w:val="center"/>
            </w:pPr>
            <w:r>
              <w:rPr>
                <w:color w:val="000000"/>
                <w:sz w:val="24"/>
                <w:szCs w:val="24"/>
              </w:rPr>
              <w:t>-0.19%</w:t>
            </w:r>
          </w:p>
        </w:tc>
        <w:tc>
          <w:tcPr>
            <w:tcW w:w="898" w:type="dxa"/>
            <w:vAlign w:val="center"/>
          </w:tcPr>
          <w:p w:rsidR="00B73E30" w:rsidRDefault="00FA729D">
            <w:pPr>
              <w:jc w:val="center"/>
            </w:pPr>
            <w:r>
              <w:rPr>
                <w:color w:val="000000"/>
                <w:sz w:val="24"/>
                <w:szCs w:val="24"/>
              </w:rPr>
              <w:t>0.07%</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B1EB7">
        <w:rPr>
          <w:rFonts w:hint="eastAsia"/>
          <w:b/>
          <w:bCs/>
          <w:color w:val="000000"/>
          <w:kern w:val="0"/>
          <w:sz w:val="24"/>
          <w:szCs w:val="24"/>
        </w:rPr>
        <w:t xml:space="preserve"> </w:t>
      </w:r>
      <w:r w:rsidR="00F81917">
        <w:rPr>
          <w:rFonts w:hint="eastAsia"/>
          <w:b/>
          <w:bCs/>
          <w:color w:val="000000"/>
          <w:kern w:val="0"/>
          <w:sz w:val="24"/>
          <w:szCs w:val="24"/>
        </w:rPr>
        <w:t xml:space="preserve"> </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交银施罗德荣和保本混合型证券投资基金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2015</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5</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29</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2016</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6</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30</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lastRenderedPageBreak/>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注：本基金基金合同生效日为</w:t>
      </w:r>
      <w:r w:rsidRPr="00414345">
        <w:rPr>
          <w:color w:val="000000"/>
          <w:sz w:val="24"/>
          <w:szCs w:val="24"/>
        </w:rPr>
        <w:t>2015</w:t>
      </w:r>
      <w:r w:rsidRPr="00414345">
        <w:rPr>
          <w:color w:val="000000"/>
          <w:sz w:val="24"/>
          <w:szCs w:val="24"/>
        </w:rPr>
        <w:t>年</w:t>
      </w:r>
      <w:r w:rsidRPr="00414345">
        <w:rPr>
          <w:color w:val="000000"/>
          <w:sz w:val="24"/>
          <w:szCs w:val="24"/>
        </w:rPr>
        <w:t>5</w:t>
      </w:r>
      <w:r w:rsidRPr="00414345">
        <w:rPr>
          <w:color w:val="000000"/>
          <w:sz w:val="24"/>
          <w:szCs w:val="24"/>
        </w:rPr>
        <w:t>月</w:t>
      </w:r>
      <w:r w:rsidRPr="00414345">
        <w:rPr>
          <w:color w:val="000000"/>
          <w:sz w:val="24"/>
          <w:szCs w:val="24"/>
        </w:rPr>
        <w:t>29</w:t>
      </w:r>
      <w:r w:rsidRPr="00414345">
        <w:rPr>
          <w:color w:val="000000"/>
          <w:sz w:val="24"/>
          <w:szCs w:val="24"/>
        </w:rPr>
        <w:t>日，截至报告期期末，本基金已完成建仓但报告期期末距建仓结束未满一年。本基金建仓期为自基金合同生效日起的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B73E30">
        <w:trPr>
          <w:jc w:val="center"/>
        </w:trPr>
        <w:tc>
          <w:tcPr>
            <w:tcW w:w="846" w:type="dxa"/>
            <w:vAlign w:val="center"/>
          </w:tcPr>
          <w:p w:rsidR="00B73E30" w:rsidRDefault="00FA729D">
            <w:pPr>
              <w:jc w:val="center"/>
            </w:pPr>
            <w:r>
              <w:rPr>
                <w:color w:val="000000"/>
                <w:sz w:val="24"/>
                <w:szCs w:val="24"/>
              </w:rPr>
              <w:t>王少成</w:t>
            </w:r>
          </w:p>
        </w:tc>
        <w:tc>
          <w:tcPr>
            <w:tcW w:w="845" w:type="dxa"/>
            <w:vAlign w:val="center"/>
          </w:tcPr>
          <w:p w:rsidR="00B73E30" w:rsidRDefault="00FA729D">
            <w:pPr>
              <w:jc w:val="center"/>
            </w:pPr>
            <w:r>
              <w:rPr>
                <w:color w:val="000000"/>
                <w:sz w:val="24"/>
                <w:szCs w:val="24"/>
              </w:rPr>
              <w:t>交银成长混合、交银策略回报灵活配置混合、交银成长</w:t>
            </w:r>
            <w:r>
              <w:rPr>
                <w:color w:val="000000"/>
                <w:sz w:val="24"/>
                <w:szCs w:val="24"/>
              </w:rPr>
              <w:t>30</w:t>
            </w:r>
            <w:r>
              <w:rPr>
                <w:color w:val="000000"/>
                <w:sz w:val="24"/>
                <w:szCs w:val="24"/>
              </w:rPr>
              <w:t>混合、交银荣</w:t>
            </w:r>
            <w:r>
              <w:rPr>
                <w:color w:val="000000"/>
                <w:sz w:val="24"/>
                <w:szCs w:val="24"/>
              </w:rPr>
              <w:lastRenderedPageBreak/>
              <w:t>和保本混合的基金经理，公司权益投资总监</w:t>
            </w:r>
          </w:p>
        </w:tc>
        <w:tc>
          <w:tcPr>
            <w:tcW w:w="1549" w:type="dxa"/>
            <w:vAlign w:val="center"/>
          </w:tcPr>
          <w:p w:rsidR="00B73E30" w:rsidRDefault="00FA729D">
            <w:pPr>
              <w:jc w:val="center"/>
            </w:pPr>
            <w:r>
              <w:rPr>
                <w:color w:val="000000"/>
                <w:sz w:val="24"/>
                <w:szCs w:val="24"/>
              </w:rPr>
              <w:lastRenderedPageBreak/>
              <w:t>2015-11-07</w:t>
            </w:r>
          </w:p>
        </w:tc>
        <w:tc>
          <w:tcPr>
            <w:tcW w:w="1548" w:type="dxa"/>
            <w:vAlign w:val="center"/>
          </w:tcPr>
          <w:p w:rsidR="00B73E30" w:rsidRDefault="00FA729D">
            <w:pPr>
              <w:jc w:val="center"/>
            </w:pPr>
            <w:r>
              <w:rPr>
                <w:color w:val="000000"/>
                <w:sz w:val="24"/>
                <w:szCs w:val="24"/>
              </w:rPr>
              <w:t>-</w:t>
            </w:r>
          </w:p>
        </w:tc>
        <w:tc>
          <w:tcPr>
            <w:tcW w:w="1407" w:type="dxa"/>
            <w:vAlign w:val="center"/>
          </w:tcPr>
          <w:p w:rsidR="00B73E30" w:rsidRDefault="00FA729D">
            <w:pPr>
              <w:jc w:val="center"/>
            </w:pPr>
            <w:r>
              <w:rPr>
                <w:color w:val="000000"/>
                <w:sz w:val="24"/>
                <w:szCs w:val="24"/>
              </w:rPr>
              <w:t>12</w:t>
            </w:r>
            <w:r>
              <w:rPr>
                <w:color w:val="000000"/>
                <w:sz w:val="24"/>
                <w:szCs w:val="24"/>
              </w:rPr>
              <w:t>年</w:t>
            </w:r>
          </w:p>
        </w:tc>
        <w:tc>
          <w:tcPr>
            <w:tcW w:w="2673" w:type="dxa"/>
            <w:vAlign w:val="center"/>
          </w:tcPr>
          <w:p w:rsidR="00B73E30" w:rsidRDefault="00FA729D">
            <w:r>
              <w:rPr>
                <w:color w:val="000000"/>
                <w:sz w:val="24"/>
                <w:szCs w:val="24"/>
              </w:rPr>
              <w:t>王少成先生，复旦大学硕士学历。历任上海融昌资产管理公司研究员，中原证券投资经理，信诚基金管理有限公司研究总监助理，东吴基金管理有限公司投资经理、基金经理、投资部副总经理。其中</w:t>
            </w:r>
            <w:r>
              <w:rPr>
                <w:color w:val="000000"/>
                <w:sz w:val="24"/>
                <w:szCs w:val="24"/>
              </w:rPr>
              <w:t>2010</w:t>
            </w:r>
            <w:r>
              <w:rPr>
                <w:color w:val="000000"/>
                <w:sz w:val="24"/>
                <w:szCs w:val="24"/>
              </w:rPr>
              <w:t>年</w:t>
            </w:r>
            <w:r>
              <w:rPr>
                <w:color w:val="000000"/>
                <w:sz w:val="24"/>
                <w:szCs w:val="24"/>
              </w:rPr>
              <w:t>9</w:t>
            </w:r>
            <w:r>
              <w:rPr>
                <w:color w:val="000000"/>
                <w:sz w:val="24"/>
                <w:szCs w:val="24"/>
              </w:rPr>
              <w:t>月至</w:t>
            </w:r>
            <w:r>
              <w:rPr>
                <w:color w:val="000000"/>
                <w:sz w:val="24"/>
                <w:szCs w:val="24"/>
              </w:rPr>
              <w:t>2012</w:t>
            </w:r>
            <w:r>
              <w:rPr>
                <w:color w:val="000000"/>
                <w:sz w:val="24"/>
                <w:szCs w:val="24"/>
              </w:rPr>
              <w:t>年</w:t>
            </w:r>
            <w:r>
              <w:rPr>
                <w:color w:val="000000"/>
                <w:sz w:val="24"/>
                <w:szCs w:val="24"/>
              </w:rPr>
              <w:t>10</w:t>
            </w:r>
            <w:r>
              <w:rPr>
                <w:color w:val="000000"/>
                <w:sz w:val="24"/>
                <w:szCs w:val="24"/>
              </w:rPr>
              <w:t>月担任东吴新创业股票型证券投资基金基金经理，</w:t>
            </w:r>
            <w:r>
              <w:rPr>
                <w:color w:val="000000"/>
                <w:sz w:val="24"/>
                <w:szCs w:val="24"/>
              </w:rPr>
              <w:t>2011</w:t>
            </w:r>
            <w:r>
              <w:rPr>
                <w:color w:val="000000"/>
                <w:sz w:val="24"/>
                <w:szCs w:val="24"/>
              </w:rPr>
              <w:t>年</w:t>
            </w:r>
            <w:r>
              <w:rPr>
                <w:color w:val="000000"/>
                <w:sz w:val="24"/>
                <w:szCs w:val="24"/>
              </w:rPr>
              <w:t>2</w:t>
            </w:r>
            <w:r>
              <w:rPr>
                <w:color w:val="000000"/>
                <w:sz w:val="24"/>
                <w:szCs w:val="24"/>
              </w:rPr>
              <w:t>月至</w:t>
            </w:r>
            <w:r>
              <w:rPr>
                <w:color w:val="000000"/>
                <w:sz w:val="24"/>
                <w:szCs w:val="24"/>
              </w:rPr>
              <w:t>2012</w:t>
            </w:r>
            <w:r>
              <w:rPr>
                <w:color w:val="000000"/>
                <w:sz w:val="24"/>
                <w:szCs w:val="24"/>
              </w:rPr>
              <w:t>年</w:t>
            </w:r>
            <w:r>
              <w:rPr>
                <w:color w:val="000000"/>
                <w:sz w:val="24"/>
                <w:szCs w:val="24"/>
              </w:rPr>
              <w:t>11</w:t>
            </w:r>
            <w:r>
              <w:rPr>
                <w:color w:val="000000"/>
                <w:sz w:val="24"/>
                <w:szCs w:val="24"/>
              </w:rPr>
              <w:t>月担任东吴中证新兴</w:t>
            </w:r>
            <w:r>
              <w:rPr>
                <w:color w:val="000000"/>
                <w:sz w:val="24"/>
                <w:szCs w:val="24"/>
              </w:rPr>
              <w:lastRenderedPageBreak/>
              <w:t>产业指数证券投资基金基金经理，</w:t>
            </w:r>
            <w:r>
              <w:rPr>
                <w:color w:val="000000"/>
                <w:sz w:val="24"/>
                <w:szCs w:val="24"/>
              </w:rPr>
              <w:t>2011</w:t>
            </w:r>
            <w:r>
              <w:rPr>
                <w:color w:val="000000"/>
                <w:sz w:val="24"/>
                <w:szCs w:val="24"/>
              </w:rPr>
              <w:t>年</w:t>
            </w:r>
            <w:r>
              <w:rPr>
                <w:color w:val="000000"/>
                <w:sz w:val="24"/>
                <w:szCs w:val="24"/>
              </w:rPr>
              <w:t>5</w:t>
            </w:r>
            <w:r>
              <w:rPr>
                <w:color w:val="000000"/>
                <w:sz w:val="24"/>
                <w:szCs w:val="24"/>
              </w:rPr>
              <w:t>月至</w:t>
            </w:r>
            <w:r>
              <w:rPr>
                <w:color w:val="000000"/>
                <w:sz w:val="24"/>
                <w:szCs w:val="24"/>
              </w:rPr>
              <w:t>2012</w:t>
            </w:r>
            <w:r>
              <w:rPr>
                <w:color w:val="000000"/>
                <w:sz w:val="24"/>
                <w:szCs w:val="24"/>
              </w:rPr>
              <w:t>年</w:t>
            </w:r>
            <w:r>
              <w:rPr>
                <w:color w:val="000000"/>
                <w:sz w:val="24"/>
                <w:szCs w:val="24"/>
              </w:rPr>
              <w:t>11</w:t>
            </w:r>
            <w:r>
              <w:rPr>
                <w:color w:val="000000"/>
                <w:sz w:val="24"/>
                <w:szCs w:val="24"/>
              </w:rPr>
              <w:t>月担任东吴价值成长双动力股票型证券投资基金基金经理。</w:t>
            </w:r>
            <w:r>
              <w:rPr>
                <w:color w:val="000000"/>
                <w:sz w:val="24"/>
                <w:szCs w:val="24"/>
              </w:rPr>
              <w:t>2012</w:t>
            </w:r>
            <w:r>
              <w:rPr>
                <w:color w:val="000000"/>
                <w:sz w:val="24"/>
                <w:szCs w:val="24"/>
              </w:rPr>
              <w:t>年加入交银施罗德基金管理有限公司，历任公司权益部副总经理。</w:t>
            </w:r>
            <w:r>
              <w:rPr>
                <w:color w:val="000000"/>
                <w:sz w:val="24"/>
                <w:szCs w:val="24"/>
              </w:rPr>
              <w:t>2013</w:t>
            </w:r>
            <w:r>
              <w:rPr>
                <w:color w:val="000000"/>
                <w:sz w:val="24"/>
                <w:szCs w:val="24"/>
              </w:rPr>
              <w:t>年</w:t>
            </w:r>
            <w:r>
              <w:rPr>
                <w:color w:val="000000"/>
                <w:sz w:val="24"/>
                <w:szCs w:val="24"/>
              </w:rPr>
              <w:t>3</w:t>
            </w:r>
            <w:r>
              <w:rPr>
                <w:color w:val="000000"/>
                <w:sz w:val="24"/>
                <w:szCs w:val="24"/>
              </w:rPr>
              <w:t>月</w:t>
            </w:r>
            <w:r>
              <w:rPr>
                <w:color w:val="000000"/>
                <w:sz w:val="24"/>
                <w:szCs w:val="24"/>
              </w:rPr>
              <w:t>21</w:t>
            </w:r>
            <w:r>
              <w:rPr>
                <w:color w:val="000000"/>
                <w:sz w:val="24"/>
                <w:szCs w:val="24"/>
              </w:rPr>
              <w:t>日至</w:t>
            </w:r>
            <w:r>
              <w:rPr>
                <w:color w:val="000000"/>
                <w:sz w:val="24"/>
                <w:szCs w:val="24"/>
              </w:rPr>
              <w:t>2015</w:t>
            </w:r>
            <w:r>
              <w:rPr>
                <w:color w:val="000000"/>
                <w:sz w:val="24"/>
                <w:szCs w:val="24"/>
              </w:rPr>
              <w:t>年</w:t>
            </w:r>
            <w:r>
              <w:rPr>
                <w:color w:val="000000"/>
                <w:sz w:val="24"/>
                <w:szCs w:val="24"/>
              </w:rPr>
              <w:t>8</w:t>
            </w:r>
            <w:r>
              <w:rPr>
                <w:color w:val="000000"/>
                <w:sz w:val="24"/>
                <w:szCs w:val="24"/>
              </w:rPr>
              <w:t>月</w:t>
            </w:r>
            <w:r>
              <w:rPr>
                <w:color w:val="000000"/>
                <w:sz w:val="24"/>
                <w:szCs w:val="24"/>
              </w:rPr>
              <w:t>14</w:t>
            </w:r>
            <w:r>
              <w:rPr>
                <w:color w:val="000000"/>
                <w:sz w:val="24"/>
                <w:szCs w:val="24"/>
              </w:rPr>
              <w:t>日担任交银施罗德先进制造混合型证券投资基金（原交银施罗德先进制造股票证券投资基金）基金经理，</w:t>
            </w:r>
            <w:r>
              <w:rPr>
                <w:color w:val="000000"/>
                <w:sz w:val="24"/>
                <w:szCs w:val="24"/>
              </w:rPr>
              <w:t>2013</w:t>
            </w:r>
            <w:r>
              <w:rPr>
                <w:color w:val="000000"/>
                <w:sz w:val="24"/>
                <w:szCs w:val="24"/>
              </w:rPr>
              <w:t>年</w:t>
            </w:r>
            <w:r>
              <w:rPr>
                <w:color w:val="000000"/>
                <w:sz w:val="24"/>
                <w:szCs w:val="24"/>
              </w:rPr>
              <w:t>5</w:t>
            </w:r>
            <w:r>
              <w:rPr>
                <w:color w:val="000000"/>
                <w:sz w:val="24"/>
                <w:szCs w:val="24"/>
              </w:rPr>
              <w:t>月</w:t>
            </w:r>
            <w:r>
              <w:rPr>
                <w:color w:val="000000"/>
                <w:sz w:val="24"/>
                <w:szCs w:val="24"/>
              </w:rPr>
              <w:t>29</w:t>
            </w:r>
            <w:r>
              <w:rPr>
                <w:color w:val="000000"/>
                <w:sz w:val="24"/>
                <w:szCs w:val="24"/>
              </w:rPr>
              <w:t>日至</w:t>
            </w:r>
            <w:r>
              <w:rPr>
                <w:color w:val="000000"/>
                <w:sz w:val="24"/>
                <w:szCs w:val="24"/>
              </w:rPr>
              <w:t>2015</w:t>
            </w:r>
            <w:r>
              <w:rPr>
                <w:color w:val="000000"/>
                <w:sz w:val="24"/>
                <w:szCs w:val="24"/>
              </w:rPr>
              <w:t>年</w:t>
            </w:r>
            <w:r>
              <w:rPr>
                <w:color w:val="000000"/>
                <w:sz w:val="24"/>
                <w:szCs w:val="24"/>
              </w:rPr>
              <w:t>8</w:t>
            </w:r>
            <w:r>
              <w:rPr>
                <w:color w:val="000000"/>
                <w:sz w:val="24"/>
                <w:szCs w:val="24"/>
              </w:rPr>
              <w:t>月</w:t>
            </w:r>
            <w:r>
              <w:rPr>
                <w:color w:val="000000"/>
                <w:sz w:val="24"/>
                <w:szCs w:val="24"/>
              </w:rPr>
              <w:t>14</w:t>
            </w:r>
            <w:r>
              <w:rPr>
                <w:color w:val="000000"/>
                <w:sz w:val="24"/>
                <w:szCs w:val="24"/>
              </w:rPr>
              <w:t>日担任交银施罗德先锋混合型证券投资基金（原交银施罗德先锋股票证券投资基金）基金经理。</w:t>
            </w:r>
          </w:p>
        </w:tc>
      </w:tr>
      <w:tr w:rsidR="00B73E30">
        <w:trPr>
          <w:jc w:val="center"/>
        </w:trPr>
        <w:tc>
          <w:tcPr>
            <w:tcW w:w="846" w:type="dxa"/>
            <w:vAlign w:val="center"/>
          </w:tcPr>
          <w:p w:rsidR="00B73E30" w:rsidRDefault="00FA729D">
            <w:pPr>
              <w:jc w:val="center"/>
            </w:pPr>
            <w:r>
              <w:rPr>
                <w:color w:val="000000"/>
                <w:sz w:val="24"/>
                <w:szCs w:val="24"/>
              </w:rPr>
              <w:lastRenderedPageBreak/>
              <w:t>唐赟</w:t>
            </w:r>
          </w:p>
        </w:tc>
        <w:tc>
          <w:tcPr>
            <w:tcW w:w="845" w:type="dxa"/>
            <w:vAlign w:val="center"/>
          </w:tcPr>
          <w:p w:rsidR="00B73E30" w:rsidRDefault="00FA729D">
            <w:pPr>
              <w:jc w:val="center"/>
            </w:pPr>
            <w:r>
              <w:rPr>
                <w:color w:val="000000"/>
                <w:sz w:val="24"/>
                <w:szCs w:val="24"/>
              </w:rPr>
              <w:t>交银信用添利债券</w:t>
            </w:r>
            <w:r>
              <w:rPr>
                <w:color w:val="000000"/>
                <w:sz w:val="24"/>
                <w:szCs w:val="24"/>
              </w:rPr>
              <w:t>(LOF)</w:t>
            </w:r>
            <w:r>
              <w:rPr>
                <w:color w:val="000000"/>
                <w:sz w:val="24"/>
                <w:szCs w:val="24"/>
              </w:rPr>
              <w:t>、交银双利债券、交银双轮动债券、交银荣和保本混合的基金经理</w:t>
            </w:r>
          </w:p>
        </w:tc>
        <w:tc>
          <w:tcPr>
            <w:tcW w:w="1549" w:type="dxa"/>
            <w:vAlign w:val="center"/>
          </w:tcPr>
          <w:p w:rsidR="00B73E30" w:rsidRDefault="00FA729D">
            <w:pPr>
              <w:jc w:val="center"/>
            </w:pPr>
            <w:r>
              <w:rPr>
                <w:color w:val="000000"/>
                <w:sz w:val="24"/>
                <w:szCs w:val="24"/>
              </w:rPr>
              <w:t>2015-11-07</w:t>
            </w:r>
          </w:p>
        </w:tc>
        <w:tc>
          <w:tcPr>
            <w:tcW w:w="1548" w:type="dxa"/>
            <w:vAlign w:val="center"/>
          </w:tcPr>
          <w:p w:rsidR="00B73E30" w:rsidRDefault="00FA729D">
            <w:pPr>
              <w:jc w:val="center"/>
            </w:pPr>
            <w:r>
              <w:rPr>
                <w:color w:val="000000"/>
                <w:sz w:val="24"/>
                <w:szCs w:val="24"/>
              </w:rPr>
              <w:t>-</w:t>
            </w:r>
          </w:p>
        </w:tc>
        <w:tc>
          <w:tcPr>
            <w:tcW w:w="1407" w:type="dxa"/>
            <w:vAlign w:val="center"/>
          </w:tcPr>
          <w:p w:rsidR="00B73E30" w:rsidRDefault="00FA729D">
            <w:pPr>
              <w:jc w:val="center"/>
            </w:pPr>
            <w:r>
              <w:rPr>
                <w:color w:val="000000"/>
                <w:sz w:val="24"/>
                <w:szCs w:val="24"/>
              </w:rPr>
              <w:t>4</w:t>
            </w:r>
            <w:r>
              <w:rPr>
                <w:color w:val="000000"/>
                <w:sz w:val="24"/>
                <w:szCs w:val="24"/>
              </w:rPr>
              <w:t>年</w:t>
            </w:r>
          </w:p>
        </w:tc>
        <w:tc>
          <w:tcPr>
            <w:tcW w:w="2673" w:type="dxa"/>
            <w:vAlign w:val="center"/>
          </w:tcPr>
          <w:p w:rsidR="00B73E30" w:rsidRDefault="00FA729D">
            <w:r>
              <w:rPr>
                <w:color w:val="000000"/>
                <w:sz w:val="24"/>
                <w:szCs w:val="24"/>
              </w:rPr>
              <w:t>唐赟先生，香港城市大学电子工程硕士。历任渣打银行环球企业部助理客户经理、平安资产管理公司信用分析员。</w:t>
            </w:r>
            <w:r>
              <w:rPr>
                <w:color w:val="000000"/>
                <w:sz w:val="24"/>
                <w:szCs w:val="24"/>
              </w:rPr>
              <w:t>2012</w:t>
            </w:r>
            <w:r>
              <w:rPr>
                <w:color w:val="000000"/>
                <w:sz w:val="24"/>
                <w:szCs w:val="24"/>
              </w:rPr>
              <w:t>年加入交银施罗德基金管理有限公司，历任固定收益研究员、基金经理助理。</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B73E30" w:rsidRDefault="00FA729D">
      <w:pPr>
        <w:spacing w:before="29" w:line="288" w:lineRule="auto"/>
        <w:ind w:firstLineChars="200" w:firstLine="480"/>
        <w:rPr>
          <w:color w:val="000000"/>
          <w:sz w:val="24"/>
          <w:szCs w:val="24"/>
        </w:rPr>
      </w:pPr>
      <w:r>
        <w:rPr>
          <w:color w:val="000000"/>
          <w:sz w:val="24"/>
          <w:szCs w:val="24"/>
        </w:rPr>
        <w:lastRenderedPageBreak/>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中国证监会于</w:t>
      </w:r>
      <w:r w:rsidRPr="00414345">
        <w:rPr>
          <w:color w:val="000000"/>
          <w:sz w:val="24"/>
          <w:szCs w:val="24"/>
        </w:rPr>
        <w:t>2015</w:t>
      </w:r>
      <w:r w:rsidRPr="00414345">
        <w:rPr>
          <w:color w:val="000000"/>
          <w:sz w:val="24"/>
          <w:szCs w:val="24"/>
        </w:rPr>
        <w:t>年对公司进行了</w:t>
      </w:r>
      <w:r w:rsidRPr="00414345">
        <w:rPr>
          <w:color w:val="000000"/>
          <w:sz w:val="24"/>
          <w:szCs w:val="24"/>
        </w:rPr>
        <w:t>“</w:t>
      </w:r>
      <w:r w:rsidRPr="00414345">
        <w:rPr>
          <w:color w:val="000000"/>
          <w:sz w:val="24"/>
          <w:szCs w:val="24"/>
        </w:rPr>
        <w:t>两加强两遏制</w:t>
      </w:r>
      <w:r w:rsidRPr="00414345">
        <w:rPr>
          <w:color w:val="000000"/>
          <w:sz w:val="24"/>
          <w:szCs w:val="24"/>
        </w:rPr>
        <w:t>”</w:t>
      </w:r>
      <w:r w:rsidRPr="00414345">
        <w:rPr>
          <w:color w:val="000000"/>
          <w:sz w:val="24"/>
          <w:szCs w:val="24"/>
        </w:rPr>
        <w:t>检查，后续并就公司内部控制提出了相应改进意见及采取责令改正的行政监管措施。公司已经完成了相关问题的整改，并已向监管部门上报了专项报告。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B73E30" w:rsidRDefault="00FA729D">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B73E30" w:rsidRDefault="00FA729D">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B73E30" w:rsidRDefault="00FA729D">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C115B7" w:rsidRPr="00414345" w:rsidRDefault="00C115B7" w:rsidP="00C15CAC">
      <w:pPr>
        <w:spacing w:before="29" w:line="288" w:lineRule="auto"/>
        <w:ind w:firstLineChars="200" w:firstLine="480"/>
        <w:rPr>
          <w:rFonts w:hint="eastAsia"/>
          <w:color w:val="000000"/>
          <w:sz w:val="24"/>
          <w:szCs w:val="24"/>
        </w:rPr>
      </w:pPr>
      <w:bookmarkStart w:id="0" w:name="_GoBack"/>
      <w:bookmarkEnd w:id="0"/>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本基金于本报告期内未发现异常交易行为。本报告期内，本公司管理的所有投资组合参与的交易所公开竞价同日反向交易成交较少的单边交易量超过该证券当日总成交量</w:t>
      </w:r>
      <w:r w:rsidRPr="00414345">
        <w:rPr>
          <w:color w:val="000000"/>
          <w:sz w:val="24"/>
          <w:szCs w:val="24"/>
        </w:rPr>
        <w:t>5%</w:t>
      </w:r>
      <w:r w:rsidRPr="00414345">
        <w:rPr>
          <w:color w:val="000000"/>
          <w:sz w:val="24"/>
          <w:szCs w:val="24"/>
        </w:rPr>
        <w:t>的情况有</w:t>
      </w:r>
      <w:r w:rsidRPr="00414345">
        <w:rPr>
          <w:color w:val="000000"/>
          <w:sz w:val="24"/>
          <w:szCs w:val="24"/>
        </w:rPr>
        <w:t>1</w:t>
      </w:r>
      <w:r w:rsidRPr="00414345">
        <w:rPr>
          <w:color w:val="000000"/>
          <w:sz w:val="24"/>
          <w:szCs w:val="24"/>
        </w:rPr>
        <w:t>次，是由于投资组合被动超标的合规调整需要而发生同日反向交易，未发现不公平交易和利益输送的情况。本基金与本公司管理的其他投资组合在不同时间窗下（如日内、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日内）同向交易的交易价差未发现异常。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B73E30" w:rsidRDefault="00FA729D">
      <w:pPr>
        <w:spacing w:before="29" w:line="288" w:lineRule="auto"/>
        <w:ind w:firstLineChars="200" w:firstLine="480"/>
        <w:rPr>
          <w:color w:val="000000"/>
          <w:sz w:val="24"/>
          <w:szCs w:val="24"/>
        </w:rPr>
      </w:pPr>
      <w:r>
        <w:rPr>
          <w:color w:val="000000"/>
          <w:sz w:val="24"/>
          <w:szCs w:val="24"/>
        </w:rPr>
        <w:t>本报告期内，债券市场并未延续</w:t>
      </w:r>
      <w:r>
        <w:rPr>
          <w:color w:val="000000"/>
          <w:sz w:val="24"/>
          <w:szCs w:val="24"/>
        </w:rPr>
        <w:t>2014</w:t>
      </w:r>
      <w:r>
        <w:rPr>
          <w:color w:val="000000"/>
          <w:sz w:val="24"/>
          <w:szCs w:val="24"/>
        </w:rPr>
        <w:t>年以来的牛市行情，而是转为横向震荡。债券市场在</w:t>
      </w:r>
      <w:r>
        <w:rPr>
          <w:color w:val="000000"/>
          <w:sz w:val="24"/>
          <w:szCs w:val="24"/>
        </w:rPr>
        <w:t>2016</w:t>
      </w:r>
      <w:r>
        <w:rPr>
          <w:color w:val="000000"/>
          <w:sz w:val="24"/>
          <w:szCs w:val="24"/>
        </w:rPr>
        <w:t>年</w:t>
      </w:r>
      <w:r>
        <w:rPr>
          <w:color w:val="000000"/>
          <w:sz w:val="24"/>
          <w:szCs w:val="24"/>
        </w:rPr>
        <w:t>4</w:t>
      </w:r>
      <w:r>
        <w:rPr>
          <w:color w:val="000000"/>
          <w:sz w:val="24"/>
          <w:szCs w:val="24"/>
        </w:rPr>
        <w:t>月份出现了一波快速下跌，随后在</w:t>
      </w:r>
      <w:r>
        <w:rPr>
          <w:color w:val="000000"/>
          <w:sz w:val="24"/>
          <w:szCs w:val="24"/>
        </w:rPr>
        <w:t>5</w:t>
      </w:r>
      <w:r>
        <w:rPr>
          <w:color w:val="000000"/>
          <w:sz w:val="24"/>
          <w:szCs w:val="24"/>
        </w:rPr>
        <w:t>月份</w:t>
      </w:r>
      <w:r>
        <w:rPr>
          <w:color w:val="000000"/>
          <w:sz w:val="24"/>
          <w:szCs w:val="24"/>
        </w:rPr>
        <w:t>-6</w:t>
      </w:r>
      <w:r>
        <w:rPr>
          <w:color w:val="000000"/>
          <w:sz w:val="24"/>
          <w:szCs w:val="24"/>
        </w:rPr>
        <w:t>月份逐步稳定并小幅回升。权益市场则维持低位震荡的态势。</w:t>
      </w:r>
    </w:p>
    <w:p w:rsidR="00B73E30" w:rsidRDefault="00FA729D">
      <w:pPr>
        <w:spacing w:before="29" w:line="288" w:lineRule="auto"/>
        <w:ind w:firstLineChars="200" w:firstLine="480"/>
        <w:rPr>
          <w:color w:val="000000"/>
          <w:sz w:val="24"/>
          <w:szCs w:val="24"/>
        </w:rPr>
      </w:pPr>
      <w:r>
        <w:rPr>
          <w:color w:val="000000"/>
          <w:sz w:val="24"/>
          <w:szCs w:val="24"/>
        </w:rPr>
        <w:lastRenderedPageBreak/>
        <w:t>本报告期内，本基金操作偏向防御，组合整体在</w:t>
      </w:r>
      <w:r>
        <w:rPr>
          <w:color w:val="000000"/>
          <w:sz w:val="24"/>
          <w:szCs w:val="24"/>
        </w:rPr>
        <w:t>2016</w:t>
      </w:r>
      <w:r>
        <w:rPr>
          <w:color w:val="000000"/>
          <w:sz w:val="24"/>
          <w:szCs w:val="24"/>
        </w:rPr>
        <w:t>年</w:t>
      </w:r>
      <w:r>
        <w:rPr>
          <w:color w:val="000000"/>
          <w:sz w:val="24"/>
          <w:szCs w:val="24"/>
        </w:rPr>
        <w:t>6</w:t>
      </w:r>
      <w:r>
        <w:rPr>
          <w:color w:val="000000"/>
          <w:sz w:val="24"/>
          <w:szCs w:val="24"/>
        </w:rPr>
        <w:t>月份之前都维持低杠杆、中短久期的策略，有效控制了债券市场回调带来的净值回撤。权益类资产则以中性偏低仓位参与反弹。</w:t>
      </w:r>
    </w:p>
    <w:p w:rsidR="00B73E30" w:rsidRDefault="00FA729D">
      <w:pPr>
        <w:spacing w:before="29" w:line="288" w:lineRule="auto"/>
        <w:ind w:firstLineChars="200" w:firstLine="480"/>
        <w:rPr>
          <w:color w:val="000000"/>
          <w:sz w:val="24"/>
          <w:szCs w:val="24"/>
        </w:rPr>
      </w:pPr>
      <w:r>
        <w:rPr>
          <w:color w:val="000000"/>
          <w:sz w:val="24"/>
          <w:szCs w:val="24"/>
        </w:rPr>
        <w:t>展望</w:t>
      </w:r>
      <w:r>
        <w:rPr>
          <w:color w:val="000000"/>
          <w:sz w:val="24"/>
          <w:szCs w:val="24"/>
        </w:rPr>
        <w:t>2016</w:t>
      </w:r>
      <w:r>
        <w:rPr>
          <w:color w:val="000000"/>
          <w:sz w:val="24"/>
          <w:szCs w:val="24"/>
        </w:rPr>
        <w:t>年下半年，经济及通胀在一季度的企稳回升开始出现难以为继的迹象，基本面及通胀给债市带来的利空压力正在逐步消退。同时海外各类风险事件及未来的不确定性因素使得全球资本市场风险偏好下降，海外利率水平创下新低。我们倾向于认为经济、通胀、资金面等因素在</w:t>
      </w:r>
      <w:r>
        <w:rPr>
          <w:color w:val="000000"/>
          <w:sz w:val="24"/>
          <w:szCs w:val="24"/>
        </w:rPr>
        <w:t>2016</w:t>
      </w:r>
      <w:r>
        <w:rPr>
          <w:color w:val="000000"/>
          <w:sz w:val="24"/>
          <w:szCs w:val="24"/>
        </w:rPr>
        <w:t>年下半年将向着有利于债券市场的方向发展。但考虑到目前相对较为平坦的利率曲线，债券趋势性的上涨行情仍然需要货币政策进一步放松、短端资金价格下行空间打开的配合。整体而言我们认为</w:t>
      </w:r>
      <w:r>
        <w:rPr>
          <w:color w:val="000000"/>
          <w:sz w:val="24"/>
          <w:szCs w:val="24"/>
        </w:rPr>
        <w:t>2016</w:t>
      </w:r>
      <w:r>
        <w:rPr>
          <w:color w:val="000000"/>
          <w:sz w:val="24"/>
          <w:szCs w:val="24"/>
        </w:rPr>
        <w:t>年下半年债券市场的机会大于</w:t>
      </w:r>
      <w:r>
        <w:rPr>
          <w:color w:val="000000"/>
          <w:sz w:val="24"/>
          <w:szCs w:val="24"/>
        </w:rPr>
        <w:t>2016</w:t>
      </w:r>
      <w:r>
        <w:rPr>
          <w:color w:val="000000"/>
          <w:sz w:val="24"/>
          <w:szCs w:val="24"/>
        </w:rPr>
        <w:t>年上半年。另外，随着</w:t>
      </w:r>
      <w:r>
        <w:rPr>
          <w:color w:val="000000"/>
          <w:sz w:val="24"/>
          <w:szCs w:val="24"/>
        </w:rPr>
        <w:t>“</w:t>
      </w:r>
      <w:r>
        <w:rPr>
          <w:color w:val="000000"/>
          <w:sz w:val="24"/>
          <w:szCs w:val="24"/>
        </w:rPr>
        <w:t>刚兑</w:t>
      </w:r>
      <w:r>
        <w:rPr>
          <w:color w:val="000000"/>
          <w:sz w:val="24"/>
          <w:szCs w:val="24"/>
        </w:rPr>
        <w:t>”</w:t>
      </w:r>
      <w:r>
        <w:rPr>
          <w:color w:val="000000"/>
          <w:sz w:val="24"/>
          <w:szCs w:val="24"/>
        </w:rPr>
        <w:t>的不断打破，债券市场的信用风险不断加大，能否有效规避潜在的信用风险，将对债券组合的收益产生较为重大的影响。本基金将适度增加组合久期，择机增配长端利率债。</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对于权益资产，我们认为目前风险偏好驱动大类资产价格的走势较为明显，市场内部的不稳定因素显著增加，</w:t>
      </w:r>
      <w:r w:rsidRPr="00414345">
        <w:rPr>
          <w:color w:val="000000"/>
          <w:sz w:val="24"/>
          <w:szCs w:val="24"/>
        </w:rPr>
        <w:t>2016</w:t>
      </w:r>
      <w:r w:rsidRPr="00414345">
        <w:rPr>
          <w:color w:val="000000"/>
          <w:sz w:val="24"/>
          <w:szCs w:val="24"/>
        </w:rPr>
        <w:t>年下半年全球风险偏好预计仍将出现较大的波动。作为保本型基金，更需要注重控制市场震荡带来的回撤风险。</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截至</w:t>
      </w:r>
      <w:r w:rsidRPr="00414345">
        <w:rPr>
          <w:color w:val="000000"/>
          <w:sz w:val="24"/>
          <w:szCs w:val="24"/>
        </w:rPr>
        <w:t>2016</w:t>
      </w:r>
      <w:r w:rsidRPr="00414345">
        <w:rPr>
          <w:color w:val="000000"/>
          <w:sz w:val="24"/>
          <w:szCs w:val="24"/>
        </w:rPr>
        <w:t>年</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日，本基金份额净值</w:t>
      </w:r>
      <w:r w:rsidRPr="00414345">
        <w:rPr>
          <w:color w:val="000000"/>
          <w:sz w:val="24"/>
          <w:szCs w:val="24"/>
        </w:rPr>
        <w:t>0.980</w:t>
      </w:r>
      <w:r w:rsidRPr="00414345">
        <w:rPr>
          <w:color w:val="000000"/>
          <w:sz w:val="24"/>
          <w:szCs w:val="24"/>
        </w:rPr>
        <w:t>元，本报告期份额净值增长率为</w:t>
      </w:r>
      <w:r w:rsidRPr="00414345">
        <w:rPr>
          <w:color w:val="000000"/>
          <w:sz w:val="24"/>
          <w:szCs w:val="24"/>
        </w:rPr>
        <w:t>0.51%</w:t>
      </w:r>
      <w:r w:rsidRPr="00414345">
        <w:rPr>
          <w:color w:val="000000"/>
          <w:sz w:val="24"/>
          <w:szCs w:val="24"/>
        </w:rPr>
        <w:t>，同期业绩比较基准增长率为</w:t>
      </w:r>
      <w:r w:rsidRPr="00414345">
        <w:rPr>
          <w:color w:val="000000"/>
          <w:sz w:val="24"/>
          <w:szCs w:val="24"/>
        </w:rPr>
        <w:t>0.70%</w:t>
      </w:r>
      <w:r w:rsidRPr="00414345">
        <w:rPr>
          <w:color w:val="000000"/>
          <w:sz w:val="24"/>
          <w:szCs w:val="24"/>
        </w:rPr>
        <w:t>。</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Pr="00414345">
        <w:rPr>
          <w:color w:val="000000"/>
          <w:kern w:val="0"/>
          <w:sz w:val="24"/>
          <w:szCs w:val="24"/>
        </w:rPr>
        <w:t>投资组合报告</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5.1 </w:t>
      </w:r>
      <w:r w:rsidRPr="00414345">
        <w:rPr>
          <w:b/>
          <w:bCs/>
          <w:color w:val="000000"/>
          <w:kern w:val="0"/>
          <w:sz w:val="24"/>
          <w:szCs w:val="24"/>
        </w:rPr>
        <w:t>报告期末基金资产组合情况</w:t>
      </w:r>
    </w:p>
    <w:tbl>
      <w:tblPr>
        <w:tblStyle w:val="af7"/>
        <w:tblW w:w="8868" w:type="dxa"/>
        <w:jc w:val="center"/>
        <w:tblLayout w:type="fixed"/>
        <w:tblLook w:val="04A0" w:firstRow="1" w:lastRow="0" w:firstColumn="1" w:lastColumn="0" w:noHBand="0" w:noVBand="1"/>
      </w:tblPr>
      <w:tblGrid>
        <w:gridCol w:w="718"/>
        <w:gridCol w:w="3346"/>
        <w:gridCol w:w="2967"/>
        <w:gridCol w:w="1837"/>
      </w:tblGrid>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3346"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项目</w:t>
            </w:r>
          </w:p>
        </w:tc>
        <w:tc>
          <w:tcPr>
            <w:tcW w:w="296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金额</w:t>
            </w:r>
            <w:r w:rsidR="00E84C7E" w:rsidRPr="00414345">
              <w:rPr>
                <w:color w:val="000000"/>
                <w:sz w:val="24"/>
              </w:rPr>
              <w:t>（元）</w:t>
            </w:r>
          </w:p>
        </w:tc>
        <w:tc>
          <w:tcPr>
            <w:tcW w:w="183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占基金总资产的比例</w:t>
            </w:r>
            <w:r w:rsidR="008C7FFA" w:rsidRPr="00414345">
              <w:rPr>
                <w:color w:val="000000"/>
                <w:sz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1</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权益投资</w:t>
            </w:r>
          </w:p>
        </w:tc>
        <w:tc>
          <w:tcPr>
            <w:tcW w:w="2967" w:type="dxa"/>
            <w:vAlign w:val="center"/>
          </w:tcPr>
          <w:p w:rsidR="00853140" w:rsidRPr="00414345" w:rsidRDefault="00C77AEF" w:rsidP="00C15CAC">
            <w:pPr>
              <w:spacing w:before="29" w:line="288" w:lineRule="auto"/>
              <w:ind w:left="17"/>
              <w:jc w:val="right"/>
              <w:rPr>
                <w:color w:val="000000"/>
                <w:sz w:val="24"/>
                <w:szCs w:val="24"/>
              </w:rPr>
            </w:pPr>
            <w:r w:rsidRPr="00414345">
              <w:rPr>
                <w:color w:val="000000"/>
                <w:sz w:val="24"/>
                <w:szCs w:val="24"/>
              </w:rPr>
              <w:t>52,532,593.57</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3.07</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其中：股票</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52,532,593.57</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3.07</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2</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固定收益投资</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1,304,598,111.80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76.20</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其中：债券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1,304,598,111.80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76.20</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autoSpaceDE w:val="0"/>
              <w:autoSpaceDN w:val="0"/>
              <w:adjustRightInd w:val="0"/>
              <w:spacing w:before="29" w:line="288" w:lineRule="auto"/>
              <w:ind w:leftChars="8" w:left="17" w:firstLineChars="300" w:firstLine="720"/>
              <w:jc w:val="left"/>
              <w:rPr>
                <w:color w:val="000000"/>
                <w:sz w:val="24"/>
                <w:szCs w:val="24"/>
              </w:rPr>
            </w:pPr>
            <w:r w:rsidRPr="00414345">
              <w:rPr>
                <w:color w:val="000000"/>
                <w:sz w:val="24"/>
                <w:szCs w:val="24"/>
              </w:rPr>
              <w:t>资产支持证券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3</w:t>
            </w:r>
          </w:p>
        </w:tc>
        <w:tc>
          <w:tcPr>
            <w:tcW w:w="3346" w:type="dxa"/>
            <w:vAlign w:val="center"/>
          </w:tcPr>
          <w:p w:rsidR="007D100C" w:rsidRPr="00414345" w:rsidRDefault="007D100C" w:rsidP="00C15CAC">
            <w:pPr>
              <w:spacing w:before="29" w:line="288" w:lineRule="auto"/>
              <w:ind w:left="17"/>
              <w:jc w:val="left"/>
              <w:rPr>
                <w:color w:val="000000"/>
                <w:sz w:val="24"/>
                <w:szCs w:val="24"/>
              </w:rPr>
            </w:pPr>
            <w:r w:rsidRPr="00414345">
              <w:rPr>
                <w:rFonts w:hAnsi="宋体"/>
                <w:color w:val="000000"/>
                <w:sz w:val="24"/>
                <w:szCs w:val="24"/>
              </w:rPr>
              <w:t>贵金属投资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rFonts w:eastAsiaTheme="minorEastAsia"/>
                <w:color w:val="000000"/>
                <w:sz w:val="24"/>
                <w:szCs w:val="24"/>
              </w:rPr>
              <w:t>-</w:t>
            </w:r>
          </w:p>
        </w:tc>
        <w:tc>
          <w:tcPr>
            <w:tcW w:w="1837" w:type="dxa"/>
            <w:vAlign w:val="center"/>
          </w:tcPr>
          <w:p w:rsidR="007D100C" w:rsidRPr="00414345" w:rsidRDefault="007D100C" w:rsidP="00C15CAC">
            <w:pPr>
              <w:spacing w:before="29" w:line="288" w:lineRule="auto"/>
              <w:ind w:left="17"/>
              <w:jc w:val="right"/>
              <w:rPr>
                <w:rFonts w:eastAsiaTheme="minorEastAsia"/>
                <w:color w:val="000000"/>
                <w:sz w:val="24"/>
                <w:szCs w:val="24"/>
              </w:rPr>
            </w:pPr>
            <w:r w:rsidRPr="00414345">
              <w:rPr>
                <w:rFonts w:eastAsiaTheme="minorEastAsia"/>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4</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金融衍生品投资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5</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262,924,574.89</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15.36</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其中：买断式回购的买入返售金融资产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6</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银行存款和结算备付金合计</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6,493,451.03</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0.38</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7</w:t>
            </w:r>
          </w:p>
        </w:tc>
        <w:tc>
          <w:tcPr>
            <w:tcW w:w="3346" w:type="dxa"/>
            <w:vAlign w:val="center"/>
          </w:tcPr>
          <w:p w:rsidR="007D100C" w:rsidRPr="00414345" w:rsidRDefault="0015710B" w:rsidP="00C15CAC">
            <w:pPr>
              <w:spacing w:before="29" w:line="288" w:lineRule="auto"/>
              <w:jc w:val="left"/>
              <w:rPr>
                <w:sz w:val="24"/>
                <w:szCs w:val="24"/>
              </w:rPr>
            </w:pPr>
            <w:r w:rsidRPr="00414345">
              <w:rPr>
                <w:color w:val="000000"/>
                <w:sz w:val="24"/>
                <w:szCs w:val="24"/>
              </w:rPr>
              <w:t>其他</w:t>
            </w:r>
            <w:r w:rsidR="007D100C" w:rsidRPr="00414345">
              <w:rPr>
                <w:color w:val="000000"/>
                <w:sz w:val="24"/>
                <w:szCs w:val="24"/>
              </w:rPr>
              <w:t>资产</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85,508,642.03</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4.99</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8</w:t>
            </w:r>
          </w:p>
        </w:tc>
        <w:tc>
          <w:tcPr>
            <w:tcW w:w="3346" w:type="dxa"/>
            <w:vAlign w:val="center"/>
          </w:tcPr>
          <w:p w:rsidR="007D100C" w:rsidRPr="00414345" w:rsidRDefault="007D100C" w:rsidP="00C15CAC">
            <w:pPr>
              <w:spacing w:before="29" w:line="288" w:lineRule="auto"/>
              <w:jc w:val="left"/>
              <w:rPr>
                <w:sz w:val="24"/>
                <w:szCs w:val="24"/>
              </w:rPr>
            </w:pPr>
            <w:r w:rsidRPr="00414345">
              <w:rPr>
                <w:color w:val="000000"/>
                <w:sz w:val="24"/>
                <w:szCs w:val="24"/>
              </w:rPr>
              <w:t>合计</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1,712,057,373.32</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Pr="00F51C4E" w:rsidRDefault="00F51C4E" w:rsidP="00F51C4E">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47,701,007.09</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2.79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775,274.28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0.05</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3,975,000.00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0.23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61,186.10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20,126.10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52,532,593.57</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3.07</w:t>
            </w:r>
          </w:p>
        </w:tc>
      </w:tr>
    </w:tbl>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lastRenderedPageBreak/>
        <w:t>5.2.2报告期末按行业分类的沪港通投资股票投资组合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本基金本报告期末未持有通过沪港通投资的股票。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B73E30">
        <w:trPr>
          <w:jc w:val="center"/>
        </w:trPr>
        <w:tc>
          <w:tcPr>
            <w:tcW w:w="855" w:type="dxa"/>
            <w:vAlign w:val="center"/>
          </w:tcPr>
          <w:p w:rsidR="00B73E30" w:rsidRDefault="00FA729D">
            <w:pPr>
              <w:jc w:val="center"/>
            </w:pPr>
            <w:r>
              <w:rPr>
                <w:color w:val="000000"/>
                <w:sz w:val="24"/>
                <w:szCs w:val="24"/>
              </w:rPr>
              <w:t>1</w:t>
            </w:r>
          </w:p>
        </w:tc>
        <w:tc>
          <w:tcPr>
            <w:tcW w:w="1334" w:type="dxa"/>
            <w:vAlign w:val="center"/>
          </w:tcPr>
          <w:p w:rsidR="00B73E30" w:rsidRDefault="00FA729D">
            <w:pPr>
              <w:jc w:val="center"/>
            </w:pPr>
            <w:r>
              <w:rPr>
                <w:color w:val="000000"/>
                <w:sz w:val="24"/>
                <w:szCs w:val="24"/>
              </w:rPr>
              <w:t>600887</w:t>
            </w:r>
          </w:p>
        </w:tc>
        <w:tc>
          <w:tcPr>
            <w:tcW w:w="1777" w:type="dxa"/>
            <w:vAlign w:val="center"/>
          </w:tcPr>
          <w:p w:rsidR="00B73E30" w:rsidRDefault="00FA729D">
            <w:pPr>
              <w:jc w:val="center"/>
            </w:pPr>
            <w:r>
              <w:rPr>
                <w:color w:val="000000"/>
                <w:sz w:val="24"/>
                <w:szCs w:val="24"/>
              </w:rPr>
              <w:t>伊利股份</w:t>
            </w:r>
          </w:p>
        </w:tc>
        <w:tc>
          <w:tcPr>
            <w:tcW w:w="1334" w:type="dxa"/>
            <w:vAlign w:val="center"/>
          </w:tcPr>
          <w:p w:rsidR="00B73E30" w:rsidRDefault="00FA729D">
            <w:pPr>
              <w:jc w:val="right"/>
            </w:pPr>
            <w:r>
              <w:rPr>
                <w:color w:val="000000"/>
                <w:sz w:val="24"/>
                <w:szCs w:val="24"/>
              </w:rPr>
              <w:t>949,971</w:t>
            </w:r>
          </w:p>
        </w:tc>
        <w:tc>
          <w:tcPr>
            <w:tcW w:w="1924" w:type="dxa"/>
            <w:vAlign w:val="center"/>
          </w:tcPr>
          <w:p w:rsidR="00B73E30" w:rsidRDefault="00FA729D">
            <w:pPr>
              <w:jc w:val="right"/>
            </w:pPr>
            <w:r>
              <w:rPr>
                <w:color w:val="000000"/>
                <w:sz w:val="24"/>
                <w:szCs w:val="24"/>
              </w:rPr>
              <w:t>15,836,016.57</w:t>
            </w:r>
          </w:p>
        </w:tc>
        <w:tc>
          <w:tcPr>
            <w:tcW w:w="1644" w:type="dxa"/>
            <w:vAlign w:val="center"/>
          </w:tcPr>
          <w:p w:rsidR="00B73E30" w:rsidRDefault="00FA729D">
            <w:pPr>
              <w:jc w:val="right"/>
            </w:pPr>
            <w:r>
              <w:rPr>
                <w:color w:val="000000"/>
                <w:sz w:val="24"/>
                <w:szCs w:val="24"/>
              </w:rPr>
              <w:t>0.93</w:t>
            </w:r>
          </w:p>
        </w:tc>
      </w:tr>
      <w:tr w:rsidR="00B73E30">
        <w:trPr>
          <w:jc w:val="center"/>
        </w:trPr>
        <w:tc>
          <w:tcPr>
            <w:tcW w:w="855" w:type="dxa"/>
            <w:vAlign w:val="center"/>
          </w:tcPr>
          <w:p w:rsidR="00B73E30" w:rsidRDefault="00FA729D">
            <w:pPr>
              <w:jc w:val="center"/>
            </w:pPr>
            <w:r>
              <w:rPr>
                <w:color w:val="000000"/>
                <w:sz w:val="24"/>
                <w:szCs w:val="24"/>
              </w:rPr>
              <w:t>2</w:t>
            </w:r>
          </w:p>
        </w:tc>
        <w:tc>
          <w:tcPr>
            <w:tcW w:w="1334" w:type="dxa"/>
            <w:vAlign w:val="center"/>
          </w:tcPr>
          <w:p w:rsidR="00B73E30" w:rsidRDefault="00FA729D">
            <w:pPr>
              <w:jc w:val="center"/>
            </w:pPr>
            <w:r>
              <w:rPr>
                <w:color w:val="000000"/>
                <w:sz w:val="24"/>
                <w:szCs w:val="24"/>
              </w:rPr>
              <w:t>000568</w:t>
            </w:r>
          </w:p>
        </w:tc>
        <w:tc>
          <w:tcPr>
            <w:tcW w:w="1777" w:type="dxa"/>
            <w:vAlign w:val="center"/>
          </w:tcPr>
          <w:p w:rsidR="00B73E30" w:rsidRDefault="00FA729D">
            <w:pPr>
              <w:jc w:val="center"/>
            </w:pPr>
            <w:r>
              <w:rPr>
                <w:color w:val="000000"/>
                <w:sz w:val="24"/>
                <w:szCs w:val="24"/>
              </w:rPr>
              <w:t>泸州老窖</w:t>
            </w:r>
          </w:p>
        </w:tc>
        <w:tc>
          <w:tcPr>
            <w:tcW w:w="1334" w:type="dxa"/>
            <w:vAlign w:val="center"/>
          </w:tcPr>
          <w:p w:rsidR="00B73E30" w:rsidRDefault="00FA729D">
            <w:pPr>
              <w:jc w:val="right"/>
            </w:pPr>
            <w:r>
              <w:rPr>
                <w:color w:val="000000"/>
                <w:sz w:val="24"/>
                <w:szCs w:val="24"/>
              </w:rPr>
              <w:t>400,000</w:t>
            </w:r>
          </w:p>
        </w:tc>
        <w:tc>
          <w:tcPr>
            <w:tcW w:w="1924" w:type="dxa"/>
            <w:vAlign w:val="center"/>
          </w:tcPr>
          <w:p w:rsidR="00B73E30" w:rsidRDefault="00FA729D">
            <w:pPr>
              <w:jc w:val="right"/>
            </w:pPr>
            <w:r>
              <w:rPr>
                <w:color w:val="000000"/>
                <w:sz w:val="24"/>
                <w:szCs w:val="24"/>
              </w:rPr>
              <w:t>11,880,000.00</w:t>
            </w:r>
          </w:p>
        </w:tc>
        <w:tc>
          <w:tcPr>
            <w:tcW w:w="1644" w:type="dxa"/>
            <w:vAlign w:val="center"/>
          </w:tcPr>
          <w:p w:rsidR="00B73E30" w:rsidRDefault="00FA729D">
            <w:pPr>
              <w:jc w:val="right"/>
            </w:pPr>
            <w:r>
              <w:rPr>
                <w:color w:val="000000"/>
                <w:sz w:val="24"/>
                <w:szCs w:val="24"/>
              </w:rPr>
              <w:t>0.69</w:t>
            </w:r>
          </w:p>
        </w:tc>
      </w:tr>
      <w:tr w:rsidR="00B73E30">
        <w:trPr>
          <w:jc w:val="center"/>
        </w:trPr>
        <w:tc>
          <w:tcPr>
            <w:tcW w:w="855" w:type="dxa"/>
            <w:vAlign w:val="center"/>
          </w:tcPr>
          <w:p w:rsidR="00B73E30" w:rsidRDefault="00FA729D">
            <w:pPr>
              <w:jc w:val="center"/>
            </w:pPr>
            <w:r>
              <w:rPr>
                <w:color w:val="000000"/>
                <w:sz w:val="24"/>
                <w:szCs w:val="24"/>
              </w:rPr>
              <w:t>3</w:t>
            </w:r>
          </w:p>
        </w:tc>
        <w:tc>
          <w:tcPr>
            <w:tcW w:w="1334" w:type="dxa"/>
            <w:vAlign w:val="center"/>
          </w:tcPr>
          <w:p w:rsidR="00B73E30" w:rsidRDefault="00FA729D">
            <w:pPr>
              <w:jc w:val="center"/>
            </w:pPr>
            <w:r>
              <w:rPr>
                <w:color w:val="000000"/>
                <w:sz w:val="24"/>
                <w:szCs w:val="24"/>
              </w:rPr>
              <w:t>603589</w:t>
            </w:r>
          </w:p>
        </w:tc>
        <w:tc>
          <w:tcPr>
            <w:tcW w:w="1777" w:type="dxa"/>
            <w:vAlign w:val="center"/>
          </w:tcPr>
          <w:p w:rsidR="00B73E30" w:rsidRDefault="00FA729D">
            <w:pPr>
              <w:jc w:val="center"/>
            </w:pPr>
            <w:r>
              <w:rPr>
                <w:color w:val="000000"/>
                <w:sz w:val="24"/>
                <w:szCs w:val="24"/>
              </w:rPr>
              <w:t>口子窖</w:t>
            </w:r>
          </w:p>
        </w:tc>
        <w:tc>
          <w:tcPr>
            <w:tcW w:w="1334" w:type="dxa"/>
            <w:vAlign w:val="center"/>
          </w:tcPr>
          <w:p w:rsidR="00B73E30" w:rsidRDefault="00FA729D">
            <w:pPr>
              <w:jc w:val="right"/>
            </w:pPr>
            <w:r>
              <w:rPr>
                <w:color w:val="000000"/>
                <w:sz w:val="24"/>
                <w:szCs w:val="24"/>
              </w:rPr>
              <w:t>250,000</w:t>
            </w:r>
          </w:p>
        </w:tc>
        <w:tc>
          <w:tcPr>
            <w:tcW w:w="1924" w:type="dxa"/>
            <w:vAlign w:val="center"/>
          </w:tcPr>
          <w:p w:rsidR="00B73E30" w:rsidRDefault="00FA729D">
            <w:pPr>
              <w:jc w:val="right"/>
            </w:pPr>
            <w:r>
              <w:rPr>
                <w:color w:val="000000"/>
                <w:sz w:val="24"/>
                <w:szCs w:val="24"/>
              </w:rPr>
              <w:t>9,052,500.00</w:t>
            </w:r>
          </w:p>
        </w:tc>
        <w:tc>
          <w:tcPr>
            <w:tcW w:w="1644" w:type="dxa"/>
            <w:vAlign w:val="center"/>
          </w:tcPr>
          <w:p w:rsidR="00B73E30" w:rsidRDefault="00FA729D">
            <w:pPr>
              <w:jc w:val="right"/>
            </w:pPr>
            <w:r>
              <w:rPr>
                <w:color w:val="000000"/>
                <w:sz w:val="24"/>
                <w:szCs w:val="24"/>
              </w:rPr>
              <w:t>0.53</w:t>
            </w:r>
          </w:p>
        </w:tc>
      </w:tr>
      <w:tr w:rsidR="00B73E30">
        <w:trPr>
          <w:jc w:val="center"/>
        </w:trPr>
        <w:tc>
          <w:tcPr>
            <w:tcW w:w="855" w:type="dxa"/>
            <w:vAlign w:val="center"/>
          </w:tcPr>
          <w:p w:rsidR="00B73E30" w:rsidRDefault="00FA729D">
            <w:pPr>
              <w:jc w:val="center"/>
            </w:pPr>
            <w:r>
              <w:rPr>
                <w:color w:val="000000"/>
                <w:sz w:val="24"/>
                <w:szCs w:val="24"/>
              </w:rPr>
              <w:t>4</w:t>
            </w:r>
          </w:p>
        </w:tc>
        <w:tc>
          <w:tcPr>
            <w:tcW w:w="1334" w:type="dxa"/>
            <w:vAlign w:val="center"/>
          </w:tcPr>
          <w:p w:rsidR="00B73E30" w:rsidRDefault="00FA729D">
            <w:pPr>
              <w:jc w:val="center"/>
            </w:pPr>
            <w:r>
              <w:rPr>
                <w:color w:val="000000"/>
                <w:sz w:val="24"/>
                <w:szCs w:val="24"/>
              </w:rPr>
              <w:t>002152</w:t>
            </w:r>
          </w:p>
        </w:tc>
        <w:tc>
          <w:tcPr>
            <w:tcW w:w="1777" w:type="dxa"/>
            <w:vAlign w:val="center"/>
          </w:tcPr>
          <w:p w:rsidR="00B73E30" w:rsidRDefault="00FA729D">
            <w:pPr>
              <w:jc w:val="center"/>
            </w:pPr>
            <w:r>
              <w:rPr>
                <w:color w:val="000000"/>
                <w:sz w:val="24"/>
                <w:szCs w:val="24"/>
              </w:rPr>
              <w:t>广电运通</w:t>
            </w:r>
          </w:p>
        </w:tc>
        <w:tc>
          <w:tcPr>
            <w:tcW w:w="1334" w:type="dxa"/>
            <w:vAlign w:val="center"/>
          </w:tcPr>
          <w:p w:rsidR="00B73E30" w:rsidRDefault="00FA729D">
            <w:pPr>
              <w:jc w:val="right"/>
            </w:pPr>
            <w:r>
              <w:rPr>
                <w:color w:val="000000"/>
                <w:sz w:val="24"/>
                <w:szCs w:val="24"/>
              </w:rPr>
              <w:t>270,000</w:t>
            </w:r>
          </w:p>
        </w:tc>
        <w:tc>
          <w:tcPr>
            <w:tcW w:w="1924" w:type="dxa"/>
            <w:vAlign w:val="center"/>
          </w:tcPr>
          <w:p w:rsidR="00B73E30" w:rsidRDefault="00FA729D">
            <w:pPr>
              <w:jc w:val="right"/>
            </w:pPr>
            <w:r>
              <w:rPr>
                <w:color w:val="000000"/>
                <w:sz w:val="24"/>
                <w:szCs w:val="24"/>
              </w:rPr>
              <w:t>4,438,800.00</w:t>
            </w:r>
          </w:p>
        </w:tc>
        <w:tc>
          <w:tcPr>
            <w:tcW w:w="1644" w:type="dxa"/>
            <w:vAlign w:val="center"/>
          </w:tcPr>
          <w:p w:rsidR="00B73E30" w:rsidRDefault="00FA729D">
            <w:pPr>
              <w:jc w:val="right"/>
            </w:pPr>
            <w:r>
              <w:rPr>
                <w:color w:val="000000"/>
                <w:sz w:val="24"/>
                <w:szCs w:val="24"/>
              </w:rPr>
              <w:t>0.26</w:t>
            </w:r>
          </w:p>
        </w:tc>
      </w:tr>
      <w:tr w:rsidR="00B73E30">
        <w:trPr>
          <w:jc w:val="center"/>
        </w:trPr>
        <w:tc>
          <w:tcPr>
            <w:tcW w:w="855" w:type="dxa"/>
            <w:vAlign w:val="center"/>
          </w:tcPr>
          <w:p w:rsidR="00B73E30" w:rsidRDefault="00FA729D">
            <w:pPr>
              <w:jc w:val="center"/>
            </w:pPr>
            <w:r>
              <w:rPr>
                <w:color w:val="000000"/>
                <w:sz w:val="24"/>
                <w:szCs w:val="24"/>
              </w:rPr>
              <w:t>5</w:t>
            </w:r>
          </w:p>
        </w:tc>
        <w:tc>
          <w:tcPr>
            <w:tcW w:w="1334" w:type="dxa"/>
            <w:vAlign w:val="center"/>
          </w:tcPr>
          <w:p w:rsidR="00B73E30" w:rsidRDefault="00FA729D">
            <w:pPr>
              <w:jc w:val="center"/>
            </w:pPr>
            <w:r>
              <w:rPr>
                <w:color w:val="000000"/>
                <w:sz w:val="24"/>
                <w:szCs w:val="24"/>
              </w:rPr>
              <w:t>000858</w:t>
            </w:r>
          </w:p>
        </w:tc>
        <w:tc>
          <w:tcPr>
            <w:tcW w:w="1777" w:type="dxa"/>
            <w:vAlign w:val="center"/>
          </w:tcPr>
          <w:p w:rsidR="00B73E30" w:rsidRDefault="00FA729D">
            <w:pPr>
              <w:jc w:val="center"/>
            </w:pPr>
            <w:r>
              <w:rPr>
                <w:color w:val="000000"/>
                <w:sz w:val="24"/>
                <w:szCs w:val="24"/>
              </w:rPr>
              <w:t>五</w:t>
            </w:r>
            <w:r>
              <w:rPr>
                <w:color w:val="000000"/>
                <w:sz w:val="24"/>
                <w:szCs w:val="24"/>
              </w:rPr>
              <w:t xml:space="preserve"> </w:t>
            </w:r>
            <w:r>
              <w:rPr>
                <w:color w:val="000000"/>
                <w:sz w:val="24"/>
                <w:szCs w:val="24"/>
              </w:rPr>
              <w:t>粮</w:t>
            </w:r>
            <w:r>
              <w:rPr>
                <w:color w:val="000000"/>
                <w:sz w:val="24"/>
                <w:szCs w:val="24"/>
              </w:rPr>
              <w:t xml:space="preserve"> </w:t>
            </w:r>
            <w:r>
              <w:rPr>
                <w:color w:val="000000"/>
                <w:sz w:val="24"/>
                <w:szCs w:val="24"/>
              </w:rPr>
              <w:t>液</w:t>
            </w:r>
          </w:p>
        </w:tc>
        <w:tc>
          <w:tcPr>
            <w:tcW w:w="1334" w:type="dxa"/>
            <w:vAlign w:val="center"/>
          </w:tcPr>
          <w:p w:rsidR="00B73E30" w:rsidRDefault="00FA729D">
            <w:pPr>
              <w:jc w:val="right"/>
            </w:pPr>
            <w:r>
              <w:rPr>
                <w:color w:val="000000"/>
                <w:sz w:val="24"/>
                <w:szCs w:val="24"/>
              </w:rPr>
              <w:t>130,000</w:t>
            </w:r>
          </w:p>
        </w:tc>
        <w:tc>
          <w:tcPr>
            <w:tcW w:w="1924" w:type="dxa"/>
            <w:vAlign w:val="center"/>
          </w:tcPr>
          <w:p w:rsidR="00B73E30" w:rsidRDefault="00FA729D">
            <w:pPr>
              <w:jc w:val="right"/>
            </w:pPr>
            <w:r>
              <w:rPr>
                <w:color w:val="000000"/>
                <w:sz w:val="24"/>
                <w:szCs w:val="24"/>
              </w:rPr>
              <w:t>4,228,900.00</w:t>
            </w:r>
          </w:p>
        </w:tc>
        <w:tc>
          <w:tcPr>
            <w:tcW w:w="1644" w:type="dxa"/>
            <w:vAlign w:val="center"/>
          </w:tcPr>
          <w:p w:rsidR="00B73E30" w:rsidRDefault="00FA729D">
            <w:pPr>
              <w:jc w:val="right"/>
            </w:pPr>
            <w:r>
              <w:rPr>
                <w:color w:val="000000"/>
                <w:sz w:val="24"/>
                <w:szCs w:val="24"/>
              </w:rPr>
              <w:t>0.25</w:t>
            </w:r>
          </w:p>
        </w:tc>
      </w:tr>
      <w:tr w:rsidR="00B73E30">
        <w:trPr>
          <w:jc w:val="center"/>
        </w:trPr>
        <w:tc>
          <w:tcPr>
            <w:tcW w:w="855" w:type="dxa"/>
            <w:vAlign w:val="center"/>
          </w:tcPr>
          <w:p w:rsidR="00B73E30" w:rsidRDefault="00FA729D">
            <w:pPr>
              <w:jc w:val="center"/>
            </w:pPr>
            <w:r>
              <w:rPr>
                <w:color w:val="000000"/>
                <w:sz w:val="24"/>
                <w:szCs w:val="24"/>
              </w:rPr>
              <w:t>6</w:t>
            </w:r>
          </w:p>
        </w:tc>
        <w:tc>
          <w:tcPr>
            <w:tcW w:w="1334" w:type="dxa"/>
            <w:vAlign w:val="center"/>
          </w:tcPr>
          <w:p w:rsidR="00B73E30" w:rsidRDefault="00FA729D">
            <w:pPr>
              <w:jc w:val="center"/>
            </w:pPr>
            <w:r>
              <w:rPr>
                <w:color w:val="000000"/>
                <w:sz w:val="24"/>
                <w:szCs w:val="24"/>
              </w:rPr>
              <w:t>600755</w:t>
            </w:r>
          </w:p>
        </w:tc>
        <w:tc>
          <w:tcPr>
            <w:tcW w:w="1777" w:type="dxa"/>
            <w:vAlign w:val="center"/>
          </w:tcPr>
          <w:p w:rsidR="00B73E30" w:rsidRDefault="00FA729D">
            <w:pPr>
              <w:jc w:val="center"/>
            </w:pPr>
            <w:r>
              <w:rPr>
                <w:color w:val="000000"/>
                <w:sz w:val="24"/>
                <w:szCs w:val="24"/>
              </w:rPr>
              <w:t>厦门国贸</w:t>
            </w:r>
          </w:p>
        </w:tc>
        <w:tc>
          <w:tcPr>
            <w:tcW w:w="1334" w:type="dxa"/>
            <w:vAlign w:val="center"/>
          </w:tcPr>
          <w:p w:rsidR="00B73E30" w:rsidRDefault="00FA729D">
            <w:pPr>
              <w:jc w:val="right"/>
            </w:pPr>
            <w:r>
              <w:rPr>
                <w:color w:val="000000"/>
                <w:sz w:val="24"/>
                <w:szCs w:val="24"/>
              </w:rPr>
              <w:t>500,000</w:t>
            </w:r>
          </w:p>
        </w:tc>
        <w:tc>
          <w:tcPr>
            <w:tcW w:w="1924" w:type="dxa"/>
            <w:vAlign w:val="center"/>
          </w:tcPr>
          <w:p w:rsidR="00B73E30" w:rsidRDefault="00FA729D">
            <w:pPr>
              <w:jc w:val="right"/>
            </w:pPr>
            <w:r>
              <w:rPr>
                <w:color w:val="000000"/>
                <w:sz w:val="24"/>
                <w:szCs w:val="24"/>
              </w:rPr>
              <w:t>3,975,000.00</w:t>
            </w:r>
          </w:p>
        </w:tc>
        <w:tc>
          <w:tcPr>
            <w:tcW w:w="1644" w:type="dxa"/>
            <w:vAlign w:val="center"/>
          </w:tcPr>
          <w:p w:rsidR="00B73E30" w:rsidRDefault="00FA729D">
            <w:pPr>
              <w:jc w:val="right"/>
            </w:pPr>
            <w:r>
              <w:rPr>
                <w:color w:val="000000"/>
                <w:sz w:val="24"/>
                <w:szCs w:val="24"/>
              </w:rPr>
              <w:t>0.23</w:t>
            </w:r>
          </w:p>
        </w:tc>
      </w:tr>
      <w:tr w:rsidR="00B73E30">
        <w:trPr>
          <w:jc w:val="center"/>
        </w:trPr>
        <w:tc>
          <w:tcPr>
            <w:tcW w:w="855" w:type="dxa"/>
            <w:vAlign w:val="center"/>
          </w:tcPr>
          <w:p w:rsidR="00B73E30" w:rsidRDefault="00FA729D">
            <w:pPr>
              <w:jc w:val="center"/>
            </w:pPr>
            <w:r>
              <w:rPr>
                <w:color w:val="000000"/>
                <w:sz w:val="24"/>
                <w:szCs w:val="24"/>
              </w:rPr>
              <w:t>7</w:t>
            </w:r>
          </w:p>
        </w:tc>
        <w:tc>
          <w:tcPr>
            <w:tcW w:w="1334" w:type="dxa"/>
            <w:vAlign w:val="center"/>
          </w:tcPr>
          <w:p w:rsidR="00B73E30" w:rsidRDefault="00FA729D">
            <w:pPr>
              <w:jc w:val="center"/>
            </w:pPr>
            <w:r>
              <w:rPr>
                <w:color w:val="000000"/>
                <w:sz w:val="24"/>
                <w:szCs w:val="24"/>
              </w:rPr>
              <w:t>000821</w:t>
            </w:r>
          </w:p>
        </w:tc>
        <w:tc>
          <w:tcPr>
            <w:tcW w:w="1777" w:type="dxa"/>
            <w:vAlign w:val="center"/>
          </w:tcPr>
          <w:p w:rsidR="00B73E30" w:rsidRDefault="00FA729D">
            <w:pPr>
              <w:jc w:val="center"/>
            </w:pPr>
            <w:r>
              <w:rPr>
                <w:color w:val="000000"/>
                <w:sz w:val="24"/>
                <w:szCs w:val="24"/>
              </w:rPr>
              <w:t>京山轻机</w:t>
            </w:r>
          </w:p>
        </w:tc>
        <w:tc>
          <w:tcPr>
            <w:tcW w:w="1334" w:type="dxa"/>
            <w:vAlign w:val="center"/>
          </w:tcPr>
          <w:p w:rsidR="00B73E30" w:rsidRDefault="00FA729D">
            <w:pPr>
              <w:jc w:val="right"/>
            </w:pPr>
            <w:r>
              <w:rPr>
                <w:color w:val="000000"/>
                <w:sz w:val="24"/>
                <w:szCs w:val="24"/>
              </w:rPr>
              <w:t>86,300</w:t>
            </w:r>
          </w:p>
        </w:tc>
        <w:tc>
          <w:tcPr>
            <w:tcW w:w="1924" w:type="dxa"/>
            <w:vAlign w:val="center"/>
          </w:tcPr>
          <w:p w:rsidR="00B73E30" w:rsidRDefault="00FA729D">
            <w:pPr>
              <w:jc w:val="right"/>
            </w:pPr>
            <w:r>
              <w:rPr>
                <w:color w:val="000000"/>
                <w:sz w:val="24"/>
                <w:szCs w:val="24"/>
              </w:rPr>
              <w:t>1,520,606.00</w:t>
            </w:r>
          </w:p>
        </w:tc>
        <w:tc>
          <w:tcPr>
            <w:tcW w:w="1644" w:type="dxa"/>
            <w:vAlign w:val="center"/>
          </w:tcPr>
          <w:p w:rsidR="00B73E30" w:rsidRDefault="00FA729D">
            <w:pPr>
              <w:jc w:val="right"/>
            </w:pPr>
            <w:r>
              <w:rPr>
                <w:color w:val="000000"/>
                <w:sz w:val="24"/>
                <w:szCs w:val="24"/>
              </w:rPr>
              <w:t>0.09</w:t>
            </w:r>
          </w:p>
        </w:tc>
      </w:tr>
      <w:tr w:rsidR="00B73E30">
        <w:trPr>
          <w:jc w:val="center"/>
        </w:trPr>
        <w:tc>
          <w:tcPr>
            <w:tcW w:w="855" w:type="dxa"/>
            <w:vAlign w:val="center"/>
          </w:tcPr>
          <w:p w:rsidR="00B73E30" w:rsidRDefault="00FA729D">
            <w:pPr>
              <w:jc w:val="center"/>
            </w:pPr>
            <w:r>
              <w:rPr>
                <w:color w:val="000000"/>
                <w:sz w:val="24"/>
                <w:szCs w:val="24"/>
              </w:rPr>
              <w:t>8</w:t>
            </w:r>
          </w:p>
        </w:tc>
        <w:tc>
          <w:tcPr>
            <w:tcW w:w="1334" w:type="dxa"/>
            <w:vAlign w:val="center"/>
          </w:tcPr>
          <w:p w:rsidR="00B73E30" w:rsidRDefault="00FA729D">
            <w:pPr>
              <w:jc w:val="center"/>
            </w:pPr>
            <w:r>
              <w:rPr>
                <w:color w:val="000000"/>
                <w:sz w:val="24"/>
                <w:szCs w:val="24"/>
              </w:rPr>
              <w:t>601611</w:t>
            </w:r>
          </w:p>
        </w:tc>
        <w:tc>
          <w:tcPr>
            <w:tcW w:w="1777" w:type="dxa"/>
            <w:vAlign w:val="center"/>
          </w:tcPr>
          <w:p w:rsidR="00B73E30" w:rsidRDefault="00FA729D">
            <w:pPr>
              <w:jc w:val="center"/>
            </w:pPr>
            <w:r>
              <w:rPr>
                <w:color w:val="000000"/>
                <w:sz w:val="24"/>
                <w:szCs w:val="24"/>
              </w:rPr>
              <w:t>中国核建</w:t>
            </w:r>
          </w:p>
        </w:tc>
        <w:tc>
          <w:tcPr>
            <w:tcW w:w="1334" w:type="dxa"/>
            <w:vAlign w:val="center"/>
          </w:tcPr>
          <w:p w:rsidR="00B73E30" w:rsidRDefault="00FA729D">
            <w:pPr>
              <w:jc w:val="right"/>
            </w:pPr>
            <w:r>
              <w:rPr>
                <w:color w:val="000000"/>
                <w:sz w:val="24"/>
                <w:szCs w:val="24"/>
              </w:rPr>
              <w:t>37,059</w:t>
            </w:r>
          </w:p>
        </w:tc>
        <w:tc>
          <w:tcPr>
            <w:tcW w:w="1924" w:type="dxa"/>
            <w:vAlign w:val="center"/>
          </w:tcPr>
          <w:p w:rsidR="00B73E30" w:rsidRDefault="00FA729D">
            <w:pPr>
              <w:jc w:val="right"/>
            </w:pPr>
            <w:r>
              <w:rPr>
                <w:color w:val="000000"/>
                <w:sz w:val="24"/>
                <w:szCs w:val="24"/>
              </w:rPr>
              <w:t>775,274.28</w:t>
            </w:r>
          </w:p>
        </w:tc>
        <w:tc>
          <w:tcPr>
            <w:tcW w:w="1644" w:type="dxa"/>
            <w:vAlign w:val="center"/>
          </w:tcPr>
          <w:p w:rsidR="00B73E30" w:rsidRDefault="00FA729D">
            <w:pPr>
              <w:jc w:val="right"/>
            </w:pPr>
            <w:r>
              <w:rPr>
                <w:color w:val="000000"/>
                <w:sz w:val="24"/>
                <w:szCs w:val="24"/>
              </w:rPr>
              <w:t>0.05</w:t>
            </w:r>
          </w:p>
        </w:tc>
      </w:tr>
      <w:tr w:rsidR="00B73E30">
        <w:trPr>
          <w:jc w:val="center"/>
        </w:trPr>
        <w:tc>
          <w:tcPr>
            <w:tcW w:w="855" w:type="dxa"/>
            <w:vAlign w:val="center"/>
          </w:tcPr>
          <w:p w:rsidR="00B73E30" w:rsidRDefault="00FA729D">
            <w:pPr>
              <w:jc w:val="center"/>
            </w:pPr>
            <w:r>
              <w:rPr>
                <w:color w:val="000000"/>
                <w:sz w:val="24"/>
                <w:szCs w:val="24"/>
              </w:rPr>
              <w:t>9</w:t>
            </w:r>
          </w:p>
        </w:tc>
        <w:tc>
          <w:tcPr>
            <w:tcW w:w="1334" w:type="dxa"/>
            <w:vAlign w:val="center"/>
          </w:tcPr>
          <w:p w:rsidR="00B73E30" w:rsidRDefault="00FA729D">
            <w:pPr>
              <w:jc w:val="center"/>
            </w:pPr>
            <w:r>
              <w:rPr>
                <w:color w:val="000000"/>
                <w:sz w:val="24"/>
                <w:szCs w:val="24"/>
              </w:rPr>
              <w:t>601127</w:t>
            </w:r>
          </w:p>
        </w:tc>
        <w:tc>
          <w:tcPr>
            <w:tcW w:w="1777" w:type="dxa"/>
            <w:vAlign w:val="center"/>
          </w:tcPr>
          <w:p w:rsidR="00B73E30" w:rsidRDefault="00FA729D">
            <w:pPr>
              <w:jc w:val="center"/>
            </w:pPr>
            <w:r>
              <w:rPr>
                <w:color w:val="000000"/>
                <w:sz w:val="24"/>
                <w:szCs w:val="24"/>
              </w:rPr>
              <w:t>小康股份</w:t>
            </w:r>
          </w:p>
        </w:tc>
        <w:tc>
          <w:tcPr>
            <w:tcW w:w="1334" w:type="dxa"/>
            <w:vAlign w:val="center"/>
          </w:tcPr>
          <w:p w:rsidR="00B73E30" w:rsidRDefault="00FA729D">
            <w:pPr>
              <w:jc w:val="right"/>
            </w:pPr>
            <w:r>
              <w:rPr>
                <w:color w:val="000000"/>
                <w:sz w:val="24"/>
                <w:szCs w:val="24"/>
              </w:rPr>
              <w:t>8,662</w:t>
            </w:r>
          </w:p>
        </w:tc>
        <w:tc>
          <w:tcPr>
            <w:tcW w:w="1924" w:type="dxa"/>
            <w:vAlign w:val="center"/>
          </w:tcPr>
          <w:p w:rsidR="00B73E30" w:rsidRDefault="00FA729D">
            <w:pPr>
              <w:jc w:val="right"/>
            </w:pPr>
            <w:r>
              <w:rPr>
                <w:color w:val="000000"/>
                <w:sz w:val="24"/>
                <w:szCs w:val="24"/>
              </w:rPr>
              <w:t>206,761.94</w:t>
            </w:r>
          </w:p>
        </w:tc>
        <w:tc>
          <w:tcPr>
            <w:tcW w:w="1644" w:type="dxa"/>
            <w:vAlign w:val="center"/>
          </w:tcPr>
          <w:p w:rsidR="00B73E30" w:rsidRDefault="00FA729D">
            <w:pPr>
              <w:jc w:val="right"/>
            </w:pPr>
            <w:r>
              <w:rPr>
                <w:color w:val="000000"/>
                <w:sz w:val="24"/>
                <w:szCs w:val="24"/>
              </w:rPr>
              <w:t>0.01</w:t>
            </w:r>
          </w:p>
        </w:tc>
      </w:tr>
      <w:tr w:rsidR="00B73E30">
        <w:trPr>
          <w:jc w:val="center"/>
        </w:trPr>
        <w:tc>
          <w:tcPr>
            <w:tcW w:w="855" w:type="dxa"/>
            <w:vAlign w:val="center"/>
          </w:tcPr>
          <w:p w:rsidR="00B73E30" w:rsidRDefault="00FA729D">
            <w:pPr>
              <w:jc w:val="center"/>
            </w:pPr>
            <w:r>
              <w:rPr>
                <w:color w:val="000000"/>
                <w:sz w:val="24"/>
                <w:szCs w:val="24"/>
              </w:rPr>
              <w:t>10</w:t>
            </w:r>
          </w:p>
        </w:tc>
        <w:tc>
          <w:tcPr>
            <w:tcW w:w="1334" w:type="dxa"/>
            <w:vAlign w:val="center"/>
          </w:tcPr>
          <w:p w:rsidR="00B73E30" w:rsidRDefault="00FA729D">
            <w:pPr>
              <w:jc w:val="center"/>
            </w:pPr>
            <w:r>
              <w:rPr>
                <w:color w:val="000000"/>
                <w:sz w:val="24"/>
                <w:szCs w:val="24"/>
              </w:rPr>
              <w:t>601966</w:t>
            </w:r>
          </w:p>
        </w:tc>
        <w:tc>
          <w:tcPr>
            <w:tcW w:w="1777" w:type="dxa"/>
            <w:vAlign w:val="center"/>
          </w:tcPr>
          <w:p w:rsidR="00B73E30" w:rsidRDefault="00FA729D">
            <w:pPr>
              <w:jc w:val="center"/>
            </w:pPr>
            <w:r>
              <w:rPr>
                <w:color w:val="000000"/>
                <w:sz w:val="24"/>
                <w:szCs w:val="24"/>
              </w:rPr>
              <w:t>玲珑轮胎</w:t>
            </w:r>
          </w:p>
        </w:tc>
        <w:tc>
          <w:tcPr>
            <w:tcW w:w="1334" w:type="dxa"/>
            <w:vAlign w:val="center"/>
          </w:tcPr>
          <w:p w:rsidR="00B73E30" w:rsidRDefault="00FA729D">
            <w:pPr>
              <w:jc w:val="right"/>
            </w:pPr>
            <w:r>
              <w:rPr>
                <w:color w:val="000000"/>
                <w:sz w:val="24"/>
                <w:szCs w:val="24"/>
              </w:rPr>
              <w:t>14,409</w:t>
            </w:r>
          </w:p>
        </w:tc>
        <w:tc>
          <w:tcPr>
            <w:tcW w:w="1924" w:type="dxa"/>
            <w:vAlign w:val="center"/>
          </w:tcPr>
          <w:p w:rsidR="00B73E30" w:rsidRDefault="00FA729D">
            <w:pPr>
              <w:jc w:val="right"/>
            </w:pPr>
            <w:r>
              <w:rPr>
                <w:color w:val="000000"/>
                <w:sz w:val="24"/>
                <w:szCs w:val="24"/>
              </w:rPr>
              <w:t>187,028.82</w:t>
            </w:r>
          </w:p>
        </w:tc>
        <w:tc>
          <w:tcPr>
            <w:tcW w:w="1644" w:type="dxa"/>
            <w:vAlign w:val="center"/>
          </w:tcPr>
          <w:p w:rsidR="00B73E30" w:rsidRDefault="00FA729D">
            <w:pPr>
              <w:jc w:val="right"/>
            </w:pPr>
            <w:r>
              <w:rPr>
                <w:color w:val="000000"/>
                <w:sz w:val="24"/>
                <w:szCs w:val="24"/>
              </w:rPr>
              <w:t>0.01</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302"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w="1751"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89,946,000.00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5.26</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1,210,516,000.00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70.81</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1,210,516,000.00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70.81</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w="828"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4,136,111.80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0.24</w:t>
            </w:r>
          </w:p>
        </w:tc>
      </w:tr>
      <w:tr w:rsidR="00F323FF" w:rsidRPr="00414345" w:rsidTr="0006711A">
        <w:trPr>
          <w:jc w:val="center"/>
        </w:trPr>
        <w:tc>
          <w:tcPr>
            <w:tcW w:w="828" w:type="dxa"/>
            <w:vAlign w:val="center"/>
          </w:tcPr>
          <w:p w:rsidR="00F323FF" w:rsidRPr="007A70C2" w:rsidRDefault="00F323FF" w:rsidP="0006711A">
            <w:pPr>
              <w:spacing w:before="29" w:line="288" w:lineRule="auto"/>
              <w:ind w:left="17"/>
              <w:jc w:val="center"/>
              <w:rPr>
                <w:color w:val="000000"/>
                <w:sz w:val="24"/>
                <w:szCs w:val="24"/>
              </w:rPr>
            </w:pPr>
            <w:r w:rsidRPr="007A70C2">
              <w:rPr>
                <w:rFonts w:hint="eastAsia"/>
                <w:color w:val="000000"/>
                <w:sz w:val="24"/>
                <w:szCs w:val="24"/>
              </w:rPr>
              <w:t>8</w:t>
            </w:r>
          </w:p>
        </w:tc>
        <w:tc>
          <w:tcPr>
            <w:tcW w:w="3302" w:type="dxa"/>
            <w:vAlign w:val="center"/>
          </w:tcPr>
          <w:p w:rsidR="00F323FF" w:rsidRPr="007A70C2" w:rsidRDefault="00F323FF" w:rsidP="0006711A">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c>
          <w:tcPr>
            <w:tcW w:w="1751"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9</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10</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1,304,598,111.80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76.32</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lastRenderedPageBreak/>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B73E30">
        <w:trPr>
          <w:jc w:val="center"/>
        </w:trPr>
        <w:tc>
          <w:tcPr>
            <w:tcW w:w="850" w:type="dxa"/>
            <w:vAlign w:val="center"/>
          </w:tcPr>
          <w:p w:rsidR="00B73E30" w:rsidRDefault="00FA729D">
            <w:pPr>
              <w:jc w:val="center"/>
            </w:pPr>
            <w:r>
              <w:rPr>
                <w:color w:val="000000"/>
                <w:sz w:val="24"/>
                <w:szCs w:val="24"/>
              </w:rPr>
              <w:t>1</w:t>
            </w:r>
          </w:p>
        </w:tc>
        <w:tc>
          <w:tcPr>
            <w:tcW w:w="1475" w:type="dxa"/>
            <w:vAlign w:val="center"/>
          </w:tcPr>
          <w:p w:rsidR="00B73E30" w:rsidRDefault="00FA729D">
            <w:pPr>
              <w:jc w:val="center"/>
            </w:pPr>
            <w:r>
              <w:rPr>
                <w:color w:val="000000"/>
                <w:sz w:val="24"/>
                <w:szCs w:val="24"/>
              </w:rPr>
              <w:t>130425</w:t>
            </w:r>
          </w:p>
        </w:tc>
        <w:tc>
          <w:tcPr>
            <w:tcW w:w="1769" w:type="dxa"/>
            <w:vAlign w:val="center"/>
          </w:tcPr>
          <w:p w:rsidR="00B73E30" w:rsidRDefault="00FA729D">
            <w:pPr>
              <w:jc w:val="center"/>
            </w:pPr>
            <w:r>
              <w:rPr>
                <w:color w:val="000000"/>
                <w:sz w:val="24"/>
                <w:szCs w:val="24"/>
              </w:rPr>
              <w:t>13</w:t>
            </w:r>
            <w:r>
              <w:rPr>
                <w:color w:val="000000"/>
                <w:sz w:val="24"/>
                <w:szCs w:val="24"/>
              </w:rPr>
              <w:t>农发</w:t>
            </w:r>
            <w:r>
              <w:rPr>
                <w:color w:val="000000"/>
                <w:sz w:val="24"/>
                <w:szCs w:val="24"/>
              </w:rPr>
              <w:t>25</w:t>
            </w:r>
          </w:p>
        </w:tc>
        <w:tc>
          <w:tcPr>
            <w:tcW w:w="1387" w:type="dxa"/>
            <w:vAlign w:val="center"/>
          </w:tcPr>
          <w:p w:rsidR="00B73E30" w:rsidRDefault="00FA729D">
            <w:pPr>
              <w:jc w:val="right"/>
            </w:pPr>
            <w:r>
              <w:rPr>
                <w:color w:val="000000"/>
                <w:sz w:val="24"/>
                <w:szCs w:val="24"/>
              </w:rPr>
              <w:t>1,600,000</w:t>
            </w:r>
          </w:p>
        </w:tc>
        <w:tc>
          <w:tcPr>
            <w:tcW w:w="2150" w:type="dxa"/>
            <w:vAlign w:val="center"/>
          </w:tcPr>
          <w:p w:rsidR="00B73E30" w:rsidRDefault="00FA729D">
            <w:pPr>
              <w:jc w:val="right"/>
            </w:pPr>
            <w:r>
              <w:rPr>
                <w:color w:val="000000"/>
                <w:sz w:val="24"/>
                <w:szCs w:val="24"/>
              </w:rPr>
              <w:t>166,720,000.00</w:t>
            </w:r>
          </w:p>
        </w:tc>
        <w:tc>
          <w:tcPr>
            <w:tcW w:w="1237" w:type="dxa"/>
            <w:vAlign w:val="center"/>
          </w:tcPr>
          <w:p w:rsidR="00B73E30" w:rsidRDefault="00FA729D">
            <w:pPr>
              <w:jc w:val="right"/>
            </w:pPr>
            <w:r>
              <w:rPr>
                <w:color w:val="000000"/>
                <w:sz w:val="24"/>
                <w:szCs w:val="24"/>
              </w:rPr>
              <w:t>9.75</w:t>
            </w:r>
          </w:p>
        </w:tc>
      </w:tr>
      <w:tr w:rsidR="00B73E30">
        <w:trPr>
          <w:jc w:val="center"/>
        </w:trPr>
        <w:tc>
          <w:tcPr>
            <w:tcW w:w="850" w:type="dxa"/>
            <w:vAlign w:val="center"/>
          </w:tcPr>
          <w:p w:rsidR="00B73E30" w:rsidRDefault="00FA729D">
            <w:pPr>
              <w:jc w:val="center"/>
            </w:pPr>
            <w:r>
              <w:rPr>
                <w:color w:val="000000"/>
                <w:sz w:val="24"/>
                <w:szCs w:val="24"/>
              </w:rPr>
              <w:t>2</w:t>
            </w:r>
          </w:p>
        </w:tc>
        <w:tc>
          <w:tcPr>
            <w:tcW w:w="1475" w:type="dxa"/>
            <w:vAlign w:val="center"/>
          </w:tcPr>
          <w:p w:rsidR="00B73E30" w:rsidRDefault="00FA729D">
            <w:pPr>
              <w:jc w:val="center"/>
            </w:pPr>
            <w:r>
              <w:rPr>
                <w:color w:val="000000"/>
                <w:sz w:val="24"/>
                <w:szCs w:val="24"/>
              </w:rPr>
              <w:t>150309</w:t>
            </w:r>
          </w:p>
        </w:tc>
        <w:tc>
          <w:tcPr>
            <w:tcW w:w="1769" w:type="dxa"/>
            <w:vAlign w:val="center"/>
          </w:tcPr>
          <w:p w:rsidR="00B73E30" w:rsidRDefault="00FA729D">
            <w:pPr>
              <w:jc w:val="center"/>
            </w:pPr>
            <w:r>
              <w:rPr>
                <w:color w:val="000000"/>
                <w:sz w:val="24"/>
                <w:szCs w:val="24"/>
              </w:rPr>
              <w:t>15</w:t>
            </w:r>
            <w:r>
              <w:rPr>
                <w:color w:val="000000"/>
                <w:sz w:val="24"/>
                <w:szCs w:val="24"/>
              </w:rPr>
              <w:t>进出</w:t>
            </w:r>
            <w:r>
              <w:rPr>
                <w:color w:val="000000"/>
                <w:sz w:val="24"/>
                <w:szCs w:val="24"/>
              </w:rPr>
              <w:t>09</w:t>
            </w:r>
          </w:p>
        </w:tc>
        <w:tc>
          <w:tcPr>
            <w:tcW w:w="1387" w:type="dxa"/>
            <w:vAlign w:val="center"/>
          </w:tcPr>
          <w:p w:rsidR="00B73E30" w:rsidRDefault="00FA729D">
            <w:pPr>
              <w:jc w:val="right"/>
            </w:pPr>
            <w:r>
              <w:rPr>
                <w:color w:val="000000"/>
                <w:sz w:val="24"/>
                <w:szCs w:val="24"/>
              </w:rPr>
              <w:t>1,500,000</w:t>
            </w:r>
          </w:p>
        </w:tc>
        <w:tc>
          <w:tcPr>
            <w:tcW w:w="2150" w:type="dxa"/>
            <w:vAlign w:val="center"/>
          </w:tcPr>
          <w:p w:rsidR="00B73E30" w:rsidRDefault="00FA729D">
            <w:pPr>
              <w:jc w:val="right"/>
            </w:pPr>
            <w:r>
              <w:rPr>
                <w:color w:val="000000"/>
                <w:sz w:val="24"/>
                <w:szCs w:val="24"/>
              </w:rPr>
              <w:t>153,015,000.00</w:t>
            </w:r>
          </w:p>
        </w:tc>
        <w:tc>
          <w:tcPr>
            <w:tcW w:w="1237" w:type="dxa"/>
            <w:vAlign w:val="center"/>
          </w:tcPr>
          <w:p w:rsidR="00B73E30" w:rsidRDefault="00FA729D">
            <w:pPr>
              <w:jc w:val="right"/>
            </w:pPr>
            <w:r>
              <w:rPr>
                <w:color w:val="000000"/>
                <w:sz w:val="24"/>
                <w:szCs w:val="24"/>
              </w:rPr>
              <w:t>8.95</w:t>
            </w:r>
          </w:p>
        </w:tc>
      </w:tr>
      <w:tr w:rsidR="00B73E30">
        <w:trPr>
          <w:jc w:val="center"/>
        </w:trPr>
        <w:tc>
          <w:tcPr>
            <w:tcW w:w="850" w:type="dxa"/>
            <w:vAlign w:val="center"/>
          </w:tcPr>
          <w:p w:rsidR="00B73E30" w:rsidRDefault="00FA729D">
            <w:pPr>
              <w:jc w:val="center"/>
            </w:pPr>
            <w:r>
              <w:rPr>
                <w:color w:val="000000"/>
                <w:sz w:val="24"/>
                <w:szCs w:val="24"/>
              </w:rPr>
              <w:t>3</w:t>
            </w:r>
          </w:p>
        </w:tc>
        <w:tc>
          <w:tcPr>
            <w:tcW w:w="1475" w:type="dxa"/>
            <w:vAlign w:val="center"/>
          </w:tcPr>
          <w:p w:rsidR="00B73E30" w:rsidRDefault="00FA729D">
            <w:pPr>
              <w:jc w:val="center"/>
            </w:pPr>
            <w:r>
              <w:rPr>
                <w:color w:val="000000"/>
                <w:sz w:val="24"/>
                <w:szCs w:val="24"/>
              </w:rPr>
              <w:t>150418</w:t>
            </w:r>
          </w:p>
        </w:tc>
        <w:tc>
          <w:tcPr>
            <w:tcW w:w="1769" w:type="dxa"/>
            <w:vAlign w:val="center"/>
          </w:tcPr>
          <w:p w:rsidR="00B73E30" w:rsidRDefault="00FA729D">
            <w:pPr>
              <w:jc w:val="center"/>
            </w:pPr>
            <w:r>
              <w:rPr>
                <w:color w:val="000000"/>
                <w:sz w:val="24"/>
                <w:szCs w:val="24"/>
              </w:rPr>
              <w:t>15</w:t>
            </w:r>
            <w:r>
              <w:rPr>
                <w:color w:val="000000"/>
                <w:sz w:val="24"/>
                <w:szCs w:val="24"/>
              </w:rPr>
              <w:t>农发</w:t>
            </w:r>
            <w:r>
              <w:rPr>
                <w:color w:val="000000"/>
                <w:sz w:val="24"/>
                <w:szCs w:val="24"/>
              </w:rPr>
              <w:t>18</w:t>
            </w:r>
          </w:p>
        </w:tc>
        <w:tc>
          <w:tcPr>
            <w:tcW w:w="1387" w:type="dxa"/>
            <w:vAlign w:val="center"/>
          </w:tcPr>
          <w:p w:rsidR="00B73E30" w:rsidRDefault="00FA729D">
            <w:pPr>
              <w:jc w:val="right"/>
            </w:pPr>
            <w:r>
              <w:rPr>
                <w:color w:val="000000"/>
                <w:sz w:val="24"/>
                <w:szCs w:val="24"/>
              </w:rPr>
              <w:t>1,200,000</w:t>
            </w:r>
          </w:p>
        </w:tc>
        <w:tc>
          <w:tcPr>
            <w:tcW w:w="2150" w:type="dxa"/>
            <w:vAlign w:val="center"/>
          </w:tcPr>
          <w:p w:rsidR="00B73E30" w:rsidRDefault="00FA729D">
            <w:pPr>
              <w:jc w:val="right"/>
            </w:pPr>
            <w:r>
              <w:rPr>
                <w:color w:val="000000"/>
                <w:sz w:val="24"/>
                <w:szCs w:val="24"/>
              </w:rPr>
              <w:t>121,680,000.00</w:t>
            </w:r>
          </w:p>
        </w:tc>
        <w:tc>
          <w:tcPr>
            <w:tcW w:w="1237" w:type="dxa"/>
            <w:vAlign w:val="center"/>
          </w:tcPr>
          <w:p w:rsidR="00B73E30" w:rsidRDefault="00FA729D">
            <w:pPr>
              <w:jc w:val="right"/>
            </w:pPr>
            <w:r>
              <w:rPr>
                <w:color w:val="000000"/>
                <w:sz w:val="24"/>
                <w:szCs w:val="24"/>
              </w:rPr>
              <w:t>7.12</w:t>
            </w:r>
          </w:p>
        </w:tc>
      </w:tr>
      <w:tr w:rsidR="00B73E30">
        <w:trPr>
          <w:jc w:val="center"/>
        </w:trPr>
        <w:tc>
          <w:tcPr>
            <w:tcW w:w="850" w:type="dxa"/>
            <w:vAlign w:val="center"/>
          </w:tcPr>
          <w:p w:rsidR="00B73E30" w:rsidRDefault="00FA729D">
            <w:pPr>
              <w:jc w:val="center"/>
            </w:pPr>
            <w:r>
              <w:rPr>
                <w:color w:val="000000"/>
                <w:sz w:val="24"/>
                <w:szCs w:val="24"/>
              </w:rPr>
              <w:t>4</w:t>
            </w:r>
          </w:p>
        </w:tc>
        <w:tc>
          <w:tcPr>
            <w:tcW w:w="1475" w:type="dxa"/>
            <w:vAlign w:val="center"/>
          </w:tcPr>
          <w:p w:rsidR="00B73E30" w:rsidRDefault="00FA729D">
            <w:pPr>
              <w:jc w:val="center"/>
            </w:pPr>
            <w:r>
              <w:rPr>
                <w:color w:val="000000"/>
                <w:sz w:val="24"/>
                <w:szCs w:val="24"/>
              </w:rPr>
              <w:t>160210</w:t>
            </w:r>
          </w:p>
        </w:tc>
        <w:tc>
          <w:tcPr>
            <w:tcW w:w="1769" w:type="dxa"/>
            <w:vAlign w:val="center"/>
          </w:tcPr>
          <w:p w:rsidR="00B73E30" w:rsidRDefault="00FA729D">
            <w:pPr>
              <w:jc w:val="center"/>
            </w:pPr>
            <w:r>
              <w:rPr>
                <w:color w:val="000000"/>
                <w:sz w:val="24"/>
                <w:szCs w:val="24"/>
              </w:rPr>
              <w:t>16</w:t>
            </w:r>
            <w:r>
              <w:rPr>
                <w:color w:val="000000"/>
                <w:sz w:val="24"/>
                <w:szCs w:val="24"/>
              </w:rPr>
              <w:t>国开</w:t>
            </w:r>
            <w:r>
              <w:rPr>
                <w:color w:val="000000"/>
                <w:sz w:val="24"/>
                <w:szCs w:val="24"/>
              </w:rPr>
              <w:t>10</w:t>
            </w:r>
          </w:p>
        </w:tc>
        <w:tc>
          <w:tcPr>
            <w:tcW w:w="1387" w:type="dxa"/>
            <w:vAlign w:val="center"/>
          </w:tcPr>
          <w:p w:rsidR="00B73E30" w:rsidRDefault="00FA729D">
            <w:pPr>
              <w:jc w:val="right"/>
            </w:pPr>
            <w:r>
              <w:rPr>
                <w:color w:val="000000"/>
                <w:sz w:val="24"/>
                <w:szCs w:val="24"/>
              </w:rPr>
              <w:t>1,200,000</w:t>
            </w:r>
          </w:p>
        </w:tc>
        <w:tc>
          <w:tcPr>
            <w:tcW w:w="2150" w:type="dxa"/>
            <w:vAlign w:val="center"/>
          </w:tcPr>
          <w:p w:rsidR="00B73E30" w:rsidRDefault="00FA729D">
            <w:pPr>
              <w:jc w:val="right"/>
            </w:pPr>
            <w:r>
              <w:rPr>
                <w:color w:val="000000"/>
                <w:sz w:val="24"/>
                <w:szCs w:val="24"/>
              </w:rPr>
              <w:t>119,940,000.00</w:t>
            </w:r>
          </w:p>
        </w:tc>
        <w:tc>
          <w:tcPr>
            <w:tcW w:w="1237" w:type="dxa"/>
            <w:vAlign w:val="center"/>
          </w:tcPr>
          <w:p w:rsidR="00B73E30" w:rsidRDefault="00FA729D">
            <w:pPr>
              <w:jc w:val="right"/>
            </w:pPr>
            <w:r>
              <w:rPr>
                <w:color w:val="000000"/>
                <w:sz w:val="24"/>
                <w:szCs w:val="24"/>
              </w:rPr>
              <w:t>7.02</w:t>
            </w:r>
          </w:p>
        </w:tc>
      </w:tr>
      <w:tr w:rsidR="00B73E30">
        <w:trPr>
          <w:jc w:val="center"/>
        </w:trPr>
        <w:tc>
          <w:tcPr>
            <w:tcW w:w="850" w:type="dxa"/>
            <w:vAlign w:val="center"/>
          </w:tcPr>
          <w:p w:rsidR="00B73E30" w:rsidRDefault="00FA729D">
            <w:pPr>
              <w:jc w:val="center"/>
            </w:pPr>
            <w:r>
              <w:rPr>
                <w:color w:val="000000"/>
                <w:sz w:val="24"/>
                <w:szCs w:val="24"/>
              </w:rPr>
              <w:t>5</w:t>
            </w:r>
          </w:p>
        </w:tc>
        <w:tc>
          <w:tcPr>
            <w:tcW w:w="1475" w:type="dxa"/>
            <w:vAlign w:val="center"/>
          </w:tcPr>
          <w:p w:rsidR="00B73E30" w:rsidRDefault="00FA729D">
            <w:pPr>
              <w:jc w:val="center"/>
            </w:pPr>
            <w:r>
              <w:rPr>
                <w:color w:val="000000"/>
                <w:sz w:val="24"/>
                <w:szCs w:val="24"/>
              </w:rPr>
              <w:t>160208</w:t>
            </w:r>
          </w:p>
        </w:tc>
        <w:tc>
          <w:tcPr>
            <w:tcW w:w="1769" w:type="dxa"/>
            <w:vAlign w:val="center"/>
          </w:tcPr>
          <w:p w:rsidR="00B73E30" w:rsidRDefault="00FA729D">
            <w:pPr>
              <w:jc w:val="center"/>
            </w:pPr>
            <w:r>
              <w:rPr>
                <w:color w:val="000000"/>
                <w:sz w:val="24"/>
                <w:szCs w:val="24"/>
              </w:rPr>
              <w:t>16</w:t>
            </w:r>
            <w:r>
              <w:rPr>
                <w:color w:val="000000"/>
                <w:sz w:val="24"/>
                <w:szCs w:val="24"/>
              </w:rPr>
              <w:t>国开</w:t>
            </w:r>
            <w:r>
              <w:rPr>
                <w:color w:val="000000"/>
                <w:sz w:val="24"/>
                <w:szCs w:val="24"/>
              </w:rPr>
              <w:t>08</w:t>
            </w:r>
          </w:p>
        </w:tc>
        <w:tc>
          <w:tcPr>
            <w:tcW w:w="1387" w:type="dxa"/>
            <w:vAlign w:val="center"/>
          </w:tcPr>
          <w:p w:rsidR="00B73E30" w:rsidRDefault="00FA729D">
            <w:pPr>
              <w:jc w:val="right"/>
            </w:pPr>
            <w:r>
              <w:rPr>
                <w:color w:val="000000"/>
                <w:sz w:val="24"/>
                <w:szCs w:val="24"/>
              </w:rPr>
              <w:t>1,000,000</w:t>
            </w:r>
          </w:p>
        </w:tc>
        <w:tc>
          <w:tcPr>
            <w:tcW w:w="2150" w:type="dxa"/>
            <w:vAlign w:val="center"/>
          </w:tcPr>
          <w:p w:rsidR="00B73E30" w:rsidRDefault="00FA729D">
            <w:pPr>
              <w:jc w:val="right"/>
            </w:pPr>
            <w:r>
              <w:rPr>
                <w:color w:val="000000"/>
                <w:sz w:val="24"/>
                <w:szCs w:val="24"/>
              </w:rPr>
              <w:t>99,680,000.00</w:t>
            </w:r>
          </w:p>
        </w:tc>
        <w:tc>
          <w:tcPr>
            <w:tcW w:w="1237" w:type="dxa"/>
            <w:vAlign w:val="center"/>
          </w:tcPr>
          <w:p w:rsidR="00B73E30" w:rsidRDefault="00FA729D">
            <w:pPr>
              <w:jc w:val="right"/>
            </w:pPr>
            <w:r>
              <w:rPr>
                <w:color w:val="000000"/>
                <w:sz w:val="24"/>
                <w:szCs w:val="24"/>
              </w:rPr>
              <w:t>5.83</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eastAsiaTheme="minorEastAsia"/>
          <w:b/>
          <w:bCs/>
          <w:color w:val="000000"/>
          <w:kern w:val="0"/>
          <w:sz w:val="24"/>
          <w:szCs w:val="24"/>
        </w:rPr>
        <w:t xml:space="preserve"> </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8E1D74" w:rsidRPr="00414345">
        <w:rPr>
          <w:b/>
          <w:bCs/>
          <w:color w:val="000000"/>
          <w:kern w:val="0"/>
          <w:sz w:val="24"/>
          <w:szCs w:val="24"/>
        </w:rPr>
        <w:t xml:space="preserve"> </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8E1D74" w:rsidRPr="00414345">
        <w:rPr>
          <w:b/>
          <w:bCs/>
          <w:color w:val="000000"/>
          <w:kern w:val="0"/>
          <w:sz w:val="24"/>
          <w:szCs w:val="24"/>
        </w:rPr>
        <w:t xml:space="preserve"> </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0004308C" w:rsidRPr="00414345">
        <w:rPr>
          <w:b/>
          <w:bCs/>
          <w:color w:val="000000"/>
          <w:kern w:val="0"/>
          <w:sz w:val="24"/>
          <w:szCs w:val="24"/>
        </w:rPr>
        <w:t xml:space="preserve"> </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04308C" w:rsidRPr="00414345">
        <w:rPr>
          <w:b/>
          <w:bCs/>
          <w:color w:val="000000"/>
          <w:kern w:val="0"/>
          <w:sz w:val="24"/>
          <w:szCs w:val="24"/>
        </w:rPr>
        <w:t xml:space="preserve"> </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04308C" w:rsidRPr="00414345">
        <w:rPr>
          <w:bCs/>
          <w:color w:val="000000"/>
          <w:kern w:val="0"/>
          <w:sz w:val="24"/>
          <w:szCs w:val="24"/>
        </w:rPr>
        <w:t xml:space="preserve"> </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79,624.34</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lastRenderedPageBreak/>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65,293,524.27</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20,135,343.42</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150.00</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85,508,642.03</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E85E4B" w:rsidRPr="00414345">
        <w:rPr>
          <w:bCs/>
          <w:color w:val="000000"/>
          <w:kern w:val="0"/>
          <w:sz w:val="24"/>
          <w:szCs w:val="24"/>
        </w:rPr>
        <w:t xml:space="preserve"> </w:t>
      </w:r>
      <w:r w:rsidR="004061AC" w:rsidRPr="00414345">
        <w:rPr>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3F09B5" w:rsidRPr="00414345">
        <w:rPr>
          <w:bCs/>
          <w:color w:val="000000"/>
          <w:kern w:val="0"/>
          <w:sz w:val="24"/>
          <w:szCs w:val="24"/>
        </w:rPr>
        <w:t xml:space="preserve"> </w:t>
      </w:r>
      <w:r w:rsidR="004061AC" w:rsidRPr="00414345">
        <w:rPr>
          <w:bCs/>
          <w:color w:val="000000"/>
          <w:kern w:val="0"/>
          <w:sz w:val="24"/>
          <w:szCs w:val="24"/>
        </w:rPr>
        <w:t>报告期末前十名股票中存在流通受限情况的说明</w:t>
      </w:r>
    </w:p>
    <w:tbl>
      <w:tblPr>
        <w:tblStyle w:val="af7"/>
        <w:tblW w:w="8868" w:type="dxa"/>
        <w:jc w:val="center"/>
        <w:tblLayout w:type="fixed"/>
        <w:tblCellMar>
          <w:top w:w="57" w:type="dxa"/>
          <w:bottom w:w="57" w:type="dxa"/>
        </w:tblCellMar>
        <w:tblLook w:val="04A0" w:firstRow="1" w:lastRow="0" w:firstColumn="1" w:lastColumn="0" w:noHBand="0" w:noVBand="1"/>
      </w:tblPr>
      <w:tblGrid>
        <w:gridCol w:w="914"/>
        <w:gridCol w:w="1275"/>
        <w:gridCol w:w="1418"/>
        <w:gridCol w:w="1984"/>
        <w:gridCol w:w="1701"/>
        <w:gridCol w:w="1576"/>
      </w:tblGrid>
      <w:tr w:rsidR="003E62FB" w:rsidRPr="00414345" w:rsidTr="0097357A">
        <w:trPr>
          <w:jc w:val="center"/>
        </w:trPr>
        <w:tc>
          <w:tcPr>
            <w:tcW w:w="91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27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股票代码</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股票名称</w:t>
            </w:r>
          </w:p>
        </w:tc>
        <w:tc>
          <w:tcPr>
            <w:tcW w:w="198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流通受限部分的公允价值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AC063D" w:rsidRPr="00414345">
              <w:rPr>
                <w:color w:val="000000"/>
                <w:sz w:val="24"/>
                <w:szCs w:val="24"/>
              </w:rPr>
              <w:t>(</w:t>
            </w:r>
            <w:r w:rsidR="00AC063D" w:rsidRPr="00414345">
              <w:rPr>
                <w:color w:val="000000"/>
                <w:sz w:val="24"/>
                <w:szCs w:val="24"/>
              </w:rPr>
              <w:t>％</w:t>
            </w:r>
            <w:r w:rsidR="00AC063D" w:rsidRPr="00414345">
              <w:rPr>
                <w:color w:val="000000"/>
                <w:sz w:val="24"/>
                <w:szCs w:val="24"/>
              </w:rPr>
              <w:t>)</w:t>
            </w:r>
          </w:p>
        </w:tc>
        <w:tc>
          <w:tcPr>
            <w:tcW w:w="1576"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流通受限情况说明</w:t>
            </w:r>
          </w:p>
        </w:tc>
      </w:tr>
      <w:tr w:rsidR="00B73E30" w:rsidTr="0097357A">
        <w:trPr>
          <w:jc w:val="center"/>
        </w:trPr>
        <w:tc>
          <w:tcPr>
            <w:tcW w:w="914" w:type="dxa"/>
            <w:vAlign w:val="center"/>
          </w:tcPr>
          <w:p w:rsidR="00B73E30" w:rsidRDefault="00FA729D">
            <w:pPr>
              <w:jc w:val="center"/>
            </w:pPr>
            <w:r>
              <w:rPr>
                <w:color w:val="000000"/>
                <w:sz w:val="24"/>
                <w:szCs w:val="24"/>
              </w:rPr>
              <w:t>1</w:t>
            </w:r>
          </w:p>
        </w:tc>
        <w:tc>
          <w:tcPr>
            <w:tcW w:w="1275" w:type="dxa"/>
            <w:vAlign w:val="center"/>
          </w:tcPr>
          <w:p w:rsidR="00B73E30" w:rsidRDefault="00FA729D">
            <w:pPr>
              <w:jc w:val="center"/>
            </w:pPr>
            <w:r>
              <w:rPr>
                <w:color w:val="000000"/>
                <w:sz w:val="24"/>
                <w:szCs w:val="24"/>
              </w:rPr>
              <w:t>601611</w:t>
            </w:r>
          </w:p>
        </w:tc>
        <w:tc>
          <w:tcPr>
            <w:tcW w:w="1418" w:type="dxa"/>
            <w:vAlign w:val="center"/>
          </w:tcPr>
          <w:p w:rsidR="00B73E30" w:rsidRDefault="00FA729D">
            <w:pPr>
              <w:jc w:val="center"/>
            </w:pPr>
            <w:r>
              <w:rPr>
                <w:color w:val="000000"/>
                <w:sz w:val="24"/>
                <w:szCs w:val="24"/>
              </w:rPr>
              <w:t>中国核建</w:t>
            </w:r>
          </w:p>
        </w:tc>
        <w:tc>
          <w:tcPr>
            <w:tcW w:w="1984" w:type="dxa"/>
            <w:vAlign w:val="center"/>
          </w:tcPr>
          <w:p w:rsidR="00B73E30" w:rsidRDefault="00FA729D">
            <w:pPr>
              <w:jc w:val="right"/>
            </w:pPr>
            <w:r>
              <w:rPr>
                <w:color w:val="000000"/>
                <w:sz w:val="24"/>
                <w:szCs w:val="24"/>
              </w:rPr>
              <w:t>775,274.28</w:t>
            </w:r>
          </w:p>
        </w:tc>
        <w:tc>
          <w:tcPr>
            <w:tcW w:w="1701" w:type="dxa"/>
            <w:vAlign w:val="center"/>
          </w:tcPr>
          <w:p w:rsidR="00B73E30" w:rsidRDefault="00FA729D">
            <w:pPr>
              <w:jc w:val="right"/>
            </w:pPr>
            <w:r>
              <w:rPr>
                <w:color w:val="000000"/>
                <w:sz w:val="24"/>
                <w:szCs w:val="24"/>
              </w:rPr>
              <w:t>0.05</w:t>
            </w:r>
          </w:p>
        </w:tc>
        <w:tc>
          <w:tcPr>
            <w:tcW w:w="1576" w:type="dxa"/>
            <w:vAlign w:val="center"/>
          </w:tcPr>
          <w:p w:rsidR="00B73E30" w:rsidRDefault="00FA729D">
            <w:pPr>
              <w:jc w:val="right"/>
            </w:pPr>
            <w:r>
              <w:rPr>
                <w:color w:val="000000"/>
                <w:sz w:val="24"/>
                <w:szCs w:val="24"/>
              </w:rPr>
              <w:t>重大事项</w:t>
            </w:r>
          </w:p>
        </w:tc>
      </w:tr>
      <w:tr w:rsidR="0097357A" w:rsidTr="0097357A">
        <w:trPr>
          <w:jc w:val="center"/>
        </w:trPr>
        <w:tc>
          <w:tcPr>
            <w:tcW w:w="914" w:type="dxa"/>
            <w:vAlign w:val="center"/>
          </w:tcPr>
          <w:p w:rsidR="0097357A" w:rsidRPr="0097357A" w:rsidRDefault="0097357A" w:rsidP="0097357A">
            <w:pPr>
              <w:jc w:val="center"/>
              <w:rPr>
                <w:color w:val="000000"/>
                <w:sz w:val="24"/>
                <w:szCs w:val="24"/>
              </w:rPr>
            </w:pPr>
            <w:r w:rsidRPr="0097357A">
              <w:rPr>
                <w:color w:val="000000"/>
                <w:sz w:val="24"/>
                <w:szCs w:val="24"/>
              </w:rPr>
              <w:t>2</w:t>
            </w:r>
          </w:p>
        </w:tc>
        <w:tc>
          <w:tcPr>
            <w:tcW w:w="1275" w:type="dxa"/>
            <w:vAlign w:val="center"/>
          </w:tcPr>
          <w:p w:rsidR="0097357A" w:rsidRPr="0097357A" w:rsidRDefault="0097357A" w:rsidP="0097357A">
            <w:pPr>
              <w:jc w:val="center"/>
              <w:rPr>
                <w:color w:val="000000"/>
                <w:sz w:val="24"/>
                <w:szCs w:val="24"/>
              </w:rPr>
            </w:pPr>
            <w:r w:rsidRPr="0097357A">
              <w:rPr>
                <w:color w:val="000000"/>
                <w:sz w:val="24"/>
                <w:szCs w:val="24"/>
              </w:rPr>
              <w:t>601966</w:t>
            </w:r>
          </w:p>
        </w:tc>
        <w:tc>
          <w:tcPr>
            <w:tcW w:w="1418" w:type="dxa"/>
            <w:vAlign w:val="center"/>
          </w:tcPr>
          <w:p w:rsidR="0097357A" w:rsidRPr="0097357A" w:rsidRDefault="0097357A" w:rsidP="0097357A">
            <w:pPr>
              <w:jc w:val="center"/>
              <w:rPr>
                <w:color w:val="000000"/>
                <w:sz w:val="24"/>
                <w:szCs w:val="24"/>
              </w:rPr>
            </w:pPr>
            <w:r w:rsidRPr="0097357A">
              <w:rPr>
                <w:rFonts w:ascii="宋体" w:hAnsi="宋体" w:hint="eastAsia"/>
                <w:color w:val="000000"/>
                <w:sz w:val="24"/>
                <w:szCs w:val="24"/>
              </w:rPr>
              <w:t>玲珑轮胎</w:t>
            </w:r>
          </w:p>
        </w:tc>
        <w:tc>
          <w:tcPr>
            <w:tcW w:w="1984" w:type="dxa"/>
            <w:vAlign w:val="center"/>
          </w:tcPr>
          <w:p w:rsidR="0097357A" w:rsidRPr="0097357A" w:rsidRDefault="0097357A" w:rsidP="0097357A">
            <w:pPr>
              <w:jc w:val="right"/>
              <w:rPr>
                <w:color w:val="000000"/>
                <w:sz w:val="24"/>
                <w:szCs w:val="24"/>
              </w:rPr>
            </w:pPr>
            <w:r w:rsidRPr="0097357A">
              <w:rPr>
                <w:color w:val="000000"/>
                <w:sz w:val="24"/>
                <w:szCs w:val="24"/>
              </w:rPr>
              <w:t>187,028.82</w:t>
            </w:r>
          </w:p>
        </w:tc>
        <w:tc>
          <w:tcPr>
            <w:tcW w:w="1701" w:type="dxa"/>
            <w:vAlign w:val="center"/>
          </w:tcPr>
          <w:p w:rsidR="0097357A" w:rsidRPr="0097357A" w:rsidRDefault="0097357A" w:rsidP="0097357A">
            <w:pPr>
              <w:jc w:val="right"/>
              <w:rPr>
                <w:color w:val="000000"/>
                <w:sz w:val="24"/>
                <w:szCs w:val="24"/>
              </w:rPr>
            </w:pPr>
            <w:r w:rsidRPr="0097357A">
              <w:rPr>
                <w:color w:val="000000"/>
                <w:sz w:val="24"/>
                <w:szCs w:val="24"/>
              </w:rPr>
              <w:t>0.01</w:t>
            </w:r>
          </w:p>
        </w:tc>
        <w:tc>
          <w:tcPr>
            <w:tcW w:w="1576" w:type="dxa"/>
            <w:vAlign w:val="center"/>
          </w:tcPr>
          <w:p w:rsidR="0097357A" w:rsidRPr="0097357A" w:rsidRDefault="0097357A" w:rsidP="0097357A">
            <w:pPr>
              <w:ind w:right="120"/>
              <w:jc w:val="center"/>
              <w:rPr>
                <w:color w:val="000000"/>
                <w:sz w:val="24"/>
                <w:szCs w:val="24"/>
              </w:rPr>
            </w:pPr>
            <w:r w:rsidRPr="0097357A">
              <w:rPr>
                <w:rFonts w:ascii="宋体" w:hAnsi="宋体" w:hint="eastAsia"/>
                <w:color w:val="000000"/>
                <w:sz w:val="24"/>
                <w:szCs w:val="24"/>
              </w:rPr>
              <w:t>新股未上市</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3F09B5" w:rsidRPr="00414345">
        <w:rPr>
          <w:bCs/>
          <w:color w:val="000000"/>
          <w:kern w:val="0"/>
          <w:sz w:val="24"/>
          <w:szCs w:val="24"/>
        </w:rPr>
        <w:t xml:space="preserve"> </w:t>
      </w:r>
      <w:r w:rsidR="001675CD" w:rsidRPr="00414345">
        <w:rPr>
          <w:bCs/>
          <w:color w:val="000000"/>
          <w:kern w:val="0"/>
          <w:sz w:val="24"/>
          <w:szCs w:val="24"/>
        </w:rPr>
        <w:t>投资组合报告附注的其他文字描述部分</w:t>
      </w:r>
    </w:p>
    <w:p w:rsidR="00FA729D" w:rsidRPr="00FA729D" w:rsidRDefault="00FA729D" w:rsidP="00FA729D">
      <w:pPr>
        <w:spacing w:before="29" w:line="288" w:lineRule="auto"/>
        <w:rPr>
          <w:color w:val="000000"/>
          <w:sz w:val="24"/>
          <w:szCs w:val="24"/>
        </w:rPr>
      </w:pPr>
      <w:r w:rsidRPr="00FA729D">
        <w:rPr>
          <w:rFonts w:hint="eastAsia"/>
          <w:color w:val="000000"/>
          <w:sz w:val="24"/>
          <w:szCs w:val="24"/>
        </w:rPr>
        <w:t>1</w:t>
      </w:r>
      <w:r w:rsidRPr="00FA729D">
        <w:rPr>
          <w:rFonts w:hint="eastAsia"/>
          <w:color w:val="000000"/>
          <w:sz w:val="24"/>
          <w:szCs w:val="24"/>
        </w:rPr>
        <w:t>、本基金本报告期末未持有处于交换期的可交换债券。</w:t>
      </w:r>
    </w:p>
    <w:p w:rsidR="006B2FF6" w:rsidRPr="00414345" w:rsidRDefault="00FA729D" w:rsidP="00FA729D">
      <w:pPr>
        <w:spacing w:before="29" w:line="288" w:lineRule="auto"/>
        <w:rPr>
          <w:color w:val="000000"/>
          <w:sz w:val="24"/>
          <w:szCs w:val="24"/>
        </w:rPr>
      </w:pPr>
      <w:r w:rsidRPr="00FA729D">
        <w:rPr>
          <w:rFonts w:hint="eastAsia"/>
          <w:color w:val="000000"/>
          <w:sz w:val="24"/>
          <w:szCs w:val="24"/>
        </w:rPr>
        <w:t>2</w:t>
      </w:r>
      <w:r w:rsidRPr="00FA729D">
        <w:rPr>
          <w:rFonts w:hint="eastAsia"/>
          <w:color w:val="000000"/>
          <w:sz w:val="24"/>
          <w:szCs w:val="24"/>
        </w:rPr>
        <w:t>、由于四舍五入的原因，分项之和与合计项之间可能存在尾差。</w:t>
      </w:r>
    </w:p>
    <w:p w:rsidR="006B2FF6" w:rsidRPr="00414345" w:rsidRDefault="006B2FF6" w:rsidP="00C15CAC">
      <w:pPr>
        <w:spacing w:before="29" w:line="288" w:lineRule="auto"/>
        <w:ind w:firstLineChars="200" w:firstLine="480"/>
        <w:rPr>
          <w:color w:val="000000"/>
          <w:sz w:val="24"/>
          <w:szCs w:val="24"/>
        </w:rPr>
      </w:pPr>
    </w:p>
    <w:p w:rsidR="004061AC" w:rsidRPr="00414345" w:rsidRDefault="004061AC" w:rsidP="00C15CAC">
      <w:pPr>
        <w:spacing w:before="29" w:line="288" w:lineRule="auto"/>
        <w:ind w:firstLineChars="200" w:firstLine="482"/>
        <w:jc w:val="center"/>
        <w:rPr>
          <w:b/>
          <w:color w:val="000000"/>
          <w:sz w:val="24"/>
          <w:szCs w:val="24"/>
        </w:rPr>
      </w:pPr>
      <w:r w:rsidRPr="00414345">
        <w:rPr>
          <w:b/>
          <w:color w:val="000000"/>
          <w:kern w:val="0"/>
          <w:sz w:val="24"/>
          <w:szCs w:val="24"/>
        </w:rPr>
        <w:t xml:space="preserve">§6  </w:t>
      </w:r>
      <w:r w:rsidRPr="00414345">
        <w:rPr>
          <w:b/>
          <w:color w:val="000000"/>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1,820,209,909.86</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520,035.06</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77,033,080.79</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1,743,696,864.13</w:t>
            </w:r>
          </w:p>
        </w:tc>
      </w:tr>
    </w:tbl>
    <w:p w:rsidR="00B73E30" w:rsidRDefault="00FA729D">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AB6E79">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lastRenderedPageBreak/>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00775B61">
        <w:rPr>
          <w:rFonts w:hint="eastAsia"/>
          <w:b/>
          <w:sz w:val="24"/>
        </w:rPr>
        <w:t xml:space="preserve"> </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B22DEE" w:rsidRPr="00E02660"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8</w:t>
      </w:r>
      <w:r w:rsidR="00A3030E" w:rsidRPr="00414345">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1</w:t>
      </w:r>
      <w:r w:rsidR="00E705CC" w:rsidRPr="00414345">
        <w:rPr>
          <w:b/>
          <w:bCs/>
          <w:color w:val="000000"/>
          <w:kern w:val="0"/>
          <w:sz w:val="24"/>
          <w:szCs w:val="24"/>
        </w:rPr>
        <w:t xml:space="preserve"> </w:t>
      </w:r>
      <w:r w:rsidR="004061AC" w:rsidRPr="00414345">
        <w:rPr>
          <w:b/>
          <w:bCs/>
          <w:color w:val="000000"/>
          <w:kern w:val="0"/>
          <w:sz w:val="24"/>
          <w:szCs w:val="24"/>
        </w:rPr>
        <w:t>备查文件目录</w:t>
      </w:r>
    </w:p>
    <w:p w:rsidR="00B73E30" w:rsidRDefault="00FA729D">
      <w:pPr>
        <w:spacing w:before="29" w:line="288" w:lineRule="auto"/>
        <w:ind w:firstLineChars="200" w:firstLine="480"/>
        <w:rPr>
          <w:color w:val="000000"/>
          <w:sz w:val="24"/>
          <w:szCs w:val="24"/>
        </w:rPr>
      </w:pPr>
      <w:r>
        <w:rPr>
          <w:color w:val="000000"/>
          <w:sz w:val="24"/>
          <w:szCs w:val="24"/>
        </w:rPr>
        <w:t>1</w:t>
      </w:r>
      <w:r>
        <w:rPr>
          <w:color w:val="000000"/>
          <w:sz w:val="24"/>
          <w:szCs w:val="24"/>
        </w:rPr>
        <w:t>、中国证监会准予交银施罗德荣和保本混合型证券投资基金募集注册的文件；</w:t>
      </w:r>
      <w:r>
        <w:rPr>
          <w:color w:val="000000"/>
          <w:sz w:val="24"/>
          <w:szCs w:val="24"/>
        </w:rPr>
        <w:t xml:space="preserve"> </w:t>
      </w:r>
    </w:p>
    <w:p w:rsidR="00B73E30" w:rsidRDefault="00FA729D">
      <w:pPr>
        <w:spacing w:before="29" w:line="288" w:lineRule="auto"/>
        <w:ind w:firstLineChars="200" w:firstLine="480"/>
        <w:rPr>
          <w:color w:val="000000"/>
          <w:sz w:val="24"/>
          <w:szCs w:val="24"/>
        </w:rPr>
      </w:pPr>
      <w:r>
        <w:rPr>
          <w:color w:val="000000"/>
          <w:sz w:val="24"/>
          <w:szCs w:val="24"/>
        </w:rPr>
        <w:t>2</w:t>
      </w:r>
      <w:r>
        <w:rPr>
          <w:color w:val="000000"/>
          <w:sz w:val="24"/>
          <w:szCs w:val="24"/>
        </w:rPr>
        <w:t>、《交银施罗德荣和保本混合型证券投资基金基金合同》；</w:t>
      </w:r>
    </w:p>
    <w:p w:rsidR="00B73E30" w:rsidRDefault="00FA729D">
      <w:pPr>
        <w:spacing w:before="29" w:line="288" w:lineRule="auto"/>
        <w:ind w:firstLineChars="200" w:firstLine="480"/>
        <w:rPr>
          <w:color w:val="000000"/>
          <w:sz w:val="24"/>
          <w:szCs w:val="24"/>
        </w:rPr>
      </w:pPr>
      <w:r>
        <w:rPr>
          <w:color w:val="000000"/>
          <w:sz w:val="24"/>
          <w:szCs w:val="24"/>
        </w:rPr>
        <w:t>3</w:t>
      </w:r>
      <w:r>
        <w:rPr>
          <w:color w:val="000000"/>
          <w:sz w:val="24"/>
          <w:szCs w:val="24"/>
        </w:rPr>
        <w:t>、《交银施罗德荣和保本混合型证券投资基金招募说明书》；</w:t>
      </w:r>
      <w:r>
        <w:rPr>
          <w:color w:val="000000"/>
          <w:sz w:val="24"/>
          <w:szCs w:val="24"/>
        </w:rPr>
        <w:t xml:space="preserve"> </w:t>
      </w:r>
    </w:p>
    <w:p w:rsidR="00B73E30" w:rsidRDefault="00FA729D">
      <w:pPr>
        <w:spacing w:before="29" w:line="288" w:lineRule="auto"/>
        <w:ind w:firstLineChars="200" w:firstLine="480"/>
        <w:rPr>
          <w:color w:val="000000"/>
          <w:sz w:val="24"/>
          <w:szCs w:val="24"/>
        </w:rPr>
      </w:pPr>
      <w:r>
        <w:rPr>
          <w:color w:val="000000"/>
          <w:sz w:val="24"/>
          <w:szCs w:val="24"/>
        </w:rPr>
        <w:t>4</w:t>
      </w:r>
      <w:r>
        <w:rPr>
          <w:color w:val="000000"/>
          <w:sz w:val="24"/>
          <w:szCs w:val="24"/>
        </w:rPr>
        <w:t>、《交银施罗德荣和保本混合型证券投资基金托管协议》；</w:t>
      </w:r>
      <w:r>
        <w:rPr>
          <w:color w:val="000000"/>
          <w:sz w:val="24"/>
          <w:szCs w:val="24"/>
        </w:rPr>
        <w:t xml:space="preserve"> </w:t>
      </w:r>
    </w:p>
    <w:p w:rsidR="00B73E30" w:rsidRDefault="00FA729D">
      <w:pPr>
        <w:spacing w:before="29" w:line="288" w:lineRule="auto"/>
        <w:ind w:firstLineChars="200" w:firstLine="480"/>
        <w:rPr>
          <w:color w:val="000000"/>
          <w:sz w:val="24"/>
          <w:szCs w:val="24"/>
        </w:rPr>
      </w:pPr>
      <w:r>
        <w:rPr>
          <w:color w:val="000000"/>
          <w:sz w:val="24"/>
          <w:szCs w:val="24"/>
        </w:rPr>
        <w:t>5</w:t>
      </w:r>
      <w:r>
        <w:rPr>
          <w:color w:val="000000"/>
          <w:sz w:val="24"/>
          <w:szCs w:val="24"/>
        </w:rPr>
        <w:t>、基金管理人业务资格批件、营业执照；</w:t>
      </w:r>
    </w:p>
    <w:p w:rsidR="00B73E30" w:rsidRDefault="00FA729D">
      <w:pPr>
        <w:spacing w:before="29" w:line="288" w:lineRule="auto"/>
        <w:ind w:firstLineChars="200" w:firstLine="480"/>
        <w:rPr>
          <w:color w:val="000000"/>
          <w:sz w:val="24"/>
          <w:szCs w:val="24"/>
        </w:rPr>
      </w:pPr>
      <w:r>
        <w:rPr>
          <w:color w:val="000000"/>
          <w:sz w:val="24"/>
          <w:szCs w:val="24"/>
        </w:rPr>
        <w:t>6</w:t>
      </w:r>
      <w:r>
        <w:rPr>
          <w:color w:val="000000"/>
          <w:sz w:val="24"/>
          <w:szCs w:val="24"/>
        </w:rPr>
        <w:t>、基金托管人业务资格批件、营业执照；</w:t>
      </w:r>
    </w:p>
    <w:p w:rsidR="00B73E30" w:rsidRDefault="00FA729D">
      <w:pPr>
        <w:spacing w:before="29" w:line="288" w:lineRule="auto"/>
        <w:ind w:firstLineChars="200" w:firstLine="480"/>
        <w:rPr>
          <w:color w:val="000000"/>
          <w:sz w:val="24"/>
          <w:szCs w:val="24"/>
        </w:rPr>
      </w:pPr>
      <w:r>
        <w:rPr>
          <w:color w:val="000000"/>
          <w:sz w:val="24"/>
          <w:szCs w:val="24"/>
        </w:rPr>
        <w:t>7</w:t>
      </w:r>
      <w:r>
        <w:rPr>
          <w:color w:val="000000"/>
          <w:sz w:val="24"/>
          <w:szCs w:val="24"/>
        </w:rPr>
        <w:t>、关于申请募集注册交银施罗德荣和保本混合型证券投资基金的法律意见书；</w:t>
      </w:r>
    </w:p>
    <w:p w:rsidR="00B73E30" w:rsidRDefault="00FA729D">
      <w:pPr>
        <w:spacing w:before="29" w:line="288" w:lineRule="auto"/>
        <w:ind w:firstLineChars="200" w:firstLine="480"/>
        <w:rPr>
          <w:color w:val="000000"/>
          <w:sz w:val="24"/>
          <w:szCs w:val="24"/>
        </w:rPr>
      </w:pPr>
      <w:r>
        <w:rPr>
          <w:color w:val="000000"/>
          <w:sz w:val="24"/>
          <w:szCs w:val="24"/>
        </w:rPr>
        <w:t>8</w:t>
      </w:r>
      <w:r>
        <w:rPr>
          <w:color w:val="000000"/>
          <w:sz w:val="24"/>
          <w:szCs w:val="24"/>
        </w:rPr>
        <w:t>、《交银施罗德荣和保本混合型证券投资基金保证合同》；</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9</w:t>
      </w:r>
      <w:r w:rsidRPr="00414345">
        <w:rPr>
          <w:color w:val="000000"/>
          <w:sz w:val="24"/>
          <w:szCs w:val="24"/>
        </w:rPr>
        <w:t>、报告期内交银施罗德荣和保本混合型证券投资基金在指定报刊上各项公告的原稿。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2</w:t>
      </w:r>
      <w:r w:rsidR="00E705CC" w:rsidRPr="00414345">
        <w:rPr>
          <w:b/>
          <w:bCs/>
          <w:color w:val="000000"/>
          <w:kern w:val="0"/>
          <w:sz w:val="24"/>
          <w:szCs w:val="24"/>
        </w:rPr>
        <w:t xml:space="preserve"> </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3</w:t>
      </w:r>
      <w:r w:rsidR="00E705CC" w:rsidRPr="00414345">
        <w:rPr>
          <w:b/>
          <w:bCs/>
          <w:color w:val="000000"/>
          <w:kern w:val="0"/>
          <w:sz w:val="24"/>
          <w:szCs w:val="24"/>
        </w:rPr>
        <w:t xml:space="preserve"> </w:t>
      </w:r>
      <w:r w:rsidR="004061AC" w:rsidRPr="00414345">
        <w:rPr>
          <w:b/>
          <w:bCs/>
          <w:color w:val="000000"/>
          <w:kern w:val="0"/>
          <w:sz w:val="24"/>
          <w:szCs w:val="24"/>
        </w:rPr>
        <w:t>查阅方式</w:t>
      </w:r>
    </w:p>
    <w:p w:rsidR="00B73E30" w:rsidRDefault="00FA729D">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w:t>
      </w:r>
      <w:r>
        <w:rPr>
          <w:color w:val="000000"/>
          <w:sz w:val="24"/>
          <w:szCs w:val="24"/>
        </w:rPr>
        <w:t>www.bocomschroder.com)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37B1" w:rsidRDefault="006C37B1" w:rsidP="00876D65">
      <w:r>
        <w:separator/>
      </w:r>
    </w:p>
  </w:endnote>
  <w:endnote w:type="continuationSeparator" w:id="0">
    <w:p w:rsidR="006C37B1" w:rsidRDefault="006C37B1"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7972F5">
      <w:rPr>
        <w:rFonts w:hint="eastAsia"/>
        <w:kern w:val="0"/>
        <w:szCs w:val="21"/>
      </w:rPr>
      <w:t xml:space="preserve"> </w:t>
    </w:r>
    <w:r w:rsidR="00B62AC1">
      <w:rPr>
        <w:kern w:val="0"/>
        <w:szCs w:val="21"/>
      </w:rPr>
      <w:fldChar w:fldCharType="begin"/>
    </w:r>
    <w:r>
      <w:rPr>
        <w:kern w:val="0"/>
        <w:szCs w:val="21"/>
      </w:rPr>
      <w:instrText xml:space="preserve"> PAGE </w:instrText>
    </w:r>
    <w:r w:rsidR="00B62AC1">
      <w:rPr>
        <w:kern w:val="0"/>
        <w:szCs w:val="21"/>
      </w:rPr>
      <w:fldChar w:fldCharType="separate"/>
    </w:r>
    <w:r w:rsidR="00C115B7">
      <w:rPr>
        <w:noProof/>
        <w:kern w:val="0"/>
        <w:szCs w:val="21"/>
      </w:rPr>
      <w:t>12</w:t>
    </w:r>
    <w:r w:rsidR="00B62AC1">
      <w:rPr>
        <w:kern w:val="0"/>
        <w:szCs w:val="21"/>
      </w:rPr>
      <w:fldChar w:fldCharType="end"/>
    </w:r>
    <w:r w:rsidR="007972F5">
      <w:rPr>
        <w:rFonts w:hint="eastAsia"/>
        <w:kern w:val="0"/>
        <w:szCs w:val="21"/>
      </w:rPr>
      <w:t xml:space="preserve"> </w:t>
    </w:r>
    <w:r>
      <w:rPr>
        <w:rFonts w:hint="eastAsia"/>
        <w:kern w:val="0"/>
        <w:szCs w:val="21"/>
      </w:rPr>
      <w:t>页</w:t>
    </w:r>
    <w:r w:rsidR="007972F5">
      <w:rPr>
        <w:rFonts w:hint="eastAsia"/>
        <w:kern w:val="0"/>
        <w:szCs w:val="21"/>
      </w:rPr>
      <w:t xml:space="preserve"> </w:t>
    </w:r>
    <w:r>
      <w:rPr>
        <w:rFonts w:hint="eastAsia"/>
        <w:kern w:val="0"/>
        <w:szCs w:val="21"/>
      </w:rPr>
      <w:t>共</w:t>
    </w:r>
    <w:r w:rsidR="007972F5">
      <w:rPr>
        <w:rFonts w:hint="eastAsia"/>
        <w:kern w:val="0"/>
        <w:szCs w:val="21"/>
      </w:rPr>
      <w:t xml:space="preserve"> </w:t>
    </w:r>
    <w:r w:rsidR="00B62AC1">
      <w:rPr>
        <w:kern w:val="0"/>
        <w:szCs w:val="21"/>
      </w:rPr>
      <w:fldChar w:fldCharType="begin"/>
    </w:r>
    <w:r>
      <w:rPr>
        <w:kern w:val="0"/>
        <w:szCs w:val="21"/>
      </w:rPr>
      <w:instrText xml:space="preserve"> NUMPAGES </w:instrText>
    </w:r>
    <w:r w:rsidR="00B62AC1">
      <w:rPr>
        <w:kern w:val="0"/>
        <w:szCs w:val="21"/>
      </w:rPr>
      <w:fldChar w:fldCharType="separate"/>
    </w:r>
    <w:r w:rsidR="00C115B7">
      <w:rPr>
        <w:noProof/>
        <w:kern w:val="0"/>
        <w:szCs w:val="21"/>
      </w:rPr>
      <w:t>12</w:t>
    </w:r>
    <w:r w:rsidR="00B62AC1">
      <w:rPr>
        <w:kern w:val="0"/>
        <w:szCs w:val="21"/>
      </w:rPr>
      <w:fldChar w:fldCharType="end"/>
    </w:r>
    <w:r w:rsidR="007972F5">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37B1" w:rsidRDefault="006C37B1" w:rsidP="00876D65">
      <w:r>
        <w:separator/>
      </w:r>
    </w:p>
  </w:footnote>
  <w:footnote w:type="continuationSeparator" w:id="0">
    <w:p w:rsidR="006C37B1" w:rsidRDefault="006C37B1"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CA574C" w:rsidRDefault="006B5457" w:rsidP="00090A26">
    <w:pPr>
      <w:pStyle w:val="a9"/>
      <w:pBdr>
        <w:bottom w:val="single" w:sz="6" w:space="0" w:color="auto"/>
      </w:pBdr>
      <w:jc w:val="right"/>
    </w:pPr>
    <w:r>
      <w:rPr>
        <w:rFonts w:hint="eastAsia"/>
        <w:noProof/>
      </w:rPr>
      <w:drawing>
        <wp:anchor distT="0" distB="0" distL="114300" distR="114300" simplePos="0" relativeHeight="251658240" behindDoc="0" locked="0" layoutInCell="1" allowOverlap="1">
          <wp:simplePos x="0" y="0"/>
          <wp:positionH relativeFrom="column">
            <wp:posOffset>-14605</wp:posOffset>
          </wp:positionH>
          <wp:positionV relativeFrom="paragraph">
            <wp:posOffset>-340360</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7E5E"/>
    <w:rsid w:val="000F6CC8"/>
    <w:rsid w:val="00111261"/>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9085F"/>
    <w:rsid w:val="00394069"/>
    <w:rsid w:val="00396809"/>
    <w:rsid w:val="003A6061"/>
    <w:rsid w:val="003B3494"/>
    <w:rsid w:val="003B5E08"/>
    <w:rsid w:val="003B6FBC"/>
    <w:rsid w:val="003D742E"/>
    <w:rsid w:val="003E62FB"/>
    <w:rsid w:val="003E6867"/>
    <w:rsid w:val="003F09B5"/>
    <w:rsid w:val="003F1ECB"/>
    <w:rsid w:val="003F39DF"/>
    <w:rsid w:val="003F63BE"/>
    <w:rsid w:val="004003F8"/>
    <w:rsid w:val="004033ED"/>
    <w:rsid w:val="004061AC"/>
    <w:rsid w:val="00410630"/>
    <w:rsid w:val="00414345"/>
    <w:rsid w:val="004149AC"/>
    <w:rsid w:val="0042009D"/>
    <w:rsid w:val="004216D2"/>
    <w:rsid w:val="00421CD2"/>
    <w:rsid w:val="00426096"/>
    <w:rsid w:val="00427F58"/>
    <w:rsid w:val="00433805"/>
    <w:rsid w:val="00443869"/>
    <w:rsid w:val="00443ABF"/>
    <w:rsid w:val="00460575"/>
    <w:rsid w:val="00463EC0"/>
    <w:rsid w:val="00464787"/>
    <w:rsid w:val="00471408"/>
    <w:rsid w:val="00480B35"/>
    <w:rsid w:val="004858E0"/>
    <w:rsid w:val="00491C81"/>
    <w:rsid w:val="004934E9"/>
    <w:rsid w:val="004943C2"/>
    <w:rsid w:val="004949F3"/>
    <w:rsid w:val="004A11A7"/>
    <w:rsid w:val="004A459C"/>
    <w:rsid w:val="004A7B1D"/>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61EE"/>
    <w:rsid w:val="00582D99"/>
    <w:rsid w:val="00585263"/>
    <w:rsid w:val="005866D3"/>
    <w:rsid w:val="0059076B"/>
    <w:rsid w:val="005910BF"/>
    <w:rsid w:val="005A0F1F"/>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B1"/>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7845"/>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357A"/>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3AB2"/>
    <w:rsid w:val="00B11A78"/>
    <w:rsid w:val="00B11BE5"/>
    <w:rsid w:val="00B12B7D"/>
    <w:rsid w:val="00B16985"/>
    <w:rsid w:val="00B22DEE"/>
    <w:rsid w:val="00B27479"/>
    <w:rsid w:val="00B32AA7"/>
    <w:rsid w:val="00B34678"/>
    <w:rsid w:val="00B35024"/>
    <w:rsid w:val="00B371B4"/>
    <w:rsid w:val="00B40F64"/>
    <w:rsid w:val="00B42A76"/>
    <w:rsid w:val="00B47982"/>
    <w:rsid w:val="00B56F53"/>
    <w:rsid w:val="00B62AC1"/>
    <w:rsid w:val="00B64723"/>
    <w:rsid w:val="00B7378D"/>
    <w:rsid w:val="00B73E30"/>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C012F9"/>
    <w:rsid w:val="00C102E6"/>
    <w:rsid w:val="00C115B7"/>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4B8D"/>
    <w:rsid w:val="00D96C8D"/>
    <w:rsid w:val="00D974EF"/>
    <w:rsid w:val="00DA0C61"/>
    <w:rsid w:val="00DA14B0"/>
    <w:rsid w:val="00DA2876"/>
    <w:rsid w:val="00DA66D0"/>
    <w:rsid w:val="00DC0B51"/>
    <w:rsid w:val="00DC141F"/>
    <w:rsid w:val="00DC28F1"/>
    <w:rsid w:val="00DC6B55"/>
    <w:rsid w:val="00DE27F7"/>
    <w:rsid w:val="00DE4B43"/>
    <w:rsid w:val="00E02660"/>
    <w:rsid w:val="00E215BA"/>
    <w:rsid w:val="00E36549"/>
    <w:rsid w:val="00E40D31"/>
    <w:rsid w:val="00E41260"/>
    <w:rsid w:val="00E44E18"/>
    <w:rsid w:val="00E52DBC"/>
    <w:rsid w:val="00E54301"/>
    <w:rsid w:val="00E54BF5"/>
    <w:rsid w:val="00E554A1"/>
    <w:rsid w:val="00E55ABD"/>
    <w:rsid w:val="00E60817"/>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4EAE"/>
    <w:rsid w:val="00F66A51"/>
    <w:rsid w:val="00F71057"/>
    <w:rsid w:val="00F71A4B"/>
    <w:rsid w:val="00F728CF"/>
    <w:rsid w:val="00F743D4"/>
    <w:rsid w:val="00F80AC3"/>
    <w:rsid w:val="00F81917"/>
    <w:rsid w:val="00F83B17"/>
    <w:rsid w:val="00F87EDA"/>
    <w:rsid w:val="00F970EE"/>
    <w:rsid w:val="00FA729D"/>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43D5724-748C-4C3A-945C-CF8E63D9B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uiPriority w:val="99"/>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82EB5B-0495-481C-AB07-DD753907A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1793</TotalTime>
  <Pages>12</Pages>
  <Words>1145</Words>
  <Characters>6527</Characters>
  <Application>Microsoft Office Word</Application>
  <DocSecurity>0</DocSecurity>
  <Lines>54</Lines>
  <Paragraphs>15</Paragraphs>
  <ScaleCrop>false</ScaleCrop>
  <Company/>
  <LinksUpToDate>false</LinksUpToDate>
  <CharactersWithSpaces>7657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孙艳</cp:lastModifiedBy>
  <cp:revision>564</cp:revision>
  <dcterms:created xsi:type="dcterms:W3CDTF">2012-10-16T06:07:00Z</dcterms:created>
  <dcterms:modified xsi:type="dcterms:W3CDTF">2016-07-15T12:27:00Z</dcterms:modified>
</cp:coreProperties>
</file>