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150A1" w:rsidRDefault="0082099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387,509,046.15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20997" w:rsidRPr="00414345" w:rsidTr="0082099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20997" w:rsidRPr="00414345" w:rsidTr="0082099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27,393,189.91</w:t>
            </w:r>
          </w:p>
        </w:tc>
      </w:tr>
      <w:tr w:rsidR="00820997" w:rsidRPr="00414345" w:rsidTr="0082099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54,098,205.90</w:t>
            </w:r>
          </w:p>
        </w:tc>
      </w:tr>
      <w:tr w:rsidR="00820997" w:rsidRPr="00414345" w:rsidTr="0082099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0.1398</w:t>
            </w:r>
          </w:p>
        </w:tc>
      </w:tr>
      <w:tr w:rsidR="00820997" w:rsidRPr="00414345" w:rsidTr="0082099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713,352,387.59</w:t>
            </w:r>
          </w:p>
        </w:tc>
      </w:tr>
      <w:tr w:rsidR="00820997" w:rsidRPr="00414345" w:rsidTr="0082099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1.841</w:t>
            </w:r>
          </w:p>
        </w:tc>
      </w:tr>
    </w:tbl>
    <w:p w:rsidR="004150A1" w:rsidRDefault="0082099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150A1">
        <w:trPr>
          <w:jc w:val="center"/>
        </w:trPr>
        <w:tc>
          <w:tcPr>
            <w:tcW w:w="1701" w:type="dxa"/>
            <w:vAlign w:val="center"/>
          </w:tcPr>
          <w:p w:rsidR="004150A1" w:rsidRDefault="00820997">
            <w:pPr>
              <w:jc w:val="left"/>
            </w:pPr>
            <w:r>
              <w:rPr>
                <w:color w:val="000000"/>
                <w:sz w:val="24"/>
                <w:szCs w:val="24"/>
              </w:rPr>
              <w:t>过去三个月</w:t>
            </w:r>
          </w:p>
        </w:tc>
        <w:tc>
          <w:tcPr>
            <w:tcW w:w="1045" w:type="dxa"/>
            <w:vAlign w:val="center"/>
          </w:tcPr>
          <w:p w:rsidR="004150A1" w:rsidRDefault="00820997">
            <w:pPr>
              <w:jc w:val="center"/>
            </w:pPr>
            <w:r>
              <w:rPr>
                <w:color w:val="000000"/>
                <w:sz w:val="24"/>
                <w:szCs w:val="24"/>
              </w:rPr>
              <w:t>8.17%</w:t>
            </w:r>
          </w:p>
        </w:tc>
        <w:tc>
          <w:tcPr>
            <w:tcW w:w="1344" w:type="dxa"/>
            <w:vAlign w:val="center"/>
          </w:tcPr>
          <w:p w:rsidR="004150A1" w:rsidRDefault="00820997">
            <w:pPr>
              <w:jc w:val="center"/>
            </w:pPr>
            <w:r>
              <w:rPr>
                <w:color w:val="000000"/>
                <w:sz w:val="24"/>
                <w:szCs w:val="24"/>
              </w:rPr>
              <w:t>1.14%</w:t>
            </w:r>
          </w:p>
        </w:tc>
        <w:tc>
          <w:tcPr>
            <w:tcW w:w="1194" w:type="dxa"/>
            <w:vAlign w:val="center"/>
          </w:tcPr>
          <w:p w:rsidR="004150A1" w:rsidRDefault="00820997">
            <w:pPr>
              <w:jc w:val="center"/>
            </w:pPr>
            <w:r>
              <w:rPr>
                <w:color w:val="000000"/>
                <w:sz w:val="24"/>
                <w:szCs w:val="24"/>
              </w:rPr>
              <w:t>-0.97%</w:t>
            </w:r>
          </w:p>
        </w:tc>
        <w:tc>
          <w:tcPr>
            <w:tcW w:w="1492" w:type="dxa"/>
            <w:vAlign w:val="center"/>
          </w:tcPr>
          <w:p w:rsidR="004150A1" w:rsidRDefault="00820997">
            <w:pPr>
              <w:jc w:val="center"/>
            </w:pPr>
            <w:r>
              <w:rPr>
                <w:color w:val="000000"/>
                <w:sz w:val="24"/>
                <w:szCs w:val="24"/>
              </w:rPr>
              <w:t>0.61%</w:t>
            </w:r>
          </w:p>
        </w:tc>
        <w:tc>
          <w:tcPr>
            <w:tcW w:w="1194" w:type="dxa"/>
            <w:vAlign w:val="center"/>
          </w:tcPr>
          <w:p w:rsidR="004150A1" w:rsidRDefault="00820997">
            <w:pPr>
              <w:jc w:val="center"/>
            </w:pPr>
            <w:r>
              <w:rPr>
                <w:color w:val="000000"/>
                <w:sz w:val="24"/>
                <w:szCs w:val="24"/>
              </w:rPr>
              <w:t>9.14%</w:t>
            </w:r>
          </w:p>
        </w:tc>
        <w:tc>
          <w:tcPr>
            <w:tcW w:w="898" w:type="dxa"/>
            <w:vAlign w:val="center"/>
          </w:tcPr>
          <w:p w:rsidR="004150A1" w:rsidRDefault="00820997">
            <w:pPr>
              <w:jc w:val="center"/>
            </w:pPr>
            <w:r>
              <w:rPr>
                <w:color w:val="000000"/>
                <w:sz w:val="24"/>
                <w:szCs w:val="24"/>
              </w:rPr>
              <w:t>0.53%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150A1">
        <w:trPr>
          <w:jc w:val="center"/>
        </w:trPr>
        <w:tc>
          <w:tcPr>
            <w:tcW w:w="846" w:type="dxa"/>
            <w:vAlign w:val="center"/>
          </w:tcPr>
          <w:p w:rsidR="004150A1" w:rsidRDefault="00820997">
            <w:pPr>
              <w:jc w:val="center"/>
            </w:pPr>
            <w:r>
              <w:rPr>
                <w:color w:val="000000"/>
                <w:sz w:val="24"/>
                <w:szCs w:val="24"/>
              </w:rPr>
              <w:t>沈楠</w:t>
            </w:r>
          </w:p>
        </w:tc>
        <w:tc>
          <w:tcPr>
            <w:tcW w:w="845" w:type="dxa"/>
            <w:vAlign w:val="center"/>
          </w:tcPr>
          <w:p w:rsidR="004150A1" w:rsidRDefault="00820997">
            <w:pPr>
              <w:jc w:val="center"/>
            </w:pPr>
            <w:r>
              <w:rPr>
                <w:color w:val="000000"/>
                <w:sz w:val="24"/>
                <w:szCs w:val="24"/>
              </w:rPr>
              <w:t>交银主题优选混合、交银国企改革灵活配置混合的基金经理</w:t>
            </w:r>
          </w:p>
        </w:tc>
        <w:tc>
          <w:tcPr>
            <w:tcW w:w="1549" w:type="dxa"/>
            <w:vAlign w:val="center"/>
          </w:tcPr>
          <w:p w:rsidR="004150A1" w:rsidRDefault="00820997">
            <w:pPr>
              <w:jc w:val="center"/>
            </w:pPr>
            <w:r>
              <w:rPr>
                <w:color w:val="000000"/>
                <w:sz w:val="24"/>
                <w:szCs w:val="24"/>
              </w:rPr>
              <w:t>2015-05-05</w:t>
            </w:r>
          </w:p>
        </w:tc>
        <w:tc>
          <w:tcPr>
            <w:tcW w:w="1548" w:type="dxa"/>
            <w:vAlign w:val="center"/>
          </w:tcPr>
          <w:p w:rsidR="004150A1" w:rsidRDefault="00820997">
            <w:pPr>
              <w:jc w:val="center"/>
            </w:pPr>
            <w:r>
              <w:rPr>
                <w:color w:val="000000"/>
                <w:sz w:val="24"/>
                <w:szCs w:val="24"/>
              </w:rPr>
              <w:t>-</w:t>
            </w:r>
          </w:p>
        </w:tc>
        <w:tc>
          <w:tcPr>
            <w:tcW w:w="1407" w:type="dxa"/>
            <w:vAlign w:val="center"/>
          </w:tcPr>
          <w:p w:rsidR="004150A1" w:rsidRDefault="00820997">
            <w:pPr>
              <w:jc w:val="center"/>
            </w:pPr>
            <w:r>
              <w:rPr>
                <w:color w:val="000000"/>
                <w:sz w:val="24"/>
                <w:szCs w:val="24"/>
              </w:rPr>
              <w:t>7</w:t>
            </w:r>
            <w:r>
              <w:rPr>
                <w:color w:val="000000"/>
                <w:sz w:val="24"/>
                <w:szCs w:val="24"/>
              </w:rPr>
              <w:t>年</w:t>
            </w:r>
          </w:p>
        </w:tc>
        <w:tc>
          <w:tcPr>
            <w:tcW w:w="2673" w:type="dxa"/>
            <w:vAlign w:val="center"/>
          </w:tcPr>
          <w:p w:rsidR="004150A1" w:rsidRDefault="00820997">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150A1" w:rsidRDefault="00820997">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150A1" w:rsidRDefault="0082099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150A1" w:rsidRDefault="0082099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150A1" w:rsidRDefault="0082099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150A1" w:rsidRDefault="00820997">
      <w:pPr>
        <w:spacing w:before="29" w:line="288" w:lineRule="auto"/>
        <w:ind w:firstLineChars="200" w:firstLine="480"/>
        <w:rPr>
          <w:color w:val="000000"/>
          <w:sz w:val="24"/>
          <w:szCs w:val="24"/>
        </w:rPr>
      </w:pPr>
      <w:r>
        <w:rPr>
          <w:color w:val="000000"/>
          <w:sz w:val="24"/>
          <w:szCs w:val="24"/>
        </w:rPr>
        <w:t>2016</w:t>
      </w:r>
      <w:r>
        <w:rPr>
          <w:color w:val="000000"/>
          <w:sz w:val="24"/>
          <w:szCs w:val="24"/>
        </w:rPr>
        <w:t>年二季度，宏观经济不温不火，通胀预期略有消退。目前货币政策进一步保持相对宽松的局面，但随着一线地产价格暴涨，部分食品价格的不断回升，流动性预期边际层面转向中性。监管部门对并购、重组、借壳的资本运作进一步规范并加强监管，制约了部分上市公司过快甚至略带盲目的转型步伐。市场指数在底部较为狭窄的区间内震荡，但很多个股估值已经合理并具备一定投资价值，因此结构性以及主题性的投资机会有所涌现。</w:t>
      </w:r>
    </w:p>
    <w:p w:rsidR="004150A1" w:rsidRDefault="00820997">
      <w:pPr>
        <w:spacing w:before="29" w:line="288" w:lineRule="auto"/>
        <w:ind w:firstLineChars="200" w:firstLine="480"/>
        <w:rPr>
          <w:color w:val="000000"/>
          <w:sz w:val="24"/>
          <w:szCs w:val="24"/>
        </w:rPr>
      </w:pPr>
      <w:r>
        <w:rPr>
          <w:color w:val="000000"/>
          <w:sz w:val="24"/>
          <w:szCs w:val="24"/>
        </w:rPr>
        <w:t>报告期内，本基金配置以成长及主题轮动为主，并将此前周期性品种更多转移到稳定增长类的消费板块，因此整体净值表现相比市场有所回升。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三季度，尽管有脱欧事件等外围不确定性影响，但如果人民币币值能够保持相对稳定的话，产业创新将层出不穷，改革进程有望延续，以物联网、云计算、大数据为核心的新的产业革命正悄悄降临，或许指数的向上空间不会太大，但我们对</w:t>
      </w:r>
      <w:r w:rsidRPr="00414345">
        <w:rPr>
          <w:color w:val="000000"/>
          <w:sz w:val="24"/>
          <w:szCs w:val="24"/>
        </w:rPr>
        <w:t>A</w:t>
      </w:r>
      <w:r w:rsidRPr="00414345">
        <w:rPr>
          <w:color w:val="000000"/>
          <w:sz w:val="24"/>
          <w:szCs w:val="24"/>
        </w:rPr>
        <w:t>股市场的结构性机会保持相对乐观。本基金计划在稳定增长的消费领域保持配置，同时在新兴产业中保持偏多持仓并聚焦于符合新一轮产业革命并具备竞争壁垒的龙头上市企业。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1.841</w:t>
      </w:r>
      <w:r w:rsidRPr="00414345">
        <w:rPr>
          <w:color w:val="000000"/>
          <w:sz w:val="24"/>
          <w:szCs w:val="24"/>
        </w:rPr>
        <w:t>元，本报告期份额净值增长率为</w:t>
      </w:r>
      <w:r w:rsidRPr="00414345">
        <w:rPr>
          <w:color w:val="000000"/>
          <w:sz w:val="24"/>
          <w:szCs w:val="24"/>
        </w:rPr>
        <w:t>8.17%</w:t>
      </w:r>
      <w:r w:rsidRPr="00414345">
        <w:rPr>
          <w:color w:val="000000"/>
          <w:sz w:val="24"/>
          <w:szCs w:val="24"/>
        </w:rPr>
        <w:t>，同期业绩比较基准增长率为</w:t>
      </w:r>
      <w:r w:rsidRPr="00414345">
        <w:rPr>
          <w:color w:val="000000"/>
          <w:sz w:val="24"/>
          <w:szCs w:val="24"/>
        </w:rPr>
        <w:t>-0.97%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426,747,031.68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59.12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426,747,031.68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59.12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148,000,413.00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145,026,188.70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2,000,268.12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721,773,901.50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19,940,228.70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12,323,780.00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284,550,384.10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9,920,099.00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17,656,842.42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28,194,925.80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23,983,508.70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19,317,262.96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426,747,031.68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150A1">
        <w:trPr>
          <w:jc w:val="center"/>
        </w:trPr>
        <w:tc>
          <w:tcPr>
            <w:tcW w:w="855" w:type="dxa"/>
            <w:vAlign w:val="center"/>
          </w:tcPr>
          <w:p w:rsidR="004150A1" w:rsidRDefault="00820997">
            <w:pPr>
              <w:jc w:val="center"/>
            </w:pPr>
            <w:r>
              <w:rPr>
                <w:color w:val="000000"/>
                <w:sz w:val="24"/>
                <w:szCs w:val="24"/>
              </w:rPr>
              <w:t>1</w:t>
            </w:r>
          </w:p>
        </w:tc>
        <w:tc>
          <w:tcPr>
            <w:tcW w:w="1334" w:type="dxa"/>
            <w:vAlign w:val="center"/>
          </w:tcPr>
          <w:p w:rsidR="004150A1" w:rsidRDefault="00820997">
            <w:pPr>
              <w:jc w:val="center"/>
            </w:pPr>
            <w:r>
              <w:rPr>
                <w:color w:val="000000"/>
                <w:sz w:val="24"/>
                <w:szCs w:val="24"/>
              </w:rPr>
              <w:t>300161</w:t>
            </w:r>
          </w:p>
        </w:tc>
        <w:tc>
          <w:tcPr>
            <w:tcW w:w="1777" w:type="dxa"/>
            <w:vAlign w:val="center"/>
          </w:tcPr>
          <w:p w:rsidR="004150A1" w:rsidRDefault="00820997">
            <w:pPr>
              <w:jc w:val="center"/>
            </w:pPr>
            <w:r>
              <w:rPr>
                <w:color w:val="000000"/>
                <w:sz w:val="24"/>
                <w:szCs w:val="24"/>
              </w:rPr>
              <w:t>华中数控</w:t>
            </w:r>
          </w:p>
        </w:tc>
        <w:tc>
          <w:tcPr>
            <w:tcW w:w="1334" w:type="dxa"/>
            <w:vAlign w:val="center"/>
          </w:tcPr>
          <w:p w:rsidR="004150A1" w:rsidRDefault="00820997">
            <w:pPr>
              <w:jc w:val="right"/>
            </w:pPr>
            <w:r>
              <w:rPr>
                <w:color w:val="000000"/>
                <w:sz w:val="24"/>
                <w:szCs w:val="24"/>
              </w:rPr>
              <w:t>1,807,814</w:t>
            </w:r>
          </w:p>
        </w:tc>
        <w:tc>
          <w:tcPr>
            <w:tcW w:w="1924" w:type="dxa"/>
            <w:vAlign w:val="center"/>
          </w:tcPr>
          <w:p w:rsidR="004150A1" w:rsidRDefault="00820997">
            <w:pPr>
              <w:jc w:val="right"/>
            </w:pPr>
            <w:r>
              <w:rPr>
                <w:color w:val="000000"/>
                <w:sz w:val="24"/>
                <w:szCs w:val="24"/>
              </w:rPr>
              <w:t>55,409,499.10</w:t>
            </w:r>
          </w:p>
        </w:tc>
        <w:tc>
          <w:tcPr>
            <w:tcW w:w="1644" w:type="dxa"/>
            <w:vAlign w:val="center"/>
          </w:tcPr>
          <w:p w:rsidR="004150A1" w:rsidRDefault="00820997">
            <w:pPr>
              <w:jc w:val="right"/>
            </w:pPr>
            <w:r>
              <w:rPr>
                <w:color w:val="000000"/>
                <w:sz w:val="24"/>
                <w:szCs w:val="24"/>
              </w:rPr>
              <w:t>7.77</w:t>
            </w:r>
          </w:p>
        </w:tc>
      </w:tr>
      <w:tr w:rsidR="004150A1">
        <w:trPr>
          <w:jc w:val="center"/>
        </w:trPr>
        <w:tc>
          <w:tcPr>
            <w:tcW w:w="855" w:type="dxa"/>
            <w:vAlign w:val="center"/>
          </w:tcPr>
          <w:p w:rsidR="004150A1" w:rsidRDefault="00820997">
            <w:pPr>
              <w:jc w:val="center"/>
            </w:pPr>
            <w:r>
              <w:rPr>
                <w:color w:val="000000"/>
                <w:sz w:val="24"/>
                <w:szCs w:val="24"/>
              </w:rPr>
              <w:t>2</w:t>
            </w:r>
          </w:p>
        </w:tc>
        <w:tc>
          <w:tcPr>
            <w:tcW w:w="1334" w:type="dxa"/>
            <w:vAlign w:val="center"/>
          </w:tcPr>
          <w:p w:rsidR="004150A1" w:rsidRDefault="00820997">
            <w:pPr>
              <w:jc w:val="center"/>
            </w:pPr>
            <w:r>
              <w:rPr>
                <w:color w:val="000000"/>
                <w:sz w:val="24"/>
                <w:szCs w:val="24"/>
              </w:rPr>
              <w:t>600887</w:t>
            </w:r>
          </w:p>
        </w:tc>
        <w:tc>
          <w:tcPr>
            <w:tcW w:w="1777" w:type="dxa"/>
            <w:vAlign w:val="center"/>
          </w:tcPr>
          <w:p w:rsidR="004150A1" w:rsidRDefault="00820997">
            <w:pPr>
              <w:jc w:val="center"/>
            </w:pPr>
            <w:r>
              <w:rPr>
                <w:color w:val="000000"/>
                <w:sz w:val="24"/>
                <w:szCs w:val="24"/>
              </w:rPr>
              <w:t>伊利股份</w:t>
            </w:r>
          </w:p>
        </w:tc>
        <w:tc>
          <w:tcPr>
            <w:tcW w:w="1334" w:type="dxa"/>
            <w:vAlign w:val="center"/>
          </w:tcPr>
          <w:p w:rsidR="004150A1" w:rsidRDefault="00820997">
            <w:pPr>
              <w:jc w:val="right"/>
            </w:pPr>
            <w:r>
              <w:rPr>
                <w:color w:val="000000"/>
                <w:sz w:val="24"/>
                <w:szCs w:val="24"/>
              </w:rPr>
              <w:t>2,150,000</w:t>
            </w:r>
          </w:p>
        </w:tc>
        <w:tc>
          <w:tcPr>
            <w:tcW w:w="1924" w:type="dxa"/>
            <w:vAlign w:val="center"/>
          </w:tcPr>
          <w:p w:rsidR="004150A1" w:rsidRDefault="00820997">
            <w:pPr>
              <w:jc w:val="right"/>
            </w:pPr>
            <w:r>
              <w:rPr>
                <w:color w:val="000000"/>
                <w:sz w:val="24"/>
                <w:szCs w:val="24"/>
              </w:rPr>
              <w:t>35,840,500.00</w:t>
            </w:r>
          </w:p>
        </w:tc>
        <w:tc>
          <w:tcPr>
            <w:tcW w:w="1644" w:type="dxa"/>
            <w:vAlign w:val="center"/>
          </w:tcPr>
          <w:p w:rsidR="004150A1" w:rsidRDefault="00820997">
            <w:pPr>
              <w:jc w:val="right"/>
            </w:pPr>
            <w:r>
              <w:rPr>
                <w:color w:val="000000"/>
                <w:sz w:val="24"/>
                <w:szCs w:val="24"/>
              </w:rPr>
              <w:t>5.02</w:t>
            </w:r>
          </w:p>
        </w:tc>
      </w:tr>
      <w:tr w:rsidR="004150A1">
        <w:trPr>
          <w:jc w:val="center"/>
        </w:trPr>
        <w:tc>
          <w:tcPr>
            <w:tcW w:w="855" w:type="dxa"/>
            <w:vAlign w:val="center"/>
          </w:tcPr>
          <w:p w:rsidR="004150A1" w:rsidRDefault="00820997">
            <w:pPr>
              <w:jc w:val="center"/>
            </w:pPr>
            <w:r>
              <w:rPr>
                <w:color w:val="000000"/>
                <w:sz w:val="24"/>
                <w:szCs w:val="24"/>
              </w:rPr>
              <w:t>3</w:t>
            </w:r>
          </w:p>
        </w:tc>
        <w:tc>
          <w:tcPr>
            <w:tcW w:w="1334" w:type="dxa"/>
            <w:vAlign w:val="center"/>
          </w:tcPr>
          <w:p w:rsidR="004150A1" w:rsidRDefault="00820997">
            <w:pPr>
              <w:jc w:val="center"/>
            </w:pPr>
            <w:r>
              <w:rPr>
                <w:color w:val="000000"/>
                <w:sz w:val="24"/>
                <w:szCs w:val="24"/>
              </w:rPr>
              <w:t>600720</w:t>
            </w:r>
          </w:p>
        </w:tc>
        <w:tc>
          <w:tcPr>
            <w:tcW w:w="1777" w:type="dxa"/>
            <w:vAlign w:val="center"/>
          </w:tcPr>
          <w:p w:rsidR="004150A1" w:rsidRDefault="00820997">
            <w:pPr>
              <w:jc w:val="center"/>
            </w:pPr>
            <w:r>
              <w:rPr>
                <w:color w:val="000000"/>
                <w:sz w:val="24"/>
                <w:szCs w:val="24"/>
              </w:rPr>
              <w:t>祁连山</w:t>
            </w:r>
          </w:p>
        </w:tc>
        <w:tc>
          <w:tcPr>
            <w:tcW w:w="1334" w:type="dxa"/>
            <w:vAlign w:val="center"/>
          </w:tcPr>
          <w:p w:rsidR="004150A1" w:rsidRDefault="00820997">
            <w:pPr>
              <w:jc w:val="right"/>
            </w:pPr>
            <w:r>
              <w:rPr>
                <w:color w:val="000000"/>
                <w:sz w:val="24"/>
                <w:szCs w:val="24"/>
              </w:rPr>
              <w:t>4,399,998</w:t>
            </w:r>
          </w:p>
        </w:tc>
        <w:tc>
          <w:tcPr>
            <w:tcW w:w="1924" w:type="dxa"/>
            <w:vAlign w:val="center"/>
          </w:tcPr>
          <w:p w:rsidR="004150A1" w:rsidRDefault="00820997">
            <w:pPr>
              <w:jc w:val="right"/>
            </w:pPr>
            <w:r>
              <w:rPr>
                <w:color w:val="000000"/>
                <w:sz w:val="24"/>
                <w:szCs w:val="24"/>
              </w:rPr>
              <w:t>29,523,986.58</w:t>
            </w:r>
          </w:p>
        </w:tc>
        <w:tc>
          <w:tcPr>
            <w:tcW w:w="1644" w:type="dxa"/>
            <w:vAlign w:val="center"/>
          </w:tcPr>
          <w:p w:rsidR="004150A1" w:rsidRDefault="00820997">
            <w:pPr>
              <w:jc w:val="right"/>
            </w:pPr>
            <w:r>
              <w:rPr>
                <w:color w:val="000000"/>
                <w:sz w:val="24"/>
                <w:szCs w:val="24"/>
              </w:rPr>
              <w:t>4.14</w:t>
            </w:r>
          </w:p>
        </w:tc>
      </w:tr>
      <w:tr w:rsidR="004150A1">
        <w:trPr>
          <w:jc w:val="center"/>
        </w:trPr>
        <w:tc>
          <w:tcPr>
            <w:tcW w:w="855" w:type="dxa"/>
            <w:vAlign w:val="center"/>
          </w:tcPr>
          <w:p w:rsidR="004150A1" w:rsidRDefault="00820997">
            <w:pPr>
              <w:jc w:val="center"/>
            </w:pPr>
            <w:r>
              <w:rPr>
                <w:color w:val="000000"/>
                <w:sz w:val="24"/>
                <w:szCs w:val="24"/>
              </w:rPr>
              <w:t>4</w:t>
            </w:r>
          </w:p>
        </w:tc>
        <w:tc>
          <w:tcPr>
            <w:tcW w:w="1334" w:type="dxa"/>
            <w:vAlign w:val="center"/>
          </w:tcPr>
          <w:p w:rsidR="004150A1" w:rsidRDefault="00820997">
            <w:pPr>
              <w:jc w:val="center"/>
            </w:pPr>
            <w:r>
              <w:rPr>
                <w:color w:val="000000"/>
                <w:sz w:val="24"/>
                <w:szCs w:val="24"/>
              </w:rPr>
              <w:t>000821</w:t>
            </w:r>
          </w:p>
        </w:tc>
        <w:tc>
          <w:tcPr>
            <w:tcW w:w="1777" w:type="dxa"/>
            <w:vAlign w:val="center"/>
          </w:tcPr>
          <w:p w:rsidR="004150A1" w:rsidRDefault="00820997">
            <w:pPr>
              <w:jc w:val="center"/>
            </w:pPr>
            <w:r>
              <w:rPr>
                <w:color w:val="000000"/>
                <w:sz w:val="24"/>
                <w:szCs w:val="24"/>
              </w:rPr>
              <w:t>京山轻机</w:t>
            </w:r>
          </w:p>
        </w:tc>
        <w:tc>
          <w:tcPr>
            <w:tcW w:w="1334" w:type="dxa"/>
            <w:vAlign w:val="center"/>
          </w:tcPr>
          <w:p w:rsidR="004150A1" w:rsidRDefault="00820997">
            <w:pPr>
              <w:jc w:val="right"/>
            </w:pPr>
            <w:r>
              <w:rPr>
                <w:color w:val="000000"/>
                <w:sz w:val="24"/>
                <w:szCs w:val="24"/>
              </w:rPr>
              <w:t>1,637,950</w:t>
            </w:r>
          </w:p>
        </w:tc>
        <w:tc>
          <w:tcPr>
            <w:tcW w:w="1924" w:type="dxa"/>
            <w:vAlign w:val="center"/>
          </w:tcPr>
          <w:p w:rsidR="004150A1" w:rsidRDefault="00820997">
            <w:pPr>
              <w:jc w:val="right"/>
            </w:pPr>
            <w:r>
              <w:rPr>
                <w:color w:val="000000"/>
                <w:sz w:val="24"/>
                <w:szCs w:val="24"/>
              </w:rPr>
              <w:t>28,860,679.00</w:t>
            </w:r>
          </w:p>
        </w:tc>
        <w:tc>
          <w:tcPr>
            <w:tcW w:w="1644" w:type="dxa"/>
            <w:vAlign w:val="center"/>
          </w:tcPr>
          <w:p w:rsidR="004150A1" w:rsidRDefault="00820997">
            <w:pPr>
              <w:jc w:val="right"/>
            </w:pPr>
            <w:r>
              <w:rPr>
                <w:color w:val="000000"/>
                <w:sz w:val="24"/>
                <w:szCs w:val="24"/>
              </w:rPr>
              <w:t>4.05</w:t>
            </w:r>
          </w:p>
        </w:tc>
      </w:tr>
      <w:tr w:rsidR="004150A1">
        <w:trPr>
          <w:jc w:val="center"/>
        </w:trPr>
        <w:tc>
          <w:tcPr>
            <w:tcW w:w="855" w:type="dxa"/>
            <w:vAlign w:val="center"/>
          </w:tcPr>
          <w:p w:rsidR="004150A1" w:rsidRDefault="00820997">
            <w:pPr>
              <w:jc w:val="center"/>
            </w:pPr>
            <w:r>
              <w:rPr>
                <w:color w:val="000000"/>
                <w:sz w:val="24"/>
                <w:szCs w:val="24"/>
              </w:rPr>
              <w:t>5</w:t>
            </w:r>
          </w:p>
        </w:tc>
        <w:tc>
          <w:tcPr>
            <w:tcW w:w="1334" w:type="dxa"/>
            <w:vAlign w:val="center"/>
          </w:tcPr>
          <w:p w:rsidR="004150A1" w:rsidRDefault="00820997">
            <w:pPr>
              <w:jc w:val="center"/>
            </w:pPr>
            <w:r>
              <w:rPr>
                <w:color w:val="000000"/>
                <w:sz w:val="24"/>
                <w:szCs w:val="24"/>
              </w:rPr>
              <w:t>002299</w:t>
            </w:r>
          </w:p>
        </w:tc>
        <w:tc>
          <w:tcPr>
            <w:tcW w:w="1777" w:type="dxa"/>
            <w:vAlign w:val="center"/>
          </w:tcPr>
          <w:p w:rsidR="004150A1" w:rsidRDefault="00820997">
            <w:pPr>
              <w:jc w:val="center"/>
            </w:pPr>
            <w:r>
              <w:rPr>
                <w:color w:val="000000"/>
                <w:sz w:val="24"/>
                <w:szCs w:val="24"/>
              </w:rPr>
              <w:t>圣农发展</w:t>
            </w:r>
          </w:p>
        </w:tc>
        <w:tc>
          <w:tcPr>
            <w:tcW w:w="1334" w:type="dxa"/>
            <w:vAlign w:val="center"/>
          </w:tcPr>
          <w:p w:rsidR="004150A1" w:rsidRDefault="00820997">
            <w:pPr>
              <w:jc w:val="right"/>
            </w:pPr>
            <w:r>
              <w:rPr>
                <w:color w:val="000000"/>
                <w:sz w:val="24"/>
                <w:szCs w:val="24"/>
              </w:rPr>
              <w:t>769,893</w:t>
            </w:r>
          </w:p>
        </w:tc>
        <w:tc>
          <w:tcPr>
            <w:tcW w:w="1924" w:type="dxa"/>
            <w:vAlign w:val="center"/>
          </w:tcPr>
          <w:p w:rsidR="004150A1" w:rsidRDefault="00820997">
            <w:pPr>
              <w:jc w:val="right"/>
            </w:pPr>
            <w:r>
              <w:rPr>
                <w:color w:val="000000"/>
                <w:sz w:val="24"/>
                <w:szCs w:val="24"/>
              </w:rPr>
              <w:t>19,940,228.70</w:t>
            </w:r>
          </w:p>
        </w:tc>
        <w:tc>
          <w:tcPr>
            <w:tcW w:w="1644" w:type="dxa"/>
            <w:vAlign w:val="center"/>
          </w:tcPr>
          <w:p w:rsidR="004150A1" w:rsidRDefault="00820997">
            <w:pPr>
              <w:jc w:val="right"/>
            </w:pPr>
            <w:r>
              <w:rPr>
                <w:color w:val="000000"/>
                <w:sz w:val="24"/>
                <w:szCs w:val="24"/>
              </w:rPr>
              <w:t>2.80</w:t>
            </w:r>
          </w:p>
        </w:tc>
      </w:tr>
      <w:tr w:rsidR="004150A1">
        <w:trPr>
          <w:jc w:val="center"/>
        </w:trPr>
        <w:tc>
          <w:tcPr>
            <w:tcW w:w="855" w:type="dxa"/>
            <w:vAlign w:val="center"/>
          </w:tcPr>
          <w:p w:rsidR="004150A1" w:rsidRDefault="00820997">
            <w:pPr>
              <w:jc w:val="center"/>
            </w:pPr>
            <w:r>
              <w:rPr>
                <w:color w:val="000000"/>
                <w:sz w:val="24"/>
                <w:szCs w:val="24"/>
              </w:rPr>
              <w:t>6</w:t>
            </w:r>
          </w:p>
        </w:tc>
        <w:tc>
          <w:tcPr>
            <w:tcW w:w="1334" w:type="dxa"/>
            <w:vAlign w:val="center"/>
          </w:tcPr>
          <w:p w:rsidR="004150A1" w:rsidRDefault="00820997">
            <w:pPr>
              <w:jc w:val="center"/>
            </w:pPr>
            <w:r>
              <w:rPr>
                <w:color w:val="000000"/>
                <w:sz w:val="24"/>
                <w:szCs w:val="24"/>
              </w:rPr>
              <w:t>000671</w:t>
            </w:r>
          </w:p>
        </w:tc>
        <w:tc>
          <w:tcPr>
            <w:tcW w:w="1777" w:type="dxa"/>
            <w:vAlign w:val="center"/>
          </w:tcPr>
          <w:p w:rsidR="004150A1" w:rsidRDefault="00820997">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4150A1" w:rsidRDefault="00820997">
            <w:pPr>
              <w:jc w:val="right"/>
            </w:pPr>
            <w:r>
              <w:rPr>
                <w:color w:val="000000"/>
                <w:sz w:val="24"/>
                <w:szCs w:val="24"/>
              </w:rPr>
              <w:t>2,999,955</w:t>
            </w:r>
          </w:p>
        </w:tc>
        <w:tc>
          <w:tcPr>
            <w:tcW w:w="1924" w:type="dxa"/>
            <w:vAlign w:val="center"/>
          </w:tcPr>
          <w:p w:rsidR="004150A1" w:rsidRDefault="00820997">
            <w:pPr>
              <w:jc w:val="right"/>
            </w:pPr>
            <w:r>
              <w:rPr>
                <w:color w:val="000000"/>
                <w:sz w:val="24"/>
                <w:szCs w:val="24"/>
              </w:rPr>
              <w:t>17,819,732.70</w:t>
            </w:r>
          </w:p>
        </w:tc>
        <w:tc>
          <w:tcPr>
            <w:tcW w:w="1644" w:type="dxa"/>
            <w:vAlign w:val="center"/>
          </w:tcPr>
          <w:p w:rsidR="004150A1" w:rsidRDefault="00820997">
            <w:pPr>
              <w:jc w:val="right"/>
            </w:pPr>
            <w:r>
              <w:rPr>
                <w:color w:val="000000"/>
                <w:sz w:val="24"/>
                <w:szCs w:val="24"/>
              </w:rPr>
              <w:t>2.50</w:t>
            </w:r>
          </w:p>
        </w:tc>
      </w:tr>
      <w:tr w:rsidR="004150A1">
        <w:trPr>
          <w:jc w:val="center"/>
        </w:trPr>
        <w:tc>
          <w:tcPr>
            <w:tcW w:w="855" w:type="dxa"/>
            <w:vAlign w:val="center"/>
          </w:tcPr>
          <w:p w:rsidR="004150A1" w:rsidRDefault="00820997">
            <w:pPr>
              <w:jc w:val="center"/>
            </w:pPr>
            <w:r>
              <w:rPr>
                <w:color w:val="000000"/>
                <w:sz w:val="24"/>
                <w:szCs w:val="24"/>
              </w:rPr>
              <w:t>7</w:t>
            </w:r>
          </w:p>
        </w:tc>
        <w:tc>
          <w:tcPr>
            <w:tcW w:w="1334" w:type="dxa"/>
            <w:vAlign w:val="center"/>
          </w:tcPr>
          <w:p w:rsidR="004150A1" w:rsidRDefault="00820997">
            <w:pPr>
              <w:jc w:val="center"/>
            </w:pPr>
            <w:r>
              <w:rPr>
                <w:color w:val="000000"/>
                <w:sz w:val="24"/>
                <w:szCs w:val="24"/>
              </w:rPr>
              <w:t>603128</w:t>
            </w:r>
          </w:p>
        </w:tc>
        <w:tc>
          <w:tcPr>
            <w:tcW w:w="1777" w:type="dxa"/>
            <w:vAlign w:val="center"/>
          </w:tcPr>
          <w:p w:rsidR="004150A1" w:rsidRDefault="00820997">
            <w:pPr>
              <w:jc w:val="center"/>
            </w:pPr>
            <w:r>
              <w:rPr>
                <w:color w:val="000000"/>
                <w:sz w:val="24"/>
                <w:szCs w:val="24"/>
              </w:rPr>
              <w:t>华贸物流</w:t>
            </w:r>
          </w:p>
        </w:tc>
        <w:tc>
          <w:tcPr>
            <w:tcW w:w="1334" w:type="dxa"/>
            <w:vAlign w:val="center"/>
          </w:tcPr>
          <w:p w:rsidR="004150A1" w:rsidRDefault="00820997">
            <w:pPr>
              <w:jc w:val="right"/>
            </w:pPr>
            <w:r>
              <w:rPr>
                <w:color w:val="000000"/>
                <w:sz w:val="24"/>
                <w:szCs w:val="24"/>
              </w:rPr>
              <w:t>1,799,882</w:t>
            </w:r>
          </w:p>
        </w:tc>
        <w:tc>
          <w:tcPr>
            <w:tcW w:w="1924" w:type="dxa"/>
            <w:vAlign w:val="center"/>
          </w:tcPr>
          <w:p w:rsidR="004150A1" w:rsidRDefault="00820997">
            <w:pPr>
              <w:jc w:val="right"/>
            </w:pPr>
            <w:r>
              <w:rPr>
                <w:color w:val="000000"/>
                <w:sz w:val="24"/>
                <w:szCs w:val="24"/>
              </w:rPr>
              <w:t>17,656,842.42</w:t>
            </w:r>
          </w:p>
        </w:tc>
        <w:tc>
          <w:tcPr>
            <w:tcW w:w="1644" w:type="dxa"/>
            <w:vAlign w:val="center"/>
          </w:tcPr>
          <w:p w:rsidR="004150A1" w:rsidRDefault="00820997">
            <w:pPr>
              <w:jc w:val="right"/>
            </w:pPr>
            <w:r>
              <w:rPr>
                <w:color w:val="000000"/>
                <w:sz w:val="24"/>
                <w:szCs w:val="24"/>
              </w:rPr>
              <w:t>2.48</w:t>
            </w:r>
          </w:p>
        </w:tc>
      </w:tr>
      <w:tr w:rsidR="004150A1">
        <w:trPr>
          <w:jc w:val="center"/>
        </w:trPr>
        <w:tc>
          <w:tcPr>
            <w:tcW w:w="855" w:type="dxa"/>
            <w:vAlign w:val="center"/>
          </w:tcPr>
          <w:p w:rsidR="004150A1" w:rsidRDefault="00820997">
            <w:pPr>
              <w:jc w:val="center"/>
            </w:pPr>
            <w:r>
              <w:rPr>
                <w:color w:val="000000"/>
                <w:sz w:val="24"/>
                <w:szCs w:val="24"/>
              </w:rPr>
              <w:t>8</w:t>
            </w:r>
          </w:p>
        </w:tc>
        <w:tc>
          <w:tcPr>
            <w:tcW w:w="1334" w:type="dxa"/>
            <w:vAlign w:val="center"/>
          </w:tcPr>
          <w:p w:rsidR="004150A1" w:rsidRDefault="00820997">
            <w:pPr>
              <w:jc w:val="center"/>
            </w:pPr>
            <w:r>
              <w:rPr>
                <w:color w:val="000000"/>
                <w:sz w:val="24"/>
                <w:szCs w:val="24"/>
              </w:rPr>
              <w:t>600571</w:t>
            </w:r>
          </w:p>
        </w:tc>
        <w:tc>
          <w:tcPr>
            <w:tcW w:w="1777" w:type="dxa"/>
            <w:vAlign w:val="center"/>
          </w:tcPr>
          <w:p w:rsidR="004150A1" w:rsidRDefault="00820997">
            <w:pPr>
              <w:jc w:val="center"/>
            </w:pPr>
            <w:r>
              <w:rPr>
                <w:color w:val="000000"/>
                <w:sz w:val="24"/>
                <w:szCs w:val="24"/>
              </w:rPr>
              <w:t>信雅达</w:t>
            </w:r>
          </w:p>
        </w:tc>
        <w:tc>
          <w:tcPr>
            <w:tcW w:w="1334" w:type="dxa"/>
            <w:vAlign w:val="center"/>
          </w:tcPr>
          <w:p w:rsidR="004150A1" w:rsidRDefault="00820997">
            <w:pPr>
              <w:jc w:val="right"/>
            </w:pPr>
            <w:r>
              <w:rPr>
                <w:color w:val="000000"/>
                <w:sz w:val="24"/>
                <w:szCs w:val="24"/>
              </w:rPr>
              <w:t>301,800</w:t>
            </w:r>
          </w:p>
        </w:tc>
        <w:tc>
          <w:tcPr>
            <w:tcW w:w="1924" w:type="dxa"/>
            <w:vAlign w:val="center"/>
          </w:tcPr>
          <w:p w:rsidR="004150A1" w:rsidRDefault="00820997">
            <w:pPr>
              <w:jc w:val="right"/>
            </w:pPr>
            <w:r>
              <w:rPr>
                <w:color w:val="000000"/>
                <w:sz w:val="24"/>
                <w:szCs w:val="24"/>
              </w:rPr>
              <w:t>16,635,216.00</w:t>
            </w:r>
          </w:p>
        </w:tc>
        <w:tc>
          <w:tcPr>
            <w:tcW w:w="1644" w:type="dxa"/>
            <w:vAlign w:val="center"/>
          </w:tcPr>
          <w:p w:rsidR="004150A1" w:rsidRDefault="00820997">
            <w:pPr>
              <w:jc w:val="right"/>
            </w:pPr>
            <w:r>
              <w:rPr>
                <w:color w:val="000000"/>
                <w:sz w:val="24"/>
                <w:szCs w:val="24"/>
              </w:rPr>
              <w:t>2.33</w:t>
            </w:r>
          </w:p>
        </w:tc>
      </w:tr>
      <w:tr w:rsidR="004150A1">
        <w:trPr>
          <w:jc w:val="center"/>
        </w:trPr>
        <w:tc>
          <w:tcPr>
            <w:tcW w:w="855" w:type="dxa"/>
            <w:vAlign w:val="center"/>
          </w:tcPr>
          <w:p w:rsidR="004150A1" w:rsidRDefault="00820997">
            <w:pPr>
              <w:jc w:val="center"/>
            </w:pPr>
            <w:r>
              <w:rPr>
                <w:color w:val="000000"/>
                <w:sz w:val="24"/>
                <w:szCs w:val="24"/>
              </w:rPr>
              <w:t>9</w:t>
            </w:r>
          </w:p>
        </w:tc>
        <w:tc>
          <w:tcPr>
            <w:tcW w:w="1334" w:type="dxa"/>
            <w:vAlign w:val="center"/>
          </w:tcPr>
          <w:p w:rsidR="004150A1" w:rsidRDefault="00820997">
            <w:pPr>
              <w:jc w:val="center"/>
            </w:pPr>
            <w:r>
              <w:rPr>
                <w:color w:val="000000"/>
                <w:sz w:val="24"/>
                <w:szCs w:val="24"/>
              </w:rPr>
              <w:t>002671</w:t>
            </w:r>
          </w:p>
        </w:tc>
        <w:tc>
          <w:tcPr>
            <w:tcW w:w="1777" w:type="dxa"/>
            <w:vAlign w:val="center"/>
          </w:tcPr>
          <w:p w:rsidR="004150A1" w:rsidRDefault="00820997">
            <w:pPr>
              <w:jc w:val="center"/>
            </w:pPr>
            <w:r>
              <w:rPr>
                <w:color w:val="000000"/>
                <w:sz w:val="24"/>
                <w:szCs w:val="24"/>
              </w:rPr>
              <w:t>龙泉股份</w:t>
            </w:r>
          </w:p>
        </w:tc>
        <w:tc>
          <w:tcPr>
            <w:tcW w:w="1334" w:type="dxa"/>
            <w:vAlign w:val="center"/>
          </w:tcPr>
          <w:p w:rsidR="004150A1" w:rsidRDefault="00820997">
            <w:pPr>
              <w:jc w:val="right"/>
            </w:pPr>
            <w:r>
              <w:rPr>
                <w:color w:val="000000"/>
                <w:sz w:val="24"/>
                <w:szCs w:val="24"/>
              </w:rPr>
              <w:t>1,337,127</w:t>
            </w:r>
          </w:p>
        </w:tc>
        <w:tc>
          <w:tcPr>
            <w:tcW w:w="1924" w:type="dxa"/>
            <w:vAlign w:val="center"/>
          </w:tcPr>
          <w:p w:rsidR="004150A1" w:rsidRDefault="00820997">
            <w:pPr>
              <w:jc w:val="right"/>
            </w:pPr>
            <w:r>
              <w:rPr>
                <w:color w:val="000000"/>
                <w:sz w:val="24"/>
                <w:szCs w:val="24"/>
              </w:rPr>
              <w:t>16,513,518.45</w:t>
            </w:r>
          </w:p>
        </w:tc>
        <w:tc>
          <w:tcPr>
            <w:tcW w:w="1644" w:type="dxa"/>
            <w:vAlign w:val="center"/>
          </w:tcPr>
          <w:p w:rsidR="004150A1" w:rsidRDefault="00820997">
            <w:pPr>
              <w:jc w:val="right"/>
            </w:pPr>
            <w:r>
              <w:rPr>
                <w:color w:val="000000"/>
                <w:sz w:val="24"/>
                <w:szCs w:val="24"/>
              </w:rPr>
              <w:t>2.31</w:t>
            </w:r>
          </w:p>
        </w:tc>
      </w:tr>
      <w:tr w:rsidR="004150A1">
        <w:trPr>
          <w:jc w:val="center"/>
        </w:trPr>
        <w:tc>
          <w:tcPr>
            <w:tcW w:w="855" w:type="dxa"/>
            <w:vAlign w:val="center"/>
          </w:tcPr>
          <w:p w:rsidR="004150A1" w:rsidRDefault="00820997">
            <w:pPr>
              <w:jc w:val="center"/>
            </w:pPr>
            <w:r>
              <w:rPr>
                <w:color w:val="000000"/>
                <w:sz w:val="24"/>
                <w:szCs w:val="24"/>
              </w:rPr>
              <w:t>10</w:t>
            </w:r>
          </w:p>
        </w:tc>
        <w:tc>
          <w:tcPr>
            <w:tcW w:w="1334" w:type="dxa"/>
            <w:vAlign w:val="center"/>
          </w:tcPr>
          <w:p w:rsidR="004150A1" w:rsidRDefault="00820997">
            <w:pPr>
              <w:jc w:val="center"/>
            </w:pPr>
            <w:r>
              <w:rPr>
                <w:color w:val="000000"/>
                <w:sz w:val="24"/>
                <w:szCs w:val="24"/>
              </w:rPr>
              <w:t>300133</w:t>
            </w:r>
          </w:p>
        </w:tc>
        <w:tc>
          <w:tcPr>
            <w:tcW w:w="1777" w:type="dxa"/>
            <w:vAlign w:val="center"/>
          </w:tcPr>
          <w:p w:rsidR="004150A1" w:rsidRDefault="00820997">
            <w:pPr>
              <w:jc w:val="center"/>
            </w:pPr>
            <w:r>
              <w:rPr>
                <w:color w:val="000000"/>
                <w:sz w:val="24"/>
                <w:szCs w:val="24"/>
              </w:rPr>
              <w:t>华策影视</w:t>
            </w:r>
          </w:p>
        </w:tc>
        <w:tc>
          <w:tcPr>
            <w:tcW w:w="1334" w:type="dxa"/>
            <w:vAlign w:val="center"/>
          </w:tcPr>
          <w:p w:rsidR="004150A1" w:rsidRDefault="00820997">
            <w:pPr>
              <w:jc w:val="right"/>
            </w:pPr>
            <w:r>
              <w:rPr>
                <w:color w:val="000000"/>
                <w:sz w:val="24"/>
                <w:szCs w:val="24"/>
              </w:rPr>
              <w:t>929,378</w:t>
            </w:r>
          </w:p>
        </w:tc>
        <w:tc>
          <w:tcPr>
            <w:tcW w:w="1924" w:type="dxa"/>
            <w:vAlign w:val="center"/>
          </w:tcPr>
          <w:p w:rsidR="004150A1" w:rsidRDefault="00820997">
            <w:pPr>
              <w:jc w:val="right"/>
            </w:pPr>
            <w:r>
              <w:rPr>
                <w:color w:val="000000"/>
                <w:sz w:val="24"/>
                <w:szCs w:val="24"/>
              </w:rPr>
              <w:t>14,470,415.46</w:t>
            </w:r>
          </w:p>
        </w:tc>
        <w:tc>
          <w:tcPr>
            <w:tcW w:w="1644" w:type="dxa"/>
            <w:vAlign w:val="center"/>
          </w:tcPr>
          <w:p w:rsidR="004150A1" w:rsidRDefault="00820997">
            <w:pPr>
              <w:jc w:val="right"/>
            </w:pPr>
            <w:r>
              <w:rPr>
                <w:color w:val="000000"/>
                <w:sz w:val="24"/>
                <w:szCs w:val="24"/>
              </w:rPr>
              <w:t>2.03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报告期内本基金投资的前十名证券的发行主体除信雅达（证券代码：</w:t>
      </w:r>
      <w:r w:rsidRPr="00BE5388">
        <w:rPr>
          <w:bCs/>
          <w:color w:val="000000"/>
          <w:kern w:val="0"/>
          <w:sz w:val="24"/>
          <w:szCs w:val="24"/>
        </w:rPr>
        <w:t>600571</w:t>
      </w:r>
      <w:r w:rsidRPr="00BE5388">
        <w:rPr>
          <w:bCs/>
          <w:color w:val="000000"/>
          <w:kern w:val="0"/>
          <w:sz w:val="24"/>
          <w:szCs w:val="24"/>
        </w:rPr>
        <w:t>）外，未出现被监管部门立案调查，或在报告编制日前一年内受到公开谴责、处罚的情形。</w:t>
      </w:r>
    </w:p>
    <w:p w:rsidR="004150A1" w:rsidRDefault="00820997">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报告期内本基金投资的前十名证券之一信雅达（证券代码：</w:t>
      </w:r>
      <w:r>
        <w:rPr>
          <w:bCs/>
          <w:color w:val="000000"/>
          <w:kern w:val="0"/>
          <w:sz w:val="24"/>
          <w:szCs w:val="24"/>
        </w:rPr>
        <w:t>600571</w:t>
      </w:r>
      <w:r>
        <w:rPr>
          <w:bCs/>
          <w:color w:val="000000"/>
          <w:kern w:val="0"/>
          <w:sz w:val="24"/>
          <w:szCs w:val="24"/>
        </w:rPr>
        <w:t>）于</w:t>
      </w:r>
      <w:r>
        <w:rPr>
          <w:bCs/>
          <w:color w:val="000000"/>
          <w:kern w:val="0"/>
          <w:sz w:val="24"/>
          <w:szCs w:val="24"/>
        </w:rPr>
        <w:t>2016</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22</w:t>
      </w:r>
      <w:r>
        <w:rPr>
          <w:bCs/>
          <w:color w:val="000000"/>
          <w:kern w:val="0"/>
          <w:sz w:val="24"/>
          <w:szCs w:val="24"/>
        </w:rPr>
        <w:t>日公告</w:t>
      </w:r>
      <w:bookmarkStart w:id="0" w:name="_GoBack"/>
      <w:bookmarkEnd w:id="0"/>
      <w:r>
        <w:rPr>
          <w:rFonts w:hint="eastAsia"/>
          <w:bCs/>
          <w:color w:val="000000"/>
          <w:kern w:val="0"/>
          <w:sz w:val="24"/>
          <w:szCs w:val="24"/>
        </w:rPr>
        <w:t>，</w:t>
      </w:r>
      <w:r>
        <w:rPr>
          <w:bCs/>
          <w:color w:val="000000"/>
          <w:kern w:val="0"/>
          <w:sz w:val="24"/>
          <w:szCs w:val="24"/>
        </w:rPr>
        <w:t>2015</w:t>
      </w:r>
      <w:r>
        <w:rPr>
          <w:bCs/>
          <w:color w:val="000000"/>
          <w:kern w:val="0"/>
          <w:sz w:val="24"/>
          <w:szCs w:val="24"/>
        </w:rPr>
        <w:t>年</w:t>
      </w:r>
      <w:r>
        <w:rPr>
          <w:bCs/>
          <w:color w:val="000000"/>
          <w:kern w:val="0"/>
          <w:sz w:val="24"/>
          <w:szCs w:val="24"/>
        </w:rPr>
        <w:t>9</w:t>
      </w:r>
      <w:r>
        <w:rPr>
          <w:bCs/>
          <w:color w:val="000000"/>
          <w:kern w:val="0"/>
          <w:sz w:val="24"/>
          <w:szCs w:val="24"/>
        </w:rPr>
        <w:t>月</w:t>
      </w:r>
      <w:r>
        <w:rPr>
          <w:bCs/>
          <w:color w:val="000000"/>
          <w:kern w:val="0"/>
          <w:sz w:val="24"/>
          <w:szCs w:val="24"/>
        </w:rPr>
        <w:t>18</w:t>
      </w:r>
      <w:r>
        <w:rPr>
          <w:bCs/>
          <w:color w:val="000000"/>
          <w:kern w:val="0"/>
          <w:sz w:val="24"/>
          <w:szCs w:val="24"/>
        </w:rPr>
        <w:t>日公司因对工商行政管理机关依法实施的反垄断调查，拒绝提供有关材料被安徽省工商行政管理局以皖工商公处字［</w:t>
      </w:r>
      <w:r>
        <w:rPr>
          <w:bCs/>
          <w:color w:val="000000"/>
          <w:kern w:val="0"/>
          <w:sz w:val="24"/>
          <w:szCs w:val="24"/>
        </w:rPr>
        <w:t>2015</w:t>
      </w:r>
      <w:r>
        <w:rPr>
          <w:bCs/>
          <w:color w:val="000000"/>
          <w:kern w:val="0"/>
          <w:sz w:val="24"/>
          <w:szCs w:val="24"/>
        </w:rPr>
        <w:t>］</w:t>
      </w:r>
      <w:r>
        <w:rPr>
          <w:bCs/>
          <w:color w:val="000000"/>
          <w:kern w:val="0"/>
          <w:sz w:val="24"/>
          <w:szCs w:val="24"/>
        </w:rPr>
        <w:t>2</w:t>
      </w:r>
      <w:r>
        <w:rPr>
          <w:bCs/>
          <w:color w:val="000000"/>
          <w:kern w:val="0"/>
          <w:sz w:val="24"/>
          <w:szCs w:val="24"/>
        </w:rPr>
        <w:t>号《行政处罚决定书》处以责令当事人立即改正、罚款二十万元（小写</w:t>
      </w:r>
      <w:r>
        <w:rPr>
          <w:bCs/>
          <w:color w:val="000000"/>
          <w:kern w:val="0"/>
          <w:sz w:val="24"/>
          <w:szCs w:val="24"/>
        </w:rPr>
        <w:t>200000.00</w:t>
      </w:r>
      <w:r>
        <w:rPr>
          <w:bCs/>
          <w:color w:val="000000"/>
          <w:kern w:val="0"/>
          <w:sz w:val="24"/>
          <w:szCs w:val="24"/>
        </w:rPr>
        <w:t>元）的处罚。公司已于</w:t>
      </w:r>
      <w:r>
        <w:rPr>
          <w:bCs/>
          <w:color w:val="000000"/>
          <w:kern w:val="0"/>
          <w:sz w:val="24"/>
          <w:szCs w:val="24"/>
        </w:rPr>
        <w:t>2015</w:t>
      </w:r>
      <w:r>
        <w:rPr>
          <w:bCs/>
          <w:color w:val="000000"/>
          <w:kern w:val="0"/>
          <w:sz w:val="24"/>
          <w:szCs w:val="24"/>
        </w:rPr>
        <w:t>年</w:t>
      </w:r>
      <w:r>
        <w:rPr>
          <w:bCs/>
          <w:color w:val="000000"/>
          <w:kern w:val="0"/>
          <w:sz w:val="24"/>
          <w:szCs w:val="24"/>
        </w:rPr>
        <w:t>9</w:t>
      </w:r>
      <w:r>
        <w:rPr>
          <w:bCs/>
          <w:color w:val="000000"/>
          <w:kern w:val="0"/>
          <w:sz w:val="24"/>
          <w:szCs w:val="24"/>
        </w:rPr>
        <w:t>月</w:t>
      </w:r>
      <w:r>
        <w:rPr>
          <w:bCs/>
          <w:color w:val="000000"/>
          <w:kern w:val="0"/>
          <w:sz w:val="24"/>
          <w:szCs w:val="24"/>
        </w:rPr>
        <w:t>30</w:t>
      </w:r>
      <w:r>
        <w:rPr>
          <w:bCs/>
          <w:color w:val="000000"/>
          <w:kern w:val="0"/>
          <w:sz w:val="24"/>
          <w:szCs w:val="24"/>
        </w:rPr>
        <w:t>日缴纳罚款并积极进行整改。</w:t>
      </w:r>
    </w:p>
    <w:p w:rsidR="004150A1" w:rsidRDefault="00820997">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621,695.47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72,515.95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1,306,056.70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2,000,268.12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389,891,016.38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31,460,257.77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33,842,228.00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387,509,046.15</w:t>
            </w:r>
          </w:p>
        </w:tc>
      </w:tr>
    </w:tbl>
    <w:p w:rsidR="004150A1" w:rsidRDefault="0082099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22.65</w:t>
            </w:r>
          </w:p>
        </w:tc>
      </w:tr>
    </w:tbl>
    <w:p w:rsidR="004150A1" w:rsidRDefault="0082099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71190D" w:rsidRPr="00414345" w:rsidRDefault="0071190D" w:rsidP="0071190D">
      <w:pPr>
        <w:autoSpaceDE w:val="0"/>
        <w:autoSpaceDN w:val="0"/>
        <w:adjustRightInd w:val="0"/>
        <w:spacing w:before="29" w:line="288" w:lineRule="auto"/>
        <w:jc w:val="left"/>
        <w:rPr>
          <w:color w:val="000000"/>
          <w:sz w:val="24"/>
        </w:rPr>
      </w:pPr>
      <w:r w:rsidRPr="00CC39D0">
        <w:rPr>
          <w:rFonts w:hint="eastAsia"/>
          <w:color w:val="000000"/>
          <w:sz w:val="24"/>
        </w:rPr>
        <w:t>本基金管理人本报告期内未进行本基金的申购、赎回、红利再投等。</w:t>
      </w:r>
    </w:p>
    <w:p w:rsidR="00480B35" w:rsidRPr="0071190D"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150A1" w:rsidRDefault="0082099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4150A1" w:rsidRDefault="0082099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150A1" w:rsidRDefault="0082099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150A1" w:rsidRDefault="0082099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C39D0">
      <w:rPr>
        <w:noProof/>
        <w:kern w:val="0"/>
        <w:szCs w:val="21"/>
      </w:rPr>
      <w:t>9</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C39D0">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150A1"/>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190D"/>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0997"/>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39D0"/>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0F32-F9BD-45DE-8F5E-7F1D557F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2016-07-19T06:50:00Z</dcterms:modified>
</cp:coreProperties>
</file>