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proofErr w:type="gramStart"/>
      <w:r w:rsidRPr="0081286B">
        <w:rPr>
          <w:b/>
          <w:sz w:val="36"/>
          <w:szCs w:val="36"/>
        </w:rPr>
        <w:t>交银施罗</w:t>
      </w:r>
      <w:proofErr w:type="gramEnd"/>
      <w:r w:rsidRPr="0081286B">
        <w:rPr>
          <w:b/>
          <w:sz w:val="36"/>
          <w:szCs w:val="36"/>
        </w:rPr>
        <w:t>德先锋混合型证券投资基金</w:t>
      </w:r>
    </w:p>
    <w:p w:rsidR="002279D3" w:rsidRPr="0081286B" w:rsidRDefault="002279D3" w:rsidP="00C15CAC">
      <w:pPr>
        <w:spacing w:before="29" w:line="288" w:lineRule="auto"/>
        <w:jc w:val="center"/>
        <w:rPr>
          <w:b/>
          <w:sz w:val="36"/>
          <w:szCs w:val="36"/>
        </w:rPr>
      </w:pPr>
      <w:r w:rsidRPr="0081286B">
        <w:rPr>
          <w:b/>
          <w:sz w:val="36"/>
          <w:szCs w:val="36"/>
        </w:rPr>
        <w:t>2016</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2016</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二〇一六年七月二十一日</w:t>
      </w:r>
    </w:p>
    <w:p w:rsidR="004061AC" w:rsidRPr="00414345" w:rsidRDefault="004061AC" w:rsidP="00F01AB8">
      <w:pPr>
        <w:pStyle w:val="1"/>
        <w:spacing w:beforeLines="100" w:after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31CEF" w:rsidRDefault="00F01AB8">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31CEF" w:rsidRDefault="00F01AB8">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2016</w:t>
      </w:r>
      <w:r>
        <w:rPr>
          <w:color w:val="000000"/>
          <w:sz w:val="24"/>
          <w:szCs w:val="24"/>
        </w:rPr>
        <w:t>年</w:t>
      </w:r>
      <w:r>
        <w:rPr>
          <w:color w:val="000000"/>
          <w:sz w:val="24"/>
          <w:szCs w:val="24"/>
        </w:rPr>
        <w:t>7</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31CEF" w:rsidRDefault="00F01AB8">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31CEF" w:rsidRDefault="00F01AB8">
      <w:pPr>
        <w:spacing w:before="29" w:line="288" w:lineRule="auto"/>
        <w:ind w:firstLineChars="200" w:firstLine="480"/>
        <w:rPr>
          <w:color w:val="000000"/>
          <w:sz w:val="24"/>
          <w:szCs w:val="24"/>
        </w:rPr>
      </w:pPr>
      <w:r>
        <w:rPr>
          <w:color w:val="000000"/>
          <w:sz w:val="24"/>
          <w:szCs w:val="24"/>
        </w:rPr>
        <w:t>基金的过往业绩并不代表其未来表现。投资有风险，投资者在</w:t>
      </w:r>
      <w:proofErr w:type="gramStart"/>
      <w:r>
        <w:rPr>
          <w:color w:val="000000"/>
          <w:sz w:val="24"/>
          <w:szCs w:val="24"/>
        </w:rPr>
        <w:t>作出</w:t>
      </w:r>
      <w:proofErr w:type="gramEnd"/>
      <w:r>
        <w:rPr>
          <w:color w:val="000000"/>
          <w:sz w:val="24"/>
          <w:szCs w:val="24"/>
        </w:rPr>
        <w:t>投资决策前应仔细阅读本基金的招募说明书。</w:t>
      </w:r>
      <w:r>
        <w:rPr>
          <w:color w:val="000000"/>
          <w:sz w:val="24"/>
          <w:szCs w:val="24"/>
        </w:rPr>
        <w:t xml:space="preserve"> </w:t>
      </w:r>
    </w:p>
    <w:p w:rsidR="00431CEF" w:rsidRDefault="00F01AB8">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01AB8">
      <w:pPr>
        <w:pStyle w:val="1"/>
        <w:spacing w:beforeLines="100" w:after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交银先锋混合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519698</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519698</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519699</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4</w:t>
            </w:r>
            <w:r w:rsidRPr="00414345">
              <w:rPr>
                <w:color w:val="000000"/>
                <w:kern w:val="0"/>
                <w:sz w:val="24"/>
                <w:szCs w:val="24"/>
              </w:rPr>
              <w:t>月</w:t>
            </w:r>
            <w:r w:rsidRPr="00414345">
              <w:rPr>
                <w:color w:val="000000"/>
                <w:kern w:val="0"/>
                <w:sz w:val="24"/>
                <w:szCs w:val="24"/>
              </w:rPr>
              <w:t>10</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1,492,621,383.25</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本基金主要通过投资于经过严格的品质筛选且具有持续成长潜力企业的股票，特别是处于快速成长过程中的中型及小型企业股票，在适度控制风险的前提下，为基金份额持有人谋求长期持续的资本增值。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运行和行业景气变化，以及上市公司成长潜力的基础上，主要通过优选成长性好、成长具有可持续性、成长质量优良、定价相对合理的股票，特别是处于快速成长过程中的中型及小型企业股票进行投资，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75%×</w:t>
            </w:r>
            <w:r w:rsidRPr="00414345">
              <w:rPr>
                <w:color w:val="000000"/>
                <w:kern w:val="0"/>
                <w:sz w:val="24"/>
                <w:szCs w:val="24"/>
              </w:rPr>
              <w:t>中证</w:t>
            </w:r>
            <w:r w:rsidRPr="00414345">
              <w:rPr>
                <w:color w:val="000000"/>
                <w:kern w:val="0"/>
                <w:sz w:val="24"/>
                <w:szCs w:val="24"/>
              </w:rPr>
              <w:t>700</w:t>
            </w:r>
            <w:r w:rsidRPr="00414345">
              <w:rPr>
                <w:color w:val="000000"/>
                <w:kern w:val="0"/>
                <w:sz w:val="24"/>
                <w:szCs w:val="24"/>
              </w:rPr>
              <w:t>指数</w:t>
            </w:r>
            <w:r w:rsidRPr="00414345">
              <w:rPr>
                <w:color w:val="000000"/>
                <w:kern w:val="0"/>
                <w:sz w:val="24"/>
                <w:szCs w:val="24"/>
              </w:rPr>
              <w:t>+25%×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本基金是一只混合型基金，以具有持续成长潜力企业</w:t>
            </w:r>
            <w:r w:rsidRPr="00414345">
              <w:rPr>
                <w:color w:val="000000"/>
                <w:kern w:val="0"/>
                <w:sz w:val="24"/>
                <w:szCs w:val="24"/>
              </w:rPr>
              <w:lastRenderedPageBreak/>
              <w:t>的股票，特别是处于快速成长过程中的中型及小型企业为主要投资对象，追求超额收益，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01AB8">
      <w:pPr>
        <w:pStyle w:val="1"/>
        <w:spacing w:beforeLines="100" w:after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07"/>
        <w:gridCol w:w="5261"/>
      </w:tblGrid>
      <w:tr w:rsidR="00F01AB8" w:rsidRPr="00414345" w:rsidTr="00F01AB8">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(2016</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F01AB8" w:rsidRPr="00414345" w:rsidTr="00F01A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-26,521,273.51</w:t>
            </w:r>
          </w:p>
        </w:tc>
      </w:tr>
      <w:tr w:rsidR="00F01AB8" w:rsidRPr="00414345" w:rsidTr="00F01A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165,521,954.32</w:t>
            </w:r>
          </w:p>
        </w:tc>
      </w:tr>
      <w:tr w:rsidR="00F01AB8" w:rsidRPr="00414345" w:rsidTr="00F01A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0.1079</w:t>
            </w:r>
          </w:p>
        </w:tc>
      </w:tr>
      <w:tr w:rsidR="00F01AB8" w:rsidRPr="00414345" w:rsidTr="00F01AB8">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2,191,843,519.40</w:t>
            </w:r>
          </w:p>
        </w:tc>
      </w:tr>
      <w:tr w:rsidR="00F01AB8" w:rsidRPr="00414345" w:rsidTr="00F01AB8">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1.4685</w:t>
            </w:r>
          </w:p>
        </w:tc>
      </w:tr>
    </w:tbl>
    <w:p w:rsidR="00431CEF" w:rsidRDefault="00F01AB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r w:rsidRPr="00414345">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w:t>
      </w:r>
      <w:proofErr w:type="gramStart"/>
      <w:r w:rsidRPr="00414345">
        <w:rPr>
          <w:b/>
          <w:bCs/>
          <w:color w:val="000000"/>
          <w:kern w:val="0"/>
          <w:sz w:val="24"/>
          <w:szCs w:val="24"/>
        </w:rPr>
        <w:t>期基金</w:t>
      </w:r>
      <w:proofErr w:type="gramEnd"/>
      <w:r w:rsidRPr="00414345">
        <w:rPr>
          <w:b/>
          <w:bCs/>
          <w:color w:val="000000"/>
          <w:kern w:val="0"/>
          <w:sz w:val="24"/>
          <w:szCs w:val="24"/>
        </w:rPr>
        <w:t>份额净值增长率及其与同期业绩比较基准收益率的比较</w:t>
      </w:r>
    </w:p>
    <w:tbl>
      <w:tblPr>
        <w:tblStyle w:val="af7"/>
        <w:tblW w:w="8868" w:type="dxa"/>
        <w:jc w:val="center"/>
        <w:tblLayout w:type="fixed"/>
        <w:tblCellMar>
          <w:top w:w="57" w:type="dxa"/>
          <w:bottom w:w="57" w:type="dxa"/>
        </w:tblCellMar>
        <w:tblLook w:val="04A0"/>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31CEF">
        <w:trPr>
          <w:jc w:val="center"/>
        </w:trPr>
        <w:tc>
          <w:tcPr>
            <w:tcW w:w="1701" w:type="dxa"/>
            <w:vAlign w:val="center"/>
          </w:tcPr>
          <w:p w:rsidR="00431CEF" w:rsidRDefault="00F01AB8">
            <w:pPr>
              <w:jc w:val="left"/>
            </w:pPr>
            <w:r>
              <w:rPr>
                <w:color w:val="000000"/>
                <w:sz w:val="24"/>
                <w:szCs w:val="24"/>
              </w:rPr>
              <w:t>过去三个月</w:t>
            </w:r>
          </w:p>
        </w:tc>
        <w:tc>
          <w:tcPr>
            <w:tcW w:w="1045" w:type="dxa"/>
            <w:vAlign w:val="center"/>
          </w:tcPr>
          <w:p w:rsidR="00431CEF" w:rsidRDefault="00F01AB8">
            <w:pPr>
              <w:jc w:val="center"/>
            </w:pPr>
            <w:r>
              <w:rPr>
                <w:color w:val="000000"/>
                <w:sz w:val="24"/>
                <w:szCs w:val="24"/>
              </w:rPr>
              <w:t>7.85%</w:t>
            </w:r>
          </w:p>
        </w:tc>
        <w:tc>
          <w:tcPr>
            <w:tcW w:w="1344" w:type="dxa"/>
            <w:vAlign w:val="center"/>
          </w:tcPr>
          <w:p w:rsidR="00431CEF" w:rsidRDefault="00F01AB8">
            <w:pPr>
              <w:jc w:val="center"/>
            </w:pPr>
            <w:r>
              <w:rPr>
                <w:color w:val="000000"/>
                <w:sz w:val="24"/>
                <w:szCs w:val="24"/>
              </w:rPr>
              <w:t>2.21%</w:t>
            </w:r>
          </w:p>
        </w:tc>
        <w:tc>
          <w:tcPr>
            <w:tcW w:w="1194" w:type="dxa"/>
            <w:vAlign w:val="center"/>
          </w:tcPr>
          <w:p w:rsidR="00431CEF" w:rsidRDefault="00F01AB8">
            <w:pPr>
              <w:jc w:val="center"/>
            </w:pPr>
            <w:r>
              <w:rPr>
                <w:color w:val="000000"/>
                <w:sz w:val="24"/>
                <w:szCs w:val="24"/>
              </w:rPr>
              <w:t>-0.92%</w:t>
            </w:r>
          </w:p>
        </w:tc>
        <w:tc>
          <w:tcPr>
            <w:tcW w:w="1492" w:type="dxa"/>
            <w:vAlign w:val="center"/>
          </w:tcPr>
          <w:p w:rsidR="00431CEF" w:rsidRDefault="00F01AB8">
            <w:pPr>
              <w:jc w:val="center"/>
            </w:pPr>
            <w:r>
              <w:rPr>
                <w:color w:val="000000"/>
                <w:sz w:val="24"/>
                <w:szCs w:val="24"/>
              </w:rPr>
              <w:t>1.13%</w:t>
            </w:r>
          </w:p>
        </w:tc>
        <w:tc>
          <w:tcPr>
            <w:tcW w:w="1194" w:type="dxa"/>
            <w:vAlign w:val="center"/>
          </w:tcPr>
          <w:p w:rsidR="00431CEF" w:rsidRDefault="00F01AB8">
            <w:pPr>
              <w:jc w:val="center"/>
            </w:pPr>
            <w:r>
              <w:rPr>
                <w:color w:val="000000"/>
                <w:sz w:val="24"/>
                <w:szCs w:val="24"/>
              </w:rPr>
              <w:t>8.77%</w:t>
            </w:r>
          </w:p>
        </w:tc>
        <w:tc>
          <w:tcPr>
            <w:tcW w:w="898" w:type="dxa"/>
            <w:vAlign w:val="center"/>
          </w:tcPr>
          <w:p w:rsidR="00431CEF" w:rsidRDefault="00F01AB8">
            <w:pPr>
              <w:jc w:val="center"/>
            </w:pPr>
            <w:r>
              <w:rPr>
                <w:color w:val="000000"/>
                <w:sz w:val="24"/>
                <w:szCs w:val="24"/>
              </w:rPr>
              <w:t>1.08%</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中信全债指数</w:t>
      </w:r>
      <w:r w:rsidRPr="00414345">
        <w:rPr>
          <w:color w:val="000000"/>
          <w:sz w:val="24"/>
          <w:szCs w:val="24"/>
        </w:rPr>
        <w:t>”</w:t>
      </w:r>
      <w:r w:rsidRPr="00414345">
        <w:rPr>
          <w:color w:val="000000"/>
          <w:sz w:val="24"/>
          <w:szCs w:val="24"/>
        </w:rPr>
        <w:t>变更为</w:t>
      </w:r>
      <w:r w:rsidRPr="00414345">
        <w:rPr>
          <w:color w:val="000000"/>
          <w:sz w:val="24"/>
          <w:szCs w:val="24"/>
        </w:rPr>
        <w:t>“75%×</w:t>
      </w:r>
      <w:r w:rsidRPr="00414345">
        <w:rPr>
          <w:color w:val="000000"/>
          <w:sz w:val="24"/>
          <w:szCs w:val="24"/>
        </w:rPr>
        <w:t>中证</w:t>
      </w:r>
      <w:r w:rsidRPr="00414345">
        <w:rPr>
          <w:color w:val="000000"/>
          <w:sz w:val="24"/>
          <w:szCs w:val="24"/>
        </w:rPr>
        <w:t>700</w:t>
      </w:r>
      <w:r w:rsidRPr="00414345">
        <w:rPr>
          <w:color w:val="000000"/>
          <w:sz w:val="24"/>
          <w:szCs w:val="24"/>
        </w:rPr>
        <w:t>指数</w:t>
      </w:r>
      <w:r w:rsidRPr="00414345">
        <w:rPr>
          <w:color w:val="000000"/>
          <w:sz w:val="24"/>
          <w:szCs w:val="24"/>
        </w:rPr>
        <w:t>+25%×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w:t>
      </w:r>
      <w:r w:rsidRPr="00414345">
        <w:rPr>
          <w:color w:val="000000"/>
          <w:sz w:val="24"/>
          <w:szCs w:val="24"/>
        </w:rPr>
        <w:lastRenderedPageBreak/>
        <w:t>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交银施罗德先锋混合型证券投资基金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2009</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4</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10</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2016</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F01AB8">
      <w:pPr>
        <w:pStyle w:val="1"/>
        <w:spacing w:beforeLines="100" w:after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proofErr w:type="gramStart"/>
            <w:r w:rsidRPr="00414345">
              <w:rPr>
                <w:color w:val="000000"/>
                <w:kern w:val="0"/>
                <w:sz w:val="24"/>
                <w:szCs w:val="24"/>
              </w:rPr>
              <w:t>任本基金</w:t>
            </w:r>
            <w:proofErr w:type="gramEnd"/>
            <w:r w:rsidRPr="00414345">
              <w:rPr>
                <w:color w:val="000000"/>
                <w:kern w:val="0"/>
                <w:sz w:val="24"/>
                <w:szCs w:val="24"/>
              </w:rPr>
              <w:t>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31CEF">
        <w:trPr>
          <w:jc w:val="center"/>
        </w:trPr>
        <w:tc>
          <w:tcPr>
            <w:tcW w:w="846" w:type="dxa"/>
            <w:vAlign w:val="center"/>
          </w:tcPr>
          <w:p w:rsidR="00431CEF" w:rsidRDefault="00F01AB8">
            <w:pPr>
              <w:jc w:val="center"/>
            </w:pPr>
            <w:r>
              <w:rPr>
                <w:color w:val="000000"/>
                <w:sz w:val="24"/>
                <w:szCs w:val="24"/>
              </w:rPr>
              <w:t>芮晨</w:t>
            </w:r>
          </w:p>
        </w:tc>
        <w:tc>
          <w:tcPr>
            <w:tcW w:w="845" w:type="dxa"/>
            <w:vAlign w:val="center"/>
          </w:tcPr>
          <w:p w:rsidR="00431CEF" w:rsidRDefault="00F01AB8">
            <w:pPr>
              <w:jc w:val="center"/>
            </w:pPr>
            <w:r>
              <w:rPr>
                <w:color w:val="000000"/>
                <w:sz w:val="24"/>
                <w:szCs w:val="24"/>
              </w:rPr>
              <w:t>交银先锋混合、交</w:t>
            </w:r>
            <w:proofErr w:type="gramStart"/>
            <w:r>
              <w:rPr>
                <w:color w:val="000000"/>
                <w:sz w:val="24"/>
                <w:szCs w:val="24"/>
              </w:rPr>
              <w:t>银科技</w:t>
            </w:r>
            <w:proofErr w:type="gramEnd"/>
            <w:r>
              <w:rPr>
                <w:color w:val="000000"/>
                <w:sz w:val="24"/>
                <w:szCs w:val="24"/>
              </w:rPr>
              <w:t>创新灵活</w:t>
            </w:r>
            <w:r>
              <w:rPr>
                <w:color w:val="000000"/>
                <w:sz w:val="24"/>
                <w:szCs w:val="24"/>
              </w:rPr>
              <w:lastRenderedPageBreak/>
              <w:t>配置混合的基金经理</w:t>
            </w:r>
          </w:p>
        </w:tc>
        <w:tc>
          <w:tcPr>
            <w:tcW w:w="1549" w:type="dxa"/>
            <w:vAlign w:val="center"/>
          </w:tcPr>
          <w:p w:rsidR="00431CEF" w:rsidRDefault="00F01AB8">
            <w:pPr>
              <w:jc w:val="center"/>
            </w:pPr>
            <w:r>
              <w:rPr>
                <w:color w:val="000000"/>
                <w:sz w:val="24"/>
                <w:szCs w:val="24"/>
              </w:rPr>
              <w:lastRenderedPageBreak/>
              <w:t>2015-05-18</w:t>
            </w:r>
          </w:p>
        </w:tc>
        <w:tc>
          <w:tcPr>
            <w:tcW w:w="1548" w:type="dxa"/>
            <w:vAlign w:val="center"/>
          </w:tcPr>
          <w:p w:rsidR="00431CEF" w:rsidRDefault="00F01AB8">
            <w:pPr>
              <w:jc w:val="center"/>
            </w:pPr>
            <w:r>
              <w:rPr>
                <w:color w:val="000000"/>
                <w:sz w:val="24"/>
                <w:szCs w:val="24"/>
              </w:rPr>
              <w:t>-</w:t>
            </w:r>
          </w:p>
        </w:tc>
        <w:tc>
          <w:tcPr>
            <w:tcW w:w="1407" w:type="dxa"/>
            <w:vAlign w:val="center"/>
          </w:tcPr>
          <w:p w:rsidR="00431CEF" w:rsidRDefault="00F01AB8">
            <w:pPr>
              <w:jc w:val="center"/>
            </w:pPr>
            <w:r>
              <w:rPr>
                <w:color w:val="000000"/>
                <w:sz w:val="24"/>
                <w:szCs w:val="24"/>
              </w:rPr>
              <w:t>9</w:t>
            </w:r>
            <w:r>
              <w:rPr>
                <w:color w:val="000000"/>
                <w:sz w:val="24"/>
                <w:szCs w:val="24"/>
              </w:rPr>
              <w:t>年</w:t>
            </w:r>
          </w:p>
        </w:tc>
        <w:tc>
          <w:tcPr>
            <w:tcW w:w="2673" w:type="dxa"/>
            <w:vAlign w:val="center"/>
          </w:tcPr>
          <w:p w:rsidR="00431CEF" w:rsidRDefault="00F01AB8">
            <w:r>
              <w:rPr>
                <w:color w:val="000000"/>
                <w:sz w:val="24"/>
                <w:szCs w:val="24"/>
              </w:rPr>
              <w:t>芮晨先生，内蒙古科技大学工学士。历任深圳尚诚资产管理有限公司研究员、研究副总监，国联安基金管理有限公司行业研究员、投资经理，</w:t>
            </w:r>
            <w:r>
              <w:rPr>
                <w:color w:val="000000"/>
                <w:sz w:val="24"/>
                <w:szCs w:val="24"/>
              </w:rPr>
              <w:t>2013</w:t>
            </w:r>
            <w:r>
              <w:rPr>
                <w:color w:val="000000"/>
                <w:sz w:val="24"/>
                <w:szCs w:val="24"/>
              </w:rPr>
              <w:t>年</w:t>
            </w:r>
            <w:r>
              <w:rPr>
                <w:color w:val="000000"/>
                <w:sz w:val="24"/>
                <w:szCs w:val="24"/>
              </w:rPr>
              <w:t>-2014</w:t>
            </w:r>
            <w:r>
              <w:rPr>
                <w:color w:val="000000"/>
                <w:sz w:val="24"/>
                <w:szCs w:val="24"/>
              </w:rPr>
              <w:t>年</w:t>
            </w:r>
            <w:proofErr w:type="gramStart"/>
            <w:r>
              <w:rPr>
                <w:color w:val="000000"/>
                <w:sz w:val="24"/>
                <w:szCs w:val="24"/>
              </w:rPr>
              <w:t>任</w:t>
            </w:r>
            <w:r>
              <w:rPr>
                <w:color w:val="000000"/>
                <w:sz w:val="24"/>
                <w:szCs w:val="24"/>
              </w:rPr>
              <w:lastRenderedPageBreak/>
              <w:t>浙商证券</w:t>
            </w:r>
            <w:proofErr w:type="gramEnd"/>
            <w:r>
              <w:rPr>
                <w:color w:val="000000"/>
                <w:sz w:val="24"/>
                <w:szCs w:val="24"/>
              </w:rPr>
              <w:t>资产管理有限公司投资主办。</w:t>
            </w:r>
            <w:r>
              <w:rPr>
                <w:color w:val="000000"/>
                <w:sz w:val="24"/>
                <w:szCs w:val="24"/>
              </w:rPr>
              <w:t>2015</w:t>
            </w:r>
            <w:r>
              <w:rPr>
                <w:color w:val="000000"/>
                <w:sz w:val="24"/>
                <w:szCs w:val="24"/>
              </w:rPr>
              <w:t>年加入交银施罗德基金管理有限公司。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31CEF" w:rsidRDefault="00F01AB8">
      <w:pPr>
        <w:spacing w:before="29" w:line="288" w:lineRule="auto"/>
        <w:ind w:firstLineChars="200" w:firstLine="480"/>
        <w:rPr>
          <w:color w:val="000000"/>
          <w:sz w:val="24"/>
          <w:szCs w:val="24"/>
        </w:rPr>
      </w:pPr>
      <w:r>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中国证监会于</w:t>
      </w:r>
      <w:r w:rsidRPr="00414345">
        <w:rPr>
          <w:color w:val="000000"/>
          <w:sz w:val="24"/>
          <w:szCs w:val="24"/>
        </w:rPr>
        <w:t>2015</w:t>
      </w:r>
      <w:r w:rsidRPr="00414345">
        <w:rPr>
          <w:color w:val="000000"/>
          <w:sz w:val="24"/>
          <w:szCs w:val="24"/>
        </w:rPr>
        <w:t>年对公司进行了</w:t>
      </w:r>
      <w:r w:rsidRPr="00414345">
        <w:rPr>
          <w:color w:val="000000"/>
          <w:sz w:val="24"/>
          <w:szCs w:val="24"/>
        </w:rPr>
        <w:t>“</w:t>
      </w:r>
      <w:r w:rsidRPr="00414345">
        <w:rPr>
          <w:color w:val="000000"/>
          <w:sz w:val="24"/>
          <w:szCs w:val="24"/>
        </w:rPr>
        <w:t>两加强两遏制</w:t>
      </w:r>
      <w:r w:rsidRPr="00414345">
        <w:rPr>
          <w:color w:val="000000"/>
          <w:sz w:val="24"/>
          <w:szCs w:val="24"/>
        </w:rPr>
        <w:t>”</w:t>
      </w:r>
      <w:r w:rsidRPr="00414345">
        <w:rPr>
          <w:color w:val="000000"/>
          <w:sz w:val="24"/>
          <w:szCs w:val="24"/>
        </w:rPr>
        <w:t>检查，后续并就公司内部控制提出了相应改进意见及采取责令改正的行政监管措施。公司已经完成了相关问题的整改，并已向监管部门上报了专项报告。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31CEF" w:rsidRDefault="00F01AB8">
      <w:pPr>
        <w:spacing w:before="29" w:line="288" w:lineRule="auto"/>
        <w:ind w:firstLineChars="200" w:firstLine="480"/>
        <w:rPr>
          <w:color w:val="000000"/>
          <w:sz w:val="24"/>
          <w:szCs w:val="24"/>
        </w:rPr>
      </w:pPr>
      <w:r>
        <w:rPr>
          <w:color w:val="000000"/>
          <w:sz w:val="24"/>
          <w:szCs w:val="24"/>
        </w:rPr>
        <w:t>本公司制定了严格的投资控制制度和公平</w:t>
      </w:r>
      <w:r>
        <w:rPr>
          <w:color w:val="000000"/>
          <w:sz w:val="24"/>
          <w:szCs w:val="24"/>
        </w:rPr>
        <w:t>交易监控制度来保证旗下基金运作的公平，旗下所管理的所有资产组合，包括证券投资基金和特定客户资产管理专户均严格遵循制度进行公平交易。</w:t>
      </w:r>
    </w:p>
    <w:p w:rsidR="00431CEF" w:rsidRDefault="00F01AB8">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w:t>
      </w:r>
      <w:r>
        <w:rPr>
          <w:color w:val="000000"/>
          <w:sz w:val="24"/>
          <w:szCs w:val="24"/>
        </w:rPr>
        <w:t>行分配。</w:t>
      </w:r>
    </w:p>
    <w:p w:rsidR="00431CEF" w:rsidRDefault="00F01AB8">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次，是由于投资组合被动超标的合</w:t>
      </w:r>
      <w:proofErr w:type="gramStart"/>
      <w:r w:rsidRPr="00414345">
        <w:rPr>
          <w:color w:val="000000"/>
          <w:sz w:val="24"/>
          <w:szCs w:val="24"/>
        </w:rPr>
        <w:t>规</w:t>
      </w:r>
      <w:proofErr w:type="gramEnd"/>
      <w:r w:rsidRPr="00414345">
        <w:rPr>
          <w:color w:val="000000"/>
          <w:sz w:val="24"/>
          <w:szCs w:val="24"/>
        </w:rPr>
        <w:t>调整需要而发生同日反向交易，</w:t>
      </w:r>
      <w:r w:rsidRPr="00414345">
        <w:rPr>
          <w:color w:val="000000"/>
          <w:sz w:val="24"/>
          <w:szCs w:val="24"/>
        </w:rPr>
        <w:lastRenderedPageBreak/>
        <w:t>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31CEF" w:rsidRDefault="00F01AB8">
      <w:pPr>
        <w:spacing w:before="29" w:line="288" w:lineRule="auto"/>
        <w:ind w:firstLineChars="200" w:firstLine="480"/>
        <w:rPr>
          <w:color w:val="000000"/>
          <w:sz w:val="24"/>
          <w:szCs w:val="24"/>
        </w:rPr>
      </w:pPr>
      <w:r>
        <w:rPr>
          <w:color w:val="000000"/>
          <w:sz w:val="24"/>
          <w:szCs w:val="24"/>
        </w:rPr>
        <w:t>2016</w:t>
      </w:r>
      <w:r>
        <w:rPr>
          <w:color w:val="000000"/>
          <w:sz w:val="24"/>
          <w:szCs w:val="24"/>
        </w:rPr>
        <w:t>年二季度，传统经济没有复苏迹象，新兴经济热度有所下降，但整体仍发展良好。市场方面，受英国脱欧影响，英</w:t>
      </w:r>
      <w:r>
        <w:rPr>
          <w:color w:val="000000"/>
          <w:sz w:val="24"/>
          <w:szCs w:val="24"/>
        </w:rPr>
        <w:t>镑对美元大幅贬值，人民币汇率对美元继续贬值，但这次股票市场并未像以前一样，受汇率波动影响大幅调整。究其原因，我们认为汇率贬值是股票市场的风险点，但人民币不具备持续贬值的基础，所以后期汇率波动对股票市场的影响将边际下降。</w:t>
      </w:r>
      <w:r>
        <w:rPr>
          <w:color w:val="000000"/>
          <w:sz w:val="24"/>
          <w:szCs w:val="24"/>
        </w:rPr>
        <w:t>2016</w:t>
      </w:r>
      <w:r>
        <w:rPr>
          <w:color w:val="000000"/>
          <w:sz w:val="24"/>
          <w:szCs w:val="24"/>
        </w:rPr>
        <w:t>年二季度股票市场总体平稳，但各种热点不断，赚钱效应初步显现。</w:t>
      </w:r>
    </w:p>
    <w:p w:rsidR="00431CEF" w:rsidRDefault="00F01AB8">
      <w:pPr>
        <w:spacing w:before="29" w:line="288" w:lineRule="auto"/>
        <w:ind w:firstLineChars="200" w:firstLine="480"/>
        <w:rPr>
          <w:color w:val="000000"/>
          <w:sz w:val="24"/>
          <w:szCs w:val="24"/>
        </w:rPr>
      </w:pPr>
      <w:r>
        <w:rPr>
          <w:color w:val="000000"/>
          <w:sz w:val="24"/>
          <w:szCs w:val="24"/>
        </w:rPr>
        <w:t>2016</w:t>
      </w:r>
      <w:r>
        <w:rPr>
          <w:color w:val="000000"/>
          <w:sz w:val="24"/>
          <w:szCs w:val="24"/>
        </w:rPr>
        <w:t>年二季度，本基金净值有一定幅度回升，主要源自精选个股带来的收益。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2016</w:t>
      </w:r>
      <w:r w:rsidRPr="00414345">
        <w:rPr>
          <w:color w:val="000000"/>
          <w:sz w:val="24"/>
          <w:szCs w:val="24"/>
        </w:rPr>
        <w:t>年三季度，我们认为市场风险偏好有进一步提升的迹象，方向上依然看好经济转型的方向，既有好的前景又有业绩体现的个股会有持续性的表现。</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2016</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日，本基金份额净值为</w:t>
      </w:r>
      <w:r w:rsidRPr="00414345">
        <w:rPr>
          <w:color w:val="000000"/>
          <w:sz w:val="24"/>
          <w:szCs w:val="24"/>
        </w:rPr>
        <w:t xml:space="preserve"> 1.4685</w:t>
      </w:r>
      <w:r w:rsidRPr="00414345">
        <w:rPr>
          <w:color w:val="000000"/>
          <w:sz w:val="24"/>
          <w:szCs w:val="24"/>
        </w:rPr>
        <w:t>元，本报告期份额净值增长率为</w:t>
      </w:r>
      <w:r w:rsidRPr="00414345">
        <w:rPr>
          <w:color w:val="000000"/>
          <w:sz w:val="24"/>
          <w:szCs w:val="24"/>
        </w:rPr>
        <w:t>7.85%</w:t>
      </w:r>
      <w:r w:rsidRPr="00414345">
        <w:rPr>
          <w:color w:val="000000"/>
          <w:sz w:val="24"/>
          <w:szCs w:val="24"/>
        </w:rPr>
        <w:t>，同期业绩比较基准增长率为</w:t>
      </w:r>
      <w:r w:rsidRPr="00414345">
        <w:rPr>
          <w:color w:val="000000"/>
          <w:sz w:val="24"/>
          <w:szCs w:val="24"/>
        </w:rPr>
        <w:t>-0.92%</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F01AB8">
      <w:pPr>
        <w:pStyle w:val="1"/>
        <w:spacing w:beforeLines="100" w:after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2,049,974,979.40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2,049,974,979.40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91.02</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w:t>
            </w:r>
            <w:proofErr w:type="gramStart"/>
            <w:r w:rsidRPr="00414345">
              <w:rPr>
                <w:color w:val="000000"/>
                <w:sz w:val="24"/>
                <w:szCs w:val="24"/>
              </w:rPr>
              <w:t>品投资</w:t>
            </w:r>
            <w:proofErr w:type="gramEnd"/>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w:t>
            </w:r>
            <w:r w:rsidRPr="00414345">
              <w:rPr>
                <w:color w:val="000000"/>
                <w:sz w:val="24"/>
                <w:szCs w:val="24"/>
              </w:rPr>
              <w:lastRenderedPageBreak/>
              <w:t>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lastRenderedPageBreak/>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lastRenderedPageBreak/>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149,519,192.22</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6.64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52,755,200.20</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2.34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2,252,249,371.82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96,003,748.80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4.38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1,200,548,024.01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92,344,762.32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34,265,232.00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497,078,637.14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22.68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67,872,583.09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3.10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61,861,992.04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2,049,974,979.40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93.53</w:t>
            </w:r>
          </w:p>
        </w:tc>
      </w:tr>
    </w:tbl>
    <w:p w:rsidR="00F01AB8" w:rsidRDefault="00F01AB8" w:rsidP="00F51C4E">
      <w:pPr>
        <w:jc w:val="left"/>
        <w:rPr>
          <w:rFonts w:asciiTheme="minorEastAsia" w:eastAsiaTheme="minorEastAsia" w:hAnsiTheme="minorEastAsia" w:hint="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lastRenderedPageBreak/>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bookmarkStart w:id="0" w:name="_GoBack"/>
      <w:bookmarkEnd w:id="0"/>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31CEF">
        <w:trPr>
          <w:jc w:val="center"/>
        </w:trPr>
        <w:tc>
          <w:tcPr>
            <w:tcW w:w="855" w:type="dxa"/>
            <w:vAlign w:val="center"/>
          </w:tcPr>
          <w:p w:rsidR="00431CEF" w:rsidRDefault="00F01AB8">
            <w:pPr>
              <w:jc w:val="center"/>
            </w:pPr>
            <w:r>
              <w:rPr>
                <w:color w:val="000000"/>
                <w:sz w:val="24"/>
                <w:szCs w:val="24"/>
              </w:rPr>
              <w:t>1</w:t>
            </w:r>
          </w:p>
        </w:tc>
        <w:tc>
          <w:tcPr>
            <w:tcW w:w="1334" w:type="dxa"/>
            <w:vAlign w:val="center"/>
          </w:tcPr>
          <w:p w:rsidR="00431CEF" w:rsidRDefault="00F01AB8">
            <w:pPr>
              <w:jc w:val="center"/>
            </w:pPr>
            <w:r>
              <w:rPr>
                <w:color w:val="000000"/>
                <w:sz w:val="24"/>
                <w:szCs w:val="24"/>
              </w:rPr>
              <w:t>300365</w:t>
            </w:r>
          </w:p>
        </w:tc>
        <w:tc>
          <w:tcPr>
            <w:tcW w:w="1777" w:type="dxa"/>
            <w:vAlign w:val="center"/>
          </w:tcPr>
          <w:p w:rsidR="00431CEF" w:rsidRDefault="00F01AB8">
            <w:pPr>
              <w:jc w:val="center"/>
            </w:pPr>
            <w:r>
              <w:rPr>
                <w:color w:val="000000"/>
                <w:sz w:val="24"/>
                <w:szCs w:val="24"/>
              </w:rPr>
              <w:t>恒华科技</w:t>
            </w:r>
          </w:p>
        </w:tc>
        <w:tc>
          <w:tcPr>
            <w:tcW w:w="1334" w:type="dxa"/>
            <w:vAlign w:val="center"/>
          </w:tcPr>
          <w:p w:rsidR="00431CEF" w:rsidRDefault="00F01AB8">
            <w:pPr>
              <w:jc w:val="right"/>
            </w:pPr>
            <w:r>
              <w:rPr>
                <w:color w:val="000000"/>
                <w:sz w:val="24"/>
                <w:szCs w:val="24"/>
              </w:rPr>
              <w:t>4,720,888</w:t>
            </w:r>
          </w:p>
        </w:tc>
        <w:tc>
          <w:tcPr>
            <w:tcW w:w="1924" w:type="dxa"/>
            <w:vAlign w:val="center"/>
          </w:tcPr>
          <w:p w:rsidR="00431CEF" w:rsidRDefault="00F01AB8">
            <w:pPr>
              <w:jc w:val="right"/>
            </w:pPr>
            <w:r>
              <w:rPr>
                <w:color w:val="000000"/>
                <w:sz w:val="24"/>
                <w:szCs w:val="24"/>
              </w:rPr>
              <w:t>215,980,626.00</w:t>
            </w:r>
          </w:p>
        </w:tc>
        <w:tc>
          <w:tcPr>
            <w:tcW w:w="1644" w:type="dxa"/>
            <w:vAlign w:val="center"/>
          </w:tcPr>
          <w:p w:rsidR="00431CEF" w:rsidRDefault="00F01AB8">
            <w:pPr>
              <w:jc w:val="right"/>
            </w:pPr>
            <w:r>
              <w:rPr>
                <w:color w:val="000000"/>
                <w:sz w:val="24"/>
                <w:szCs w:val="24"/>
              </w:rPr>
              <w:t>9.85</w:t>
            </w:r>
          </w:p>
        </w:tc>
      </w:tr>
      <w:tr w:rsidR="00431CEF">
        <w:trPr>
          <w:jc w:val="center"/>
        </w:trPr>
        <w:tc>
          <w:tcPr>
            <w:tcW w:w="855" w:type="dxa"/>
            <w:vAlign w:val="center"/>
          </w:tcPr>
          <w:p w:rsidR="00431CEF" w:rsidRDefault="00F01AB8">
            <w:pPr>
              <w:jc w:val="center"/>
            </w:pPr>
            <w:r>
              <w:rPr>
                <w:color w:val="000000"/>
                <w:sz w:val="24"/>
                <w:szCs w:val="24"/>
              </w:rPr>
              <w:t>2</w:t>
            </w:r>
          </w:p>
        </w:tc>
        <w:tc>
          <w:tcPr>
            <w:tcW w:w="1334" w:type="dxa"/>
            <w:vAlign w:val="center"/>
          </w:tcPr>
          <w:p w:rsidR="00431CEF" w:rsidRDefault="00F01AB8">
            <w:pPr>
              <w:jc w:val="center"/>
            </w:pPr>
            <w:r>
              <w:rPr>
                <w:color w:val="000000"/>
                <w:sz w:val="24"/>
                <w:szCs w:val="24"/>
              </w:rPr>
              <w:t>300279</w:t>
            </w:r>
          </w:p>
        </w:tc>
        <w:tc>
          <w:tcPr>
            <w:tcW w:w="1777" w:type="dxa"/>
            <w:vAlign w:val="center"/>
          </w:tcPr>
          <w:p w:rsidR="00431CEF" w:rsidRDefault="00F01AB8">
            <w:pPr>
              <w:jc w:val="center"/>
            </w:pPr>
            <w:proofErr w:type="gramStart"/>
            <w:r>
              <w:rPr>
                <w:color w:val="000000"/>
                <w:sz w:val="24"/>
                <w:szCs w:val="24"/>
              </w:rPr>
              <w:t>和晶科技</w:t>
            </w:r>
            <w:proofErr w:type="gramEnd"/>
          </w:p>
        </w:tc>
        <w:tc>
          <w:tcPr>
            <w:tcW w:w="1334" w:type="dxa"/>
            <w:vAlign w:val="center"/>
          </w:tcPr>
          <w:p w:rsidR="00431CEF" w:rsidRDefault="00F01AB8">
            <w:pPr>
              <w:jc w:val="right"/>
            </w:pPr>
            <w:r>
              <w:rPr>
                <w:color w:val="000000"/>
                <w:sz w:val="24"/>
                <w:szCs w:val="24"/>
              </w:rPr>
              <w:t>4,214,941</w:t>
            </w:r>
          </w:p>
        </w:tc>
        <w:tc>
          <w:tcPr>
            <w:tcW w:w="1924" w:type="dxa"/>
            <w:vAlign w:val="center"/>
          </w:tcPr>
          <w:p w:rsidR="00431CEF" w:rsidRDefault="00F01AB8">
            <w:pPr>
              <w:jc w:val="right"/>
            </w:pPr>
            <w:r>
              <w:rPr>
                <w:color w:val="000000"/>
                <w:sz w:val="24"/>
                <w:szCs w:val="24"/>
              </w:rPr>
              <w:t>200,167,548.09</w:t>
            </w:r>
          </w:p>
        </w:tc>
        <w:tc>
          <w:tcPr>
            <w:tcW w:w="1644" w:type="dxa"/>
            <w:vAlign w:val="center"/>
          </w:tcPr>
          <w:p w:rsidR="00431CEF" w:rsidRDefault="00F01AB8">
            <w:pPr>
              <w:jc w:val="right"/>
            </w:pPr>
            <w:r>
              <w:rPr>
                <w:color w:val="000000"/>
                <w:sz w:val="24"/>
                <w:szCs w:val="24"/>
              </w:rPr>
              <w:t>9.13</w:t>
            </w:r>
          </w:p>
        </w:tc>
      </w:tr>
      <w:tr w:rsidR="00431CEF">
        <w:trPr>
          <w:jc w:val="center"/>
        </w:trPr>
        <w:tc>
          <w:tcPr>
            <w:tcW w:w="855" w:type="dxa"/>
            <w:vAlign w:val="center"/>
          </w:tcPr>
          <w:p w:rsidR="00431CEF" w:rsidRDefault="00F01AB8">
            <w:pPr>
              <w:jc w:val="center"/>
            </w:pPr>
            <w:r>
              <w:rPr>
                <w:color w:val="000000"/>
                <w:sz w:val="24"/>
                <w:szCs w:val="24"/>
              </w:rPr>
              <w:t>3</w:t>
            </w:r>
          </w:p>
        </w:tc>
        <w:tc>
          <w:tcPr>
            <w:tcW w:w="1334" w:type="dxa"/>
            <w:vAlign w:val="center"/>
          </w:tcPr>
          <w:p w:rsidR="00431CEF" w:rsidRDefault="00F01AB8">
            <w:pPr>
              <w:jc w:val="center"/>
            </w:pPr>
            <w:r>
              <w:rPr>
                <w:color w:val="000000"/>
                <w:sz w:val="24"/>
                <w:szCs w:val="24"/>
              </w:rPr>
              <w:t>002098</w:t>
            </w:r>
          </w:p>
        </w:tc>
        <w:tc>
          <w:tcPr>
            <w:tcW w:w="1777" w:type="dxa"/>
            <w:vAlign w:val="center"/>
          </w:tcPr>
          <w:p w:rsidR="00431CEF" w:rsidRDefault="00F01AB8">
            <w:pPr>
              <w:jc w:val="center"/>
            </w:pPr>
            <w:proofErr w:type="gramStart"/>
            <w:r>
              <w:rPr>
                <w:color w:val="000000"/>
                <w:sz w:val="24"/>
                <w:szCs w:val="24"/>
              </w:rPr>
              <w:t>浔</w:t>
            </w:r>
            <w:proofErr w:type="gramEnd"/>
            <w:r>
              <w:rPr>
                <w:color w:val="000000"/>
                <w:sz w:val="24"/>
                <w:szCs w:val="24"/>
              </w:rPr>
              <w:t>兴股份</w:t>
            </w:r>
          </w:p>
        </w:tc>
        <w:tc>
          <w:tcPr>
            <w:tcW w:w="1334" w:type="dxa"/>
            <w:vAlign w:val="center"/>
          </w:tcPr>
          <w:p w:rsidR="00431CEF" w:rsidRDefault="00F01AB8">
            <w:pPr>
              <w:jc w:val="right"/>
            </w:pPr>
            <w:r>
              <w:rPr>
                <w:color w:val="000000"/>
                <w:sz w:val="24"/>
                <w:szCs w:val="24"/>
              </w:rPr>
              <w:t>13,831,542</w:t>
            </w:r>
          </w:p>
        </w:tc>
        <w:tc>
          <w:tcPr>
            <w:tcW w:w="1924" w:type="dxa"/>
            <w:vAlign w:val="center"/>
          </w:tcPr>
          <w:p w:rsidR="00431CEF" w:rsidRDefault="00F01AB8">
            <w:pPr>
              <w:jc w:val="right"/>
            </w:pPr>
            <w:r>
              <w:rPr>
                <w:color w:val="000000"/>
                <w:sz w:val="24"/>
                <w:szCs w:val="24"/>
              </w:rPr>
              <w:t>160,722,518.04</w:t>
            </w:r>
          </w:p>
        </w:tc>
        <w:tc>
          <w:tcPr>
            <w:tcW w:w="1644" w:type="dxa"/>
            <w:vAlign w:val="center"/>
          </w:tcPr>
          <w:p w:rsidR="00431CEF" w:rsidRDefault="00F01AB8">
            <w:pPr>
              <w:jc w:val="right"/>
            </w:pPr>
            <w:r>
              <w:rPr>
                <w:color w:val="000000"/>
                <w:sz w:val="24"/>
                <w:szCs w:val="24"/>
              </w:rPr>
              <w:t>7.33</w:t>
            </w:r>
          </w:p>
        </w:tc>
      </w:tr>
      <w:tr w:rsidR="00431CEF">
        <w:trPr>
          <w:jc w:val="center"/>
        </w:trPr>
        <w:tc>
          <w:tcPr>
            <w:tcW w:w="855" w:type="dxa"/>
            <w:vAlign w:val="center"/>
          </w:tcPr>
          <w:p w:rsidR="00431CEF" w:rsidRDefault="00F01AB8">
            <w:pPr>
              <w:jc w:val="center"/>
            </w:pPr>
            <w:r>
              <w:rPr>
                <w:color w:val="000000"/>
                <w:sz w:val="24"/>
                <w:szCs w:val="24"/>
              </w:rPr>
              <w:t>4</w:t>
            </w:r>
          </w:p>
        </w:tc>
        <w:tc>
          <w:tcPr>
            <w:tcW w:w="1334" w:type="dxa"/>
            <w:vAlign w:val="center"/>
          </w:tcPr>
          <w:p w:rsidR="00431CEF" w:rsidRDefault="00F01AB8">
            <w:pPr>
              <w:jc w:val="center"/>
            </w:pPr>
            <w:r>
              <w:rPr>
                <w:color w:val="000000"/>
                <w:sz w:val="24"/>
                <w:szCs w:val="24"/>
              </w:rPr>
              <w:t>002605</w:t>
            </w:r>
          </w:p>
        </w:tc>
        <w:tc>
          <w:tcPr>
            <w:tcW w:w="1777" w:type="dxa"/>
            <w:vAlign w:val="center"/>
          </w:tcPr>
          <w:p w:rsidR="00431CEF" w:rsidRDefault="00F01AB8">
            <w:pPr>
              <w:jc w:val="center"/>
            </w:pPr>
            <w:r>
              <w:rPr>
                <w:color w:val="000000"/>
                <w:sz w:val="24"/>
                <w:szCs w:val="24"/>
              </w:rPr>
              <w:t>姚记扑克</w:t>
            </w:r>
          </w:p>
        </w:tc>
        <w:tc>
          <w:tcPr>
            <w:tcW w:w="1334" w:type="dxa"/>
            <w:vAlign w:val="center"/>
          </w:tcPr>
          <w:p w:rsidR="00431CEF" w:rsidRDefault="00F01AB8">
            <w:pPr>
              <w:jc w:val="right"/>
            </w:pPr>
            <w:r>
              <w:rPr>
                <w:color w:val="000000"/>
                <w:sz w:val="24"/>
                <w:szCs w:val="24"/>
              </w:rPr>
              <w:t>9,277,229</w:t>
            </w:r>
          </w:p>
        </w:tc>
        <w:tc>
          <w:tcPr>
            <w:tcW w:w="1924" w:type="dxa"/>
            <w:vAlign w:val="center"/>
          </w:tcPr>
          <w:p w:rsidR="00431CEF" w:rsidRDefault="00F01AB8">
            <w:pPr>
              <w:jc w:val="right"/>
            </w:pPr>
            <w:r>
              <w:rPr>
                <w:color w:val="000000"/>
                <w:sz w:val="24"/>
                <w:szCs w:val="24"/>
              </w:rPr>
              <w:t>151,311,604.99</w:t>
            </w:r>
          </w:p>
        </w:tc>
        <w:tc>
          <w:tcPr>
            <w:tcW w:w="1644" w:type="dxa"/>
            <w:vAlign w:val="center"/>
          </w:tcPr>
          <w:p w:rsidR="00431CEF" w:rsidRDefault="00F01AB8">
            <w:pPr>
              <w:jc w:val="right"/>
            </w:pPr>
            <w:r>
              <w:rPr>
                <w:color w:val="000000"/>
                <w:sz w:val="24"/>
                <w:szCs w:val="24"/>
              </w:rPr>
              <w:t>6.90</w:t>
            </w:r>
          </w:p>
        </w:tc>
      </w:tr>
      <w:tr w:rsidR="00431CEF">
        <w:trPr>
          <w:jc w:val="center"/>
        </w:trPr>
        <w:tc>
          <w:tcPr>
            <w:tcW w:w="855" w:type="dxa"/>
            <w:vAlign w:val="center"/>
          </w:tcPr>
          <w:p w:rsidR="00431CEF" w:rsidRDefault="00F01AB8">
            <w:pPr>
              <w:jc w:val="center"/>
            </w:pPr>
            <w:r>
              <w:rPr>
                <w:color w:val="000000"/>
                <w:sz w:val="24"/>
                <w:szCs w:val="24"/>
              </w:rPr>
              <w:t>5</w:t>
            </w:r>
          </w:p>
        </w:tc>
        <w:tc>
          <w:tcPr>
            <w:tcW w:w="1334" w:type="dxa"/>
            <w:vAlign w:val="center"/>
          </w:tcPr>
          <w:p w:rsidR="00431CEF" w:rsidRDefault="00F01AB8">
            <w:pPr>
              <w:jc w:val="center"/>
            </w:pPr>
            <w:r>
              <w:rPr>
                <w:color w:val="000000"/>
                <w:sz w:val="24"/>
                <w:szCs w:val="24"/>
              </w:rPr>
              <w:t>300161</w:t>
            </w:r>
          </w:p>
        </w:tc>
        <w:tc>
          <w:tcPr>
            <w:tcW w:w="1777" w:type="dxa"/>
            <w:vAlign w:val="center"/>
          </w:tcPr>
          <w:p w:rsidR="00431CEF" w:rsidRDefault="00F01AB8">
            <w:pPr>
              <w:jc w:val="center"/>
            </w:pPr>
            <w:r>
              <w:rPr>
                <w:color w:val="000000"/>
                <w:sz w:val="24"/>
                <w:szCs w:val="24"/>
              </w:rPr>
              <w:t>华中数控</w:t>
            </w:r>
          </w:p>
        </w:tc>
        <w:tc>
          <w:tcPr>
            <w:tcW w:w="1334" w:type="dxa"/>
            <w:vAlign w:val="center"/>
          </w:tcPr>
          <w:p w:rsidR="00431CEF" w:rsidRDefault="00F01AB8">
            <w:pPr>
              <w:jc w:val="right"/>
            </w:pPr>
            <w:r>
              <w:rPr>
                <w:color w:val="000000"/>
                <w:sz w:val="24"/>
                <w:szCs w:val="24"/>
              </w:rPr>
              <w:t>4,732,017</w:t>
            </w:r>
          </w:p>
        </w:tc>
        <w:tc>
          <w:tcPr>
            <w:tcW w:w="1924" w:type="dxa"/>
            <w:vAlign w:val="center"/>
          </w:tcPr>
          <w:p w:rsidR="00431CEF" w:rsidRDefault="00F01AB8">
            <w:pPr>
              <w:jc w:val="right"/>
            </w:pPr>
            <w:r>
              <w:rPr>
                <w:color w:val="000000"/>
                <w:sz w:val="24"/>
                <w:szCs w:val="24"/>
              </w:rPr>
              <w:t>145,036,321.05</w:t>
            </w:r>
          </w:p>
        </w:tc>
        <w:tc>
          <w:tcPr>
            <w:tcW w:w="1644" w:type="dxa"/>
            <w:vAlign w:val="center"/>
          </w:tcPr>
          <w:p w:rsidR="00431CEF" w:rsidRDefault="00F01AB8">
            <w:pPr>
              <w:jc w:val="right"/>
            </w:pPr>
            <w:r>
              <w:rPr>
                <w:color w:val="000000"/>
                <w:sz w:val="24"/>
                <w:szCs w:val="24"/>
              </w:rPr>
              <w:t>6.62</w:t>
            </w:r>
          </w:p>
        </w:tc>
      </w:tr>
      <w:tr w:rsidR="00431CEF">
        <w:trPr>
          <w:jc w:val="center"/>
        </w:trPr>
        <w:tc>
          <w:tcPr>
            <w:tcW w:w="855" w:type="dxa"/>
            <w:vAlign w:val="center"/>
          </w:tcPr>
          <w:p w:rsidR="00431CEF" w:rsidRDefault="00F01AB8">
            <w:pPr>
              <w:jc w:val="center"/>
            </w:pPr>
            <w:r>
              <w:rPr>
                <w:color w:val="000000"/>
                <w:sz w:val="24"/>
                <w:szCs w:val="24"/>
              </w:rPr>
              <w:t>6</w:t>
            </w:r>
          </w:p>
        </w:tc>
        <w:tc>
          <w:tcPr>
            <w:tcW w:w="1334" w:type="dxa"/>
            <w:vAlign w:val="center"/>
          </w:tcPr>
          <w:p w:rsidR="00431CEF" w:rsidRDefault="00F01AB8">
            <w:pPr>
              <w:jc w:val="center"/>
            </w:pPr>
            <w:r>
              <w:rPr>
                <w:color w:val="000000"/>
                <w:sz w:val="24"/>
                <w:szCs w:val="24"/>
              </w:rPr>
              <w:t>300226</w:t>
            </w:r>
          </w:p>
        </w:tc>
        <w:tc>
          <w:tcPr>
            <w:tcW w:w="1777" w:type="dxa"/>
            <w:vAlign w:val="center"/>
          </w:tcPr>
          <w:p w:rsidR="00431CEF" w:rsidRDefault="00F01AB8">
            <w:pPr>
              <w:jc w:val="center"/>
            </w:pPr>
            <w:r>
              <w:rPr>
                <w:color w:val="000000"/>
                <w:sz w:val="24"/>
                <w:szCs w:val="24"/>
              </w:rPr>
              <w:t>上海钢联</w:t>
            </w:r>
          </w:p>
        </w:tc>
        <w:tc>
          <w:tcPr>
            <w:tcW w:w="1334" w:type="dxa"/>
            <w:vAlign w:val="center"/>
          </w:tcPr>
          <w:p w:rsidR="00431CEF" w:rsidRDefault="00F01AB8">
            <w:pPr>
              <w:jc w:val="right"/>
            </w:pPr>
            <w:r>
              <w:rPr>
                <w:color w:val="000000"/>
                <w:sz w:val="24"/>
                <w:szCs w:val="24"/>
              </w:rPr>
              <w:t>2,728,368</w:t>
            </w:r>
          </w:p>
        </w:tc>
        <w:tc>
          <w:tcPr>
            <w:tcW w:w="1924" w:type="dxa"/>
            <w:vAlign w:val="center"/>
          </w:tcPr>
          <w:p w:rsidR="00431CEF" w:rsidRDefault="00F01AB8">
            <w:pPr>
              <w:jc w:val="right"/>
            </w:pPr>
            <w:r>
              <w:rPr>
                <w:color w:val="000000"/>
                <w:sz w:val="24"/>
                <w:szCs w:val="24"/>
              </w:rPr>
              <w:t>137,509,747.20</w:t>
            </w:r>
          </w:p>
        </w:tc>
        <w:tc>
          <w:tcPr>
            <w:tcW w:w="1644" w:type="dxa"/>
            <w:vAlign w:val="center"/>
          </w:tcPr>
          <w:p w:rsidR="00431CEF" w:rsidRDefault="00F01AB8">
            <w:pPr>
              <w:jc w:val="right"/>
            </w:pPr>
            <w:r>
              <w:rPr>
                <w:color w:val="000000"/>
                <w:sz w:val="24"/>
                <w:szCs w:val="24"/>
              </w:rPr>
              <w:t>6.27</w:t>
            </w:r>
          </w:p>
        </w:tc>
      </w:tr>
      <w:tr w:rsidR="00431CEF">
        <w:trPr>
          <w:jc w:val="center"/>
        </w:trPr>
        <w:tc>
          <w:tcPr>
            <w:tcW w:w="855" w:type="dxa"/>
            <w:vAlign w:val="center"/>
          </w:tcPr>
          <w:p w:rsidR="00431CEF" w:rsidRDefault="00F01AB8">
            <w:pPr>
              <w:jc w:val="center"/>
            </w:pPr>
            <w:r>
              <w:rPr>
                <w:color w:val="000000"/>
                <w:sz w:val="24"/>
                <w:szCs w:val="24"/>
              </w:rPr>
              <w:t>7</w:t>
            </w:r>
          </w:p>
        </w:tc>
        <w:tc>
          <w:tcPr>
            <w:tcW w:w="1334" w:type="dxa"/>
            <w:vAlign w:val="center"/>
          </w:tcPr>
          <w:p w:rsidR="00431CEF" w:rsidRDefault="00F01AB8">
            <w:pPr>
              <w:jc w:val="center"/>
            </w:pPr>
            <w:r>
              <w:rPr>
                <w:color w:val="000000"/>
                <w:sz w:val="24"/>
                <w:szCs w:val="24"/>
              </w:rPr>
              <w:t>002094</w:t>
            </w:r>
          </w:p>
        </w:tc>
        <w:tc>
          <w:tcPr>
            <w:tcW w:w="1777" w:type="dxa"/>
            <w:vAlign w:val="center"/>
          </w:tcPr>
          <w:p w:rsidR="00431CEF" w:rsidRDefault="00F01AB8">
            <w:pPr>
              <w:jc w:val="center"/>
            </w:pPr>
            <w:r>
              <w:rPr>
                <w:color w:val="000000"/>
                <w:sz w:val="24"/>
                <w:szCs w:val="24"/>
              </w:rPr>
              <w:t>青岛金王</w:t>
            </w:r>
          </w:p>
        </w:tc>
        <w:tc>
          <w:tcPr>
            <w:tcW w:w="1334" w:type="dxa"/>
            <w:vAlign w:val="center"/>
          </w:tcPr>
          <w:p w:rsidR="00431CEF" w:rsidRDefault="00F01AB8">
            <w:pPr>
              <w:jc w:val="right"/>
            </w:pPr>
            <w:r>
              <w:rPr>
                <w:color w:val="000000"/>
                <w:sz w:val="24"/>
                <w:szCs w:val="24"/>
              </w:rPr>
              <w:t>4,596,801</w:t>
            </w:r>
          </w:p>
        </w:tc>
        <w:tc>
          <w:tcPr>
            <w:tcW w:w="1924" w:type="dxa"/>
            <w:vAlign w:val="center"/>
          </w:tcPr>
          <w:p w:rsidR="00431CEF" w:rsidRDefault="00F01AB8">
            <w:pPr>
              <w:jc w:val="right"/>
            </w:pPr>
            <w:r>
              <w:rPr>
                <w:color w:val="000000"/>
                <w:sz w:val="24"/>
                <w:szCs w:val="24"/>
              </w:rPr>
              <w:t>122,780,554.71</w:t>
            </w:r>
          </w:p>
        </w:tc>
        <w:tc>
          <w:tcPr>
            <w:tcW w:w="1644" w:type="dxa"/>
            <w:vAlign w:val="center"/>
          </w:tcPr>
          <w:p w:rsidR="00431CEF" w:rsidRDefault="00F01AB8">
            <w:pPr>
              <w:jc w:val="right"/>
            </w:pPr>
            <w:r>
              <w:rPr>
                <w:color w:val="000000"/>
                <w:sz w:val="24"/>
                <w:szCs w:val="24"/>
              </w:rPr>
              <w:t>5.60</w:t>
            </w:r>
          </w:p>
        </w:tc>
      </w:tr>
      <w:tr w:rsidR="00431CEF">
        <w:trPr>
          <w:jc w:val="center"/>
        </w:trPr>
        <w:tc>
          <w:tcPr>
            <w:tcW w:w="855" w:type="dxa"/>
            <w:vAlign w:val="center"/>
          </w:tcPr>
          <w:p w:rsidR="00431CEF" w:rsidRDefault="00F01AB8">
            <w:pPr>
              <w:jc w:val="center"/>
            </w:pPr>
            <w:r>
              <w:rPr>
                <w:color w:val="000000"/>
                <w:sz w:val="24"/>
                <w:szCs w:val="24"/>
              </w:rPr>
              <w:t>8</w:t>
            </w:r>
          </w:p>
        </w:tc>
        <w:tc>
          <w:tcPr>
            <w:tcW w:w="1334" w:type="dxa"/>
            <w:vAlign w:val="center"/>
          </w:tcPr>
          <w:p w:rsidR="00431CEF" w:rsidRDefault="00F01AB8">
            <w:pPr>
              <w:jc w:val="center"/>
            </w:pPr>
            <w:r>
              <w:rPr>
                <w:color w:val="000000"/>
                <w:sz w:val="24"/>
                <w:szCs w:val="24"/>
              </w:rPr>
              <w:t>300212</w:t>
            </w:r>
          </w:p>
        </w:tc>
        <w:tc>
          <w:tcPr>
            <w:tcW w:w="1777" w:type="dxa"/>
            <w:vAlign w:val="center"/>
          </w:tcPr>
          <w:p w:rsidR="00431CEF" w:rsidRDefault="00F01AB8">
            <w:pPr>
              <w:jc w:val="center"/>
            </w:pPr>
            <w:r>
              <w:rPr>
                <w:color w:val="000000"/>
                <w:sz w:val="24"/>
                <w:szCs w:val="24"/>
              </w:rPr>
              <w:t>易华录</w:t>
            </w:r>
          </w:p>
        </w:tc>
        <w:tc>
          <w:tcPr>
            <w:tcW w:w="1334" w:type="dxa"/>
            <w:vAlign w:val="center"/>
          </w:tcPr>
          <w:p w:rsidR="00431CEF" w:rsidRDefault="00F01AB8">
            <w:pPr>
              <w:jc w:val="right"/>
            </w:pPr>
            <w:r>
              <w:rPr>
                <w:color w:val="000000"/>
                <w:sz w:val="24"/>
                <w:szCs w:val="24"/>
              </w:rPr>
              <w:t>3,451,822</w:t>
            </w:r>
          </w:p>
        </w:tc>
        <w:tc>
          <w:tcPr>
            <w:tcW w:w="1924" w:type="dxa"/>
            <w:vAlign w:val="center"/>
          </w:tcPr>
          <w:p w:rsidR="00431CEF" w:rsidRDefault="00F01AB8">
            <w:pPr>
              <w:jc w:val="right"/>
            </w:pPr>
            <w:r>
              <w:rPr>
                <w:color w:val="000000"/>
                <w:sz w:val="24"/>
                <w:szCs w:val="24"/>
              </w:rPr>
              <w:t>102,760,740.94</w:t>
            </w:r>
          </w:p>
        </w:tc>
        <w:tc>
          <w:tcPr>
            <w:tcW w:w="1644" w:type="dxa"/>
            <w:vAlign w:val="center"/>
          </w:tcPr>
          <w:p w:rsidR="00431CEF" w:rsidRDefault="00F01AB8">
            <w:pPr>
              <w:jc w:val="right"/>
            </w:pPr>
            <w:r>
              <w:rPr>
                <w:color w:val="000000"/>
                <w:sz w:val="24"/>
                <w:szCs w:val="24"/>
              </w:rPr>
              <w:t>4.69</w:t>
            </w:r>
          </w:p>
        </w:tc>
      </w:tr>
      <w:tr w:rsidR="00431CEF">
        <w:trPr>
          <w:jc w:val="center"/>
        </w:trPr>
        <w:tc>
          <w:tcPr>
            <w:tcW w:w="855" w:type="dxa"/>
            <w:vAlign w:val="center"/>
          </w:tcPr>
          <w:p w:rsidR="00431CEF" w:rsidRDefault="00F01AB8">
            <w:pPr>
              <w:jc w:val="center"/>
            </w:pPr>
            <w:r>
              <w:rPr>
                <w:color w:val="000000"/>
                <w:sz w:val="24"/>
                <w:szCs w:val="24"/>
              </w:rPr>
              <w:t>9</w:t>
            </w:r>
          </w:p>
        </w:tc>
        <w:tc>
          <w:tcPr>
            <w:tcW w:w="1334" w:type="dxa"/>
            <w:vAlign w:val="center"/>
          </w:tcPr>
          <w:p w:rsidR="00431CEF" w:rsidRDefault="00F01AB8">
            <w:pPr>
              <w:jc w:val="center"/>
            </w:pPr>
            <w:r>
              <w:rPr>
                <w:color w:val="000000"/>
                <w:sz w:val="24"/>
                <w:szCs w:val="24"/>
              </w:rPr>
              <w:t>300016</w:t>
            </w:r>
          </w:p>
        </w:tc>
        <w:tc>
          <w:tcPr>
            <w:tcW w:w="1777" w:type="dxa"/>
            <w:vAlign w:val="center"/>
          </w:tcPr>
          <w:p w:rsidR="00431CEF" w:rsidRDefault="00F01AB8">
            <w:pPr>
              <w:jc w:val="center"/>
            </w:pPr>
            <w:r>
              <w:rPr>
                <w:color w:val="000000"/>
                <w:sz w:val="24"/>
                <w:szCs w:val="24"/>
              </w:rPr>
              <w:t>北陆药业</w:t>
            </w:r>
          </w:p>
        </w:tc>
        <w:tc>
          <w:tcPr>
            <w:tcW w:w="1334" w:type="dxa"/>
            <w:vAlign w:val="center"/>
          </w:tcPr>
          <w:p w:rsidR="00431CEF" w:rsidRDefault="00F01AB8">
            <w:pPr>
              <w:jc w:val="right"/>
            </w:pPr>
            <w:r>
              <w:rPr>
                <w:color w:val="000000"/>
                <w:sz w:val="24"/>
                <w:szCs w:val="24"/>
              </w:rPr>
              <w:t>4,456,506</w:t>
            </w:r>
          </w:p>
        </w:tc>
        <w:tc>
          <w:tcPr>
            <w:tcW w:w="1924" w:type="dxa"/>
            <w:vAlign w:val="center"/>
          </w:tcPr>
          <w:p w:rsidR="00431CEF" w:rsidRDefault="00F01AB8">
            <w:pPr>
              <w:jc w:val="right"/>
            </w:pPr>
            <w:r>
              <w:rPr>
                <w:color w:val="000000"/>
                <w:sz w:val="24"/>
                <w:szCs w:val="24"/>
              </w:rPr>
              <w:t>101,831,162.10</w:t>
            </w:r>
          </w:p>
        </w:tc>
        <w:tc>
          <w:tcPr>
            <w:tcW w:w="1644" w:type="dxa"/>
            <w:vAlign w:val="center"/>
          </w:tcPr>
          <w:p w:rsidR="00431CEF" w:rsidRDefault="00F01AB8">
            <w:pPr>
              <w:jc w:val="right"/>
            </w:pPr>
            <w:r>
              <w:rPr>
                <w:color w:val="000000"/>
                <w:sz w:val="24"/>
                <w:szCs w:val="24"/>
              </w:rPr>
              <w:t>4.65</w:t>
            </w:r>
          </w:p>
        </w:tc>
      </w:tr>
      <w:tr w:rsidR="00431CEF">
        <w:trPr>
          <w:jc w:val="center"/>
        </w:trPr>
        <w:tc>
          <w:tcPr>
            <w:tcW w:w="855" w:type="dxa"/>
            <w:vAlign w:val="center"/>
          </w:tcPr>
          <w:p w:rsidR="00431CEF" w:rsidRDefault="00F01AB8">
            <w:pPr>
              <w:jc w:val="center"/>
            </w:pPr>
            <w:r>
              <w:rPr>
                <w:color w:val="000000"/>
                <w:sz w:val="24"/>
                <w:szCs w:val="24"/>
              </w:rPr>
              <w:t>10</w:t>
            </w:r>
          </w:p>
        </w:tc>
        <w:tc>
          <w:tcPr>
            <w:tcW w:w="1334" w:type="dxa"/>
            <w:vAlign w:val="center"/>
          </w:tcPr>
          <w:p w:rsidR="00431CEF" w:rsidRDefault="00F01AB8">
            <w:pPr>
              <w:jc w:val="center"/>
            </w:pPr>
            <w:r>
              <w:rPr>
                <w:color w:val="000000"/>
                <w:sz w:val="24"/>
                <w:szCs w:val="24"/>
              </w:rPr>
              <w:t>300329</w:t>
            </w:r>
          </w:p>
        </w:tc>
        <w:tc>
          <w:tcPr>
            <w:tcW w:w="1777" w:type="dxa"/>
            <w:vAlign w:val="center"/>
          </w:tcPr>
          <w:p w:rsidR="00431CEF" w:rsidRDefault="00F01AB8">
            <w:pPr>
              <w:jc w:val="center"/>
            </w:pPr>
            <w:r>
              <w:rPr>
                <w:color w:val="000000"/>
                <w:sz w:val="24"/>
                <w:szCs w:val="24"/>
              </w:rPr>
              <w:t>海伦钢琴</w:t>
            </w:r>
          </w:p>
        </w:tc>
        <w:tc>
          <w:tcPr>
            <w:tcW w:w="1334" w:type="dxa"/>
            <w:vAlign w:val="center"/>
          </w:tcPr>
          <w:p w:rsidR="00431CEF" w:rsidRDefault="00F01AB8">
            <w:pPr>
              <w:jc w:val="right"/>
            </w:pPr>
            <w:r>
              <w:rPr>
                <w:color w:val="000000"/>
                <w:sz w:val="24"/>
                <w:szCs w:val="24"/>
              </w:rPr>
              <w:t>5,087,620</w:t>
            </w:r>
          </w:p>
        </w:tc>
        <w:tc>
          <w:tcPr>
            <w:tcW w:w="1924" w:type="dxa"/>
            <w:vAlign w:val="center"/>
          </w:tcPr>
          <w:p w:rsidR="00431CEF" w:rsidRDefault="00F01AB8">
            <w:pPr>
              <w:jc w:val="right"/>
            </w:pPr>
            <w:r>
              <w:rPr>
                <w:color w:val="000000"/>
                <w:sz w:val="24"/>
                <w:szCs w:val="24"/>
              </w:rPr>
              <w:t>101,701,523.80</w:t>
            </w:r>
          </w:p>
        </w:tc>
        <w:tc>
          <w:tcPr>
            <w:tcW w:w="1644" w:type="dxa"/>
            <w:vAlign w:val="center"/>
          </w:tcPr>
          <w:p w:rsidR="00431CEF" w:rsidRDefault="00F01AB8">
            <w:pPr>
              <w:jc w:val="right"/>
            </w:pPr>
            <w:r>
              <w:rPr>
                <w:color w:val="000000"/>
                <w:sz w:val="24"/>
                <w:szCs w:val="24"/>
              </w:rPr>
              <w:t>4.64</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1,199,500.56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38,873,816.23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28,272.15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12,653,611.26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52,755,200.20</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w:t>
      </w:r>
      <w:proofErr w:type="gramStart"/>
      <w:r w:rsidR="004061AC" w:rsidRPr="00414345">
        <w:rPr>
          <w:bCs/>
          <w:color w:val="000000"/>
          <w:kern w:val="0"/>
          <w:sz w:val="24"/>
          <w:szCs w:val="24"/>
        </w:rPr>
        <w:t>期末前</w:t>
      </w:r>
      <w:proofErr w:type="gramEnd"/>
      <w:r w:rsidR="004061AC" w:rsidRPr="00414345">
        <w:rPr>
          <w:bCs/>
          <w:color w:val="000000"/>
          <w:kern w:val="0"/>
          <w:sz w:val="24"/>
          <w:szCs w:val="24"/>
        </w:rPr>
        <w:t>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w:t>
      </w:r>
      <w:proofErr w:type="gramStart"/>
      <w:r w:rsidRPr="00414345">
        <w:rPr>
          <w:color w:val="000000"/>
          <w:sz w:val="24"/>
          <w:szCs w:val="24"/>
        </w:rPr>
        <w:t>期末前</w:t>
      </w:r>
      <w:proofErr w:type="gramEnd"/>
      <w:r w:rsidRPr="00414345">
        <w:rPr>
          <w:color w:val="000000"/>
          <w:sz w:val="24"/>
          <w:szCs w:val="24"/>
        </w:rPr>
        <w:t>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lastRenderedPageBreak/>
              <w:t>报告期期</w:t>
            </w:r>
            <w:proofErr w:type="gramStart"/>
            <w:r w:rsidRPr="00414345">
              <w:rPr>
                <w:color w:val="000000"/>
                <w:kern w:val="0"/>
                <w:sz w:val="24"/>
                <w:szCs w:val="24"/>
              </w:rPr>
              <w:t>初基金</w:t>
            </w:r>
            <w:proofErr w:type="gramEnd"/>
            <w:r w:rsidRPr="00414345">
              <w:rPr>
                <w:color w:val="000000"/>
                <w:kern w:val="0"/>
                <w:sz w:val="24"/>
                <w:szCs w:val="24"/>
              </w:rPr>
              <w:t>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1,705,325,174.35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249,197,355.92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461,901,147.02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1,492,621,383.25</w:t>
            </w:r>
          </w:p>
        </w:tc>
      </w:tr>
    </w:tbl>
    <w:p w:rsidR="00431CEF" w:rsidRDefault="00F01AB8">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01AB8">
      <w:pPr>
        <w:pStyle w:val="1"/>
        <w:tabs>
          <w:tab w:val="center" w:pos="4156"/>
          <w:tab w:val="right" w:pos="8312"/>
        </w:tabs>
        <w:spacing w:beforeLines="100" w:afterLines="100"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w:t>
      </w:r>
      <w:proofErr w:type="gramStart"/>
      <w:r w:rsidR="00ED2620" w:rsidRPr="00ED2620">
        <w:rPr>
          <w:sz w:val="24"/>
          <w:szCs w:val="24"/>
        </w:rPr>
        <w:t>固有资金</w:t>
      </w:r>
      <w:proofErr w:type="gramEnd"/>
      <w:r w:rsidR="00ED2620" w:rsidRPr="00ED2620">
        <w:rPr>
          <w:sz w:val="24"/>
          <w:szCs w:val="24"/>
        </w:rPr>
        <w:t>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w:t>
      </w:r>
      <w:proofErr w:type="gramStart"/>
      <w:r w:rsidRPr="00ED2620">
        <w:rPr>
          <w:rFonts w:eastAsiaTheme="minorEastAsia"/>
          <w:color w:val="000000"/>
          <w:sz w:val="24"/>
        </w:rPr>
        <w:t>固有资金</w:t>
      </w:r>
      <w:proofErr w:type="gramEnd"/>
      <w:r w:rsidRPr="00ED2620">
        <w:rPr>
          <w:rFonts w:eastAsiaTheme="minorEastAsia"/>
          <w:color w:val="000000"/>
          <w:sz w:val="24"/>
        </w:rPr>
        <w:t>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w:t>
      </w:r>
      <w:proofErr w:type="gramStart"/>
      <w:r w:rsidRPr="00410630">
        <w:rPr>
          <w:rFonts w:hint="eastAsia"/>
          <w:b/>
          <w:sz w:val="24"/>
        </w:rPr>
        <w:t>固有资金</w:t>
      </w:r>
      <w:proofErr w:type="gramEnd"/>
      <w:r w:rsidRPr="00410630">
        <w:rPr>
          <w:rFonts w:hint="eastAsia"/>
          <w:b/>
          <w:sz w:val="24"/>
        </w:rPr>
        <w:t>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F01AB8">
      <w:pPr>
        <w:pStyle w:val="1"/>
        <w:spacing w:beforeLines="100" w:after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31CEF" w:rsidRDefault="00F01AB8">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、中国证监会核准交银施罗德先锋股票证券投资基金募集的文件；</w:t>
      </w:r>
    </w:p>
    <w:p w:rsidR="00431CEF" w:rsidRDefault="00F01AB8">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、《交银施罗德先锋混合型证券投资基金基金合同》；</w:t>
      </w:r>
    </w:p>
    <w:p w:rsidR="00431CEF" w:rsidRDefault="00F01AB8">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、《交银施罗德先锋混合型证券投资基金招募说明书》；</w:t>
      </w:r>
    </w:p>
    <w:p w:rsidR="00431CEF" w:rsidRDefault="00F01AB8">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、《交银施罗德先锋混合型证券投资基金托管协议》；</w:t>
      </w:r>
    </w:p>
    <w:p w:rsidR="00431CEF" w:rsidRDefault="00F01AB8">
      <w:pPr>
        <w:spacing w:before="29" w:line="288" w:lineRule="auto"/>
        <w:ind w:firstLineChars="200" w:firstLine="480"/>
        <w:rPr>
          <w:color w:val="000000"/>
          <w:sz w:val="24"/>
          <w:szCs w:val="24"/>
        </w:rPr>
      </w:pPr>
      <w:r>
        <w:rPr>
          <w:color w:val="000000"/>
          <w:sz w:val="24"/>
          <w:szCs w:val="24"/>
        </w:rPr>
        <w:t>5</w:t>
      </w:r>
      <w:r>
        <w:rPr>
          <w:color w:val="000000"/>
          <w:sz w:val="24"/>
          <w:szCs w:val="24"/>
        </w:rPr>
        <w:t>、基金管理人业务资格批件、营业执照；</w:t>
      </w:r>
    </w:p>
    <w:p w:rsidR="00431CEF" w:rsidRDefault="00F01AB8">
      <w:pPr>
        <w:spacing w:before="29" w:line="288" w:lineRule="auto"/>
        <w:ind w:firstLineChars="200" w:firstLine="480"/>
        <w:rPr>
          <w:color w:val="000000"/>
          <w:sz w:val="24"/>
          <w:szCs w:val="24"/>
        </w:rPr>
      </w:pPr>
      <w:r>
        <w:rPr>
          <w:color w:val="000000"/>
          <w:sz w:val="24"/>
          <w:szCs w:val="24"/>
        </w:rPr>
        <w:t>6</w:t>
      </w:r>
      <w:r>
        <w:rPr>
          <w:color w:val="000000"/>
          <w:sz w:val="24"/>
          <w:szCs w:val="24"/>
        </w:rPr>
        <w:t>、基金托管人业务资格批件、营业执照；</w:t>
      </w:r>
    </w:p>
    <w:p w:rsidR="00431CEF" w:rsidRDefault="00F01AB8">
      <w:pPr>
        <w:spacing w:before="29" w:line="288" w:lineRule="auto"/>
        <w:ind w:firstLineChars="200" w:firstLine="480"/>
        <w:rPr>
          <w:color w:val="000000"/>
          <w:sz w:val="24"/>
          <w:szCs w:val="24"/>
        </w:rPr>
      </w:pPr>
      <w:r>
        <w:rPr>
          <w:color w:val="000000"/>
          <w:sz w:val="24"/>
          <w:szCs w:val="24"/>
        </w:rPr>
        <w:t>7</w:t>
      </w:r>
      <w:r>
        <w:rPr>
          <w:color w:val="000000"/>
          <w:sz w:val="24"/>
          <w:szCs w:val="24"/>
        </w:rPr>
        <w:t>、关于申请募集交银施罗德先锋股票证券投资基金之法律意见书；</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、报告期内交银施罗德先锋混合型证券投资基金在指定报刊上各项公告的原稿。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31CEF" w:rsidRDefault="00F01AB8">
      <w:pPr>
        <w:spacing w:before="29" w:line="288" w:lineRule="auto"/>
        <w:ind w:firstLineChars="200" w:firstLine="480"/>
        <w:rPr>
          <w:color w:val="000000"/>
          <w:sz w:val="24"/>
          <w:szCs w:val="24"/>
        </w:rPr>
      </w:pPr>
      <w:r>
        <w:rPr>
          <w:color w:val="000000"/>
          <w:sz w:val="24"/>
          <w:szCs w:val="24"/>
        </w:rPr>
        <w:lastRenderedPageBreak/>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431CEF">
      <w:rPr>
        <w:kern w:val="0"/>
        <w:szCs w:val="21"/>
      </w:rPr>
      <w:fldChar w:fldCharType="begin"/>
    </w:r>
    <w:r>
      <w:rPr>
        <w:kern w:val="0"/>
        <w:szCs w:val="21"/>
      </w:rPr>
      <w:instrText xml:space="preserve"> PAGE </w:instrText>
    </w:r>
    <w:r w:rsidR="00431CEF">
      <w:rPr>
        <w:kern w:val="0"/>
        <w:szCs w:val="21"/>
      </w:rPr>
      <w:fldChar w:fldCharType="separate"/>
    </w:r>
    <w:r w:rsidR="00F01AB8">
      <w:rPr>
        <w:noProof/>
        <w:kern w:val="0"/>
        <w:szCs w:val="21"/>
      </w:rPr>
      <w:t>11</w:t>
    </w:r>
    <w:r w:rsidR="00431CEF">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431CEF">
      <w:rPr>
        <w:kern w:val="0"/>
        <w:szCs w:val="21"/>
      </w:rPr>
      <w:fldChar w:fldCharType="begin"/>
    </w:r>
    <w:r>
      <w:rPr>
        <w:kern w:val="0"/>
        <w:szCs w:val="21"/>
      </w:rPr>
      <w:instrText xml:space="preserve"> NUMPAGES </w:instrText>
    </w:r>
    <w:r w:rsidR="00431CEF">
      <w:rPr>
        <w:kern w:val="0"/>
        <w:szCs w:val="21"/>
      </w:rPr>
      <w:fldChar w:fldCharType="separate"/>
    </w:r>
    <w:r w:rsidR="00F01AB8">
      <w:rPr>
        <w:noProof/>
        <w:kern w:val="0"/>
        <w:szCs w:val="21"/>
      </w:rPr>
      <w:t>11</w:t>
    </w:r>
    <w:r w:rsidR="00431CEF">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1CEF"/>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01AB8"/>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r="http://schemas.openxmlformats.org/officeDocument/2006/relationships" xmlns:w="http://schemas.openxmlformats.org/wordprocessingml/2006/main">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7BC601-442A-4A08-9817-705689D6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1788</TotalTime>
  <Pages>11</Pages>
  <Words>978</Words>
  <Characters>5580</Characters>
  <Application>Microsoft Office Word</Application>
  <DocSecurity>0</DocSecurity>
  <Lines>46</Lines>
  <Paragraphs>13</Paragraphs>
  <ScaleCrop>false</ScaleCrop>
  <Company/>
  <LinksUpToDate>false</LinksUpToDate>
  <CharactersWithSpaces>6545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biz-rentianqiang</cp:lastModifiedBy>
  <cp:revision>562</cp:revision>
  <dcterms:created xsi:type="dcterms:W3CDTF">2012-10-16T06:07:00Z</dcterms:created>
  <dcterms:modified xsi:type="dcterms:W3CDTF">2016-07-12T10:12:00Z</dcterms:modified>
</cp:coreProperties>
</file>