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二〇一六年七月二十一日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8"/>
          <w:footerReference w:type="default" r:id="rId9"/>
          <w:pgSz w:w="11926" w:h="15840"/>
          <w:pgMar w:top="1418" w:right="1440" w:bottom="851" w:left="1440" w:header="851" w:footer="992" w:gutter="0"/>
          <w:cols w:space="720"/>
          <w:noEndnote/>
        </w:sectPr>
      </w:pPr>
    </w:p>
    <w:p w:rsidR="0076518F" w:rsidRPr="008640AE" w:rsidRDefault="0076518F" w:rsidP="004E4948">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C14431" w:rsidRDefault="00947E7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14431" w:rsidRDefault="00947E74">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14431" w:rsidRDefault="00947E7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14431" w:rsidRDefault="00947E7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14431" w:rsidRDefault="00947E74">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4E494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560,013,232.01</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4E494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47E74" w:rsidRPr="008640AE" w:rsidTr="00947E74">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947E74" w:rsidRPr="008640AE" w:rsidTr="00947E7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-559,458.48</w:t>
            </w:r>
          </w:p>
        </w:tc>
      </w:tr>
      <w:tr w:rsidR="00947E74" w:rsidRPr="008640AE" w:rsidTr="00947E7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-19,761,797.50</w:t>
            </w:r>
          </w:p>
        </w:tc>
      </w:tr>
      <w:tr w:rsidR="00947E74" w:rsidRPr="008640AE" w:rsidTr="00947E7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-0.0346</w:t>
            </w:r>
          </w:p>
        </w:tc>
      </w:tr>
      <w:tr w:rsidR="00947E74" w:rsidRPr="008640AE" w:rsidTr="00947E7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484,110,772.36</w:t>
            </w:r>
          </w:p>
        </w:tc>
      </w:tr>
      <w:tr w:rsidR="00947E74" w:rsidRPr="008640AE" w:rsidTr="00947E74">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0.864</w:t>
            </w:r>
          </w:p>
        </w:tc>
      </w:tr>
    </w:tbl>
    <w:p w:rsidR="00C14431" w:rsidRDefault="00947E7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C14431">
        <w:trPr>
          <w:jc w:val="center"/>
        </w:trPr>
        <w:tc>
          <w:tcPr>
            <w:tcW w:w="1701" w:type="dxa"/>
            <w:vAlign w:val="center"/>
          </w:tcPr>
          <w:p w:rsidR="00C14431" w:rsidRDefault="00947E74">
            <w:pPr>
              <w:jc w:val="left"/>
            </w:pPr>
            <w:r>
              <w:rPr>
                <w:color w:val="000000"/>
                <w:sz w:val="24"/>
              </w:rPr>
              <w:t>过去三个月</w:t>
            </w:r>
          </w:p>
        </w:tc>
        <w:tc>
          <w:tcPr>
            <w:tcW w:w="1194" w:type="dxa"/>
            <w:vAlign w:val="center"/>
          </w:tcPr>
          <w:p w:rsidR="00C14431" w:rsidRDefault="00947E74">
            <w:pPr>
              <w:jc w:val="right"/>
            </w:pPr>
            <w:r>
              <w:rPr>
                <w:color w:val="000000"/>
                <w:sz w:val="24"/>
              </w:rPr>
              <w:t>-4.00%</w:t>
            </w:r>
          </w:p>
        </w:tc>
        <w:tc>
          <w:tcPr>
            <w:tcW w:w="1194" w:type="dxa"/>
            <w:vAlign w:val="center"/>
          </w:tcPr>
          <w:p w:rsidR="00C14431" w:rsidRDefault="00947E74">
            <w:pPr>
              <w:jc w:val="right"/>
            </w:pPr>
            <w:r>
              <w:rPr>
                <w:color w:val="000000"/>
                <w:sz w:val="24"/>
              </w:rPr>
              <w:t>1.26%</w:t>
            </w:r>
          </w:p>
        </w:tc>
        <w:tc>
          <w:tcPr>
            <w:tcW w:w="1194" w:type="dxa"/>
            <w:vAlign w:val="center"/>
          </w:tcPr>
          <w:p w:rsidR="00C14431" w:rsidRDefault="00947E74">
            <w:pPr>
              <w:jc w:val="right"/>
            </w:pPr>
            <w:r>
              <w:rPr>
                <w:color w:val="000000"/>
                <w:sz w:val="24"/>
              </w:rPr>
              <w:t>-6.02%</w:t>
            </w:r>
          </w:p>
        </w:tc>
        <w:tc>
          <w:tcPr>
            <w:tcW w:w="1343" w:type="dxa"/>
            <w:vAlign w:val="center"/>
          </w:tcPr>
          <w:p w:rsidR="00C14431" w:rsidRDefault="00947E74">
            <w:pPr>
              <w:jc w:val="right"/>
            </w:pPr>
            <w:r>
              <w:rPr>
                <w:color w:val="000000"/>
                <w:sz w:val="24"/>
              </w:rPr>
              <w:t>1.31%</w:t>
            </w:r>
          </w:p>
        </w:tc>
        <w:tc>
          <w:tcPr>
            <w:tcW w:w="1194" w:type="dxa"/>
            <w:vAlign w:val="center"/>
          </w:tcPr>
          <w:p w:rsidR="00C14431" w:rsidRDefault="00947E74">
            <w:pPr>
              <w:jc w:val="right"/>
            </w:pPr>
            <w:r>
              <w:rPr>
                <w:color w:val="000000"/>
                <w:sz w:val="24"/>
              </w:rPr>
              <w:t>2.02%</w:t>
            </w:r>
          </w:p>
        </w:tc>
        <w:tc>
          <w:tcPr>
            <w:tcW w:w="1048" w:type="dxa"/>
            <w:vAlign w:val="center"/>
          </w:tcPr>
          <w:p w:rsidR="00C14431" w:rsidRDefault="00947E74">
            <w:pPr>
              <w:jc w:val="right"/>
            </w:pPr>
            <w:r>
              <w:rPr>
                <w:color w:val="000000"/>
                <w:sz w:val="24"/>
              </w:rPr>
              <w:t>-0.05%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注：本基金基金合同生效日为</w:t>
      </w:r>
      <w:r w:rsidRPr="008640AE">
        <w:rPr>
          <w:color w:val="000000"/>
          <w:sz w:val="24"/>
        </w:rPr>
        <w:t>2015</w:t>
      </w:r>
      <w:r w:rsidRPr="008640AE">
        <w:rPr>
          <w:color w:val="000000"/>
          <w:sz w:val="24"/>
        </w:rPr>
        <w:t>年</w:t>
      </w:r>
      <w:r w:rsidRPr="008640AE">
        <w:rPr>
          <w:color w:val="000000"/>
          <w:sz w:val="24"/>
        </w:rPr>
        <w:t>5</w:t>
      </w:r>
      <w:r w:rsidRPr="008640AE">
        <w:rPr>
          <w:color w:val="000000"/>
          <w:sz w:val="24"/>
        </w:rPr>
        <w:t>月</w:t>
      </w:r>
      <w:r w:rsidRPr="008640AE">
        <w:rPr>
          <w:color w:val="000000"/>
          <w:sz w:val="24"/>
        </w:rPr>
        <w:t>27</w:t>
      </w:r>
      <w:r w:rsidRPr="008640AE">
        <w:rPr>
          <w:color w:val="000000"/>
          <w:sz w:val="24"/>
        </w:rPr>
        <w:t>日，截至报告期期末，本基金已完成建仓但报告期期末距建仓结束未满一年。本基金建仓期为自基金合同生效日起的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4E494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C14431">
        <w:trPr>
          <w:jc w:val="center"/>
        </w:trPr>
        <w:tc>
          <w:tcPr>
            <w:tcW w:w="846" w:type="dxa"/>
            <w:vAlign w:val="center"/>
          </w:tcPr>
          <w:p w:rsidR="00C14431" w:rsidRDefault="00947E74">
            <w:pPr>
              <w:jc w:val="center"/>
            </w:pPr>
            <w:r>
              <w:rPr>
                <w:color w:val="000000"/>
                <w:sz w:val="24"/>
              </w:rPr>
              <w:t>蔡铮</w:t>
            </w:r>
          </w:p>
        </w:tc>
        <w:tc>
          <w:tcPr>
            <w:tcW w:w="845" w:type="dxa"/>
            <w:vAlign w:val="center"/>
          </w:tcPr>
          <w:p w:rsidR="00C14431" w:rsidRDefault="00947E74">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C14431" w:rsidRDefault="00947E74">
            <w:pPr>
              <w:jc w:val="center"/>
            </w:pPr>
            <w:r>
              <w:rPr>
                <w:color w:val="000000"/>
                <w:sz w:val="24"/>
              </w:rPr>
              <w:t>2015-05-27</w:t>
            </w:r>
          </w:p>
        </w:tc>
        <w:tc>
          <w:tcPr>
            <w:tcW w:w="1548" w:type="dxa"/>
            <w:vAlign w:val="center"/>
          </w:tcPr>
          <w:p w:rsidR="00C14431" w:rsidRDefault="00947E74">
            <w:pPr>
              <w:jc w:val="center"/>
            </w:pPr>
            <w:r>
              <w:rPr>
                <w:color w:val="000000"/>
                <w:sz w:val="24"/>
              </w:rPr>
              <w:t>-</w:t>
            </w:r>
          </w:p>
        </w:tc>
        <w:tc>
          <w:tcPr>
            <w:tcW w:w="1407" w:type="dxa"/>
            <w:vAlign w:val="center"/>
          </w:tcPr>
          <w:p w:rsidR="00C14431" w:rsidRDefault="00947E74">
            <w:pPr>
              <w:jc w:val="center"/>
            </w:pPr>
            <w:r>
              <w:rPr>
                <w:color w:val="000000"/>
                <w:sz w:val="24"/>
              </w:rPr>
              <w:t>7</w:t>
            </w:r>
            <w:r>
              <w:rPr>
                <w:color w:val="000000"/>
                <w:sz w:val="24"/>
              </w:rPr>
              <w:t>年</w:t>
            </w:r>
          </w:p>
        </w:tc>
        <w:tc>
          <w:tcPr>
            <w:tcW w:w="2673" w:type="dxa"/>
            <w:vAlign w:val="center"/>
          </w:tcPr>
          <w:p w:rsidR="00C14431" w:rsidRDefault="00947E74">
            <w:pPr>
              <w:jc w:val="left"/>
            </w:pPr>
            <w:r>
              <w:rPr>
                <w:color w:val="000000"/>
                <w:sz w:val="24"/>
              </w:rPr>
              <w:t>蔡铮先生，</w:t>
            </w:r>
            <w:bookmarkStart w:id="0" w:name="_GoBack"/>
            <w:r w:rsidR="00726404" w:rsidRPr="00225879">
              <w:rPr>
                <w:rFonts w:hint="eastAsia"/>
                <w:color w:val="000000"/>
                <w:sz w:val="24"/>
              </w:rPr>
              <w:t>中国国籍，</w:t>
            </w:r>
            <w:bookmarkEnd w:id="0"/>
            <w:r>
              <w:rPr>
                <w:color w:val="000000"/>
                <w:sz w:val="24"/>
              </w:rPr>
              <w:t>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0017526E" w:rsidRPr="008640AE">
        <w:rPr>
          <w:b/>
          <w:color w:val="000000"/>
          <w:kern w:val="0"/>
          <w:sz w:val="24"/>
        </w:rPr>
        <w:t xml:space="preserve"> </w:t>
      </w:r>
      <w:r w:rsidRPr="008640AE">
        <w:rPr>
          <w:b/>
          <w:color w:val="000000"/>
          <w:kern w:val="0"/>
          <w:sz w:val="24"/>
        </w:rPr>
        <w:t>报告期内本基金运作遵规守信情况说明</w:t>
      </w:r>
    </w:p>
    <w:p w:rsidR="00C14431" w:rsidRDefault="00947E74">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363E15" w:rsidRPr="008640AE" w:rsidRDefault="00363E15" w:rsidP="005546C0">
      <w:pPr>
        <w:spacing w:before="29" w:line="288" w:lineRule="auto"/>
        <w:ind w:firstLineChars="200" w:firstLine="480"/>
        <w:rPr>
          <w:color w:val="000000"/>
          <w:sz w:val="24"/>
        </w:rPr>
      </w:pPr>
      <w:r w:rsidRPr="008640AE">
        <w:rPr>
          <w:color w:val="000000"/>
          <w:sz w:val="24"/>
        </w:rPr>
        <w:t>中国证监会于</w:t>
      </w:r>
      <w:r w:rsidRPr="008640AE">
        <w:rPr>
          <w:color w:val="000000"/>
          <w:sz w:val="24"/>
        </w:rPr>
        <w:t>2015</w:t>
      </w:r>
      <w:r w:rsidRPr="008640AE">
        <w:rPr>
          <w:color w:val="000000"/>
          <w:sz w:val="24"/>
        </w:rPr>
        <w:t>年对公司进行了</w:t>
      </w:r>
      <w:r w:rsidRPr="008640AE">
        <w:rPr>
          <w:color w:val="000000"/>
          <w:sz w:val="24"/>
        </w:rPr>
        <w:t>“</w:t>
      </w:r>
      <w:r w:rsidRPr="008640AE">
        <w:rPr>
          <w:color w:val="000000"/>
          <w:sz w:val="24"/>
        </w:rPr>
        <w:t>两加强两遏制</w:t>
      </w:r>
      <w:r w:rsidRPr="008640AE">
        <w:rPr>
          <w:color w:val="000000"/>
          <w:sz w:val="24"/>
        </w:rPr>
        <w:t>”</w:t>
      </w:r>
      <w:r w:rsidRPr="008640AE">
        <w:rPr>
          <w:color w:val="000000"/>
          <w:sz w:val="24"/>
        </w:rPr>
        <w:t>检查，后续并就公司内部控制提出了相应改进意见及采取责令改正的行政监管措施。公司已经完成了相关问题的整改，并已向监管部门上报了专项报告。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C14431" w:rsidRDefault="00947E7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14431" w:rsidRDefault="00947E7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14431" w:rsidRDefault="00947E7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本基金于本报告期内未发现异常交易行为。本报告期内，本公司管理的所有投资组合参与的交易所公开竞价同日反向交易成交较少的单边交易量超过该证券当日总成交量</w:t>
      </w:r>
      <w:r w:rsidRPr="008640AE">
        <w:rPr>
          <w:color w:val="000000"/>
          <w:sz w:val="24"/>
        </w:rPr>
        <w:t>5%</w:t>
      </w:r>
      <w:r w:rsidRPr="008640AE">
        <w:rPr>
          <w:color w:val="000000"/>
          <w:sz w:val="24"/>
        </w:rPr>
        <w:t>的情况有</w:t>
      </w:r>
      <w:r w:rsidRPr="008640AE">
        <w:rPr>
          <w:color w:val="000000"/>
          <w:sz w:val="24"/>
        </w:rPr>
        <w:t>1</w:t>
      </w:r>
      <w:r w:rsidRPr="008640AE">
        <w:rPr>
          <w:color w:val="000000"/>
          <w:sz w:val="24"/>
        </w:rPr>
        <w:t>次，是由于投资组合被动超标的合规调整需要而发生同日反向交易，未发现不公平交易和利益输送的情况。本基金与本公司管理的其他投资组合在不同时间窗下（如日内、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日内）同向交易的交易价差未发现异常。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00195D4D" w:rsidRPr="008640AE">
        <w:rPr>
          <w:b/>
          <w:color w:val="000000"/>
          <w:kern w:val="0"/>
          <w:sz w:val="24"/>
        </w:rPr>
        <w:t xml:space="preserve"> </w:t>
      </w:r>
      <w:r w:rsidRPr="008640AE">
        <w:rPr>
          <w:b/>
          <w:color w:val="000000"/>
          <w:kern w:val="0"/>
          <w:sz w:val="24"/>
        </w:rPr>
        <w:t>报告期内基金的投资策略和业绩表现说明</w:t>
      </w:r>
    </w:p>
    <w:p w:rsidR="00C14431" w:rsidRDefault="00947E74">
      <w:pPr>
        <w:spacing w:before="29" w:line="288" w:lineRule="auto"/>
        <w:ind w:firstLineChars="200" w:firstLine="480"/>
        <w:rPr>
          <w:color w:val="000000"/>
          <w:sz w:val="24"/>
        </w:rPr>
      </w:pPr>
      <w:r>
        <w:rPr>
          <w:color w:val="000000"/>
          <w:sz w:val="24"/>
        </w:rPr>
        <w:t>2016</w:t>
      </w:r>
      <w:r>
        <w:rPr>
          <w:color w:val="000000"/>
          <w:sz w:val="24"/>
        </w:rPr>
        <w:t>年二季度，国内经济面临不确定性风险，经济基本面对资本市场的支持力度较为有限。</w:t>
      </w:r>
      <w:r>
        <w:rPr>
          <w:color w:val="000000"/>
          <w:sz w:val="24"/>
        </w:rPr>
        <w:t>A</w:t>
      </w:r>
      <w:r>
        <w:rPr>
          <w:color w:val="000000"/>
          <w:sz w:val="24"/>
        </w:rPr>
        <w:t>股市场、港股市场、美国市场均呈现出震荡格局，随着美元加息预期的反复、英国脱欧事件以及国内局部流动性和信用违约等宏观风险的释放，整体市场的风险偏好有所修复。中概股在多个市场的共同作用下，呈现出震荡向下走势。作为跟踪中证海外中国互联网指数的指数基金，本基金在本报告期内总体表现出震荡向下格局。</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2016</w:t>
      </w:r>
      <w:r w:rsidRPr="008640AE">
        <w:rPr>
          <w:color w:val="000000"/>
          <w:sz w:val="24"/>
        </w:rPr>
        <w:t>年三季度，国内经济已有所企稳，处于阶段性弱复苏期间，预计将继续维持温和增长的态势。三季度的市场有望阶段性好转，我们总体维持谨慎但不悲观的看法。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0.864</w:t>
      </w:r>
      <w:r w:rsidRPr="008640AE">
        <w:rPr>
          <w:color w:val="000000"/>
          <w:sz w:val="24"/>
        </w:rPr>
        <w:t>元，本报告期份额净值增长率为</w:t>
      </w:r>
      <w:r w:rsidRPr="008640AE">
        <w:rPr>
          <w:color w:val="000000"/>
          <w:sz w:val="24"/>
        </w:rPr>
        <w:t>-4.00%</w:t>
      </w:r>
      <w:r w:rsidRPr="008640AE">
        <w:rPr>
          <w:color w:val="000000"/>
          <w:sz w:val="24"/>
        </w:rPr>
        <w:t>，同期业绩比较基准增长率为</w:t>
      </w:r>
      <w:r w:rsidRPr="008640AE">
        <w:rPr>
          <w:color w:val="000000"/>
          <w:sz w:val="24"/>
        </w:rPr>
        <w:t>-6.02%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00EC224F">
        <w:rPr>
          <w:b/>
          <w:color w:val="000000"/>
          <w:kern w:val="0"/>
          <w:sz w:val="24"/>
        </w:rPr>
        <w:t xml:space="preserve"> </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4E494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454,094,530.54</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92.82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116,821,706.23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23.88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337,272,824.31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68.94</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34,813,990.26</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7.12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320,073.79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0.07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489,228,594.59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C14431">
        <w:trPr>
          <w:jc w:val="center"/>
        </w:trPr>
        <w:tc>
          <w:tcPr>
            <w:tcW w:w="2484" w:type="dxa"/>
            <w:vAlign w:val="center"/>
          </w:tcPr>
          <w:p w:rsidR="00C14431" w:rsidRDefault="00947E74">
            <w:pPr>
              <w:jc w:val="left"/>
            </w:pPr>
            <w:r>
              <w:rPr>
                <w:color w:val="000000"/>
                <w:sz w:val="24"/>
              </w:rPr>
              <w:t>美国</w:t>
            </w:r>
          </w:p>
        </w:tc>
        <w:tc>
          <w:tcPr>
            <w:tcW w:w="3214" w:type="dxa"/>
            <w:vAlign w:val="center"/>
          </w:tcPr>
          <w:p w:rsidR="00C14431" w:rsidRDefault="00947E74">
            <w:pPr>
              <w:jc w:val="right"/>
            </w:pPr>
            <w:r>
              <w:rPr>
                <w:color w:val="000000"/>
                <w:sz w:val="24"/>
              </w:rPr>
              <w:t>364,649,673.10</w:t>
            </w:r>
          </w:p>
        </w:tc>
        <w:tc>
          <w:tcPr>
            <w:tcW w:w="3170" w:type="dxa"/>
            <w:vAlign w:val="center"/>
          </w:tcPr>
          <w:p w:rsidR="00C14431" w:rsidRDefault="00947E74">
            <w:pPr>
              <w:jc w:val="right"/>
            </w:pPr>
            <w:r>
              <w:rPr>
                <w:color w:val="000000"/>
                <w:sz w:val="24"/>
              </w:rPr>
              <w:t>75.32</w:t>
            </w:r>
          </w:p>
        </w:tc>
      </w:tr>
      <w:tr w:rsidR="00C14431">
        <w:trPr>
          <w:jc w:val="center"/>
        </w:trPr>
        <w:tc>
          <w:tcPr>
            <w:tcW w:w="2484" w:type="dxa"/>
            <w:vAlign w:val="center"/>
          </w:tcPr>
          <w:p w:rsidR="00C14431" w:rsidRDefault="00947E74">
            <w:pPr>
              <w:jc w:val="left"/>
            </w:pPr>
            <w:r>
              <w:rPr>
                <w:color w:val="000000"/>
                <w:sz w:val="24"/>
              </w:rPr>
              <w:t>香港</w:t>
            </w:r>
          </w:p>
        </w:tc>
        <w:tc>
          <w:tcPr>
            <w:tcW w:w="3214" w:type="dxa"/>
            <w:vAlign w:val="center"/>
          </w:tcPr>
          <w:p w:rsidR="00C14431" w:rsidRDefault="00947E74">
            <w:pPr>
              <w:jc w:val="right"/>
            </w:pPr>
            <w:r>
              <w:rPr>
                <w:color w:val="000000"/>
                <w:sz w:val="24"/>
              </w:rPr>
              <w:t>89,444,857.44</w:t>
            </w:r>
          </w:p>
        </w:tc>
        <w:tc>
          <w:tcPr>
            <w:tcW w:w="3170" w:type="dxa"/>
            <w:vAlign w:val="center"/>
          </w:tcPr>
          <w:p w:rsidR="00C14431" w:rsidRDefault="00947E74">
            <w:pPr>
              <w:jc w:val="right"/>
            </w:pPr>
            <w:r>
              <w:rPr>
                <w:color w:val="000000"/>
                <w:sz w:val="24"/>
              </w:rPr>
              <w:t>18.48</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454,094,530.54</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93.80</w:t>
            </w:r>
          </w:p>
        </w:tc>
      </w:tr>
    </w:tbl>
    <w:p w:rsidR="00C14431" w:rsidRDefault="00947E7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C14431">
        <w:tc>
          <w:tcPr>
            <w:tcW w:w="2787" w:type="dxa"/>
            <w:vAlign w:val="center"/>
          </w:tcPr>
          <w:p w:rsidR="00C14431" w:rsidRDefault="00947E74">
            <w:pPr>
              <w:jc w:val="left"/>
            </w:pPr>
            <w:r>
              <w:rPr>
                <w:color w:val="000000"/>
                <w:sz w:val="24"/>
              </w:rPr>
              <w:t>信息技术</w:t>
            </w:r>
          </w:p>
        </w:tc>
        <w:tc>
          <w:tcPr>
            <w:tcW w:w="2976" w:type="dxa"/>
            <w:vAlign w:val="center"/>
          </w:tcPr>
          <w:p w:rsidR="00C14431" w:rsidRDefault="00947E74">
            <w:pPr>
              <w:jc w:val="right"/>
            </w:pPr>
            <w:r>
              <w:rPr>
                <w:color w:val="000000"/>
                <w:sz w:val="24"/>
              </w:rPr>
              <w:t>332,569,905.02</w:t>
            </w:r>
          </w:p>
        </w:tc>
        <w:tc>
          <w:tcPr>
            <w:tcW w:w="3261" w:type="dxa"/>
            <w:vAlign w:val="center"/>
          </w:tcPr>
          <w:p w:rsidR="00C14431" w:rsidRDefault="00947E74">
            <w:pPr>
              <w:jc w:val="right"/>
            </w:pPr>
            <w:r>
              <w:rPr>
                <w:color w:val="000000"/>
                <w:sz w:val="24"/>
              </w:rPr>
              <w:t>68.70</w:t>
            </w:r>
          </w:p>
        </w:tc>
      </w:tr>
      <w:tr w:rsidR="00C14431">
        <w:tc>
          <w:tcPr>
            <w:tcW w:w="2787" w:type="dxa"/>
            <w:vAlign w:val="center"/>
          </w:tcPr>
          <w:p w:rsidR="00C14431" w:rsidRDefault="00947E74">
            <w:pPr>
              <w:jc w:val="left"/>
            </w:pPr>
            <w:r>
              <w:rPr>
                <w:color w:val="000000"/>
                <w:sz w:val="24"/>
              </w:rPr>
              <w:t>非必需消费品</w:t>
            </w:r>
          </w:p>
        </w:tc>
        <w:tc>
          <w:tcPr>
            <w:tcW w:w="2976" w:type="dxa"/>
            <w:vAlign w:val="center"/>
          </w:tcPr>
          <w:p w:rsidR="00C14431" w:rsidRDefault="00947E74">
            <w:pPr>
              <w:jc w:val="right"/>
            </w:pPr>
            <w:r>
              <w:rPr>
                <w:color w:val="000000"/>
                <w:sz w:val="24"/>
              </w:rPr>
              <w:t>114,221,482.44</w:t>
            </w:r>
          </w:p>
        </w:tc>
        <w:tc>
          <w:tcPr>
            <w:tcW w:w="3261" w:type="dxa"/>
            <w:vAlign w:val="center"/>
          </w:tcPr>
          <w:p w:rsidR="00C14431" w:rsidRDefault="00947E74">
            <w:pPr>
              <w:jc w:val="right"/>
            </w:pPr>
            <w:r>
              <w:rPr>
                <w:color w:val="000000"/>
                <w:sz w:val="24"/>
              </w:rPr>
              <w:t>23.59</w:t>
            </w:r>
          </w:p>
        </w:tc>
      </w:tr>
      <w:tr w:rsidR="00C14431">
        <w:tc>
          <w:tcPr>
            <w:tcW w:w="2787" w:type="dxa"/>
            <w:vAlign w:val="center"/>
          </w:tcPr>
          <w:p w:rsidR="00C14431" w:rsidRDefault="00947E74">
            <w:pPr>
              <w:jc w:val="left"/>
            </w:pPr>
            <w:r>
              <w:rPr>
                <w:color w:val="000000"/>
                <w:sz w:val="24"/>
              </w:rPr>
              <w:t>工业</w:t>
            </w:r>
          </w:p>
        </w:tc>
        <w:tc>
          <w:tcPr>
            <w:tcW w:w="2976" w:type="dxa"/>
            <w:vAlign w:val="center"/>
          </w:tcPr>
          <w:p w:rsidR="00C14431" w:rsidRDefault="00947E74">
            <w:pPr>
              <w:jc w:val="right"/>
            </w:pPr>
            <w:r>
              <w:rPr>
                <w:color w:val="000000"/>
                <w:sz w:val="24"/>
              </w:rPr>
              <w:t>7,303,143.08</w:t>
            </w:r>
          </w:p>
        </w:tc>
        <w:tc>
          <w:tcPr>
            <w:tcW w:w="3261" w:type="dxa"/>
            <w:vAlign w:val="center"/>
          </w:tcPr>
          <w:p w:rsidR="00C14431" w:rsidRDefault="00947E74">
            <w:pPr>
              <w:jc w:val="right"/>
            </w:pPr>
            <w:r>
              <w:rPr>
                <w:color w:val="000000"/>
                <w:sz w:val="24"/>
              </w:rPr>
              <w:t>1.51</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454,094,530.54</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93.80</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 xml:space="preserve"> </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16"/>
        <w:gridCol w:w="1737"/>
        <w:gridCol w:w="1017"/>
        <w:gridCol w:w="983"/>
        <w:gridCol w:w="654"/>
        <w:gridCol w:w="743"/>
        <w:gridCol w:w="1010"/>
        <w:gridCol w:w="1596"/>
        <w:gridCol w:w="971"/>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C14431">
        <w:tc>
          <w:tcPr>
            <w:tcW w:w="0" w:type="auto"/>
            <w:vAlign w:val="center"/>
          </w:tcPr>
          <w:p w:rsidR="00C14431" w:rsidRDefault="00947E74">
            <w:pPr>
              <w:jc w:val="center"/>
            </w:pPr>
            <w:r>
              <w:rPr>
                <w:color w:val="000000"/>
                <w:sz w:val="24"/>
              </w:rPr>
              <w:t>1</w:t>
            </w:r>
          </w:p>
        </w:tc>
        <w:tc>
          <w:tcPr>
            <w:tcW w:w="0" w:type="auto"/>
            <w:vAlign w:val="center"/>
          </w:tcPr>
          <w:p w:rsidR="00C14431" w:rsidRDefault="00947E74">
            <w:pPr>
              <w:jc w:val="center"/>
            </w:pPr>
            <w:r>
              <w:rPr>
                <w:color w:val="000000"/>
                <w:sz w:val="24"/>
              </w:rPr>
              <w:t>Tencent Holdings Limited</w:t>
            </w:r>
          </w:p>
        </w:tc>
        <w:tc>
          <w:tcPr>
            <w:tcW w:w="0" w:type="auto"/>
            <w:vAlign w:val="center"/>
          </w:tcPr>
          <w:p w:rsidR="00C14431" w:rsidRDefault="00947E74">
            <w:pPr>
              <w:jc w:val="center"/>
            </w:pPr>
            <w:r>
              <w:rPr>
                <w:color w:val="000000"/>
                <w:sz w:val="24"/>
              </w:rPr>
              <w:t>腾讯控股有限公司</w:t>
            </w:r>
          </w:p>
        </w:tc>
        <w:tc>
          <w:tcPr>
            <w:tcW w:w="0" w:type="auto"/>
            <w:vAlign w:val="center"/>
          </w:tcPr>
          <w:p w:rsidR="00C14431" w:rsidRDefault="00947E74">
            <w:pPr>
              <w:jc w:val="center"/>
            </w:pPr>
            <w:r>
              <w:rPr>
                <w:color w:val="000000"/>
                <w:sz w:val="24"/>
              </w:rPr>
              <w:t>700 HK</w:t>
            </w:r>
          </w:p>
        </w:tc>
        <w:tc>
          <w:tcPr>
            <w:tcW w:w="0" w:type="auto"/>
            <w:vAlign w:val="center"/>
          </w:tcPr>
          <w:p w:rsidR="00C14431" w:rsidRDefault="00947E74">
            <w:pPr>
              <w:jc w:val="center"/>
            </w:pPr>
            <w:r>
              <w:rPr>
                <w:color w:val="000000"/>
                <w:sz w:val="24"/>
              </w:rPr>
              <w:t>香港证券交易所</w:t>
            </w:r>
          </w:p>
        </w:tc>
        <w:tc>
          <w:tcPr>
            <w:tcW w:w="0" w:type="auto"/>
            <w:vAlign w:val="center"/>
          </w:tcPr>
          <w:p w:rsidR="00C14431" w:rsidRDefault="00947E74">
            <w:pPr>
              <w:jc w:val="center"/>
            </w:pPr>
            <w:r>
              <w:rPr>
                <w:color w:val="000000"/>
                <w:sz w:val="24"/>
              </w:rPr>
              <w:t>香港</w:t>
            </w:r>
          </w:p>
        </w:tc>
        <w:tc>
          <w:tcPr>
            <w:tcW w:w="0" w:type="auto"/>
            <w:vAlign w:val="center"/>
          </w:tcPr>
          <w:p w:rsidR="00C14431" w:rsidRDefault="00947E74">
            <w:pPr>
              <w:jc w:val="right"/>
            </w:pPr>
            <w:r>
              <w:rPr>
                <w:color w:val="000000"/>
                <w:sz w:val="24"/>
              </w:rPr>
              <w:t>334,500</w:t>
            </w:r>
          </w:p>
        </w:tc>
        <w:tc>
          <w:tcPr>
            <w:tcW w:w="0" w:type="auto"/>
            <w:vAlign w:val="center"/>
          </w:tcPr>
          <w:p w:rsidR="00C14431" w:rsidRDefault="00947E74">
            <w:pPr>
              <w:jc w:val="right"/>
            </w:pPr>
            <w:r>
              <w:rPr>
                <w:color w:val="000000"/>
                <w:sz w:val="24"/>
              </w:rPr>
              <w:t>50,346,215.26</w:t>
            </w:r>
          </w:p>
        </w:tc>
        <w:tc>
          <w:tcPr>
            <w:tcW w:w="0" w:type="auto"/>
            <w:vAlign w:val="center"/>
          </w:tcPr>
          <w:p w:rsidR="00C14431" w:rsidRDefault="00947E74">
            <w:pPr>
              <w:jc w:val="right"/>
            </w:pPr>
            <w:r>
              <w:rPr>
                <w:color w:val="000000"/>
                <w:sz w:val="24"/>
              </w:rPr>
              <w:t>10.40</w:t>
            </w:r>
          </w:p>
        </w:tc>
      </w:tr>
      <w:tr w:rsidR="00C14431">
        <w:tc>
          <w:tcPr>
            <w:tcW w:w="0" w:type="auto"/>
            <w:vAlign w:val="center"/>
          </w:tcPr>
          <w:p w:rsidR="00C14431" w:rsidRDefault="00947E74">
            <w:pPr>
              <w:jc w:val="center"/>
            </w:pPr>
            <w:r>
              <w:rPr>
                <w:color w:val="000000"/>
                <w:sz w:val="24"/>
              </w:rPr>
              <w:t>2</w:t>
            </w:r>
          </w:p>
        </w:tc>
        <w:tc>
          <w:tcPr>
            <w:tcW w:w="0" w:type="auto"/>
            <w:vAlign w:val="center"/>
          </w:tcPr>
          <w:p w:rsidR="00C14431" w:rsidRDefault="00947E74">
            <w:pPr>
              <w:jc w:val="center"/>
            </w:pPr>
            <w:r>
              <w:rPr>
                <w:color w:val="000000"/>
                <w:sz w:val="24"/>
              </w:rPr>
              <w:t>Alibaba Group Holding Limited</w:t>
            </w:r>
          </w:p>
        </w:tc>
        <w:tc>
          <w:tcPr>
            <w:tcW w:w="0" w:type="auto"/>
            <w:vAlign w:val="center"/>
          </w:tcPr>
          <w:p w:rsidR="00C14431" w:rsidRDefault="00947E74">
            <w:pPr>
              <w:jc w:val="center"/>
            </w:pPr>
            <w:r>
              <w:rPr>
                <w:color w:val="000000"/>
                <w:sz w:val="24"/>
              </w:rPr>
              <w:t>阿里巴巴集团控股有限公司</w:t>
            </w:r>
          </w:p>
        </w:tc>
        <w:tc>
          <w:tcPr>
            <w:tcW w:w="0" w:type="auto"/>
            <w:vAlign w:val="center"/>
          </w:tcPr>
          <w:p w:rsidR="00C14431" w:rsidRDefault="00947E74">
            <w:pPr>
              <w:jc w:val="center"/>
            </w:pPr>
            <w:r>
              <w:rPr>
                <w:color w:val="000000"/>
                <w:sz w:val="24"/>
              </w:rPr>
              <w:t>BABA US</w:t>
            </w:r>
          </w:p>
        </w:tc>
        <w:tc>
          <w:tcPr>
            <w:tcW w:w="0" w:type="auto"/>
            <w:vAlign w:val="center"/>
          </w:tcPr>
          <w:p w:rsidR="00C14431" w:rsidRDefault="00947E74">
            <w:pPr>
              <w:jc w:val="center"/>
            </w:pPr>
            <w:r>
              <w:rPr>
                <w:color w:val="000000"/>
                <w:sz w:val="24"/>
              </w:rPr>
              <w:t>美国证券交易所</w:t>
            </w:r>
          </w:p>
        </w:tc>
        <w:tc>
          <w:tcPr>
            <w:tcW w:w="0" w:type="auto"/>
            <w:vAlign w:val="center"/>
          </w:tcPr>
          <w:p w:rsidR="00C14431" w:rsidRDefault="00947E74">
            <w:pPr>
              <w:jc w:val="center"/>
            </w:pPr>
            <w:r>
              <w:rPr>
                <w:color w:val="000000"/>
                <w:sz w:val="24"/>
              </w:rPr>
              <w:t>美国</w:t>
            </w:r>
          </w:p>
        </w:tc>
        <w:tc>
          <w:tcPr>
            <w:tcW w:w="0" w:type="auto"/>
            <w:vAlign w:val="center"/>
          </w:tcPr>
          <w:p w:rsidR="00C14431" w:rsidRDefault="00947E74">
            <w:pPr>
              <w:jc w:val="right"/>
            </w:pPr>
            <w:r>
              <w:rPr>
                <w:color w:val="000000"/>
                <w:sz w:val="24"/>
              </w:rPr>
              <w:t>82,448</w:t>
            </w:r>
          </w:p>
        </w:tc>
        <w:tc>
          <w:tcPr>
            <w:tcW w:w="0" w:type="auto"/>
            <w:vAlign w:val="center"/>
          </w:tcPr>
          <w:p w:rsidR="00C14431" w:rsidRDefault="00947E74">
            <w:pPr>
              <w:jc w:val="right"/>
            </w:pPr>
            <w:r>
              <w:rPr>
                <w:color w:val="000000"/>
                <w:sz w:val="24"/>
              </w:rPr>
              <w:t>43,481,371.49</w:t>
            </w:r>
          </w:p>
        </w:tc>
        <w:tc>
          <w:tcPr>
            <w:tcW w:w="0" w:type="auto"/>
            <w:vAlign w:val="center"/>
          </w:tcPr>
          <w:p w:rsidR="00C14431" w:rsidRDefault="00947E74">
            <w:pPr>
              <w:jc w:val="right"/>
            </w:pPr>
            <w:r>
              <w:rPr>
                <w:color w:val="000000"/>
                <w:sz w:val="24"/>
              </w:rPr>
              <w:t>8.98</w:t>
            </w:r>
          </w:p>
        </w:tc>
      </w:tr>
      <w:tr w:rsidR="00C14431">
        <w:tc>
          <w:tcPr>
            <w:tcW w:w="0" w:type="auto"/>
            <w:vAlign w:val="center"/>
          </w:tcPr>
          <w:p w:rsidR="00C14431" w:rsidRDefault="00947E74">
            <w:pPr>
              <w:jc w:val="center"/>
            </w:pPr>
            <w:r>
              <w:rPr>
                <w:color w:val="000000"/>
                <w:sz w:val="24"/>
              </w:rPr>
              <w:t>3</w:t>
            </w:r>
          </w:p>
        </w:tc>
        <w:tc>
          <w:tcPr>
            <w:tcW w:w="0" w:type="auto"/>
            <w:vAlign w:val="center"/>
          </w:tcPr>
          <w:p w:rsidR="00C14431" w:rsidRDefault="00947E74">
            <w:pPr>
              <w:jc w:val="center"/>
            </w:pPr>
            <w:r>
              <w:rPr>
                <w:color w:val="000000"/>
                <w:sz w:val="24"/>
              </w:rPr>
              <w:t>Baidu Inc.</w:t>
            </w:r>
          </w:p>
        </w:tc>
        <w:tc>
          <w:tcPr>
            <w:tcW w:w="0" w:type="auto"/>
            <w:vAlign w:val="center"/>
          </w:tcPr>
          <w:p w:rsidR="00C14431" w:rsidRDefault="00947E74">
            <w:pPr>
              <w:jc w:val="center"/>
            </w:pPr>
            <w:r>
              <w:rPr>
                <w:color w:val="000000"/>
                <w:sz w:val="24"/>
              </w:rPr>
              <w:t>百度股份有限公司</w:t>
            </w:r>
          </w:p>
        </w:tc>
        <w:tc>
          <w:tcPr>
            <w:tcW w:w="0" w:type="auto"/>
            <w:vAlign w:val="center"/>
          </w:tcPr>
          <w:p w:rsidR="00C14431" w:rsidRDefault="00947E74">
            <w:pPr>
              <w:jc w:val="center"/>
            </w:pPr>
            <w:r>
              <w:rPr>
                <w:color w:val="000000"/>
                <w:sz w:val="24"/>
              </w:rPr>
              <w:t>BIDU US</w:t>
            </w:r>
          </w:p>
        </w:tc>
        <w:tc>
          <w:tcPr>
            <w:tcW w:w="0" w:type="auto"/>
            <w:vAlign w:val="center"/>
          </w:tcPr>
          <w:p w:rsidR="00C14431" w:rsidRDefault="00947E74">
            <w:pPr>
              <w:jc w:val="center"/>
            </w:pPr>
            <w:r>
              <w:rPr>
                <w:color w:val="000000"/>
                <w:sz w:val="24"/>
              </w:rPr>
              <w:t>美国证券交易所</w:t>
            </w:r>
          </w:p>
        </w:tc>
        <w:tc>
          <w:tcPr>
            <w:tcW w:w="0" w:type="auto"/>
            <w:vAlign w:val="center"/>
          </w:tcPr>
          <w:p w:rsidR="00C14431" w:rsidRDefault="00947E74">
            <w:pPr>
              <w:jc w:val="center"/>
            </w:pPr>
            <w:r>
              <w:rPr>
                <w:color w:val="000000"/>
                <w:sz w:val="24"/>
              </w:rPr>
              <w:t>美国</w:t>
            </w:r>
          </w:p>
        </w:tc>
        <w:tc>
          <w:tcPr>
            <w:tcW w:w="0" w:type="auto"/>
            <w:vAlign w:val="center"/>
          </w:tcPr>
          <w:p w:rsidR="00C14431" w:rsidRDefault="00947E74">
            <w:pPr>
              <w:jc w:val="right"/>
            </w:pPr>
            <w:r>
              <w:rPr>
                <w:color w:val="000000"/>
                <w:sz w:val="24"/>
              </w:rPr>
              <w:t>32,208</w:t>
            </w:r>
          </w:p>
        </w:tc>
        <w:tc>
          <w:tcPr>
            <w:tcW w:w="0" w:type="auto"/>
            <w:vAlign w:val="center"/>
          </w:tcPr>
          <w:p w:rsidR="00C14431" w:rsidRDefault="00947E74">
            <w:pPr>
              <w:jc w:val="right"/>
            </w:pPr>
            <w:r>
              <w:rPr>
                <w:color w:val="000000"/>
                <w:sz w:val="24"/>
              </w:rPr>
              <w:t>35,272,355.44</w:t>
            </w:r>
          </w:p>
        </w:tc>
        <w:tc>
          <w:tcPr>
            <w:tcW w:w="0" w:type="auto"/>
            <w:vAlign w:val="center"/>
          </w:tcPr>
          <w:p w:rsidR="00C14431" w:rsidRDefault="00947E74">
            <w:pPr>
              <w:jc w:val="right"/>
            </w:pPr>
            <w:r>
              <w:rPr>
                <w:color w:val="000000"/>
                <w:sz w:val="24"/>
              </w:rPr>
              <w:t>7.29</w:t>
            </w:r>
          </w:p>
        </w:tc>
      </w:tr>
      <w:tr w:rsidR="00C14431">
        <w:tc>
          <w:tcPr>
            <w:tcW w:w="0" w:type="auto"/>
            <w:vAlign w:val="center"/>
          </w:tcPr>
          <w:p w:rsidR="00C14431" w:rsidRDefault="00947E74">
            <w:pPr>
              <w:jc w:val="center"/>
            </w:pPr>
            <w:r>
              <w:rPr>
                <w:color w:val="000000"/>
                <w:sz w:val="24"/>
              </w:rPr>
              <w:t>4</w:t>
            </w:r>
          </w:p>
        </w:tc>
        <w:tc>
          <w:tcPr>
            <w:tcW w:w="0" w:type="auto"/>
            <w:vAlign w:val="center"/>
          </w:tcPr>
          <w:p w:rsidR="00C14431" w:rsidRDefault="00947E74">
            <w:pPr>
              <w:jc w:val="center"/>
            </w:pPr>
            <w:r>
              <w:rPr>
                <w:color w:val="000000"/>
                <w:sz w:val="24"/>
              </w:rPr>
              <w:t>Netease.Com Inc.</w:t>
            </w:r>
          </w:p>
        </w:tc>
        <w:tc>
          <w:tcPr>
            <w:tcW w:w="0" w:type="auto"/>
            <w:vAlign w:val="center"/>
          </w:tcPr>
          <w:p w:rsidR="00C14431" w:rsidRDefault="00947E74">
            <w:pPr>
              <w:jc w:val="center"/>
            </w:pPr>
            <w:r>
              <w:rPr>
                <w:color w:val="000000"/>
                <w:sz w:val="24"/>
              </w:rPr>
              <w:t>网易公司</w:t>
            </w:r>
          </w:p>
        </w:tc>
        <w:tc>
          <w:tcPr>
            <w:tcW w:w="0" w:type="auto"/>
            <w:vAlign w:val="center"/>
          </w:tcPr>
          <w:p w:rsidR="00C14431" w:rsidRDefault="00947E74">
            <w:pPr>
              <w:jc w:val="center"/>
            </w:pPr>
            <w:r>
              <w:rPr>
                <w:color w:val="000000"/>
                <w:sz w:val="24"/>
              </w:rPr>
              <w:t>NTES US</w:t>
            </w:r>
          </w:p>
        </w:tc>
        <w:tc>
          <w:tcPr>
            <w:tcW w:w="0" w:type="auto"/>
            <w:vAlign w:val="center"/>
          </w:tcPr>
          <w:p w:rsidR="00C14431" w:rsidRDefault="00947E74">
            <w:pPr>
              <w:jc w:val="center"/>
            </w:pPr>
            <w:r>
              <w:rPr>
                <w:color w:val="000000"/>
                <w:sz w:val="24"/>
              </w:rPr>
              <w:t>美国证券交易所</w:t>
            </w:r>
          </w:p>
        </w:tc>
        <w:tc>
          <w:tcPr>
            <w:tcW w:w="0" w:type="auto"/>
            <w:vAlign w:val="center"/>
          </w:tcPr>
          <w:p w:rsidR="00C14431" w:rsidRDefault="00947E74">
            <w:pPr>
              <w:jc w:val="center"/>
            </w:pPr>
            <w:r>
              <w:rPr>
                <w:color w:val="000000"/>
                <w:sz w:val="24"/>
              </w:rPr>
              <w:t>美国</w:t>
            </w:r>
          </w:p>
        </w:tc>
        <w:tc>
          <w:tcPr>
            <w:tcW w:w="0" w:type="auto"/>
            <w:vAlign w:val="center"/>
          </w:tcPr>
          <w:p w:rsidR="00C14431" w:rsidRDefault="00947E74">
            <w:pPr>
              <w:jc w:val="right"/>
            </w:pPr>
            <w:r>
              <w:rPr>
                <w:color w:val="000000"/>
                <w:sz w:val="24"/>
              </w:rPr>
              <w:t>24,472</w:t>
            </w:r>
          </w:p>
        </w:tc>
        <w:tc>
          <w:tcPr>
            <w:tcW w:w="0" w:type="auto"/>
            <w:vAlign w:val="center"/>
          </w:tcPr>
          <w:p w:rsidR="00C14431" w:rsidRDefault="00947E74">
            <w:pPr>
              <w:jc w:val="right"/>
            </w:pPr>
            <w:r>
              <w:rPr>
                <w:color w:val="000000"/>
                <w:sz w:val="24"/>
              </w:rPr>
              <w:t>31,355,495.52</w:t>
            </w:r>
          </w:p>
        </w:tc>
        <w:tc>
          <w:tcPr>
            <w:tcW w:w="0" w:type="auto"/>
            <w:vAlign w:val="center"/>
          </w:tcPr>
          <w:p w:rsidR="00C14431" w:rsidRDefault="00947E74">
            <w:pPr>
              <w:jc w:val="right"/>
            </w:pPr>
            <w:r>
              <w:rPr>
                <w:color w:val="000000"/>
                <w:sz w:val="24"/>
              </w:rPr>
              <w:t>6.48</w:t>
            </w:r>
          </w:p>
        </w:tc>
      </w:tr>
      <w:tr w:rsidR="00C14431">
        <w:tc>
          <w:tcPr>
            <w:tcW w:w="0" w:type="auto"/>
            <w:vAlign w:val="center"/>
          </w:tcPr>
          <w:p w:rsidR="00C14431" w:rsidRDefault="00947E74">
            <w:pPr>
              <w:jc w:val="center"/>
            </w:pPr>
            <w:r>
              <w:rPr>
                <w:color w:val="000000"/>
                <w:sz w:val="24"/>
              </w:rPr>
              <w:t>5</w:t>
            </w:r>
          </w:p>
        </w:tc>
        <w:tc>
          <w:tcPr>
            <w:tcW w:w="0" w:type="auto"/>
            <w:vAlign w:val="center"/>
          </w:tcPr>
          <w:p w:rsidR="00C14431" w:rsidRDefault="00947E74">
            <w:pPr>
              <w:jc w:val="center"/>
            </w:pPr>
            <w:r>
              <w:rPr>
                <w:color w:val="000000"/>
                <w:sz w:val="24"/>
              </w:rPr>
              <w:t>Jd.Com Inc.</w:t>
            </w:r>
          </w:p>
        </w:tc>
        <w:tc>
          <w:tcPr>
            <w:tcW w:w="0" w:type="auto"/>
            <w:vAlign w:val="center"/>
          </w:tcPr>
          <w:p w:rsidR="00C14431" w:rsidRDefault="00947E74">
            <w:pPr>
              <w:jc w:val="center"/>
            </w:pPr>
            <w:r>
              <w:rPr>
                <w:color w:val="000000"/>
                <w:sz w:val="24"/>
              </w:rPr>
              <w:t>京东集团</w:t>
            </w:r>
          </w:p>
        </w:tc>
        <w:tc>
          <w:tcPr>
            <w:tcW w:w="0" w:type="auto"/>
            <w:vAlign w:val="center"/>
          </w:tcPr>
          <w:p w:rsidR="00C14431" w:rsidRDefault="00947E74">
            <w:pPr>
              <w:jc w:val="center"/>
            </w:pPr>
            <w:r>
              <w:rPr>
                <w:color w:val="000000"/>
                <w:sz w:val="24"/>
              </w:rPr>
              <w:t>JD US</w:t>
            </w:r>
          </w:p>
        </w:tc>
        <w:tc>
          <w:tcPr>
            <w:tcW w:w="0" w:type="auto"/>
            <w:vAlign w:val="center"/>
          </w:tcPr>
          <w:p w:rsidR="00C14431" w:rsidRDefault="00947E74">
            <w:pPr>
              <w:jc w:val="center"/>
            </w:pPr>
            <w:r>
              <w:rPr>
                <w:color w:val="000000"/>
                <w:sz w:val="24"/>
              </w:rPr>
              <w:t>美国证券交易所</w:t>
            </w:r>
          </w:p>
        </w:tc>
        <w:tc>
          <w:tcPr>
            <w:tcW w:w="0" w:type="auto"/>
            <w:vAlign w:val="center"/>
          </w:tcPr>
          <w:p w:rsidR="00C14431" w:rsidRDefault="00947E74">
            <w:pPr>
              <w:jc w:val="center"/>
            </w:pPr>
            <w:r>
              <w:rPr>
                <w:color w:val="000000"/>
                <w:sz w:val="24"/>
              </w:rPr>
              <w:t>美国</w:t>
            </w:r>
          </w:p>
        </w:tc>
        <w:tc>
          <w:tcPr>
            <w:tcW w:w="0" w:type="auto"/>
            <w:vAlign w:val="center"/>
          </w:tcPr>
          <w:p w:rsidR="00C14431" w:rsidRDefault="00947E74">
            <w:pPr>
              <w:jc w:val="right"/>
            </w:pPr>
            <w:r>
              <w:rPr>
                <w:color w:val="000000"/>
                <w:sz w:val="24"/>
              </w:rPr>
              <w:t>209,502</w:t>
            </w:r>
          </w:p>
        </w:tc>
        <w:tc>
          <w:tcPr>
            <w:tcW w:w="0" w:type="auto"/>
            <w:vAlign w:val="center"/>
          </w:tcPr>
          <w:p w:rsidR="00C14431" w:rsidRDefault="00947E74">
            <w:pPr>
              <w:jc w:val="right"/>
            </w:pPr>
            <w:r>
              <w:rPr>
                <w:color w:val="000000"/>
                <w:sz w:val="24"/>
              </w:rPr>
              <w:t>29,493,770.33</w:t>
            </w:r>
          </w:p>
        </w:tc>
        <w:tc>
          <w:tcPr>
            <w:tcW w:w="0" w:type="auto"/>
            <w:vAlign w:val="center"/>
          </w:tcPr>
          <w:p w:rsidR="00C14431" w:rsidRDefault="00947E74">
            <w:pPr>
              <w:jc w:val="right"/>
            </w:pPr>
            <w:r>
              <w:rPr>
                <w:color w:val="000000"/>
                <w:sz w:val="24"/>
              </w:rPr>
              <w:t>6.09</w:t>
            </w:r>
          </w:p>
        </w:tc>
      </w:tr>
      <w:tr w:rsidR="00C14431">
        <w:tc>
          <w:tcPr>
            <w:tcW w:w="0" w:type="auto"/>
            <w:vAlign w:val="center"/>
          </w:tcPr>
          <w:p w:rsidR="00C14431" w:rsidRDefault="00947E74">
            <w:pPr>
              <w:jc w:val="center"/>
            </w:pPr>
            <w:r>
              <w:rPr>
                <w:color w:val="000000"/>
                <w:sz w:val="24"/>
              </w:rPr>
              <w:t>6</w:t>
            </w:r>
          </w:p>
        </w:tc>
        <w:tc>
          <w:tcPr>
            <w:tcW w:w="0" w:type="auto"/>
            <w:vAlign w:val="center"/>
          </w:tcPr>
          <w:p w:rsidR="00C14431" w:rsidRDefault="00947E74">
            <w:pPr>
              <w:jc w:val="center"/>
            </w:pPr>
            <w:r>
              <w:rPr>
                <w:color w:val="000000"/>
                <w:sz w:val="24"/>
              </w:rPr>
              <w:t>Qihoo 360 Technology Co Ltd.</w:t>
            </w:r>
          </w:p>
        </w:tc>
        <w:tc>
          <w:tcPr>
            <w:tcW w:w="0" w:type="auto"/>
            <w:vAlign w:val="center"/>
          </w:tcPr>
          <w:p w:rsidR="00C14431" w:rsidRDefault="00947E74">
            <w:pPr>
              <w:jc w:val="center"/>
            </w:pPr>
            <w:r>
              <w:rPr>
                <w:color w:val="000000"/>
                <w:sz w:val="24"/>
              </w:rPr>
              <w:t>北京奇虎科技有限公司</w:t>
            </w:r>
          </w:p>
        </w:tc>
        <w:tc>
          <w:tcPr>
            <w:tcW w:w="0" w:type="auto"/>
            <w:vAlign w:val="center"/>
          </w:tcPr>
          <w:p w:rsidR="00C14431" w:rsidRDefault="00947E74">
            <w:pPr>
              <w:jc w:val="center"/>
            </w:pPr>
            <w:r>
              <w:rPr>
                <w:color w:val="000000"/>
                <w:sz w:val="24"/>
              </w:rPr>
              <w:t>QIHU US</w:t>
            </w:r>
          </w:p>
        </w:tc>
        <w:tc>
          <w:tcPr>
            <w:tcW w:w="0" w:type="auto"/>
            <w:vAlign w:val="center"/>
          </w:tcPr>
          <w:p w:rsidR="00C14431" w:rsidRDefault="00947E74">
            <w:pPr>
              <w:jc w:val="center"/>
            </w:pPr>
            <w:r>
              <w:rPr>
                <w:color w:val="000000"/>
                <w:sz w:val="24"/>
              </w:rPr>
              <w:t>美国证券交易所</w:t>
            </w:r>
          </w:p>
        </w:tc>
        <w:tc>
          <w:tcPr>
            <w:tcW w:w="0" w:type="auto"/>
            <w:vAlign w:val="center"/>
          </w:tcPr>
          <w:p w:rsidR="00C14431" w:rsidRDefault="00947E74">
            <w:pPr>
              <w:jc w:val="center"/>
            </w:pPr>
            <w:r>
              <w:rPr>
                <w:color w:val="000000"/>
                <w:sz w:val="24"/>
              </w:rPr>
              <w:t>美国</w:t>
            </w:r>
          </w:p>
        </w:tc>
        <w:tc>
          <w:tcPr>
            <w:tcW w:w="0" w:type="auto"/>
            <w:vAlign w:val="center"/>
          </w:tcPr>
          <w:p w:rsidR="00C14431" w:rsidRDefault="00947E74">
            <w:pPr>
              <w:jc w:val="right"/>
            </w:pPr>
            <w:r>
              <w:rPr>
                <w:color w:val="000000"/>
                <w:sz w:val="24"/>
              </w:rPr>
              <w:t>38,543</w:t>
            </w:r>
          </w:p>
        </w:tc>
        <w:tc>
          <w:tcPr>
            <w:tcW w:w="0" w:type="auto"/>
            <w:vAlign w:val="center"/>
          </w:tcPr>
          <w:p w:rsidR="00C14431" w:rsidRDefault="00947E74">
            <w:pPr>
              <w:jc w:val="right"/>
            </w:pPr>
            <w:r>
              <w:rPr>
                <w:color w:val="000000"/>
                <w:sz w:val="24"/>
              </w:rPr>
              <w:t>18,670,582.25</w:t>
            </w:r>
          </w:p>
        </w:tc>
        <w:tc>
          <w:tcPr>
            <w:tcW w:w="0" w:type="auto"/>
            <w:vAlign w:val="center"/>
          </w:tcPr>
          <w:p w:rsidR="00C14431" w:rsidRDefault="00947E74">
            <w:pPr>
              <w:jc w:val="right"/>
            </w:pPr>
            <w:r>
              <w:rPr>
                <w:color w:val="000000"/>
                <w:sz w:val="24"/>
              </w:rPr>
              <w:t>3.86</w:t>
            </w:r>
          </w:p>
        </w:tc>
      </w:tr>
      <w:tr w:rsidR="00C14431">
        <w:tc>
          <w:tcPr>
            <w:tcW w:w="0" w:type="auto"/>
            <w:vAlign w:val="center"/>
          </w:tcPr>
          <w:p w:rsidR="00C14431" w:rsidRDefault="00947E74">
            <w:pPr>
              <w:jc w:val="center"/>
            </w:pPr>
            <w:r>
              <w:rPr>
                <w:color w:val="000000"/>
                <w:sz w:val="24"/>
              </w:rPr>
              <w:t>7</w:t>
            </w:r>
          </w:p>
        </w:tc>
        <w:tc>
          <w:tcPr>
            <w:tcW w:w="0" w:type="auto"/>
            <w:vAlign w:val="center"/>
          </w:tcPr>
          <w:p w:rsidR="00C14431" w:rsidRDefault="00947E74">
            <w:pPr>
              <w:jc w:val="center"/>
            </w:pPr>
            <w:r>
              <w:rPr>
                <w:color w:val="000000"/>
                <w:sz w:val="24"/>
              </w:rPr>
              <w:t>Vipshop Holdings Ltd.</w:t>
            </w:r>
          </w:p>
        </w:tc>
        <w:tc>
          <w:tcPr>
            <w:tcW w:w="0" w:type="auto"/>
            <w:vAlign w:val="center"/>
          </w:tcPr>
          <w:p w:rsidR="00C14431" w:rsidRDefault="00947E74">
            <w:pPr>
              <w:jc w:val="center"/>
            </w:pPr>
            <w:r>
              <w:rPr>
                <w:color w:val="000000"/>
                <w:sz w:val="24"/>
              </w:rPr>
              <w:t>唯品会控股有限公司</w:t>
            </w:r>
          </w:p>
        </w:tc>
        <w:tc>
          <w:tcPr>
            <w:tcW w:w="0" w:type="auto"/>
            <w:vAlign w:val="center"/>
          </w:tcPr>
          <w:p w:rsidR="00C14431" w:rsidRDefault="00947E74">
            <w:pPr>
              <w:jc w:val="center"/>
            </w:pPr>
            <w:r>
              <w:rPr>
                <w:color w:val="000000"/>
                <w:sz w:val="24"/>
              </w:rPr>
              <w:t>VIPS US</w:t>
            </w:r>
          </w:p>
        </w:tc>
        <w:tc>
          <w:tcPr>
            <w:tcW w:w="0" w:type="auto"/>
            <w:vAlign w:val="center"/>
          </w:tcPr>
          <w:p w:rsidR="00C14431" w:rsidRDefault="00947E74">
            <w:pPr>
              <w:jc w:val="center"/>
            </w:pPr>
            <w:r>
              <w:rPr>
                <w:color w:val="000000"/>
                <w:sz w:val="24"/>
              </w:rPr>
              <w:t>美国证券交易所</w:t>
            </w:r>
          </w:p>
        </w:tc>
        <w:tc>
          <w:tcPr>
            <w:tcW w:w="0" w:type="auto"/>
            <w:vAlign w:val="center"/>
          </w:tcPr>
          <w:p w:rsidR="00C14431" w:rsidRDefault="00947E74">
            <w:pPr>
              <w:jc w:val="center"/>
            </w:pPr>
            <w:r>
              <w:rPr>
                <w:color w:val="000000"/>
                <w:sz w:val="24"/>
              </w:rPr>
              <w:t>美国</w:t>
            </w:r>
          </w:p>
        </w:tc>
        <w:tc>
          <w:tcPr>
            <w:tcW w:w="0" w:type="auto"/>
            <w:vAlign w:val="center"/>
          </w:tcPr>
          <w:p w:rsidR="00C14431" w:rsidRDefault="00947E74">
            <w:pPr>
              <w:jc w:val="right"/>
            </w:pPr>
            <w:r>
              <w:rPr>
                <w:color w:val="000000"/>
                <w:sz w:val="24"/>
              </w:rPr>
              <w:t>251,056</w:t>
            </w:r>
          </w:p>
        </w:tc>
        <w:tc>
          <w:tcPr>
            <w:tcW w:w="0" w:type="auto"/>
            <w:vAlign w:val="center"/>
          </w:tcPr>
          <w:p w:rsidR="00C14431" w:rsidRDefault="00947E74">
            <w:pPr>
              <w:jc w:val="right"/>
            </w:pPr>
            <w:r>
              <w:rPr>
                <w:color w:val="000000"/>
                <w:sz w:val="24"/>
              </w:rPr>
              <w:t>18,595,844.45</w:t>
            </w:r>
          </w:p>
        </w:tc>
        <w:tc>
          <w:tcPr>
            <w:tcW w:w="0" w:type="auto"/>
            <w:vAlign w:val="center"/>
          </w:tcPr>
          <w:p w:rsidR="00C14431" w:rsidRDefault="00947E74">
            <w:pPr>
              <w:jc w:val="right"/>
            </w:pPr>
            <w:r>
              <w:rPr>
                <w:color w:val="000000"/>
                <w:sz w:val="24"/>
              </w:rPr>
              <w:t>3.84</w:t>
            </w:r>
          </w:p>
        </w:tc>
      </w:tr>
      <w:tr w:rsidR="00C14431">
        <w:tc>
          <w:tcPr>
            <w:tcW w:w="0" w:type="auto"/>
            <w:vAlign w:val="center"/>
          </w:tcPr>
          <w:p w:rsidR="00C14431" w:rsidRDefault="00947E74">
            <w:pPr>
              <w:jc w:val="center"/>
            </w:pPr>
            <w:r>
              <w:rPr>
                <w:color w:val="000000"/>
                <w:sz w:val="24"/>
              </w:rPr>
              <w:t>8</w:t>
            </w:r>
          </w:p>
        </w:tc>
        <w:tc>
          <w:tcPr>
            <w:tcW w:w="0" w:type="auto"/>
            <w:vAlign w:val="center"/>
          </w:tcPr>
          <w:p w:rsidR="00C14431" w:rsidRDefault="00947E74">
            <w:pPr>
              <w:jc w:val="center"/>
            </w:pPr>
            <w:r>
              <w:rPr>
                <w:color w:val="000000"/>
                <w:sz w:val="24"/>
              </w:rPr>
              <w:t>SINA Corp/China</w:t>
            </w:r>
          </w:p>
        </w:tc>
        <w:tc>
          <w:tcPr>
            <w:tcW w:w="0" w:type="auto"/>
            <w:vAlign w:val="center"/>
          </w:tcPr>
          <w:p w:rsidR="00C14431" w:rsidRDefault="00947E74">
            <w:pPr>
              <w:jc w:val="center"/>
            </w:pPr>
            <w:r>
              <w:rPr>
                <w:color w:val="000000"/>
                <w:sz w:val="24"/>
              </w:rPr>
              <w:t>新浪公司</w:t>
            </w:r>
          </w:p>
        </w:tc>
        <w:tc>
          <w:tcPr>
            <w:tcW w:w="0" w:type="auto"/>
            <w:vAlign w:val="center"/>
          </w:tcPr>
          <w:p w:rsidR="00C14431" w:rsidRDefault="00947E74">
            <w:pPr>
              <w:jc w:val="center"/>
            </w:pPr>
            <w:r>
              <w:rPr>
                <w:color w:val="000000"/>
                <w:sz w:val="24"/>
              </w:rPr>
              <w:t>SINA US</w:t>
            </w:r>
          </w:p>
        </w:tc>
        <w:tc>
          <w:tcPr>
            <w:tcW w:w="0" w:type="auto"/>
            <w:vAlign w:val="center"/>
          </w:tcPr>
          <w:p w:rsidR="00C14431" w:rsidRDefault="00947E74">
            <w:pPr>
              <w:jc w:val="center"/>
            </w:pPr>
            <w:r>
              <w:rPr>
                <w:color w:val="000000"/>
                <w:sz w:val="24"/>
              </w:rPr>
              <w:t>美国证券交易所</w:t>
            </w:r>
          </w:p>
        </w:tc>
        <w:tc>
          <w:tcPr>
            <w:tcW w:w="0" w:type="auto"/>
            <w:vAlign w:val="center"/>
          </w:tcPr>
          <w:p w:rsidR="00C14431" w:rsidRDefault="00947E74">
            <w:pPr>
              <w:jc w:val="center"/>
            </w:pPr>
            <w:r>
              <w:rPr>
                <w:color w:val="000000"/>
                <w:sz w:val="24"/>
              </w:rPr>
              <w:t>美国</w:t>
            </w:r>
          </w:p>
        </w:tc>
        <w:tc>
          <w:tcPr>
            <w:tcW w:w="0" w:type="auto"/>
            <w:vAlign w:val="center"/>
          </w:tcPr>
          <w:p w:rsidR="00C14431" w:rsidRDefault="00947E74">
            <w:pPr>
              <w:jc w:val="right"/>
            </w:pPr>
            <w:r>
              <w:rPr>
                <w:color w:val="000000"/>
                <w:sz w:val="24"/>
              </w:rPr>
              <w:t>52,929</w:t>
            </w:r>
          </w:p>
        </w:tc>
        <w:tc>
          <w:tcPr>
            <w:tcW w:w="0" w:type="auto"/>
            <w:vAlign w:val="center"/>
          </w:tcPr>
          <w:p w:rsidR="00C14431" w:rsidRDefault="00947E74">
            <w:pPr>
              <w:jc w:val="right"/>
            </w:pPr>
            <w:r>
              <w:rPr>
                <w:color w:val="000000"/>
                <w:sz w:val="24"/>
              </w:rPr>
              <w:t>18,205,477.05</w:t>
            </w:r>
          </w:p>
        </w:tc>
        <w:tc>
          <w:tcPr>
            <w:tcW w:w="0" w:type="auto"/>
            <w:vAlign w:val="center"/>
          </w:tcPr>
          <w:p w:rsidR="00C14431" w:rsidRDefault="00947E74">
            <w:pPr>
              <w:jc w:val="right"/>
            </w:pPr>
            <w:r>
              <w:rPr>
                <w:color w:val="000000"/>
                <w:sz w:val="24"/>
              </w:rPr>
              <w:t>3.76</w:t>
            </w:r>
          </w:p>
        </w:tc>
      </w:tr>
      <w:tr w:rsidR="00C14431">
        <w:tc>
          <w:tcPr>
            <w:tcW w:w="0" w:type="auto"/>
            <w:vAlign w:val="center"/>
          </w:tcPr>
          <w:p w:rsidR="00C14431" w:rsidRDefault="00947E74">
            <w:pPr>
              <w:jc w:val="center"/>
            </w:pPr>
            <w:r>
              <w:rPr>
                <w:color w:val="000000"/>
                <w:sz w:val="24"/>
              </w:rPr>
              <w:t>9</w:t>
            </w:r>
          </w:p>
        </w:tc>
        <w:tc>
          <w:tcPr>
            <w:tcW w:w="0" w:type="auto"/>
            <w:vAlign w:val="center"/>
          </w:tcPr>
          <w:p w:rsidR="00C14431" w:rsidRDefault="00947E74">
            <w:pPr>
              <w:jc w:val="center"/>
            </w:pPr>
            <w:r>
              <w:rPr>
                <w:color w:val="000000"/>
                <w:sz w:val="24"/>
              </w:rPr>
              <w:t>Ctrip.Com International, Ltd.</w:t>
            </w:r>
          </w:p>
        </w:tc>
        <w:tc>
          <w:tcPr>
            <w:tcW w:w="0" w:type="auto"/>
            <w:vAlign w:val="center"/>
          </w:tcPr>
          <w:p w:rsidR="00C14431" w:rsidRDefault="00947E74">
            <w:pPr>
              <w:jc w:val="center"/>
            </w:pPr>
            <w:r>
              <w:rPr>
                <w:color w:val="000000"/>
                <w:sz w:val="24"/>
              </w:rPr>
              <w:t>携程旅行网</w:t>
            </w:r>
          </w:p>
        </w:tc>
        <w:tc>
          <w:tcPr>
            <w:tcW w:w="0" w:type="auto"/>
            <w:vAlign w:val="center"/>
          </w:tcPr>
          <w:p w:rsidR="00C14431" w:rsidRDefault="00947E74">
            <w:pPr>
              <w:jc w:val="center"/>
            </w:pPr>
            <w:r>
              <w:rPr>
                <w:color w:val="000000"/>
                <w:sz w:val="24"/>
              </w:rPr>
              <w:t>CTRP US</w:t>
            </w:r>
          </w:p>
        </w:tc>
        <w:tc>
          <w:tcPr>
            <w:tcW w:w="0" w:type="auto"/>
            <w:vAlign w:val="center"/>
          </w:tcPr>
          <w:p w:rsidR="00C14431" w:rsidRDefault="00947E74">
            <w:pPr>
              <w:jc w:val="center"/>
            </w:pPr>
            <w:r>
              <w:rPr>
                <w:color w:val="000000"/>
                <w:sz w:val="24"/>
              </w:rPr>
              <w:t>美国证券交易所</w:t>
            </w:r>
          </w:p>
        </w:tc>
        <w:tc>
          <w:tcPr>
            <w:tcW w:w="0" w:type="auto"/>
            <w:vAlign w:val="center"/>
          </w:tcPr>
          <w:p w:rsidR="00C14431" w:rsidRDefault="00947E74">
            <w:pPr>
              <w:jc w:val="center"/>
            </w:pPr>
            <w:r>
              <w:rPr>
                <w:color w:val="000000"/>
                <w:sz w:val="24"/>
              </w:rPr>
              <w:t>美国</w:t>
            </w:r>
          </w:p>
        </w:tc>
        <w:tc>
          <w:tcPr>
            <w:tcW w:w="0" w:type="auto"/>
            <w:vAlign w:val="center"/>
          </w:tcPr>
          <w:p w:rsidR="00C14431" w:rsidRDefault="00947E74">
            <w:pPr>
              <w:jc w:val="right"/>
            </w:pPr>
            <w:r>
              <w:rPr>
                <w:color w:val="000000"/>
                <w:sz w:val="24"/>
              </w:rPr>
              <w:t>63,389</w:t>
            </w:r>
          </w:p>
        </w:tc>
        <w:tc>
          <w:tcPr>
            <w:tcW w:w="0" w:type="auto"/>
            <w:vAlign w:val="center"/>
          </w:tcPr>
          <w:p w:rsidR="00C14431" w:rsidRDefault="00947E74">
            <w:pPr>
              <w:jc w:val="right"/>
            </w:pPr>
            <w:r>
              <w:rPr>
                <w:color w:val="000000"/>
                <w:sz w:val="24"/>
              </w:rPr>
              <w:t>17,318,219.64</w:t>
            </w:r>
          </w:p>
        </w:tc>
        <w:tc>
          <w:tcPr>
            <w:tcW w:w="0" w:type="auto"/>
            <w:vAlign w:val="center"/>
          </w:tcPr>
          <w:p w:rsidR="00C14431" w:rsidRDefault="00947E74">
            <w:pPr>
              <w:jc w:val="right"/>
            </w:pPr>
            <w:r>
              <w:rPr>
                <w:color w:val="000000"/>
                <w:sz w:val="24"/>
              </w:rPr>
              <w:t>3.58</w:t>
            </w:r>
          </w:p>
        </w:tc>
      </w:tr>
      <w:tr w:rsidR="00C14431">
        <w:tc>
          <w:tcPr>
            <w:tcW w:w="0" w:type="auto"/>
            <w:vAlign w:val="center"/>
          </w:tcPr>
          <w:p w:rsidR="00C14431" w:rsidRDefault="00947E74">
            <w:pPr>
              <w:jc w:val="center"/>
            </w:pPr>
            <w:r>
              <w:rPr>
                <w:color w:val="000000"/>
                <w:sz w:val="24"/>
              </w:rPr>
              <w:t>10</w:t>
            </w:r>
          </w:p>
        </w:tc>
        <w:tc>
          <w:tcPr>
            <w:tcW w:w="0" w:type="auto"/>
            <w:vAlign w:val="center"/>
          </w:tcPr>
          <w:p w:rsidR="00C14431" w:rsidRDefault="00947E74">
            <w:pPr>
              <w:jc w:val="center"/>
            </w:pPr>
            <w:r>
              <w:rPr>
                <w:color w:val="000000"/>
                <w:sz w:val="24"/>
              </w:rPr>
              <w:t>58.Com Inc.</w:t>
            </w:r>
          </w:p>
        </w:tc>
        <w:tc>
          <w:tcPr>
            <w:tcW w:w="0" w:type="auto"/>
            <w:vAlign w:val="center"/>
          </w:tcPr>
          <w:p w:rsidR="00C14431" w:rsidRDefault="00947E74">
            <w:pPr>
              <w:jc w:val="center"/>
            </w:pPr>
            <w:r>
              <w:rPr>
                <w:color w:val="000000"/>
                <w:sz w:val="24"/>
              </w:rPr>
              <w:t>58</w:t>
            </w:r>
            <w:r>
              <w:rPr>
                <w:color w:val="000000"/>
                <w:sz w:val="24"/>
              </w:rPr>
              <w:t>同城网</w:t>
            </w:r>
          </w:p>
        </w:tc>
        <w:tc>
          <w:tcPr>
            <w:tcW w:w="0" w:type="auto"/>
            <w:vAlign w:val="center"/>
          </w:tcPr>
          <w:p w:rsidR="00C14431" w:rsidRDefault="00947E74">
            <w:pPr>
              <w:jc w:val="center"/>
            </w:pPr>
            <w:r>
              <w:rPr>
                <w:color w:val="000000"/>
                <w:sz w:val="24"/>
              </w:rPr>
              <w:t>WUBA US</w:t>
            </w:r>
          </w:p>
        </w:tc>
        <w:tc>
          <w:tcPr>
            <w:tcW w:w="0" w:type="auto"/>
            <w:vAlign w:val="center"/>
          </w:tcPr>
          <w:p w:rsidR="00C14431" w:rsidRDefault="00947E74">
            <w:pPr>
              <w:jc w:val="center"/>
            </w:pPr>
            <w:r>
              <w:rPr>
                <w:color w:val="000000"/>
                <w:sz w:val="24"/>
              </w:rPr>
              <w:t>美国证券交易所</w:t>
            </w:r>
          </w:p>
        </w:tc>
        <w:tc>
          <w:tcPr>
            <w:tcW w:w="0" w:type="auto"/>
            <w:vAlign w:val="center"/>
          </w:tcPr>
          <w:p w:rsidR="00C14431" w:rsidRDefault="00947E74">
            <w:pPr>
              <w:jc w:val="center"/>
            </w:pPr>
            <w:r>
              <w:rPr>
                <w:color w:val="000000"/>
                <w:sz w:val="24"/>
              </w:rPr>
              <w:t>美国</w:t>
            </w:r>
          </w:p>
        </w:tc>
        <w:tc>
          <w:tcPr>
            <w:tcW w:w="0" w:type="auto"/>
            <w:vAlign w:val="center"/>
          </w:tcPr>
          <w:p w:rsidR="00C14431" w:rsidRDefault="00947E74">
            <w:pPr>
              <w:jc w:val="right"/>
            </w:pPr>
            <w:r>
              <w:rPr>
                <w:color w:val="000000"/>
                <w:sz w:val="24"/>
              </w:rPr>
              <w:t>52,956</w:t>
            </w:r>
          </w:p>
        </w:tc>
        <w:tc>
          <w:tcPr>
            <w:tcW w:w="0" w:type="auto"/>
            <w:vAlign w:val="center"/>
          </w:tcPr>
          <w:p w:rsidR="00C14431" w:rsidRDefault="00947E74">
            <w:pPr>
              <w:jc w:val="right"/>
            </w:pPr>
            <w:r>
              <w:rPr>
                <w:color w:val="000000"/>
                <w:sz w:val="24"/>
              </w:rPr>
              <w:t>16,114,816.25</w:t>
            </w:r>
          </w:p>
        </w:tc>
        <w:tc>
          <w:tcPr>
            <w:tcW w:w="0" w:type="auto"/>
            <w:vAlign w:val="center"/>
          </w:tcPr>
          <w:p w:rsidR="00C14431" w:rsidRDefault="00947E74">
            <w:pPr>
              <w:jc w:val="right"/>
            </w:pPr>
            <w:r>
              <w:rPr>
                <w:color w:val="000000"/>
                <w:sz w:val="24"/>
              </w:rPr>
              <w:t>3.33</w:t>
            </w:r>
          </w:p>
        </w:tc>
      </w:tr>
    </w:tbl>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注：前十名股票及存托凭证的排名是按照上市公司不同的上市交易所合并计算排列所得。</w:t>
      </w:r>
    </w:p>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 xml:space="preserve"> </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4E4948">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110,569.82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907.34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208,596.63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320,073.79</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947E74"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947E74">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947E74"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947E74">
        <w:rPr>
          <w:color w:val="000000"/>
          <w:kern w:val="0"/>
          <w:sz w:val="24"/>
        </w:rPr>
        <w:t>报告期末</w:t>
      </w:r>
      <w:r w:rsidR="005F690D" w:rsidRPr="00947E74">
        <w:rPr>
          <w:rFonts w:hint="eastAsia"/>
          <w:color w:val="000000"/>
          <w:kern w:val="0"/>
          <w:sz w:val="24"/>
        </w:rPr>
        <w:t>投资的</w:t>
      </w:r>
      <w:r w:rsidR="003E4E68" w:rsidRPr="00947E74">
        <w:rPr>
          <w:color w:val="000000"/>
          <w:kern w:val="0"/>
          <w:sz w:val="24"/>
        </w:rPr>
        <w:t>股票</w:t>
      </w:r>
      <w:r w:rsidRPr="00947E74">
        <w:rPr>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947E74">
        <w:rPr>
          <w:rFonts w:hint="eastAsia"/>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00EC224F">
        <w:rPr>
          <w:color w:val="000000"/>
          <w:kern w:val="0"/>
          <w:sz w:val="24"/>
        </w:rPr>
        <w:t xml:space="preserve"> </w:t>
      </w:r>
      <w:r w:rsidRPr="00947E74">
        <w:rPr>
          <w:rFonts w:hint="eastAsia"/>
          <w:color w:val="000000"/>
          <w:kern w:val="0"/>
          <w:sz w:val="24"/>
        </w:rPr>
        <w:t>报告</w:t>
      </w:r>
      <w:r w:rsidRPr="00947E74">
        <w:rPr>
          <w:color w:val="000000"/>
          <w:kern w:val="0"/>
          <w:sz w:val="24"/>
        </w:rPr>
        <w:t>期末</w:t>
      </w:r>
      <w:r w:rsidRPr="00947E74">
        <w:rPr>
          <w:rFonts w:hint="eastAsia"/>
          <w:color w:val="000000"/>
          <w:kern w:val="0"/>
          <w:sz w:val="24"/>
        </w:rPr>
        <w:t>积极投资</w:t>
      </w:r>
      <w:r w:rsidRPr="00947E74">
        <w:rPr>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4E494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585,952,634.29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7,296,600.20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33,236,002.48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560,013,232.01</w:t>
            </w:r>
          </w:p>
        </w:tc>
      </w:tr>
    </w:tbl>
    <w:p w:rsidR="00C14431" w:rsidRDefault="00947E7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4E494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4E4948">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C14431" w:rsidRDefault="00947E74">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C14431" w:rsidRDefault="00947E74">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C14431" w:rsidRDefault="00947E74">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C14431" w:rsidRDefault="00947E74">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C14431" w:rsidRDefault="00947E74">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C14431" w:rsidRDefault="00947E74">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C14431" w:rsidRDefault="00947E74">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C14431" w:rsidRDefault="00947E7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1"/>
      <w:footerReference w:type="even" r:id="rId12"/>
      <w:headerReference w:type="first" r:id="rId13"/>
      <w:footerReference w:type="first"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54" w:rsidRDefault="00820C54">
      <w:r>
        <w:separator/>
      </w:r>
    </w:p>
  </w:endnote>
  <w:endnote w:type="continuationSeparator" w:id="0">
    <w:p w:rsidR="00820C54" w:rsidRDefault="008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Pr>
        <w:rFonts w:hint="eastAsia"/>
        <w:kern w:val="0"/>
        <w:szCs w:val="21"/>
      </w:rPr>
      <w:t xml:space="preserve"> </w:t>
    </w:r>
    <w:r w:rsidR="00CA2936">
      <w:rPr>
        <w:kern w:val="0"/>
        <w:szCs w:val="21"/>
      </w:rPr>
      <w:fldChar w:fldCharType="begin"/>
    </w:r>
    <w:r>
      <w:rPr>
        <w:kern w:val="0"/>
        <w:szCs w:val="21"/>
      </w:rPr>
      <w:instrText xml:space="preserve"> PAGE </w:instrText>
    </w:r>
    <w:r w:rsidR="00CA2936">
      <w:rPr>
        <w:kern w:val="0"/>
        <w:szCs w:val="21"/>
      </w:rPr>
      <w:fldChar w:fldCharType="separate"/>
    </w:r>
    <w:r w:rsidR="00225879">
      <w:rPr>
        <w:noProof/>
        <w:kern w:val="0"/>
        <w:szCs w:val="21"/>
      </w:rPr>
      <w:t>4</w:t>
    </w:r>
    <w:r w:rsidR="00CA293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CA2936">
      <w:rPr>
        <w:kern w:val="0"/>
        <w:szCs w:val="21"/>
      </w:rPr>
      <w:fldChar w:fldCharType="begin"/>
    </w:r>
    <w:r>
      <w:rPr>
        <w:kern w:val="0"/>
        <w:szCs w:val="21"/>
      </w:rPr>
      <w:instrText xml:space="preserve"> NUMPAGES </w:instrText>
    </w:r>
    <w:r w:rsidR="00CA2936">
      <w:rPr>
        <w:kern w:val="0"/>
        <w:szCs w:val="21"/>
      </w:rPr>
      <w:fldChar w:fldCharType="separate"/>
    </w:r>
    <w:r w:rsidR="00225879">
      <w:rPr>
        <w:noProof/>
        <w:kern w:val="0"/>
        <w:szCs w:val="21"/>
      </w:rPr>
      <w:t>13</w:t>
    </w:r>
    <w:r w:rsidR="00CA2936">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CA2936">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54" w:rsidRDefault="00820C54">
      <w:r>
        <w:separator/>
      </w:r>
    </w:p>
  </w:footnote>
  <w:footnote w:type="continuationSeparator" w:id="0">
    <w:p w:rsidR="00820C54" w:rsidRDefault="00820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25879"/>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4948"/>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404"/>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C5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47E74"/>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2769"/>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443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2936"/>
    <w:rsid w:val="00CA3977"/>
    <w:rsid w:val="00CA431C"/>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224F"/>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E1F5167A-D1A1-4840-B620-7A6FC629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8FCD-B529-4FBD-B714-D8384827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qdii.dot</Template>
  <TotalTime>141</TotalTime>
  <Pages>13</Pages>
  <Words>1073</Words>
  <Characters>6121</Characters>
  <Application>Microsoft Office Word</Application>
  <DocSecurity>0</DocSecurity>
  <Lines>51</Lines>
  <Paragraphs>14</Paragraphs>
  <ScaleCrop>false</ScaleCrop>
  <Company>TRT. Ltd. Co.</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303</cp:revision>
  <cp:lastPrinted>2007-07-19T00:46:00Z</cp:lastPrinted>
  <dcterms:created xsi:type="dcterms:W3CDTF">2013-08-01T05:26:00Z</dcterms:created>
  <dcterms:modified xsi:type="dcterms:W3CDTF">2016-07-19T06:46:00Z</dcterms:modified>
</cp:coreProperties>
</file>