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交银施罗德新成长混合型证券投资基金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二〇一六年四月二十日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14519B" w:rsidRDefault="00013579">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2016</w:t>
      </w:r>
      <w:r>
        <w:rPr>
          <w:color w:val="000000"/>
          <w:sz w:val="24"/>
          <w:szCs w:val="24"/>
        </w:rPr>
        <w:t>年</w:t>
      </w:r>
      <w:r>
        <w:rPr>
          <w:color w:val="000000"/>
          <w:sz w:val="24"/>
          <w:szCs w:val="24"/>
        </w:rPr>
        <w:t>4</w:t>
      </w:r>
      <w:r>
        <w:rPr>
          <w:color w:val="000000"/>
          <w:sz w:val="24"/>
          <w:szCs w:val="24"/>
        </w:rPr>
        <w:t>月</w:t>
      </w:r>
      <w:r>
        <w:rPr>
          <w:color w:val="000000"/>
          <w:sz w:val="24"/>
          <w:szCs w:val="24"/>
        </w:rPr>
        <w:t>19</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交银新成长混合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519736</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519737</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2014</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9</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251,474,756.43</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深入挖掘经济转型背景下的投资机会，自下而上精选个股，力争实现基金资产的长期稳定增值。</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研究优势，在经济转型大背景下，分析和判断宏观经济运行变化和政府产业政策等多因素影响，积极挖掘不同行业和子行业景气度新变化下的个股投资机会，通过团队对个股深入的基本面研究和细致的实地调研，精选公司品质良好、成长具有可持续性、定价相对合理的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富时中国</w:t>
            </w:r>
            <w:r w:rsidRPr="00414345">
              <w:rPr>
                <w:color w:val="000000"/>
                <w:kern w:val="0"/>
                <w:sz w:val="24"/>
                <w:szCs w:val="24"/>
              </w:rPr>
              <w:t>A600</w:t>
            </w:r>
            <w:r w:rsidRPr="00414345">
              <w:rPr>
                <w:color w:val="000000"/>
                <w:kern w:val="0"/>
                <w:sz w:val="24"/>
                <w:szCs w:val="24"/>
              </w:rPr>
              <w:t>成长指数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w:t>
            </w:r>
            <w:r w:rsidRPr="00414345">
              <w:rPr>
                <w:color w:val="000000"/>
                <w:kern w:val="0"/>
                <w:sz w:val="24"/>
                <w:szCs w:val="24"/>
              </w:rPr>
              <w:lastRenderedPageBreak/>
              <w:t>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13579" w:rsidRPr="00414345" w:rsidTr="00013579">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013579" w:rsidRPr="00414345" w:rsidTr="0001357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-23,011,826.80</w:t>
            </w:r>
          </w:p>
        </w:tc>
      </w:tr>
      <w:tr w:rsidR="00013579" w:rsidRPr="00414345" w:rsidTr="0001357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-54,662,079.29</w:t>
            </w:r>
          </w:p>
        </w:tc>
      </w:tr>
      <w:tr w:rsidR="00013579" w:rsidRPr="00414345" w:rsidTr="0001357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-0.2182</w:t>
            </w:r>
          </w:p>
        </w:tc>
      </w:tr>
      <w:tr w:rsidR="00013579" w:rsidRPr="00414345" w:rsidTr="0001357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394,877,040.92</w:t>
            </w:r>
          </w:p>
        </w:tc>
      </w:tr>
      <w:tr w:rsidR="00013579" w:rsidRPr="00414345" w:rsidTr="00013579">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1.570</w:t>
            </w:r>
          </w:p>
        </w:tc>
      </w:tr>
    </w:tbl>
    <w:p w:rsidR="0014519B" w:rsidRDefault="0001357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w:t>
      </w:r>
      <w:bookmarkStart w:id="0" w:name="_GoBack"/>
      <w:bookmarkEnd w:id="0"/>
      <w:r w:rsidRPr="00414345">
        <w:rPr>
          <w:color w:val="000000"/>
          <w:sz w:val="24"/>
          <w:szCs w:val="24"/>
        </w:rPr>
        <w:t>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C52534">
        <w:trPr>
          <w:jc w:val="center"/>
        </w:trPr>
        <w:tc>
          <w:tcPr>
            <w:tcW w:w="1701"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1045"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34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98"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14519B">
        <w:trPr>
          <w:jc w:val="center"/>
        </w:trPr>
        <w:tc>
          <w:tcPr>
            <w:tcW w:w="1701" w:type="dxa"/>
            <w:vAlign w:val="center"/>
          </w:tcPr>
          <w:p w:rsidR="0014519B" w:rsidRDefault="00013579">
            <w:pPr>
              <w:jc w:val="left"/>
            </w:pPr>
            <w:r>
              <w:rPr>
                <w:color w:val="000000"/>
                <w:sz w:val="24"/>
                <w:szCs w:val="24"/>
              </w:rPr>
              <w:t>过去三个月</w:t>
            </w:r>
          </w:p>
        </w:tc>
        <w:tc>
          <w:tcPr>
            <w:tcW w:w="1045" w:type="dxa"/>
            <w:vAlign w:val="center"/>
          </w:tcPr>
          <w:p w:rsidR="0014519B" w:rsidRDefault="00013579">
            <w:pPr>
              <w:jc w:val="center"/>
            </w:pPr>
            <w:r>
              <w:rPr>
                <w:color w:val="000000"/>
                <w:sz w:val="24"/>
                <w:szCs w:val="24"/>
              </w:rPr>
              <w:t>-12.97%</w:t>
            </w:r>
          </w:p>
        </w:tc>
        <w:tc>
          <w:tcPr>
            <w:tcW w:w="1344" w:type="dxa"/>
            <w:vAlign w:val="center"/>
          </w:tcPr>
          <w:p w:rsidR="0014519B" w:rsidRDefault="00013579">
            <w:pPr>
              <w:jc w:val="center"/>
            </w:pPr>
            <w:r>
              <w:rPr>
                <w:color w:val="000000"/>
                <w:sz w:val="24"/>
                <w:szCs w:val="24"/>
              </w:rPr>
              <w:t>2.79%</w:t>
            </w:r>
          </w:p>
        </w:tc>
        <w:tc>
          <w:tcPr>
            <w:tcW w:w="1194" w:type="dxa"/>
            <w:vAlign w:val="center"/>
          </w:tcPr>
          <w:p w:rsidR="0014519B" w:rsidRDefault="00013579">
            <w:pPr>
              <w:jc w:val="center"/>
            </w:pPr>
            <w:r>
              <w:rPr>
                <w:color w:val="000000"/>
                <w:sz w:val="24"/>
                <w:szCs w:val="24"/>
              </w:rPr>
              <w:t>-13.44%</w:t>
            </w:r>
          </w:p>
        </w:tc>
        <w:tc>
          <w:tcPr>
            <w:tcW w:w="1492" w:type="dxa"/>
            <w:vAlign w:val="center"/>
          </w:tcPr>
          <w:p w:rsidR="0014519B" w:rsidRDefault="00013579">
            <w:pPr>
              <w:jc w:val="center"/>
            </w:pPr>
            <w:r>
              <w:rPr>
                <w:color w:val="000000"/>
                <w:sz w:val="24"/>
                <w:szCs w:val="24"/>
              </w:rPr>
              <w:t>2.19%</w:t>
            </w:r>
          </w:p>
        </w:tc>
        <w:tc>
          <w:tcPr>
            <w:tcW w:w="1194" w:type="dxa"/>
            <w:vAlign w:val="center"/>
          </w:tcPr>
          <w:p w:rsidR="0014519B" w:rsidRDefault="00013579">
            <w:pPr>
              <w:jc w:val="center"/>
            </w:pPr>
            <w:r>
              <w:rPr>
                <w:color w:val="000000"/>
                <w:sz w:val="24"/>
                <w:szCs w:val="24"/>
              </w:rPr>
              <w:t>0.47%</w:t>
            </w:r>
          </w:p>
        </w:tc>
        <w:tc>
          <w:tcPr>
            <w:tcW w:w="898" w:type="dxa"/>
            <w:vAlign w:val="center"/>
          </w:tcPr>
          <w:p w:rsidR="0014519B" w:rsidRDefault="00013579">
            <w:pPr>
              <w:jc w:val="center"/>
            </w:pPr>
            <w:r>
              <w:rPr>
                <w:color w:val="000000"/>
                <w:sz w:val="24"/>
                <w:szCs w:val="24"/>
              </w:rPr>
              <w:t>0.60%</w:t>
            </w:r>
          </w:p>
        </w:tc>
      </w:tr>
    </w:tbl>
    <w:p w:rsidR="00C52534" w:rsidRDefault="00C52534" w:rsidP="00C52534">
      <w:pPr>
        <w:autoSpaceDE w:val="0"/>
        <w:autoSpaceDN w:val="0"/>
        <w:adjustRightInd w:val="0"/>
        <w:spacing w:before="29" w:line="288" w:lineRule="auto"/>
        <w:jc w:val="left"/>
        <w:rPr>
          <w:color w:val="000000"/>
          <w:sz w:val="24"/>
          <w:szCs w:val="24"/>
        </w:rPr>
      </w:pPr>
      <w:r>
        <w:rPr>
          <w:rFonts w:hint="eastAsia"/>
          <w:color w:val="000000"/>
          <w:sz w:val="24"/>
          <w:szCs w:val="24"/>
        </w:rPr>
        <w:t>注：本基金业绩比较基准自</w:t>
      </w:r>
      <w:r>
        <w:rPr>
          <w:color w:val="000000"/>
          <w:sz w:val="24"/>
          <w:szCs w:val="24"/>
        </w:rPr>
        <w:t>2015</w:t>
      </w:r>
      <w:r>
        <w:rPr>
          <w:rFonts w:hint="eastAsia"/>
          <w:color w:val="000000"/>
          <w:sz w:val="24"/>
          <w:szCs w:val="24"/>
        </w:rPr>
        <w:t>年</w:t>
      </w:r>
      <w:r>
        <w:rPr>
          <w:color w:val="000000"/>
          <w:sz w:val="24"/>
          <w:szCs w:val="24"/>
        </w:rPr>
        <w:t>10</w:t>
      </w:r>
      <w:r>
        <w:rPr>
          <w:rFonts w:hint="eastAsia"/>
          <w:color w:val="000000"/>
          <w:sz w:val="24"/>
          <w:szCs w:val="24"/>
        </w:rPr>
        <w:t>月</w:t>
      </w:r>
      <w:r>
        <w:rPr>
          <w:color w:val="000000"/>
          <w:sz w:val="24"/>
          <w:szCs w:val="24"/>
        </w:rPr>
        <w:t>1</w:t>
      </w:r>
      <w:r>
        <w:rPr>
          <w:rFonts w:hint="eastAsia"/>
          <w:color w:val="000000"/>
          <w:sz w:val="24"/>
          <w:szCs w:val="24"/>
        </w:rPr>
        <w:t>日起，由</w:t>
      </w:r>
      <w:r>
        <w:rPr>
          <w:color w:val="000000"/>
          <w:sz w:val="24"/>
          <w:szCs w:val="24"/>
        </w:rPr>
        <w:t>“75%×</w:t>
      </w:r>
      <w:r>
        <w:rPr>
          <w:rFonts w:hint="eastAsia"/>
          <w:color w:val="000000"/>
          <w:sz w:val="24"/>
          <w:szCs w:val="24"/>
        </w:rPr>
        <w:t>富时中国</w:t>
      </w:r>
      <w:r>
        <w:rPr>
          <w:color w:val="000000"/>
          <w:sz w:val="24"/>
          <w:szCs w:val="24"/>
        </w:rPr>
        <w:t>A600</w:t>
      </w:r>
      <w:r>
        <w:rPr>
          <w:rFonts w:hint="eastAsia"/>
          <w:color w:val="000000"/>
          <w:sz w:val="24"/>
          <w:szCs w:val="24"/>
        </w:rPr>
        <w:t>成长指数</w:t>
      </w:r>
      <w:r>
        <w:rPr>
          <w:color w:val="000000"/>
          <w:sz w:val="24"/>
          <w:szCs w:val="24"/>
        </w:rPr>
        <w:t>+25%×</w:t>
      </w:r>
      <w:r>
        <w:rPr>
          <w:rFonts w:hint="eastAsia"/>
          <w:color w:val="000000"/>
          <w:sz w:val="24"/>
          <w:szCs w:val="24"/>
        </w:rPr>
        <w:t>中信标普全债指数</w:t>
      </w:r>
      <w:r>
        <w:rPr>
          <w:color w:val="000000"/>
          <w:sz w:val="24"/>
          <w:szCs w:val="24"/>
        </w:rPr>
        <w:t>”</w:t>
      </w:r>
      <w:r>
        <w:rPr>
          <w:rFonts w:hint="eastAsia"/>
          <w:color w:val="000000"/>
          <w:sz w:val="24"/>
          <w:szCs w:val="24"/>
        </w:rPr>
        <w:t>变更为</w:t>
      </w:r>
      <w:r>
        <w:rPr>
          <w:color w:val="000000"/>
          <w:sz w:val="24"/>
          <w:szCs w:val="24"/>
        </w:rPr>
        <w:t>“75%×</w:t>
      </w:r>
      <w:r>
        <w:rPr>
          <w:rFonts w:hint="eastAsia"/>
          <w:color w:val="000000"/>
          <w:sz w:val="24"/>
          <w:szCs w:val="24"/>
        </w:rPr>
        <w:t>富时中国</w:t>
      </w:r>
      <w:r>
        <w:rPr>
          <w:color w:val="000000"/>
          <w:sz w:val="24"/>
          <w:szCs w:val="24"/>
        </w:rPr>
        <w:t>A600</w:t>
      </w:r>
      <w:r>
        <w:rPr>
          <w:rFonts w:hint="eastAsia"/>
          <w:color w:val="000000"/>
          <w:sz w:val="24"/>
          <w:szCs w:val="24"/>
        </w:rPr>
        <w:t>成长指数</w:t>
      </w:r>
      <w:r>
        <w:rPr>
          <w:color w:val="000000"/>
          <w:sz w:val="24"/>
          <w:szCs w:val="24"/>
        </w:rPr>
        <w:t>+25%×</w:t>
      </w:r>
      <w:r>
        <w:rPr>
          <w:rFonts w:hint="eastAsia"/>
          <w:color w:val="000000"/>
          <w:sz w:val="24"/>
          <w:szCs w:val="24"/>
        </w:rPr>
        <w:t>中证综合债券指数</w:t>
      </w:r>
      <w:r>
        <w:rPr>
          <w:color w:val="000000"/>
          <w:sz w:val="24"/>
          <w:szCs w:val="24"/>
        </w:rPr>
        <w:t>”</w:t>
      </w:r>
      <w:r>
        <w:rPr>
          <w:rFonts w:hint="eastAsia"/>
          <w:color w:val="000000"/>
          <w:sz w:val="24"/>
          <w:szCs w:val="24"/>
        </w:rPr>
        <w:t>，</w:t>
      </w:r>
      <w:r>
        <w:rPr>
          <w:color w:val="000000"/>
          <w:sz w:val="24"/>
          <w:szCs w:val="24"/>
        </w:rPr>
        <w:t>3.2.2</w:t>
      </w:r>
      <w:r>
        <w:rPr>
          <w:rFonts w:ascii="宋体" w:hAnsi="宋体" w:hint="eastAsia"/>
          <w:color w:val="000000"/>
          <w:sz w:val="24"/>
          <w:szCs w:val="24"/>
        </w:rPr>
        <w:t>同。</w:t>
      </w:r>
      <w:r>
        <w:rPr>
          <w:rFonts w:hint="eastAsia"/>
          <w:color w:val="000000"/>
          <w:sz w:val="24"/>
          <w:szCs w:val="24"/>
        </w:rPr>
        <w:t>详情见本基金管理人于</w:t>
      </w:r>
      <w:r>
        <w:rPr>
          <w:color w:val="000000"/>
          <w:sz w:val="24"/>
          <w:szCs w:val="24"/>
        </w:rPr>
        <w:t>2015</w:t>
      </w:r>
      <w:r>
        <w:rPr>
          <w:rFonts w:hint="eastAsia"/>
          <w:color w:val="000000"/>
          <w:sz w:val="24"/>
          <w:szCs w:val="24"/>
        </w:rPr>
        <w:t>年</w:t>
      </w:r>
      <w:r>
        <w:rPr>
          <w:color w:val="000000"/>
          <w:sz w:val="24"/>
          <w:szCs w:val="24"/>
        </w:rPr>
        <w:t>9</w:t>
      </w:r>
      <w:r>
        <w:rPr>
          <w:rFonts w:hint="eastAsia"/>
          <w:color w:val="000000"/>
          <w:sz w:val="24"/>
          <w:szCs w:val="24"/>
        </w:rPr>
        <w:t>月</w:t>
      </w:r>
      <w:r>
        <w:rPr>
          <w:color w:val="000000"/>
          <w:sz w:val="24"/>
          <w:szCs w:val="24"/>
        </w:rPr>
        <w:t>28</w:t>
      </w:r>
      <w:r>
        <w:rPr>
          <w:rFonts w:hint="eastAsia"/>
          <w:color w:val="000000"/>
          <w:sz w:val="24"/>
          <w:szCs w:val="24"/>
        </w:rPr>
        <w:t>日发布的《交银施罗德基金管理有限公司关于旗下部分基金业绩比较基准变更并修改基金合同相关内容的公告》。</w:t>
      </w:r>
    </w:p>
    <w:p w:rsidR="004061AC" w:rsidRPr="00C52534"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交银施罗德新成长混合型证券投资基金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2014</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0C1BBA"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14:anchorId="6C7762DB" wp14:editId="3B1858CE">
            <wp:extent cx="5731510" cy="3356610"/>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14519B">
        <w:trPr>
          <w:jc w:val="center"/>
        </w:trPr>
        <w:tc>
          <w:tcPr>
            <w:tcW w:w="846" w:type="dxa"/>
            <w:vAlign w:val="center"/>
          </w:tcPr>
          <w:p w:rsidR="0014519B" w:rsidRDefault="00013579">
            <w:pPr>
              <w:jc w:val="center"/>
            </w:pPr>
            <w:r>
              <w:rPr>
                <w:color w:val="000000"/>
                <w:sz w:val="24"/>
                <w:szCs w:val="24"/>
              </w:rPr>
              <w:t>王崇</w:t>
            </w:r>
          </w:p>
        </w:tc>
        <w:tc>
          <w:tcPr>
            <w:tcW w:w="845" w:type="dxa"/>
            <w:vAlign w:val="center"/>
          </w:tcPr>
          <w:p w:rsidR="0014519B" w:rsidRDefault="00013579">
            <w:pPr>
              <w:jc w:val="center"/>
            </w:pPr>
            <w:r>
              <w:rPr>
                <w:color w:val="000000"/>
                <w:sz w:val="24"/>
                <w:szCs w:val="24"/>
              </w:rPr>
              <w:t>交银新成长混合的基金经理</w:t>
            </w:r>
          </w:p>
        </w:tc>
        <w:tc>
          <w:tcPr>
            <w:tcW w:w="1549" w:type="dxa"/>
            <w:vAlign w:val="center"/>
          </w:tcPr>
          <w:p w:rsidR="0014519B" w:rsidRDefault="00013579">
            <w:pPr>
              <w:jc w:val="center"/>
            </w:pPr>
            <w:r>
              <w:rPr>
                <w:color w:val="000000"/>
                <w:sz w:val="24"/>
                <w:szCs w:val="24"/>
              </w:rPr>
              <w:t>2014-10-22</w:t>
            </w:r>
          </w:p>
        </w:tc>
        <w:tc>
          <w:tcPr>
            <w:tcW w:w="1548" w:type="dxa"/>
            <w:vAlign w:val="center"/>
          </w:tcPr>
          <w:p w:rsidR="0014519B" w:rsidRDefault="00013579">
            <w:pPr>
              <w:jc w:val="center"/>
            </w:pPr>
            <w:r>
              <w:rPr>
                <w:color w:val="000000"/>
                <w:sz w:val="24"/>
                <w:szCs w:val="24"/>
              </w:rPr>
              <w:t>-</w:t>
            </w:r>
          </w:p>
        </w:tc>
        <w:tc>
          <w:tcPr>
            <w:tcW w:w="1407" w:type="dxa"/>
            <w:vAlign w:val="center"/>
          </w:tcPr>
          <w:p w:rsidR="0014519B" w:rsidRDefault="00013579">
            <w:pPr>
              <w:jc w:val="center"/>
            </w:pPr>
            <w:r>
              <w:rPr>
                <w:color w:val="000000"/>
                <w:sz w:val="24"/>
                <w:szCs w:val="24"/>
              </w:rPr>
              <w:t>8</w:t>
            </w:r>
            <w:r>
              <w:rPr>
                <w:color w:val="000000"/>
                <w:sz w:val="24"/>
                <w:szCs w:val="24"/>
              </w:rPr>
              <w:t>年</w:t>
            </w:r>
          </w:p>
        </w:tc>
        <w:tc>
          <w:tcPr>
            <w:tcW w:w="2673" w:type="dxa"/>
            <w:vAlign w:val="center"/>
          </w:tcPr>
          <w:p w:rsidR="0014519B" w:rsidRDefault="00013579">
            <w:r>
              <w:rPr>
                <w:color w:val="000000"/>
                <w:sz w:val="24"/>
                <w:szCs w:val="24"/>
              </w:rPr>
              <w:t>王崇先生，北京大学金融学博士。</w:t>
            </w:r>
            <w:r>
              <w:rPr>
                <w:color w:val="000000"/>
                <w:sz w:val="24"/>
                <w:szCs w:val="24"/>
              </w:rPr>
              <w:t>2008</w:t>
            </w:r>
            <w:r>
              <w:rPr>
                <w:color w:val="000000"/>
                <w:sz w:val="24"/>
                <w:szCs w:val="24"/>
              </w:rPr>
              <w:t>年加入交银施罗德基金管理有限公司，历任行业分析师、高级研究员。</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14519B" w:rsidRDefault="00013579">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14519B" w:rsidRDefault="00013579">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14519B" w:rsidRDefault="00013579">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C52534" w:rsidRPr="00414345" w:rsidRDefault="00C52534"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14519B" w:rsidRDefault="00013579">
      <w:pPr>
        <w:spacing w:before="29" w:line="288" w:lineRule="auto"/>
        <w:ind w:firstLineChars="200" w:firstLine="480"/>
        <w:rPr>
          <w:color w:val="000000"/>
          <w:sz w:val="24"/>
          <w:szCs w:val="24"/>
        </w:rPr>
      </w:pPr>
      <w:r>
        <w:rPr>
          <w:color w:val="000000"/>
          <w:sz w:val="24"/>
          <w:szCs w:val="24"/>
        </w:rPr>
        <w:t>2016</w:t>
      </w:r>
      <w:r>
        <w:rPr>
          <w:color w:val="000000"/>
          <w:sz w:val="24"/>
          <w:szCs w:val="24"/>
        </w:rPr>
        <w:t>年年初由于人民币兑美元持续贬值叠加新推出的熔断交易机制，</w:t>
      </w:r>
      <w:r>
        <w:rPr>
          <w:color w:val="000000"/>
          <w:sz w:val="24"/>
          <w:szCs w:val="24"/>
        </w:rPr>
        <w:t>A</w:t>
      </w:r>
      <w:r>
        <w:rPr>
          <w:color w:val="000000"/>
          <w:sz w:val="24"/>
          <w:szCs w:val="24"/>
        </w:rPr>
        <w:t>股市场在</w:t>
      </w:r>
      <w:r>
        <w:rPr>
          <w:color w:val="000000"/>
          <w:sz w:val="24"/>
          <w:szCs w:val="24"/>
        </w:rPr>
        <w:t>1</w:t>
      </w:r>
      <w:r>
        <w:rPr>
          <w:color w:val="000000"/>
          <w:sz w:val="24"/>
          <w:szCs w:val="24"/>
        </w:rPr>
        <w:t>月份出现快速下跌。</w:t>
      </w:r>
      <w:r>
        <w:rPr>
          <w:color w:val="000000"/>
          <w:sz w:val="24"/>
          <w:szCs w:val="24"/>
        </w:rPr>
        <w:t>2</w:t>
      </w:r>
      <w:r>
        <w:rPr>
          <w:color w:val="000000"/>
          <w:sz w:val="24"/>
          <w:szCs w:val="24"/>
        </w:rPr>
        <w:t>月份、</w:t>
      </w:r>
      <w:r>
        <w:rPr>
          <w:color w:val="000000"/>
          <w:sz w:val="24"/>
          <w:szCs w:val="24"/>
        </w:rPr>
        <w:t>3</w:t>
      </w:r>
      <w:r>
        <w:rPr>
          <w:color w:val="000000"/>
          <w:sz w:val="24"/>
          <w:szCs w:val="24"/>
        </w:rPr>
        <w:t>月份在人民币汇率企稳、银行信贷投入加大、经济数据有所好转的背景下，股票市场出现小幅反弹。就整个一季度而言，市场仍旧跌幅较大，其中，中小创业板指数的跌幅大于沪深</w:t>
      </w:r>
      <w:r>
        <w:rPr>
          <w:color w:val="000000"/>
          <w:sz w:val="24"/>
          <w:szCs w:val="24"/>
        </w:rPr>
        <w:t>300</w:t>
      </w:r>
      <w:r>
        <w:rPr>
          <w:color w:val="000000"/>
          <w:sz w:val="24"/>
          <w:szCs w:val="24"/>
        </w:rPr>
        <w:t>和上证指数的跌幅。食品饮料、农业、采掘、有色等通胀受益行业跑赢计算机、传媒、医药等新兴成长行业。</w:t>
      </w:r>
    </w:p>
    <w:p w:rsidR="0014519B" w:rsidRDefault="00013579">
      <w:pPr>
        <w:spacing w:before="29" w:line="288" w:lineRule="auto"/>
        <w:ind w:firstLineChars="200" w:firstLine="480"/>
        <w:rPr>
          <w:color w:val="000000"/>
          <w:sz w:val="24"/>
          <w:szCs w:val="24"/>
        </w:rPr>
      </w:pPr>
      <w:r>
        <w:rPr>
          <w:color w:val="000000"/>
          <w:sz w:val="24"/>
          <w:szCs w:val="24"/>
        </w:rPr>
        <w:t>本基金一季度采取稳健投资策略，在维持中性仓位的同时，主动规避热门高估值领域如云计算、</w:t>
      </w:r>
      <w:r>
        <w:rPr>
          <w:color w:val="000000"/>
          <w:sz w:val="24"/>
          <w:szCs w:val="24"/>
        </w:rPr>
        <w:t>VR</w:t>
      </w:r>
      <w:r>
        <w:rPr>
          <w:color w:val="000000"/>
          <w:sz w:val="24"/>
          <w:szCs w:val="24"/>
        </w:rPr>
        <w:t>等新兴子行业，减持一些弹性较大的小股票配置，增加业绩良好的如旅游、食品饮料、医疗服务等稳定成长类的传统行业配置比重。</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展望二季度，国内经济虽然有所企稳，但预计仍旧是政府反周期操作的阶段性弱复苏，经济复苏的力度弱，可持续性差。虽然二季度美联储加息有所推迟，但目前来看还在加息趋势中，人民币中期贬值压力和</w:t>
      </w:r>
      <w:r w:rsidRPr="00414345">
        <w:rPr>
          <w:color w:val="000000"/>
          <w:sz w:val="24"/>
          <w:szCs w:val="24"/>
        </w:rPr>
        <w:t>CPI</w:t>
      </w:r>
      <w:r w:rsidRPr="00414345">
        <w:rPr>
          <w:color w:val="000000"/>
          <w:sz w:val="24"/>
          <w:szCs w:val="24"/>
        </w:rPr>
        <w:t>回升带来的通胀隐忧会制约国内货币政策放松空间。对二季度的</w:t>
      </w:r>
      <w:r w:rsidRPr="00414345">
        <w:rPr>
          <w:color w:val="000000"/>
          <w:sz w:val="24"/>
          <w:szCs w:val="24"/>
        </w:rPr>
        <w:t>A</w:t>
      </w:r>
      <w:r w:rsidRPr="00414345">
        <w:rPr>
          <w:color w:val="000000"/>
          <w:sz w:val="24"/>
          <w:szCs w:val="24"/>
        </w:rPr>
        <w:t>股市场，我们维持谨慎但不悲观的看法，保持中性仓位，选择代表中国未来经济发展中长期趋势的优质公司股票，以合理的价格买入做中期布局，努力为基金持有人创造较好的投资回报。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013579" w:rsidP="00C15CAC">
      <w:pPr>
        <w:spacing w:before="29" w:line="288" w:lineRule="auto"/>
        <w:ind w:firstLineChars="200" w:firstLine="480"/>
        <w:rPr>
          <w:color w:val="000000"/>
          <w:sz w:val="24"/>
          <w:szCs w:val="24"/>
        </w:rPr>
      </w:pPr>
      <w:r w:rsidRPr="00013579">
        <w:rPr>
          <w:rFonts w:hint="eastAsia"/>
          <w:color w:val="000000"/>
          <w:sz w:val="24"/>
          <w:szCs w:val="24"/>
        </w:rPr>
        <w:t>截至</w:t>
      </w:r>
      <w:r w:rsidRPr="00013579">
        <w:rPr>
          <w:rFonts w:hint="eastAsia"/>
          <w:color w:val="000000"/>
          <w:sz w:val="24"/>
          <w:szCs w:val="24"/>
        </w:rPr>
        <w:t>2016</w:t>
      </w:r>
      <w:r w:rsidRPr="00013579">
        <w:rPr>
          <w:rFonts w:hint="eastAsia"/>
          <w:color w:val="000000"/>
          <w:sz w:val="24"/>
          <w:szCs w:val="24"/>
        </w:rPr>
        <w:t>年</w:t>
      </w:r>
      <w:r w:rsidRPr="00013579">
        <w:rPr>
          <w:rFonts w:hint="eastAsia"/>
          <w:color w:val="000000"/>
          <w:sz w:val="24"/>
          <w:szCs w:val="24"/>
        </w:rPr>
        <w:t>3</w:t>
      </w:r>
      <w:r w:rsidRPr="00013579">
        <w:rPr>
          <w:rFonts w:hint="eastAsia"/>
          <w:color w:val="000000"/>
          <w:sz w:val="24"/>
          <w:szCs w:val="24"/>
        </w:rPr>
        <w:t>月</w:t>
      </w:r>
      <w:r w:rsidRPr="00013579">
        <w:rPr>
          <w:rFonts w:hint="eastAsia"/>
          <w:color w:val="000000"/>
          <w:sz w:val="24"/>
          <w:szCs w:val="24"/>
        </w:rPr>
        <w:t>31</w:t>
      </w:r>
      <w:r w:rsidRPr="00013579">
        <w:rPr>
          <w:rFonts w:hint="eastAsia"/>
          <w:color w:val="000000"/>
          <w:sz w:val="24"/>
          <w:szCs w:val="24"/>
        </w:rPr>
        <w:t>日，本基金份额净值为</w:t>
      </w:r>
      <w:r w:rsidRPr="00013579">
        <w:rPr>
          <w:rFonts w:hint="eastAsia"/>
          <w:color w:val="000000"/>
          <w:sz w:val="24"/>
          <w:szCs w:val="24"/>
        </w:rPr>
        <w:t>1.570</w:t>
      </w:r>
      <w:r w:rsidRPr="00013579">
        <w:rPr>
          <w:rFonts w:hint="eastAsia"/>
          <w:color w:val="000000"/>
          <w:sz w:val="24"/>
          <w:szCs w:val="24"/>
        </w:rPr>
        <w:t>元，本报告期份额净值增长率为</w:t>
      </w:r>
      <w:r w:rsidRPr="00013579">
        <w:rPr>
          <w:rFonts w:hint="eastAsia"/>
          <w:color w:val="000000"/>
          <w:sz w:val="24"/>
          <w:szCs w:val="24"/>
        </w:rPr>
        <w:t>-12.97%</w:t>
      </w:r>
      <w:r w:rsidRPr="00013579">
        <w:rPr>
          <w:rFonts w:hint="eastAsia"/>
          <w:color w:val="000000"/>
          <w:sz w:val="24"/>
          <w:szCs w:val="24"/>
        </w:rPr>
        <w:t>，同期业绩比较基准增长率为</w:t>
      </w:r>
      <w:r w:rsidRPr="00013579">
        <w:rPr>
          <w:rFonts w:hint="eastAsia"/>
          <w:color w:val="000000"/>
          <w:sz w:val="24"/>
          <w:szCs w:val="24"/>
        </w:rPr>
        <w:t>-13.44%</w:t>
      </w:r>
      <w:r w:rsidRPr="00013579">
        <w:rPr>
          <w:rFonts w:hint="eastAsia"/>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316,995,014.60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79.45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316,995,014.60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79.45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20,038,000.00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5.02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20,038,000.00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5.02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60,933,911.60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15.27</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1,029,589.19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0.26</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398,996,515.39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213,562,166.20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54.08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23,665,821.32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27,648,708.08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31,905,960.12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20,212,358.88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316,995,014.60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80.28</w:t>
            </w:r>
          </w:p>
        </w:tc>
      </w:tr>
    </w:tbl>
    <w:p w:rsidR="00144550" w:rsidRDefault="00144550"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14519B">
        <w:trPr>
          <w:jc w:val="center"/>
        </w:trPr>
        <w:tc>
          <w:tcPr>
            <w:tcW w:w="855" w:type="dxa"/>
            <w:vAlign w:val="center"/>
          </w:tcPr>
          <w:p w:rsidR="0014519B" w:rsidRDefault="00013579">
            <w:pPr>
              <w:jc w:val="center"/>
            </w:pPr>
            <w:r>
              <w:rPr>
                <w:color w:val="000000"/>
                <w:sz w:val="24"/>
                <w:szCs w:val="24"/>
              </w:rPr>
              <w:t>1</w:t>
            </w:r>
          </w:p>
        </w:tc>
        <w:tc>
          <w:tcPr>
            <w:tcW w:w="1334" w:type="dxa"/>
            <w:vAlign w:val="center"/>
          </w:tcPr>
          <w:p w:rsidR="0014519B" w:rsidRDefault="00013579">
            <w:pPr>
              <w:jc w:val="center"/>
            </w:pPr>
            <w:r>
              <w:rPr>
                <w:color w:val="000000"/>
                <w:sz w:val="24"/>
                <w:szCs w:val="24"/>
              </w:rPr>
              <w:t>600054</w:t>
            </w:r>
          </w:p>
        </w:tc>
        <w:tc>
          <w:tcPr>
            <w:tcW w:w="1777" w:type="dxa"/>
            <w:vAlign w:val="center"/>
          </w:tcPr>
          <w:p w:rsidR="0014519B" w:rsidRDefault="00013579">
            <w:pPr>
              <w:jc w:val="center"/>
            </w:pPr>
            <w:r>
              <w:rPr>
                <w:color w:val="000000"/>
                <w:sz w:val="24"/>
                <w:szCs w:val="24"/>
              </w:rPr>
              <w:t>黄山旅游</w:t>
            </w:r>
          </w:p>
        </w:tc>
        <w:tc>
          <w:tcPr>
            <w:tcW w:w="1334" w:type="dxa"/>
            <w:vAlign w:val="center"/>
          </w:tcPr>
          <w:p w:rsidR="0014519B" w:rsidRDefault="00013579">
            <w:pPr>
              <w:jc w:val="right"/>
            </w:pPr>
            <w:r>
              <w:rPr>
                <w:color w:val="000000"/>
                <w:sz w:val="24"/>
                <w:szCs w:val="24"/>
              </w:rPr>
              <w:t>1,322,801</w:t>
            </w:r>
          </w:p>
        </w:tc>
        <w:tc>
          <w:tcPr>
            <w:tcW w:w="1924" w:type="dxa"/>
            <w:vAlign w:val="center"/>
          </w:tcPr>
          <w:p w:rsidR="0014519B" w:rsidRDefault="00013579">
            <w:pPr>
              <w:jc w:val="right"/>
            </w:pPr>
            <w:r>
              <w:rPr>
                <w:color w:val="000000"/>
                <w:sz w:val="24"/>
                <w:szCs w:val="24"/>
              </w:rPr>
              <w:t>31,905,960.12</w:t>
            </w:r>
          </w:p>
        </w:tc>
        <w:tc>
          <w:tcPr>
            <w:tcW w:w="1644" w:type="dxa"/>
            <w:vAlign w:val="center"/>
          </w:tcPr>
          <w:p w:rsidR="0014519B" w:rsidRDefault="00013579">
            <w:pPr>
              <w:jc w:val="right"/>
            </w:pPr>
            <w:r>
              <w:rPr>
                <w:color w:val="000000"/>
                <w:sz w:val="24"/>
                <w:szCs w:val="24"/>
              </w:rPr>
              <w:t>8.08</w:t>
            </w:r>
          </w:p>
        </w:tc>
      </w:tr>
      <w:tr w:rsidR="0014519B">
        <w:trPr>
          <w:jc w:val="center"/>
        </w:trPr>
        <w:tc>
          <w:tcPr>
            <w:tcW w:w="855" w:type="dxa"/>
            <w:vAlign w:val="center"/>
          </w:tcPr>
          <w:p w:rsidR="0014519B" w:rsidRDefault="00013579">
            <w:pPr>
              <w:jc w:val="center"/>
            </w:pPr>
            <w:r>
              <w:rPr>
                <w:color w:val="000000"/>
                <w:sz w:val="24"/>
                <w:szCs w:val="24"/>
              </w:rPr>
              <w:t>2</w:t>
            </w:r>
          </w:p>
        </w:tc>
        <w:tc>
          <w:tcPr>
            <w:tcW w:w="1334" w:type="dxa"/>
            <w:vAlign w:val="center"/>
          </w:tcPr>
          <w:p w:rsidR="0014519B" w:rsidRDefault="00013579">
            <w:pPr>
              <w:jc w:val="center"/>
            </w:pPr>
            <w:r>
              <w:rPr>
                <w:color w:val="000000"/>
                <w:sz w:val="24"/>
                <w:szCs w:val="24"/>
              </w:rPr>
              <w:t>002450</w:t>
            </w:r>
          </w:p>
        </w:tc>
        <w:tc>
          <w:tcPr>
            <w:tcW w:w="1777" w:type="dxa"/>
            <w:vAlign w:val="center"/>
          </w:tcPr>
          <w:p w:rsidR="0014519B" w:rsidRDefault="00013579">
            <w:pPr>
              <w:jc w:val="center"/>
            </w:pPr>
            <w:r>
              <w:rPr>
                <w:color w:val="000000"/>
                <w:sz w:val="24"/>
                <w:szCs w:val="24"/>
              </w:rPr>
              <w:t>康得新</w:t>
            </w:r>
          </w:p>
        </w:tc>
        <w:tc>
          <w:tcPr>
            <w:tcW w:w="1334" w:type="dxa"/>
            <w:vAlign w:val="center"/>
          </w:tcPr>
          <w:p w:rsidR="0014519B" w:rsidRDefault="00013579">
            <w:pPr>
              <w:jc w:val="right"/>
            </w:pPr>
            <w:r>
              <w:rPr>
                <w:color w:val="000000"/>
                <w:sz w:val="24"/>
                <w:szCs w:val="24"/>
              </w:rPr>
              <w:t>701,701</w:t>
            </w:r>
          </w:p>
        </w:tc>
        <w:tc>
          <w:tcPr>
            <w:tcW w:w="1924" w:type="dxa"/>
            <w:vAlign w:val="center"/>
          </w:tcPr>
          <w:p w:rsidR="0014519B" w:rsidRDefault="00013579">
            <w:pPr>
              <w:jc w:val="right"/>
            </w:pPr>
            <w:r>
              <w:rPr>
                <w:color w:val="000000"/>
                <w:sz w:val="24"/>
                <w:szCs w:val="24"/>
              </w:rPr>
              <w:t>23,149,115.99</w:t>
            </w:r>
          </w:p>
        </w:tc>
        <w:tc>
          <w:tcPr>
            <w:tcW w:w="1644" w:type="dxa"/>
            <w:vAlign w:val="center"/>
          </w:tcPr>
          <w:p w:rsidR="0014519B" w:rsidRDefault="00013579">
            <w:pPr>
              <w:jc w:val="right"/>
            </w:pPr>
            <w:r>
              <w:rPr>
                <w:color w:val="000000"/>
                <w:sz w:val="24"/>
                <w:szCs w:val="24"/>
              </w:rPr>
              <w:t>5.86</w:t>
            </w:r>
          </w:p>
        </w:tc>
      </w:tr>
      <w:tr w:rsidR="0014519B">
        <w:trPr>
          <w:jc w:val="center"/>
        </w:trPr>
        <w:tc>
          <w:tcPr>
            <w:tcW w:w="855" w:type="dxa"/>
            <w:vAlign w:val="center"/>
          </w:tcPr>
          <w:p w:rsidR="0014519B" w:rsidRDefault="00013579">
            <w:pPr>
              <w:jc w:val="center"/>
            </w:pPr>
            <w:r>
              <w:rPr>
                <w:color w:val="000000"/>
                <w:sz w:val="24"/>
                <w:szCs w:val="24"/>
              </w:rPr>
              <w:t>3</w:t>
            </w:r>
          </w:p>
        </w:tc>
        <w:tc>
          <w:tcPr>
            <w:tcW w:w="1334" w:type="dxa"/>
            <w:vAlign w:val="center"/>
          </w:tcPr>
          <w:p w:rsidR="0014519B" w:rsidRDefault="00013579">
            <w:pPr>
              <w:jc w:val="center"/>
            </w:pPr>
            <w:r>
              <w:rPr>
                <w:color w:val="000000"/>
                <w:sz w:val="24"/>
                <w:szCs w:val="24"/>
              </w:rPr>
              <w:t>300203</w:t>
            </w:r>
          </w:p>
        </w:tc>
        <w:tc>
          <w:tcPr>
            <w:tcW w:w="1777" w:type="dxa"/>
            <w:vAlign w:val="center"/>
          </w:tcPr>
          <w:p w:rsidR="0014519B" w:rsidRDefault="00013579">
            <w:pPr>
              <w:jc w:val="center"/>
            </w:pPr>
            <w:r>
              <w:rPr>
                <w:color w:val="000000"/>
                <w:sz w:val="24"/>
                <w:szCs w:val="24"/>
              </w:rPr>
              <w:t>聚光科技</w:t>
            </w:r>
          </w:p>
        </w:tc>
        <w:tc>
          <w:tcPr>
            <w:tcW w:w="1334" w:type="dxa"/>
            <w:vAlign w:val="center"/>
          </w:tcPr>
          <w:p w:rsidR="0014519B" w:rsidRDefault="00013579">
            <w:pPr>
              <w:jc w:val="right"/>
            </w:pPr>
            <w:r>
              <w:rPr>
                <w:color w:val="000000"/>
                <w:sz w:val="24"/>
                <w:szCs w:val="24"/>
              </w:rPr>
              <w:t>783,100</w:t>
            </w:r>
          </w:p>
        </w:tc>
        <w:tc>
          <w:tcPr>
            <w:tcW w:w="1924" w:type="dxa"/>
            <w:vAlign w:val="center"/>
          </w:tcPr>
          <w:p w:rsidR="0014519B" w:rsidRDefault="00013579">
            <w:pPr>
              <w:jc w:val="right"/>
            </w:pPr>
            <w:r>
              <w:rPr>
                <w:color w:val="000000"/>
                <w:sz w:val="24"/>
                <w:szCs w:val="24"/>
              </w:rPr>
              <w:t>20,517,220.00</w:t>
            </w:r>
          </w:p>
        </w:tc>
        <w:tc>
          <w:tcPr>
            <w:tcW w:w="1644" w:type="dxa"/>
            <w:vAlign w:val="center"/>
          </w:tcPr>
          <w:p w:rsidR="0014519B" w:rsidRDefault="00013579">
            <w:pPr>
              <w:jc w:val="right"/>
            </w:pPr>
            <w:r>
              <w:rPr>
                <w:color w:val="000000"/>
                <w:sz w:val="24"/>
                <w:szCs w:val="24"/>
              </w:rPr>
              <w:t>5.20</w:t>
            </w:r>
          </w:p>
        </w:tc>
      </w:tr>
      <w:tr w:rsidR="0014519B">
        <w:trPr>
          <w:jc w:val="center"/>
        </w:trPr>
        <w:tc>
          <w:tcPr>
            <w:tcW w:w="855" w:type="dxa"/>
            <w:vAlign w:val="center"/>
          </w:tcPr>
          <w:p w:rsidR="0014519B" w:rsidRDefault="00013579">
            <w:pPr>
              <w:jc w:val="center"/>
            </w:pPr>
            <w:r>
              <w:rPr>
                <w:color w:val="000000"/>
                <w:sz w:val="24"/>
                <w:szCs w:val="24"/>
              </w:rPr>
              <w:t>4</w:t>
            </w:r>
          </w:p>
        </w:tc>
        <w:tc>
          <w:tcPr>
            <w:tcW w:w="1334" w:type="dxa"/>
            <w:vAlign w:val="center"/>
          </w:tcPr>
          <w:p w:rsidR="0014519B" w:rsidRDefault="00013579">
            <w:pPr>
              <w:jc w:val="center"/>
            </w:pPr>
            <w:r>
              <w:rPr>
                <w:color w:val="000000"/>
                <w:sz w:val="24"/>
                <w:szCs w:val="24"/>
              </w:rPr>
              <w:t>600172</w:t>
            </w:r>
          </w:p>
        </w:tc>
        <w:tc>
          <w:tcPr>
            <w:tcW w:w="1777" w:type="dxa"/>
            <w:vAlign w:val="center"/>
          </w:tcPr>
          <w:p w:rsidR="0014519B" w:rsidRDefault="00013579">
            <w:pPr>
              <w:jc w:val="center"/>
            </w:pPr>
            <w:r>
              <w:rPr>
                <w:color w:val="000000"/>
                <w:sz w:val="24"/>
                <w:szCs w:val="24"/>
              </w:rPr>
              <w:t>黄河旋风</w:t>
            </w:r>
          </w:p>
        </w:tc>
        <w:tc>
          <w:tcPr>
            <w:tcW w:w="1334" w:type="dxa"/>
            <w:vAlign w:val="center"/>
          </w:tcPr>
          <w:p w:rsidR="0014519B" w:rsidRDefault="00013579">
            <w:pPr>
              <w:jc w:val="right"/>
            </w:pPr>
            <w:r>
              <w:rPr>
                <w:color w:val="000000"/>
                <w:sz w:val="24"/>
                <w:szCs w:val="24"/>
              </w:rPr>
              <w:t>1,267,600</w:t>
            </w:r>
          </w:p>
        </w:tc>
        <w:tc>
          <w:tcPr>
            <w:tcW w:w="1924" w:type="dxa"/>
            <w:vAlign w:val="center"/>
          </w:tcPr>
          <w:p w:rsidR="0014519B" w:rsidRDefault="00013579">
            <w:pPr>
              <w:jc w:val="right"/>
            </w:pPr>
            <w:r>
              <w:rPr>
                <w:color w:val="000000"/>
                <w:sz w:val="24"/>
                <w:szCs w:val="24"/>
              </w:rPr>
              <w:t>20,281,600.00</w:t>
            </w:r>
          </w:p>
        </w:tc>
        <w:tc>
          <w:tcPr>
            <w:tcW w:w="1644" w:type="dxa"/>
            <w:vAlign w:val="center"/>
          </w:tcPr>
          <w:p w:rsidR="0014519B" w:rsidRDefault="00013579">
            <w:pPr>
              <w:jc w:val="right"/>
            </w:pPr>
            <w:r>
              <w:rPr>
                <w:color w:val="000000"/>
                <w:sz w:val="24"/>
                <w:szCs w:val="24"/>
              </w:rPr>
              <w:t>5.14</w:t>
            </w:r>
          </w:p>
        </w:tc>
      </w:tr>
      <w:tr w:rsidR="0014519B">
        <w:trPr>
          <w:jc w:val="center"/>
        </w:trPr>
        <w:tc>
          <w:tcPr>
            <w:tcW w:w="855" w:type="dxa"/>
            <w:vAlign w:val="center"/>
          </w:tcPr>
          <w:p w:rsidR="0014519B" w:rsidRDefault="00013579">
            <w:pPr>
              <w:jc w:val="center"/>
            </w:pPr>
            <w:r>
              <w:rPr>
                <w:color w:val="000000"/>
                <w:sz w:val="24"/>
                <w:szCs w:val="24"/>
              </w:rPr>
              <w:t>5</w:t>
            </w:r>
          </w:p>
        </w:tc>
        <w:tc>
          <w:tcPr>
            <w:tcW w:w="1334" w:type="dxa"/>
            <w:vAlign w:val="center"/>
          </w:tcPr>
          <w:p w:rsidR="0014519B" w:rsidRDefault="00013579">
            <w:pPr>
              <w:jc w:val="center"/>
            </w:pPr>
            <w:r>
              <w:rPr>
                <w:color w:val="000000"/>
                <w:sz w:val="24"/>
                <w:szCs w:val="24"/>
              </w:rPr>
              <w:t>300347</w:t>
            </w:r>
          </w:p>
        </w:tc>
        <w:tc>
          <w:tcPr>
            <w:tcW w:w="1777" w:type="dxa"/>
            <w:vAlign w:val="center"/>
          </w:tcPr>
          <w:p w:rsidR="0014519B" w:rsidRDefault="00013579">
            <w:pPr>
              <w:jc w:val="center"/>
            </w:pPr>
            <w:r>
              <w:rPr>
                <w:color w:val="000000"/>
                <w:sz w:val="24"/>
                <w:szCs w:val="24"/>
              </w:rPr>
              <w:t>泰格医药</w:t>
            </w:r>
          </w:p>
        </w:tc>
        <w:tc>
          <w:tcPr>
            <w:tcW w:w="1334" w:type="dxa"/>
            <w:vAlign w:val="center"/>
          </w:tcPr>
          <w:p w:rsidR="0014519B" w:rsidRDefault="00013579">
            <w:pPr>
              <w:jc w:val="right"/>
            </w:pPr>
            <w:r>
              <w:rPr>
                <w:color w:val="000000"/>
                <w:sz w:val="24"/>
                <w:szCs w:val="24"/>
              </w:rPr>
              <w:t>736,602</w:t>
            </w:r>
          </w:p>
        </w:tc>
        <w:tc>
          <w:tcPr>
            <w:tcW w:w="1924" w:type="dxa"/>
            <w:vAlign w:val="center"/>
          </w:tcPr>
          <w:p w:rsidR="0014519B" w:rsidRDefault="00013579">
            <w:pPr>
              <w:jc w:val="right"/>
            </w:pPr>
            <w:r>
              <w:rPr>
                <w:color w:val="000000"/>
                <w:sz w:val="24"/>
                <w:szCs w:val="24"/>
              </w:rPr>
              <w:t>20,212,358.88</w:t>
            </w:r>
          </w:p>
        </w:tc>
        <w:tc>
          <w:tcPr>
            <w:tcW w:w="1644" w:type="dxa"/>
            <w:vAlign w:val="center"/>
          </w:tcPr>
          <w:p w:rsidR="0014519B" w:rsidRDefault="00013579">
            <w:pPr>
              <w:jc w:val="right"/>
            </w:pPr>
            <w:r>
              <w:rPr>
                <w:color w:val="000000"/>
                <w:sz w:val="24"/>
                <w:szCs w:val="24"/>
              </w:rPr>
              <w:t>5.12</w:t>
            </w:r>
          </w:p>
        </w:tc>
      </w:tr>
      <w:tr w:rsidR="0014519B">
        <w:trPr>
          <w:jc w:val="center"/>
        </w:trPr>
        <w:tc>
          <w:tcPr>
            <w:tcW w:w="855" w:type="dxa"/>
            <w:vAlign w:val="center"/>
          </w:tcPr>
          <w:p w:rsidR="0014519B" w:rsidRDefault="00013579">
            <w:pPr>
              <w:jc w:val="center"/>
            </w:pPr>
            <w:r>
              <w:rPr>
                <w:color w:val="000000"/>
                <w:sz w:val="24"/>
                <w:szCs w:val="24"/>
              </w:rPr>
              <w:t>6</w:t>
            </w:r>
          </w:p>
        </w:tc>
        <w:tc>
          <w:tcPr>
            <w:tcW w:w="1334" w:type="dxa"/>
            <w:vAlign w:val="center"/>
          </w:tcPr>
          <w:p w:rsidR="0014519B" w:rsidRDefault="00013579">
            <w:pPr>
              <w:jc w:val="center"/>
            </w:pPr>
            <w:r>
              <w:rPr>
                <w:color w:val="000000"/>
                <w:sz w:val="24"/>
                <w:szCs w:val="24"/>
              </w:rPr>
              <w:t>300137</w:t>
            </w:r>
          </w:p>
        </w:tc>
        <w:tc>
          <w:tcPr>
            <w:tcW w:w="1777" w:type="dxa"/>
            <w:vAlign w:val="center"/>
          </w:tcPr>
          <w:p w:rsidR="0014519B" w:rsidRDefault="00013579">
            <w:pPr>
              <w:jc w:val="center"/>
            </w:pPr>
            <w:r>
              <w:rPr>
                <w:color w:val="000000"/>
                <w:sz w:val="24"/>
                <w:szCs w:val="24"/>
              </w:rPr>
              <w:t>先河环保</w:t>
            </w:r>
          </w:p>
        </w:tc>
        <w:tc>
          <w:tcPr>
            <w:tcW w:w="1334" w:type="dxa"/>
            <w:vAlign w:val="center"/>
          </w:tcPr>
          <w:p w:rsidR="0014519B" w:rsidRDefault="00013579">
            <w:pPr>
              <w:jc w:val="right"/>
            </w:pPr>
            <w:r>
              <w:rPr>
                <w:color w:val="000000"/>
                <w:sz w:val="24"/>
                <w:szCs w:val="24"/>
              </w:rPr>
              <w:t>1,424,600</w:t>
            </w:r>
          </w:p>
        </w:tc>
        <w:tc>
          <w:tcPr>
            <w:tcW w:w="1924" w:type="dxa"/>
            <w:vAlign w:val="center"/>
          </w:tcPr>
          <w:p w:rsidR="0014519B" w:rsidRDefault="00013579">
            <w:pPr>
              <w:jc w:val="right"/>
            </w:pPr>
            <w:r>
              <w:rPr>
                <w:color w:val="000000"/>
                <w:sz w:val="24"/>
                <w:szCs w:val="24"/>
              </w:rPr>
              <w:t>20,044,122.00</w:t>
            </w:r>
          </w:p>
        </w:tc>
        <w:tc>
          <w:tcPr>
            <w:tcW w:w="1644" w:type="dxa"/>
            <w:vAlign w:val="center"/>
          </w:tcPr>
          <w:p w:rsidR="0014519B" w:rsidRDefault="00013579">
            <w:pPr>
              <w:jc w:val="right"/>
            </w:pPr>
            <w:r>
              <w:rPr>
                <w:color w:val="000000"/>
                <w:sz w:val="24"/>
                <w:szCs w:val="24"/>
              </w:rPr>
              <w:t>5.08</w:t>
            </w:r>
          </w:p>
        </w:tc>
      </w:tr>
      <w:tr w:rsidR="0014519B">
        <w:trPr>
          <w:jc w:val="center"/>
        </w:trPr>
        <w:tc>
          <w:tcPr>
            <w:tcW w:w="855" w:type="dxa"/>
            <w:vAlign w:val="center"/>
          </w:tcPr>
          <w:p w:rsidR="0014519B" w:rsidRDefault="00013579">
            <w:pPr>
              <w:jc w:val="center"/>
            </w:pPr>
            <w:r>
              <w:rPr>
                <w:color w:val="000000"/>
                <w:sz w:val="24"/>
                <w:szCs w:val="24"/>
              </w:rPr>
              <w:t>7</w:t>
            </w:r>
          </w:p>
        </w:tc>
        <w:tc>
          <w:tcPr>
            <w:tcW w:w="1334" w:type="dxa"/>
            <w:vAlign w:val="center"/>
          </w:tcPr>
          <w:p w:rsidR="0014519B" w:rsidRDefault="00013579">
            <w:pPr>
              <w:jc w:val="center"/>
            </w:pPr>
            <w:r>
              <w:rPr>
                <w:color w:val="000000"/>
                <w:sz w:val="24"/>
                <w:szCs w:val="24"/>
              </w:rPr>
              <w:t>002045</w:t>
            </w:r>
          </w:p>
        </w:tc>
        <w:tc>
          <w:tcPr>
            <w:tcW w:w="1777" w:type="dxa"/>
            <w:vAlign w:val="center"/>
          </w:tcPr>
          <w:p w:rsidR="0014519B" w:rsidRDefault="00013579">
            <w:pPr>
              <w:jc w:val="center"/>
            </w:pPr>
            <w:r>
              <w:rPr>
                <w:color w:val="000000"/>
                <w:sz w:val="24"/>
                <w:szCs w:val="24"/>
              </w:rPr>
              <w:t>国光电器</w:t>
            </w:r>
          </w:p>
        </w:tc>
        <w:tc>
          <w:tcPr>
            <w:tcW w:w="1334" w:type="dxa"/>
            <w:vAlign w:val="center"/>
          </w:tcPr>
          <w:p w:rsidR="0014519B" w:rsidRDefault="00013579">
            <w:pPr>
              <w:jc w:val="right"/>
            </w:pPr>
            <w:r>
              <w:rPr>
                <w:color w:val="000000"/>
                <w:sz w:val="24"/>
                <w:szCs w:val="24"/>
              </w:rPr>
              <w:t>1,335,200</w:t>
            </w:r>
          </w:p>
        </w:tc>
        <w:tc>
          <w:tcPr>
            <w:tcW w:w="1924" w:type="dxa"/>
            <w:vAlign w:val="center"/>
          </w:tcPr>
          <w:p w:rsidR="0014519B" w:rsidRDefault="00013579">
            <w:pPr>
              <w:jc w:val="right"/>
            </w:pPr>
            <w:r>
              <w:rPr>
                <w:color w:val="000000"/>
                <w:sz w:val="24"/>
                <w:szCs w:val="24"/>
              </w:rPr>
              <w:t>17,798,216.00</w:t>
            </w:r>
          </w:p>
        </w:tc>
        <w:tc>
          <w:tcPr>
            <w:tcW w:w="1644" w:type="dxa"/>
            <w:vAlign w:val="center"/>
          </w:tcPr>
          <w:p w:rsidR="0014519B" w:rsidRDefault="00013579">
            <w:pPr>
              <w:jc w:val="right"/>
            </w:pPr>
            <w:r>
              <w:rPr>
                <w:color w:val="000000"/>
                <w:sz w:val="24"/>
                <w:szCs w:val="24"/>
              </w:rPr>
              <w:t>4.51</w:t>
            </w:r>
          </w:p>
        </w:tc>
      </w:tr>
      <w:tr w:rsidR="0014519B">
        <w:trPr>
          <w:jc w:val="center"/>
        </w:trPr>
        <w:tc>
          <w:tcPr>
            <w:tcW w:w="855" w:type="dxa"/>
            <w:vAlign w:val="center"/>
          </w:tcPr>
          <w:p w:rsidR="0014519B" w:rsidRDefault="00013579">
            <w:pPr>
              <w:jc w:val="center"/>
            </w:pPr>
            <w:r>
              <w:rPr>
                <w:color w:val="000000"/>
                <w:sz w:val="24"/>
                <w:szCs w:val="24"/>
              </w:rPr>
              <w:t>8</w:t>
            </w:r>
          </w:p>
        </w:tc>
        <w:tc>
          <w:tcPr>
            <w:tcW w:w="1334" w:type="dxa"/>
            <w:vAlign w:val="center"/>
          </w:tcPr>
          <w:p w:rsidR="0014519B" w:rsidRDefault="00013579">
            <w:pPr>
              <w:jc w:val="center"/>
            </w:pPr>
            <w:r>
              <w:rPr>
                <w:color w:val="000000"/>
                <w:sz w:val="24"/>
                <w:szCs w:val="24"/>
              </w:rPr>
              <w:t>002582</w:t>
            </w:r>
          </w:p>
        </w:tc>
        <w:tc>
          <w:tcPr>
            <w:tcW w:w="1777" w:type="dxa"/>
            <w:vAlign w:val="center"/>
          </w:tcPr>
          <w:p w:rsidR="0014519B" w:rsidRDefault="00013579">
            <w:pPr>
              <w:jc w:val="center"/>
            </w:pPr>
            <w:r>
              <w:rPr>
                <w:color w:val="000000"/>
                <w:sz w:val="24"/>
                <w:szCs w:val="24"/>
              </w:rPr>
              <w:t>好想你</w:t>
            </w:r>
          </w:p>
        </w:tc>
        <w:tc>
          <w:tcPr>
            <w:tcW w:w="1334" w:type="dxa"/>
            <w:vAlign w:val="center"/>
          </w:tcPr>
          <w:p w:rsidR="0014519B" w:rsidRDefault="00013579">
            <w:pPr>
              <w:jc w:val="right"/>
            </w:pPr>
            <w:r>
              <w:rPr>
                <w:color w:val="000000"/>
                <w:sz w:val="24"/>
                <w:szCs w:val="24"/>
              </w:rPr>
              <w:t>484,400</w:t>
            </w:r>
          </w:p>
        </w:tc>
        <w:tc>
          <w:tcPr>
            <w:tcW w:w="1924" w:type="dxa"/>
            <w:vAlign w:val="center"/>
          </w:tcPr>
          <w:p w:rsidR="0014519B" w:rsidRDefault="00013579">
            <w:pPr>
              <w:jc w:val="right"/>
            </w:pPr>
            <w:r>
              <w:rPr>
                <w:color w:val="000000"/>
                <w:sz w:val="24"/>
                <w:szCs w:val="24"/>
              </w:rPr>
              <w:t>15,345,792.00</w:t>
            </w:r>
          </w:p>
        </w:tc>
        <w:tc>
          <w:tcPr>
            <w:tcW w:w="1644" w:type="dxa"/>
            <w:vAlign w:val="center"/>
          </w:tcPr>
          <w:p w:rsidR="0014519B" w:rsidRDefault="00013579">
            <w:pPr>
              <w:jc w:val="right"/>
            </w:pPr>
            <w:r>
              <w:rPr>
                <w:color w:val="000000"/>
                <w:sz w:val="24"/>
                <w:szCs w:val="24"/>
              </w:rPr>
              <w:t>3.89</w:t>
            </w:r>
          </w:p>
        </w:tc>
      </w:tr>
      <w:tr w:rsidR="0014519B">
        <w:trPr>
          <w:jc w:val="center"/>
        </w:trPr>
        <w:tc>
          <w:tcPr>
            <w:tcW w:w="855" w:type="dxa"/>
            <w:vAlign w:val="center"/>
          </w:tcPr>
          <w:p w:rsidR="0014519B" w:rsidRDefault="00013579">
            <w:pPr>
              <w:jc w:val="center"/>
            </w:pPr>
            <w:r>
              <w:rPr>
                <w:color w:val="000000"/>
                <w:sz w:val="24"/>
                <w:szCs w:val="24"/>
              </w:rPr>
              <w:t>9</w:t>
            </w:r>
          </w:p>
        </w:tc>
        <w:tc>
          <w:tcPr>
            <w:tcW w:w="1334" w:type="dxa"/>
            <w:vAlign w:val="center"/>
          </w:tcPr>
          <w:p w:rsidR="0014519B" w:rsidRDefault="00013579">
            <w:pPr>
              <w:jc w:val="center"/>
            </w:pPr>
            <w:r>
              <w:rPr>
                <w:color w:val="000000"/>
                <w:sz w:val="24"/>
                <w:szCs w:val="24"/>
              </w:rPr>
              <w:t>600867</w:t>
            </w:r>
          </w:p>
        </w:tc>
        <w:tc>
          <w:tcPr>
            <w:tcW w:w="1777" w:type="dxa"/>
            <w:vAlign w:val="center"/>
          </w:tcPr>
          <w:p w:rsidR="0014519B" w:rsidRDefault="00013579">
            <w:pPr>
              <w:jc w:val="center"/>
            </w:pPr>
            <w:r>
              <w:rPr>
                <w:color w:val="000000"/>
                <w:sz w:val="24"/>
                <w:szCs w:val="24"/>
              </w:rPr>
              <w:t>通化东宝</w:t>
            </w:r>
          </w:p>
        </w:tc>
        <w:tc>
          <w:tcPr>
            <w:tcW w:w="1334" w:type="dxa"/>
            <w:vAlign w:val="center"/>
          </w:tcPr>
          <w:p w:rsidR="0014519B" w:rsidRDefault="00013579">
            <w:pPr>
              <w:jc w:val="right"/>
            </w:pPr>
            <w:r>
              <w:rPr>
                <w:color w:val="000000"/>
                <w:sz w:val="24"/>
                <w:szCs w:val="24"/>
              </w:rPr>
              <w:t>601,463</w:t>
            </w:r>
          </w:p>
        </w:tc>
        <w:tc>
          <w:tcPr>
            <w:tcW w:w="1924" w:type="dxa"/>
            <w:vAlign w:val="center"/>
          </w:tcPr>
          <w:p w:rsidR="0014519B" w:rsidRDefault="00013579">
            <w:pPr>
              <w:jc w:val="right"/>
            </w:pPr>
            <w:r>
              <w:rPr>
                <w:color w:val="000000"/>
                <w:sz w:val="24"/>
                <w:szCs w:val="24"/>
              </w:rPr>
              <w:t>14,531,346.08</w:t>
            </w:r>
          </w:p>
        </w:tc>
        <w:tc>
          <w:tcPr>
            <w:tcW w:w="1644" w:type="dxa"/>
            <w:vAlign w:val="center"/>
          </w:tcPr>
          <w:p w:rsidR="0014519B" w:rsidRDefault="00013579">
            <w:pPr>
              <w:jc w:val="right"/>
            </w:pPr>
            <w:r>
              <w:rPr>
                <w:color w:val="000000"/>
                <w:sz w:val="24"/>
                <w:szCs w:val="24"/>
              </w:rPr>
              <w:t>3.68</w:t>
            </w:r>
          </w:p>
        </w:tc>
      </w:tr>
      <w:tr w:rsidR="0014519B">
        <w:trPr>
          <w:jc w:val="center"/>
        </w:trPr>
        <w:tc>
          <w:tcPr>
            <w:tcW w:w="855" w:type="dxa"/>
            <w:vAlign w:val="center"/>
          </w:tcPr>
          <w:p w:rsidR="0014519B" w:rsidRDefault="00013579">
            <w:pPr>
              <w:jc w:val="center"/>
            </w:pPr>
            <w:r>
              <w:rPr>
                <w:color w:val="000000"/>
                <w:sz w:val="24"/>
                <w:szCs w:val="24"/>
              </w:rPr>
              <w:t>10</w:t>
            </w:r>
          </w:p>
        </w:tc>
        <w:tc>
          <w:tcPr>
            <w:tcW w:w="1334" w:type="dxa"/>
            <w:vAlign w:val="center"/>
          </w:tcPr>
          <w:p w:rsidR="0014519B" w:rsidRDefault="00013579">
            <w:pPr>
              <w:jc w:val="center"/>
            </w:pPr>
            <w:r>
              <w:rPr>
                <w:color w:val="000000"/>
                <w:sz w:val="24"/>
                <w:szCs w:val="24"/>
              </w:rPr>
              <w:t>300359</w:t>
            </w:r>
          </w:p>
        </w:tc>
        <w:tc>
          <w:tcPr>
            <w:tcW w:w="1777" w:type="dxa"/>
            <w:vAlign w:val="center"/>
          </w:tcPr>
          <w:p w:rsidR="0014519B" w:rsidRDefault="00013579">
            <w:pPr>
              <w:jc w:val="center"/>
            </w:pPr>
            <w:r>
              <w:rPr>
                <w:color w:val="000000"/>
                <w:sz w:val="24"/>
                <w:szCs w:val="24"/>
              </w:rPr>
              <w:t>全通教育</w:t>
            </w:r>
          </w:p>
        </w:tc>
        <w:tc>
          <w:tcPr>
            <w:tcW w:w="1334" w:type="dxa"/>
            <w:vAlign w:val="center"/>
          </w:tcPr>
          <w:p w:rsidR="0014519B" w:rsidRDefault="00013579">
            <w:pPr>
              <w:jc w:val="right"/>
            </w:pPr>
            <w:r>
              <w:rPr>
                <w:color w:val="000000"/>
                <w:sz w:val="24"/>
                <w:szCs w:val="24"/>
              </w:rPr>
              <w:t>179,445</w:t>
            </w:r>
          </w:p>
        </w:tc>
        <w:tc>
          <w:tcPr>
            <w:tcW w:w="1924" w:type="dxa"/>
            <w:vAlign w:val="center"/>
          </w:tcPr>
          <w:p w:rsidR="0014519B" w:rsidRDefault="00013579">
            <w:pPr>
              <w:jc w:val="right"/>
            </w:pPr>
            <w:r>
              <w:rPr>
                <w:color w:val="000000"/>
                <w:sz w:val="24"/>
                <w:szCs w:val="24"/>
              </w:rPr>
              <w:t>13,182,029.70</w:t>
            </w:r>
          </w:p>
        </w:tc>
        <w:tc>
          <w:tcPr>
            <w:tcW w:w="1644" w:type="dxa"/>
            <w:vAlign w:val="center"/>
          </w:tcPr>
          <w:p w:rsidR="0014519B" w:rsidRDefault="00013579">
            <w:pPr>
              <w:jc w:val="right"/>
            </w:pPr>
            <w:r>
              <w:rPr>
                <w:color w:val="000000"/>
                <w:sz w:val="24"/>
                <w:szCs w:val="24"/>
              </w:rPr>
              <w:t>3.34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20,038,000.00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20,038,000.00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20,038,000.00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14519B">
        <w:trPr>
          <w:jc w:val="center"/>
        </w:trPr>
        <w:tc>
          <w:tcPr>
            <w:tcW w:w="850" w:type="dxa"/>
            <w:vAlign w:val="center"/>
          </w:tcPr>
          <w:p w:rsidR="0014519B" w:rsidRDefault="00013579">
            <w:pPr>
              <w:jc w:val="center"/>
            </w:pPr>
            <w:r>
              <w:rPr>
                <w:color w:val="000000"/>
                <w:sz w:val="24"/>
                <w:szCs w:val="24"/>
              </w:rPr>
              <w:t>1</w:t>
            </w:r>
          </w:p>
        </w:tc>
        <w:tc>
          <w:tcPr>
            <w:tcW w:w="1475" w:type="dxa"/>
            <w:vAlign w:val="center"/>
          </w:tcPr>
          <w:p w:rsidR="0014519B" w:rsidRDefault="00013579">
            <w:pPr>
              <w:jc w:val="center"/>
            </w:pPr>
            <w:r>
              <w:rPr>
                <w:color w:val="000000"/>
                <w:sz w:val="24"/>
                <w:szCs w:val="24"/>
              </w:rPr>
              <w:t>150318</w:t>
            </w:r>
          </w:p>
        </w:tc>
        <w:tc>
          <w:tcPr>
            <w:tcW w:w="1769" w:type="dxa"/>
            <w:vAlign w:val="center"/>
          </w:tcPr>
          <w:p w:rsidR="0014519B" w:rsidRDefault="00013579">
            <w:pPr>
              <w:jc w:val="center"/>
            </w:pPr>
            <w:r>
              <w:rPr>
                <w:color w:val="000000"/>
                <w:sz w:val="24"/>
                <w:szCs w:val="24"/>
              </w:rPr>
              <w:t>15</w:t>
            </w:r>
            <w:r>
              <w:rPr>
                <w:color w:val="000000"/>
                <w:sz w:val="24"/>
                <w:szCs w:val="24"/>
              </w:rPr>
              <w:t>进出</w:t>
            </w:r>
            <w:r>
              <w:rPr>
                <w:color w:val="000000"/>
                <w:sz w:val="24"/>
                <w:szCs w:val="24"/>
              </w:rPr>
              <w:t>18</w:t>
            </w:r>
          </w:p>
        </w:tc>
        <w:tc>
          <w:tcPr>
            <w:tcW w:w="1387" w:type="dxa"/>
            <w:vAlign w:val="center"/>
          </w:tcPr>
          <w:p w:rsidR="0014519B" w:rsidRDefault="00013579">
            <w:pPr>
              <w:jc w:val="right"/>
            </w:pPr>
            <w:r>
              <w:rPr>
                <w:color w:val="000000"/>
                <w:sz w:val="24"/>
                <w:szCs w:val="24"/>
              </w:rPr>
              <w:t>200,000</w:t>
            </w:r>
          </w:p>
        </w:tc>
        <w:tc>
          <w:tcPr>
            <w:tcW w:w="2150" w:type="dxa"/>
            <w:vAlign w:val="center"/>
          </w:tcPr>
          <w:p w:rsidR="0014519B" w:rsidRDefault="00013579">
            <w:pPr>
              <w:jc w:val="right"/>
            </w:pPr>
            <w:r>
              <w:rPr>
                <w:color w:val="000000"/>
                <w:sz w:val="24"/>
                <w:szCs w:val="24"/>
              </w:rPr>
              <w:t>20,038,000.00</w:t>
            </w:r>
          </w:p>
        </w:tc>
        <w:tc>
          <w:tcPr>
            <w:tcW w:w="1237" w:type="dxa"/>
            <w:vAlign w:val="center"/>
          </w:tcPr>
          <w:p w:rsidR="0014519B" w:rsidRDefault="00013579">
            <w:pPr>
              <w:jc w:val="right"/>
            </w:pPr>
            <w:r>
              <w:rPr>
                <w:color w:val="000000"/>
                <w:sz w:val="24"/>
                <w:szCs w:val="24"/>
              </w:rPr>
              <w:t>5.07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276,516.09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181,377.02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571,696.08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1,029,589.19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234,968,034.19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24,826,514.65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8,319,792.41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251,474,756.43</w:t>
            </w:r>
          </w:p>
        </w:tc>
      </w:tr>
    </w:tbl>
    <w:p w:rsidR="0014519B" w:rsidRDefault="0001357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14519B" w:rsidRDefault="00013579">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、中国证监会准予交银施罗德新成长股票型证券投资基金募集注册的文件；</w:t>
      </w:r>
    </w:p>
    <w:p w:rsidR="0014519B" w:rsidRDefault="00013579">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、《交银施罗德新成长混合型证券投资基金基金合同》；</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、《交银施罗德新成长混合型证券投资基金招募说明书》；</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、《交银施罗德新成长混合型证券投资基金托管协议》；</w:t>
      </w:r>
    </w:p>
    <w:p w:rsidR="0014519B" w:rsidRDefault="00013579">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、关于申请募集注册交银施罗德新成长股票型证券投资基金的法律意见书；</w:t>
      </w:r>
      <w:r>
        <w:rPr>
          <w:color w:val="000000"/>
          <w:sz w:val="24"/>
          <w:szCs w:val="24"/>
        </w:rPr>
        <w:t xml:space="preserve"> </w:t>
      </w:r>
    </w:p>
    <w:p w:rsidR="0014519B" w:rsidRDefault="00013579">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14519B" w:rsidRDefault="00013579">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、报告期内交银施罗德新成长混合型证券投资基金在指定报刊上各项公告的原稿。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14519B" w:rsidRDefault="00013579">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2C0" w:rsidRDefault="008F72C0" w:rsidP="00876D65">
      <w:r>
        <w:separator/>
      </w:r>
    </w:p>
  </w:endnote>
  <w:endnote w:type="continuationSeparator" w:id="0">
    <w:p w:rsidR="008F72C0" w:rsidRDefault="008F72C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490DDC">
      <w:rPr>
        <w:noProof/>
        <w:kern w:val="0"/>
        <w:szCs w:val="21"/>
      </w:rPr>
      <w:t>3</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490DDC">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2C0" w:rsidRDefault="008F72C0" w:rsidP="00876D65">
      <w:r>
        <w:separator/>
      </w:r>
    </w:p>
  </w:footnote>
  <w:footnote w:type="continuationSeparator" w:id="0">
    <w:p w:rsidR="008F72C0" w:rsidRDefault="008F72C0"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3579"/>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BBA"/>
    <w:rsid w:val="000C1E17"/>
    <w:rsid w:val="000C5216"/>
    <w:rsid w:val="000D0E6C"/>
    <w:rsid w:val="000D11DE"/>
    <w:rsid w:val="000D3ED4"/>
    <w:rsid w:val="000E7E5E"/>
    <w:rsid w:val="000F6CC8"/>
    <w:rsid w:val="00111261"/>
    <w:rsid w:val="00133015"/>
    <w:rsid w:val="00137452"/>
    <w:rsid w:val="00137B31"/>
    <w:rsid w:val="00144550"/>
    <w:rsid w:val="00144F93"/>
    <w:rsid w:val="0014519B"/>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0DDC"/>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8F72C0"/>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2534"/>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766DE-1F59-4B6E-8C2E-50798D05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11</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567</cp:revision>
  <dcterms:created xsi:type="dcterms:W3CDTF">2012-10-16T06:07:00Z</dcterms:created>
  <dcterms:modified xsi:type="dcterms:W3CDTF">2016-04-18T06:11:00Z</dcterms:modified>
</cp:coreProperties>
</file>