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w:t>
      </w:r>
      <w:r w:rsidRPr="0081286B">
        <w:rPr>
          <w:b/>
          <w:sz w:val="36"/>
          <w:szCs w:val="36"/>
        </w:rPr>
        <w:t>30</w:t>
      </w:r>
      <w:r w:rsidRPr="0081286B">
        <w:rPr>
          <w:b/>
          <w:sz w:val="36"/>
          <w:szCs w:val="36"/>
        </w:rPr>
        <w:t>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二〇一六年四月二十日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33F7F" w:rsidRDefault="002D24B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33F7F" w:rsidRDefault="002D24B9">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33F7F" w:rsidRDefault="002D24B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33F7F" w:rsidRDefault="002D24B9">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33F7F" w:rsidRDefault="002D24B9">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w:t>
            </w:r>
            <w:r w:rsidRPr="00414345">
              <w:rPr>
                <w:color w:val="000000"/>
                <w:kern w:val="0"/>
                <w:sz w:val="24"/>
                <w:szCs w:val="24"/>
              </w:rPr>
              <w:t>30</w:t>
            </w:r>
            <w:r w:rsidRPr="00414345">
              <w:rPr>
                <w:color w:val="000000"/>
                <w:kern w:val="0"/>
                <w:sz w:val="24"/>
                <w:szCs w:val="24"/>
              </w:rPr>
              <w:t>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72,580,707.37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本基金属于成长型混合型基金，主要通过投资于不超过</w:t>
            </w:r>
            <w:r w:rsidRPr="00414345">
              <w:rPr>
                <w:color w:val="000000"/>
                <w:kern w:val="0"/>
                <w:sz w:val="24"/>
                <w:szCs w:val="24"/>
              </w:rPr>
              <w:t>30</w:t>
            </w:r>
            <w:r w:rsidRPr="00414345">
              <w:rPr>
                <w:color w:val="000000"/>
                <w:kern w:val="0"/>
                <w:sz w:val="24"/>
                <w:szCs w:val="24"/>
              </w:rPr>
              <w:t>只精选的成长型上市公司股票，在适度控制风险并保持基金资产良好流动性的前提下，为基金份额持有人谋求长期、稳定的资本增值。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414345">
              <w:rPr>
                <w:color w:val="000000"/>
                <w:kern w:val="0"/>
                <w:sz w:val="24"/>
                <w:szCs w:val="24"/>
              </w:rPr>
              <w:t>30</w:t>
            </w:r>
            <w:r w:rsidRPr="00414345">
              <w:rPr>
                <w:color w:val="000000"/>
                <w:kern w:val="0"/>
                <w:sz w:val="24"/>
                <w:szCs w:val="24"/>
              </w:rPr>
              <w:t>只股票的集中持股策略，为基金资产谋求长期稳健增值。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成长指数收益率</w:t>
            </w:r>
            <w:r w:rsidRPr="00414345">
              <w:rPr>
                <w:color w:val="000000"/>
                <w:kern w:val="0"/>
                <w:sz w:val="24"/>
                <w:szCs w:val="24"/>
              </w:rPr>
              <w:t>+25%×</w:t>
            </w:r>
            <w:r w:rsidRPr="00414345">
              <w:rPr>
                <w:color w:val="000000"/>
                <w:kern w:val="0"/>
                <w:sz w:val="24"/>
                <w:szCs w:val="24"/>
              </w:rPr>
              <w:t>中证综合</w:t>
            </w:r>
            <w:r w:rsidRPr="00414345">
              <w:rPr>
                <w:color w:val="000000"/>
                <w:kern w:val="0"/>
                <w:sz w:val="24"/>
                <w:szCs w:val="24"/>
              </w:rPr>
              <w:lastRenderedPageBreak/>
              <w:t>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本基金是一只混合型基金，以成长型股票为主要投资对象，其风险和预期收益高于债券型基金和货币市场基金，低于股票型基金。属于承担较高风险、预期收益较高的证券投资基金品种。</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D24B9" w:rsidRPr="00414345" w:rsidTr="002D24B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2D24B9" w:rsidRPr="00414345" w:rsidTr="002D24B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-1,260,901.78</w:t>
            </w:r>
          </w:p>
        </w:tc>
      </w:tr>
      <w:tr w:rsidR="002D24B9" w:rsidRPr="00414345" w:rsidTr="002D24B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-23,183,750.56</w:t>
            </w:r>
          </w:p>
        </w:tc>
      </w:tr>
      <w:tr w:rsidR="002D24B9" w:rsidRPr="00414345" w:rsidTr="002D24B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-0.3186</w:t>
            </w:r>
          </w:p>
        </w:tc>
      </w:tr>
      <w:tr w:rsidR="002D24B9" w:rsidRPr="00414345" w:rsidTr="002D24B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98,463,009.76</w:t>
            </w:r>
          </w:p>
        </w:tc>
      </w:tr>
      <w:tr w:rsidR="002D24B9" w:rsidRPr="00414345" w:rsidTr="002D24B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1.357</w:t>
            </w:r>
          </w:p>
        </w:tc>
      </w:tr>
    </w:tbl>
    <w:p w:rsidR="00F33F7F" w:rsidRDefault="002D24B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85480E">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33F7F">
        <w:trPr>
          <w:jc w:val="center"/>
        </w:trPr>
        <w:tc>
          <w:tcPr>
            <w:tcW w:w="1701" w:type="dxa"/>
            <w:vAlign w:val="center"/>
          </w:tcPr>
          <w:p w:rsidR="00F33F7F" w:rsidRDefault="002D24B9">
            <w:pPr>
              <w:jc w:val="left"/>
            </w:pPr>
            <w:r>
              <w:rPr>
                <w:color w:val="000000"/>
                <w:sz w:val="24"/>
                <w:szCs w:val="24"/>
              </w:rPr>
              <w:t>过去三个月</w:t>
            </w:r>
          </w:p>
        </w:tc>
        <w:tc>
          <w:tcPr>
            <w:tcW w:w="1045" w:type="dxa"/>
            <w:vAlign w:val="center"/>
          </w:tcPr>
          <w:p w:rsidR="00F33F7F" w:rsidRDefault="002D24B9">
            <w:pPr>
              <w:jc w:val="center"/>
            </w:pPr>
            <w:r>
              <w:rPr>
                <w:color w:val="000000"/>
                <w:sz w:val="24"/>
                <w:szCs w:val="24"/>
              </w:rPr>
              <w:t>-18.99%</w:t>
            </w:r>
          </w:p>
        </w:tc>
        <w:tc>
          <w:tcPr>
            <w:tcW w:w="1344" w:type="dxa"/>
            <w:vAlign w:val="center"/>
          </w:tcPr>
          <w:p w:rsidR="00F33F7F" w:rsidRDefault="002D24B9">
            <w:pPr>
              <w:jc w:val="center"/>
            </w:pPr>
            <w:r>
              <w:rPr>
                <w:color w:val="000000"/>
                <w:sz w:val="24"/>
                <w:szCs w:val="24"/>
              </w:rPr>
              <w:t>2.72%</w:t>
            </w:r>
          </w:p>
        </w:tc>
        <w:tc>
          <w:tcPr>
            <w:tcW w:w="1194" w:type="dxa"/>
            <w:vAlign w:val="center"/>
          </w:tcPr>
          <w:p w:rsidR="00F33F7F" w:rsidRDefault="002D24B9">
            <w:pPr>
              <w:jc w:val="center"/>
            </w:pPr>
            <w:r>
              <w:rPr>
                <w:color w:val="000000"/>
                <w:sz w:val="24"/>
                <w:szCs w:val="24"/>
              </w:rPr>
              <w:t>-13.44%</w:t>
            </w:r>
          </w:p>
        </w:tc>
        <w:tc>
          <w:tcPr>
            <w:tcW w:w="1492" w:type="dxa"/>
            <w:vAlign w:val="center"/>
          </w:tcPr>
          <w:p w:rsidR="00F33F7F" w:rsidRDefault="002D24B9">
            <w:pPr>
              <w:jc w:val="center"/>
            </w:pPr>
            <w:r>
              <w:rPr>
                <w:color w:val="000000"/>
                <w:sz w:val="24"/>
                <w:szCs w:val="24"/>
              </w:rPr>
              <w:t>2.19%</w:t>
            </w:r>
          </w:p>
        </w:tc>
        <w:tc>
          <w:tcPr>
            <w:tcW w:w="1194" w:type="dxa"/>
            <w:vAlign w:val="center"/>
          </w:tcPr>
          <w:p w:rsidR="00F33F7F" w:rsidRDefault="002D24B9">
            <w:pPr>
              <w:jc w:val="center"/>
            </w:pPr>
            <w:r>
              <w:rPr>
                <w:color w:val="000000"/>
                <w:sz w:val="24"/>
                <w:szCs w:val="24"/>
              </w:rPr>
              <w:t>-5.55%</w:t>
            </w:r>
          </w:p>
        </w:tc>
        <w:tc>
          <w:tcPr>
            <w:tcW w:w="898" w:type="dxa"/>
            <w:vAlign w:val="center"/>
          </w:tcPr>
          <w:p w:rsidR="00F33F7F" w:rsidRDefault="002D24B9">
            <w:pPr>
              <w:jc w:val="center"/>
            </w:pPr>
            <w:r>
              <w:rPr>
                <w:color w:val="000000"/>
                <w:sz w:val="24"/>
                <w:szCs w:val="24"/>
              </w:rPr>
              <w:t>0.53%</w:t>
            </w:r>
          </w:p>
        </w:tc>
      </w:tr>
    </w:tbl>
    <w:p w:rsidR="0085480E" w:rsidRDefault="0085480E" w:rsidP="0085480E">
      <w:pPr>
        <w:autoSpaceDE w:val="0"/>
        <w:autoSpaceDN w:val="0"/>
        <w:adjustRightInd w:val="0"/>
        <w:spacing w:before="29" w:line="288" w:lineRule="auto"/>
        <w:jc w:val="left"/>
        <w:rPr>
          <w:color w:val="000000"/>
          <w:sz w:val="24"/>
          <w:szCs w:val="24"/>
        </w:rPr>
      </w:pPr>
      <w:bookmarkStart w:id="0" w:name="_GoBack"/>
      <w:r>
        <w:rPr>
          <w:rFonts w:hint="eastAsia"/>
          <w:color w:val="000000"/>
          <w:sz w:val="24"/>
          <w:szCs w:val="24"/>
        </w:rPr>
        <w:t>注：本基金业绩比较基准自</w:t>
      </w:r>
      <w:r>
        <w:rPr>
          <w:color w:val="000000"/>
          <w:sz w:val="24"/>
          <w:szCs w:val="24"/>
        </w:rPr>
        <w:t>2015</w:t>
      </w:r>
      <w:r>
        <w:rPr>
          <w:rFonts w:hint="eastAsia"/>
          <w:color w:val="000000"/>
          <w:sz w:val="24"/>
          <w:szCs w:val="24"/>
        </w:rPr>
        <w:t>年</w:t>
      </w:r>
      <w:r>
        <w:rPr>
          <w:color w:val="000000"/>
          <w:sz w:val="24"/>
          <w:szCs w:val="24"/>
        </w:rPr>
        <w:t>10</w:t>
      </w:r>
      <w:r>
        <w:rPr>
          <w:rFonts w:hint="eastAsia"/>
          <w:color w:val="000000"/>
          <w:sz w:val="24"/>
          <w:szCs w:val="24"/>
        </w:rPr>
        <w:t>月</w:t>
      </w:r>
      <w:r>
        <w:rPr>
          <w:color w:val="000000"/>
          <w:sz w:val="24"/>
          <w:szCs w:val="24"/>
        </w:rPr>
        <w:t>1</w:t>
      </w:r>
      <w:r>
        <w:rPr>
          <w:rFonts w:hint="eastAsia"/>
          <w:color w:val="000000"/>
          <w:sz w:val="24"/>
          <w:szCs w:val="24"/>
        </w:rPr>
        <w:t>日起，由</w:t>
      </w:r>
      <w:r>
        <w:rPr>
          <w:color w:val="000000"/>
          <w:sz w:val="24"/>
          <w:szCs w:val="24"/>
        </w:rPr>
        <w:t>“75%×</w:t>
      </w:r>
      <w:r>
        <w:rPr>
          <w:rFonts w:hint="eastAsia"/>
          <w:color w:val="000000"/>
          <w:sz w:val="24"/>
          <w:szCs w:val="24"/>
        </w:rPr>
        <w:t>富时中国</w:t>
      </w:r>
      <w:r>
        <w:rPr>
          <w:color w:val="000000"/>
          <w:sz w:val="24"/>
          <w:szCs w:val="24"/>
        </w:rPr>
        <w:t>A600</w:t>
      </w:r>
      <w:r>
        <w:rPr>
          <w:rFonts w:hint="eastAsia"/>
          <w:color w:val="000000"/>
          <w:sz w:val="24"/>
          <w:szCs w:val="24"/>
        </w:rPr>
        <w:t>成长指数收益率</w:t>
      </w:r>
      <w:r>
        <w:rPr>
          <w:color w:val="000000"/>
          <w:sz w:val="24"/>
          <w:szCs w:val="24"/>
        </w:rPr>
        <w:t>+25%×</w:t>
      </w:r>
      <w:r>
        <w:rPr>
          <w:rFonts w:hint="eastAsia"/>
          <w:color w:val="000000"/>
          <w:sz w:val="24"/>
          <w:szCs w:val="24"/>
        </w:rPr>
        <w:t>中信标普全债指数收益率</w:t>
      </w:r>
      <w:r>
        <w:rPr>
          <w:color w:val="000000"/>
          <w:sz w:val="24"/>
          <w:szCs w:val="24"/>
        </w:rPr>
        <w:t>”</w:t>
      </w:r>
      <w:r>
        <w:rPr>
          <w:rFonts w:hint="eastAsia"/>
          <w:color w:val="000000"/>
          <w:sz w:val="24"/>
          <w:szCs w:val="24"/>
        </w:rPr>
        <w:t>变更为</w:t>
      </w:r>
      <w:r>
        <w:rPr>
          <w:color w:val="000000"/>
          <w:sz w:val="24"/>
          <w:szCs w:val="24"/>
        </w:rPr>
        <w:t>“75%×</w:t>
      </w:r>
      <w:r>
        <w:rPr>
          <w:rFonts w:hint="eastAsia"/>
          <w:color w:val="000000"/>
          <w:sz w:val="24"/>
          <w:szCs w:val="24"/>
        </w:rPr>
        <w:t>富时中国</w:t>
      </w:r>
      <w:r>
        <w:rPr>
          <w:color w:val="000000"/>
          <w:sz w:val="24"/>
          <w:szCs w:val="24"/>
        </w:rPr>
        <w:t>A600</w:t>
      </w:r>
      <w:r>
        <w:rPr>
          <w:rFonts w:hint="eastAsia"/>
          <w:color w:val="000000"/>
          <w:sz w:val="24"/>
          <w:szCs w:val="24"/>
        </w:rPr>
        <w:t>成长指数收益率</w:t>
      </w:r>
      <w:r>
        <w:rPr>
          <w:color w:val="000000"/>
          <w:sz w:val="24"/>
          <w:szCs w:val="24"/>
        </w:rPr>
        <w:t>+25%×</w:t>
      </w:r>
      <w:r>
        <w:rPr>
          <w:rFonts w:hint="eastAsia"/>
          <w:color w:val="000000"/>
          <w:sz w:val="24"/>
          <w:szCs w:val="24"/>
        </w:rPr>
        <w:t>中证综合债券指数收益率</w:t>
      </w:r>
      <w:r>
        <w:rPr>
          <w:color w:val="000000"/>
          <w:sz w:val="24"/>
          <w:szCs w:val="24"/>
        </w:rPr>
        <w:t>”</w:t>
      </w:r>
      <w:r>
        <w:rPr>
          <w:rFonts w:hint="eastAsia"/>
          <w:color w:val="000000"/>
          <w:sz w:val="24"/>
          <w:szCs w:val="24"/>
        </w:rPr>
        <w:t>，</w:t>
      </w:r>
      <w:r>
        <w:rPr>
          <w:color w:val="000000"/>
          <w:sz w:val="24"/>
          <w:szCs w:val="24"/>
        </w:rPr>
        <w:t>3.2.2</w:t>
      </w:r>
      <w:r>
        <w:rPr>
          <w:rFonts w:hint="eastAsia"/>
          <w:color w:val="000000"/>
          <w:sz w:val="24"/>
          <w:szCs w:val="24"/>
        </w:rPr>
        <w:t>同。详情见本基金管理人于</w:t>
      </w:r>
      <w:r>
        <w:rPr>
          <w:color w:val="000000"/>
          <w:sz w:val="24"/>
          <w:szCs w:val="24"/>
        </w:rPr>
        <w:t>2015</w:t>
      </w:r>
      <w:r>
        <w:rPr>
          <w:rFonts w:hint="eastAsia"/>
          <w:color w:val="000000"/>
          <w:sz w:val="24"/>
          <w:szCs w:val="24"/>
        </w:rPr>
        <w:t>年</w:t>
      </w:r>
      <w:r>
        <w:rPr>
          <w:color w:val="000000"/>
          <w:sz w:val="24"/>
          <w:szCs w:val="24"/>
        </w:rPr>
        <w:t>9</w:t>
      </w:r>
      <w:r>
        <w:rPr>
          <w:rFonts w:hint="eastAsia"/>
          <w:color w:val="000000"/>
          <w:sz w:val="24"/>
          <w:szCs w:val="24"/>
        </w:rPr>
        <w:t>月</w:t>
      </w:r>
      <w:r>
        <w:rPr>
          <w:color w:val="000000"/>
          <w:sz w:val="24"/>
          <w:szCs w:val="24"/>
        </w:rPr>
        <w:t>28</w:t>
      </w:r>
      <w:r>
        <w:rPr>
          <w:rFonts w:hint="eastAsia"/>
          <w:color w:val="000000"/>
          <w:sz w:val="24"/>
          <w:szCs w:val="24"/>
        </w:rPr>
        <w:t>日发布的《交银施罗德基金管理有限公司关于旗下部分基金业绩比较基准变更并修改基金合同相关内容的公告》。</w:t>
      </w:r>
    </w:p>
    <w:bookmarkEnd w:id="0"/>
    <w:p w:rsidR="004061AC" w:rsidRPr="0085480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交银施罗德成长</w:t>
      </w:r>
      <w:r w:rsidRPr="00414345">
        <w:rPr>
          <w:color w:val="000000"/>
          <w:sz w:val="24"/>
          <w:szCs w:val="24"/>
        </w:rPr>
        <w:t>30</w:t>
      </w:r>
      <w:r w:rsidRPr="00414345">
        <w:rPr>
          <w:color w:val="000000"/>
          <w:sz w:val="24"/>
          <w:szCs w:val="24"/>
        </w:rPr>
        <w:t>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33F7F">
        <w:trPr>
          <w:jc w:val="center"/>
        </w:trPr>
        <w:tc>
          <w:tcPr>
            <w:tcW w:w="846" w:type="dxa"/>
            <w:vAlign w:val="center"/>
          </w:tcPr>
          <w:p w:rsidR="00F33F7F" w:rsidRDefault="002D24B9">
            <w:pPr>
              <w:jc w:val="center"/>
            </w:pPr>
            <w:r>
              <w:rPr>
                <w:color w:val="000000"/>
                <w:sz w:val="24"/>
                <w:szCs w:val="24"/>
              </w:rPr>
              <w:t>王少成</w:t>
            </w:r>
          </w:p>
        </w:tc>
        <w:tc>
          <w:tcPr>
            <w:tcW w:w="845" w:type="dxa"/>
            <w:vAlign w:val="center"/>
          </w:tcPr>
          <w:p w:rsidR="00F33F7F" w:rsidRDefault="002D24B9">
            <w:pPr>
              <w:jc w:val="center"/>
            </w:pPr>
            <w:r>
              <w:rPr>
                <w:color w:val="000000"/>
                <w:sz w:val="24"/>
                <w:szCs w:val="24"/>
              </w:rPr>
              <w:t>交银成长混合、交银策略回报灵活配置混合、交银成长</w:t>
            </w:r>
            <w:r>
              <w:rPr>
                <w:color w:val="000000"/>
                <w:sz w:val="24"/>
                <w:szCs w:val="24"/>
              </w:rPr>
              <w:t>30</w:t>
            </w:r>
            <w:r>
              <w:rPr>
                <w:color w:val="000000"/>
                <w:sz w:val="24"/>
                <w:szCs w:val="24"/>
              </w:rPr>
              <w:t>混合、交银荣和保本混合的基金经理，公司权益投资总监</w:t>
            </w:r>
          </w:p>
        </w:tc>
        <w:tc>
          <w:tcPr>
            <w:tcW w:w="1549" w:type="dxa"/>
            <w:vAlign w:val="center"/>
          </w:tcPr>
          <w:p w:rsidR="00F33F7F" w:rsidRDefault="002D24B9">
            <w:pPr>
              <w:jc w:val="center"/>
            </w:pPr>
            <w:r>
              <w:rPr>
                <w:color w:val="000000"/>
                <w:sz w:val="24"/>
                <w:szCs w:val="24"/>
              </w:rPr>
              <w:t>2013-07-02</w:t>
            </w:r>
          </w:p>
        </w:tc>
        <w:tc>
          <w:tcPr>
            <w:tcW w:w="1548" w:type="dxa"/>
            <w:vAlign w:val="center"/>
          </w:tcPr>
          <w:p w:rsidR="00F33F7F" w:rsidRDefault="002D24B9">
            <w:pPr>
              <w:jc w:val="center"/>
            </w:pPr>
            <w:r>
              <w:rPr>
                <w:color w:val="000000"/>
                <w:sz w:val="24"/>
                <w:szCs w:val="24"/>
              </w:rPr>
              <w:t>-</w:t>
            </w:r>
          </w:p>
        </w:tc>
        <w:tc>
          <w:tcPr>
            <w:tcW w:w="1407" w:type="dxa"/>
            <w:vAlign w:val="center"/>
          </w:tcPr>
          <w:p w:rsidR="00F33F7F" w:rsidRDefault="002D24B9">
            <w:pPr>
              <w:jc w:val="center"/>
            </w:pPr>
            <w:r>
              <w:rPr>
                <w:color w:val="000000"/>
                <w:sz w:val="24"/>
                <w:szCs w:val="24"/>
              </w:rPr>
              <w:t>12</w:t>
            </w:r>
            <w:r>
              <w:rPr>
                <w:color w:val="000000"/>
                <w:sz w:val="24"/>
                <w:szCs w:val="24"/>
              </w:rPr>
              <w:t>年</w:t>
            </w:r>
          </w:p>
        </w:tc>
        <w:tc>
          <w:tcPr>
            <w:tcW w:w="2673" w:type="dxa"/>
            <w:vAlign w:val="center"/>
          </w:tcPr>
          <w:p w:rsidR="00F33F7F" w:rsidRDefault="002D24B9">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33F7F" w:rsidRDefault="002D24B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33F7F" w:rsidRDefault="002D24B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33F7F" w:rsidRDefault="002D24B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85480E" w:rsidRPr="00414345" w:rsidRDefault="0085480E"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33F7F" w:rsidRDefault="002D24B9">
      <w:pPr>
        <w:spacing w:before="29" w:line="288" w:lineRule="auto"/>
        <w:ind w:firstLineChars="200" w:firstLine="480"/>
        <w:rPr>
          <w:color w:val="000000"/>
          <w:sz w:val="24"/>
          <w:szCs w:val="24"/>
        </w:rPr>
      </w:pPr>
      <w:r>
        <w:rPr>
          <w:color w:val="000000"/>
          <w:sz w:val="24"/>
          <w:szCs w:val="24"/>
        </w:rPr>
        <w:t>2016</w:t>
      </w:r>
      <w:r>
        <w:rPr>
          <w:color w:val="000000"/>
          <w:sz w:val="24"/>
          <w:szCs w:val="24"/>
        </w:rPr>
        <w:t>年一季度全球金融市场经历强动荡后，大宗商品特别是原油价格的触底反弹推动了市场整体偏好的提升。受此影响，商品国的货币、股市甚至发达国家股市都出现了持续的回升，但市场的乐观情绪其实相当脆弱。美国加息的步伐被金融市场动荡所拖累，但更加值得担心的是美联储对市场预期的引导能力似乎明显下降，鸽派言论让市场很快泡沫，而鹰派言论让市场恐慌。</w:t>
      </w:r>
    </w:p>
    <w:p w:rsidR="00F33F7F" w:rsidRDefault="002D24B9">
      <w:pPr>
        <w:spacing w:before="29" w:line="288" w:lineRule="auto"/>
        <w:ind w:firstLineChars="200" w:firstLine="480"/>
        <w:rPr>
          <w:color w:val="000000"/>
          <w:sz w:val="24"/>
          <w:szCs w:val="24"/>
        </w:rPr>
      </w:pPr>
      <w:r>
        <w:rPr>
          <w:color w:val="000000"/>
          <w:sz w:val="24"/>
          <w:szCs w:val="24"/>
        </w:rPr>
        <w:t>一季度本基金保持中性偏低仓位，降低创业板小票配置比重，增加大盘蓝筹的配置比重。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尽管一季度国内的宏观经济数据出现了阶段企稳的迹象，但并非稳固，进一步保增长调结构的政策组合的发力受制于汇率的约束。商品反弹的领头羊原油价格已经面临较为明显的基本面约束。主要产油国其实明白，只有增产量挤压高成本的边际产能，而非协同减产纵容高成本边际产能，才能真正的实现市场出清，而实现油价触底。然而这个过程痛苦而漫长，也将给本已暗流涌动的全球金融市场带来高度的不确定性。为了应对高度波动的外部环境，对内部宏观政策应保持高度审慎，推动好的去杠杆进程，抵抗信用不受控制的收缩。对于</w:t>
      </w:r>
      <w:r w:rsidRPr="00414345">
        <w:rPr>
          <w:color w:val="000000"/>
          <w:sz w:val="24"/>
          <w:szCs w:val="24"/>
        </w:rPr>
        <w:t>A</w:t>
      </w:r>
      <w:r w:rsidRPr="00414345">
        <w:rPr>
          <w:color w:val="000000"/>
          <w:sz w:val="24"/>
          <w:szCs w:val="24"/>
        </w:rPr>
        <w:t>股市场来说，实现国有优质资产的证券化，保证权益市场融资功能的通畅也是宏观审慎政策的一个不可分割的部分。</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1.357</w:t>
      </w:r>
      <w:r w:rsidRPr="00414345">
        <w:rPr>
          <w:color w:val="000000"/>
          <w:sz w:val="24"/>
          <w:szCs w:val="24"/>
        </w:rPr>
        <w:t>元，本报告期份额净值增长率为</w:t>
      </w:r>
      <w:r w:rsidRPr="00414345">
        <w:rPr>
          <w:color w:val="000000"/>
          <w:sz w:val="24"/>
          <w:szCs w:val="24"/>
        </w:rPr>
        <w:t>-18.99%</w:t>
      </w:r>
      <w:r w:rsidRPr="00414345">
        <w:rPr>
          <w:color w:val="000000"/>
          <w:sz w:val="24"/>
          <w:szCs w:val="24"/>
        </w:rPr>
        <w:t>，同期业绩比较基准增长率为</w:t>
      </w:r>
      <w:r w:rsidRPr="00414345">
        <w:rPr>
          <w:color w:val="000000"/>
          <w:sz w:val="24"/>
          <w:szCs w:val="24"/>
        </w:rPr>
        <w:t>-13.44%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69,570,495.22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70.14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69,570,495.22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70.14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29,591,299.38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29.83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22,360.39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99,184,154.99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46,818,502.54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938,928.00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6,717,994.52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2,317,666.78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5,179,664.00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6,177,605.28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1,420,134.10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69,570,495.22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70.66</w:t>
            </w:r>
          </w:p>
        </w:tc>
      </w:tr>
    </w:tbl>
    <w:p w:rsidR="004914CA" w:rsidRDefault="004914CA"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33F7F">
        <w:trPr>
          <w:jc w:val="center"/>
        </w:trPr>
        <w:tc>
          <w:tcPr>
            <w:tcW w:w="855" w:type="dxa"/>
            <w:vAlign w:val="center"/>
          </w:tcPr>
          <w:p w:rsidR="00F33F7F" w:rsidRDefault="002D24B9">
            <w:pPr>
              <w:jc w:val="center"/>
            </w:pPr>
            <w:r>
              <w:rPr>
                <w:color w:val="000000"/>
                <w:sz w:val="24"/>
                <w:szCs w:val="24"/>
              </w:rPr>
              <w:t>1</w:t>
            </w:r>
          </w:p>
        </w:tc>
        <w:tc>
          <w:tcPr>
            <w:tcW w:w="1334" w:type="dxa"/>
            <w:vAlign w:val="center"/>
          </w:tcPr>
          <w:p w:rsidR="00F33F7F" w:rsidRDefault="002D24B9">
            <w:pPr>
              <w:jc w:val="center"/>
            </w:pPr>
            <w:r>
              <w:rPr>
                <w:color w:val="000000"/>
                <w:sz w:val="24"/>
                <w:szCs w:val="24"/>
              </w:rPr>
              <w:t>600389</w:t>
            </w:r>
          </w:p>
        </w:tc>
        <w:tc>
          <w:tcPr>
            <w:tcW w:w="1777" w:type="dxa"/>
            <w:vAlign w:val="center"/>
          </w:tcPr>
          <w:p w:rsidR="00F33F7F" w:rsidRDefault="002D24B9">
            <w:pPr>
              <w:jc w:val="center"/>
            </w:pPr>
            <w:r>
              <w:rPr>
                <w:color w:val="000000"/>
                <w:sz w:val="24"/>
                <w:szCs w:val="24"/>
              </w:rPr>
              <w:t>江山股份</w:t>
            </w:r>
          </w:p>
        </w:tc>
        <w:tc>
          <w:tcPr>
            <w:tcW w:w="1334" w:type="dxa"/>
            <w:vAlign w:val="center"/>
          </w:tcPr>
          <w:p w:rsidR="00F33F7F" w:rsidRDefault="002D24B9">
            <w:pPr>
              <w:jc w:val="right"/>
            </w:pPr>
            <w:r>
              <w:rPr>
                <w:color w:val="000000"/>
                <w:sz w:val="24"/>
                <w:szCs w:val="24"/>
              </w:rPr>
              <w:t>431,454</w:t>
            </w:r>
          </w:p>
        </w:tc>
        <w:tc>
          <w:tcPr>
            <w:tcW w:w="1924" w:type="dxa"/>
            <w:vAlign w:val="center"/>
          </w:tcPr>
          <w:p w:rsidR="00F33F7F" w:rsidRDefault="002D24B9">
            <w:pPr>
              <w:jc w:val="right"/>
            </w:pPr>
            <w:r>
              <w:rPr>
                <w:color w:val="000000"/>
                <w:sz w:val="24"/>
                <w:szCs w:val="24"/>
              </w:rPr>
              <w:t>9,082,106.70</w:t>
            </w:r>
          </w:p>
        </w:tc>
        <w:tc>
          <w:tcPr>
            <w:tcW w:w="1644" w:type="dxa"/>
            <w:vAlign w:val="center"/>
          </w:tcPr>
          <w:p w:rsidR="00F33F7F" w:rsidRDefault="002D24B9">
            <w:pPr>
              <w:jc w:val="right"/>
            </w:pPr>
            <w:r>
              <w:rPr>
                <w:color w:val="000000"/>
                <w:sz w:val="24"/>
                <w:szCs w:val="24"/>
              </w:rPr>
              <w:t>9.22</w:t>
            </w:r>
          </w:p>
        </w:tc>
      </w:tr>
      <w:tr w:rsidR="00F33F7F">
        <w:trPr>
          <w:jc w:val="center"/>
        </w:trPr>
        <w:tc>
          <w:tcPr>
            <w:tcW w:w="855" w:type="dxa"/>
            <w:vAlign w:val="center"/>
          </w:tcPr>
          <w:p w:rsidR="00F33F7F" w:rsidRDefault="002D24B9">
            <w:pPr>
              <w:jc w:val="center"/>
            </w:pPr>
            <w:r>
              <w:rPr>
                <w:color w:val="000000"/>
                <w:sz w:val="24"/>
                <w:szCs w:val="24"/>
              </w:rPr>
              <w:t>2</w:t>
            </w:r>
          </w:p>
        </w:tc>
        <w:tc>
          <w:tcPr>
            <w:tcW w:w="1334" w:type="dxa"/>
            <w:vAlign w:val="center"/>
          </w:tcPr>
          <w:p w:rsidR="00F33F7F" w:rsidRDefault="002D24B9">
            <w:pPr>
              <w:jc w:val="center"/>
            </w:pPr>
            <w:r>
              <w:rPr>
                <w:color w:val="000000"/>
                <w:sz w:val="24"/>
                <w:szCs w:val="24"/>
              </w:rPr>
              <w:t>600500</w:t>
            </w:r>
          </w:p>
        </w:tc>
        <w:tc>
          <w:tcPr>
            <w:tcW w:w="1777" w:type="dxa"/>
            <w:vAlign w:val="center"/>
          </w:tcPr>
          <w:p w:rsidR="00F33F7F" w:rsidRDefault="002D24B9">
            <w:pPr>
              <w:jc w:val="center"/>
            </w:pPr>
            <w:r>
              <w:rPr>
                <w:color w:val="000000"/>
                <w:sz w:val="24"/>
                <w:szCs w:val="24"/>
              </w:rPr>
              <w:t>中化国际</w:t>
            </w:r>
          </w:p>
        </w:tc>
        <w:tc>
          <w:tcPr>
            <w:tcW w:w="1334" w:type="dxa"/>
            <w:vAlign w:val="center"/>
          </w:tcPr>
          <w:p w:rsidR="00F33F7F" w:rsidRDefault="002D24B9">
            <w:pPr>
              <w:jc w:val="right"/>
            </w:pPr>
            <w:r>
              <w:rPr>
                <w:color w:val="000000"/>
                <w:sz w:val="24"/>
                <w:szCs w:val="24"/>
              </w:rPr>
              <w:t>830,900</w:t>
            </w:r>
          </w:p>
        </w:tc>
        <w:tc>
          <w:tcPr>
            <w:tcW w:w="1924" w:type="dxa"/>
            <w:vAlign w:val="center"/>
          </w:tcPr>
          <w:p w:rsidR="00F33F7F" w:rsidRDefault="002D24B9">
            <w:pPr>
              <w:jc w:val="right"/>
            </w:pPr>
            <w:r>
              <w:rPr>
                <w:color w:val="000000"/>
                <w:sz w:val="24"/>
                <w:szCs w:val="24"/>
              </w:rPr>
              <w:t>8,782,613.00</w:t>
            </w:r>
          </w:p>
        </w:tc>
        <w:tc>
          <w:tcPr>
            <w:tcW w:w="1644" w:type="dxa"/>
            <w:vAlign w:val="center"/>
          </w:tcPr>
          <w:p w:rsidR="00F33F7F" w:rsidRDefault="002D24B9">
            <w:pPr>
              <w:jc w:val="right"/>
            </w:pPr>
            <w:r>
              <w:rPr>
                <w:color w:val="000000"/>
                <w:sz w:val="24"/>
                <w:szCs w:val="24"/>
              </w:rPr>
              <w:t>8.92</w:t>
            </w:r>
          </w:p>
        </w:tc>
      </w:tr>
      <w:tr w:rsidR="00F33F7F">
        <w:trPr>
          <w:jc w:val="center"/>
        </w:trPr>
        <w:tc>
          <w:tcPr>
            <w:tcW w:w="855" w:type="dxa"/>
            <w:vAlign w:val="center"/>
          </w:tcPr>
          <w:p w:rsidR="00F33F7F" w:rsidRDefault="002D24B9">
            <w:pPr>
              <w:jc w:val="center"/>
            </w:pPr>
            <w:r>
              <w:rPr>
                <w:color w:val="000000"/>
                <w:sz w:val="24"/>
                <w:szCs w:val="24"/>
              </w:rPr>
              <w:t>3</w:t>
            </w:r>
          </w:p>
        </w:tc>
        <w:tc>
          <w:tcPr>
            <w:tcW w:w="1334" w:type="dxa"/>
            <w:vAlign w:val="center"/>
          </w:tcPr>
          <w:p w:rsidR="00F33F7F" w:rsidRDefault="002D24B9">
            <w:pPr>
              <w:jc w:val="center"/>
            </w:pPr>
            <w:r>
              <w:rPr>
                <w:color w:val="000000"/>
                <w:sz w:val="24"/>
                <w:szCs w:val="24"/>
              </w:rPr>
              <w:t>600763</w:t>
            </w:r>
          </w:p>
        </w:tc>
        <w:tc>
          <w:tcPr>
            <w:tcW w:w="1777" w:type="dxa"/>
            <w:vAlign w:val="center"/>
          </w:tcPr>
          <w:p w:rsidR="00F33F7F" w:rsidRDefault="002D24B9">
            <w:pPr>
              <w:jc w:val="center"/>
            </w:pPr>
            <w:r>
              <w:rPr>
                <w:color w:val="000000"/>
                <w:sz w:val="24"/>
                <w:szCs w:val="24"/>
              </w:rPr>
              <w:t>通策医疗</w:t>
            </w:r>
          </w:p>
        </w:tc>
        <w:tc>
          <w:tcPr>
            <w:tcW w:w="1334" w:type="dxa"/>
            <w:vAlign w:val="center"/>
          </w:tcPr>
          <w:p w:rsidR="00F33F7F" w:rsidRDefault="002D24B9">
            <w:pPr>
              <w:jc w:val="right"/>
            </w:pPr>
            <w:r>
              <w:rPr>
                <w:color w:val="000000"/>
                <w:sz w:val="24"/>
                <w:szCs w:val="24"/>
              </w:rPr>
              <w:t>190,608</w:t>
            </w:r>
          </w:p>
        </w:tc>
        <w:tc>
          <w:tcPr>
            <w:tcW w:w="1924" w:type="dxa"/>
            <w:vAlign w:val="center"/>
          </w:tcPr>
          <w:p w:rsidR="00F33F7F" w:rsidRDefault="002D24B9">
            <w:pPr>
              <w:jc w:val="right"/>
            </w:pPr>
            <w:r>
              <w:rPr>
                <w:color w:val="000000"/>
                <w:sz w:val="24"/>
                <w:szCs w:val="24"/>
              </w:rPr>
              <w:t>6,177,605.28</w:t>
            </w:r>
          </w:p>
        </w:tc>
        <w:tc>
          <w:tcPr>
            <w:tcW w:w="1644" w:type="dxa"/>
            <w:vAlign w:val="center"/>
          </w:tcPr>
          <w:p w:rsidR="00F33F7F" w:rsidRDefault="002D24B9">
            <w:pPr>
              <w:jc w:val="right"/>
            </w:pPr>
            <w:r>
              <w:rPr>
                <w:color w:val="000000"/>
                <w:sz w:val="24"/>
                <w:szCs w:val="24"/>
              </w:rPr>
              <w:t>6.27</w:t>
            </w:r>
          </w:p>
        </w:tc>
      </w:tr>
      <w:tr w:rsidR="00F33F7F">
        <w:trPr>
          <w:jc w:val="center"/>
        </w:trPr>
        <w:tc>
          <w:tcPr>
            <w:tcW w:w="855" w:type="dxa"/>
            <w:vAlign w:val="center"/>
          </w:tcPr>
          <w:p w:rsidR="00F33F7F" w:rsidRDefault="002D24B9">
            <w:pPr>
              <w:jc w:val="center"/>
            </w:pPr>
            <w:r>
              <w:rPr>
                <w:color w:val="000000"/>
                <w:sz w:val="24"/>
                <w:szCs w:val="24"/>
              </w:rPr>
              <w:t>4</w:t>
            </w:r>
          </w:p>
        </w:tc>
        <w:tc>
          <w:tcPr>
            <w:tcW w:w="1334" w:type="dxa"/>
            <w:vAlign w:val="center"/>
          </w:tcPr>
          <w:p w:rsidR="00F33F7F" w:rsidRDefault="002D24B9">
            <w:pPr>
              <w:jc w:val="center"/>
            </w:pPr>
            <w:r>
              <w:rPr>
                <w:color w:val="000000"/>
                <w:sz w:val="24"/>
                <w:szCs w:val="24"/>
              </w:rPr>
              <w:t>600967</w:t>
            </w:r>
          </w:p>
        </w:tc>
        <w:tc>
          <w:tcPr>
            <w:tcW w:w="1777" w:type="dxa"/>
            <w:vAlign w:val="center"/>
          </w:tcPr>
          <w:p w:rsidR="00F33F7F" w:rsidRDefault="002D24B9">
            <w:pPr>
              <w:jc w:val="center"/>
            </w:pPr>
            <w:r>
              <w:rPr>
                <w:color w:val="000000"/>
                <w:sz w:val="24"/>
                <w:szCs w:val="24"/>
              </w:rPr>
              <w:t>北方创业</w:t>
            </w:r>
          </w:p>
        </w:tc>
        <w:tc>
          <w:tcPr>
            <w:tcW w:w="1334" w:type="dxa"/>
            <w:vAlign w:val="center"/>
          </w:tcPr>
          <w:p w:rsidR="00F33F7F" w:rsidRDefault="002D24B9">
            <w:pPr>
              <w:jc w:val="right"/>
            </w:pPr>
            <w:r>
              <w:rPr>
                <w:color w:val="000000"/>
                <w:sz w:val="24"/>
                <w:szCs w:val="24"/>
              </w:rPr>
              <w:t>588,061</w:t>
            </w:r>
          </w:p>
        </w:tc>
        <w:tc>
          <w:tcPr>
            <w:tcW w:w="1924" w:type="dxa"/>
            <w:vAlign w:val="center"/>
          </w:tcPr>
          <w:p w:rsidR="00F33F7F" w:rsidRDefault="002D24B9">
            <w:pPr>
              <w:jc w:val="right"/>
            </w:pPr>
            <w:r>
              <w:rPr>
                <w:color w:val="000000"/>
                <w:sz w:val="24"/>
                <w:szCs w:val="24"/>
              </w:rPr>
              <w:t>6,139,356.84</w:t>
            </w:r>
          </w:p>
        </w:tc>
        <w:tc>
          <w:tcPr>
            <w:tcW w:w="1644" w:type="dxa"/>
            <w:vAlign w:val="center"/>
          </w:tcPr>
          <w:p w:rsidR="00F33F7F" w:rsidRDefault="002D24B9">
            <w:pPr>
              <w:jc w:val="right"/>
            </w:pPr>
            <w:r>
              <w:rPr>
                <w:color w:val="000000"/>
                <w:sz w:val="24"/>
                <w:szCs w:val="24"/>
              </w:rPr>
              <w:t>6.24</w:t>
            </w:r>
          </w:p>
        </w:tc>
      </w:tr>
      <w:tr w:rsidR="00F33F7F">
        <w:trPr>
          <w:jc w:val="center"/>
        </w:trPr>
        <w:tc>
          <w:tcPr>
            <w:tcW w:w="855" w:type="dxa"/>
            <w:vAlign w:val="center"/>
          </w:tcPr>
          <w:p w:rsidR="00F33F7F" w:rsidRDefault="002D24B9">
            <w:pPr>
              <w:jc w:val="center"/>
            </w:pPr>
            <w:r>
              <w:rPr>
                <w:color w:val="000000"/>
                <w:sz w:val="24"/>
                <w:szCs w:val="24"/>
              </w:rPr>
              <w:t>5</w:t>
            </w:r>
          </w:p>
        </w:tc>
        <w:tc>
          <w:tcPr>
            <w:tcW w:w="1334" w:type="dxa"/>
            <w:vAlign w:val="center"/>
          </w:tcPr>
          <w:p w:rsidR="00F33F7F" w:rsidRDefault="002D24B9">
            <w:pPr>
              <w:jc w:val="center"/>
            </w:pPr>
            <w:r>
              <w:rPr>
                <w:color w:val="000000"/>
                <w:sz w:val="24"/>
                <w:szCs w:val="24"/>
              </w:rPr>
              <w:t>300005</w:t>
            </w:r>
          </w:p>
        </w:tc>
        <w:tc>
          <w:tcPr>
            <w:tcW w:w="1777" w:type="dxa"/>
            <w:vAlign w:val="center"/>
          </w:tcPr>
          <w:p w:rsidR="00F33F7F" w:rsidRDefault="002D24B9">
            <w:pPr>
              <w:jc w:val="center"/>
            </w:pPr>
            <w:r>
              <w:rPr>
                <w:color w:val="000000"/>
                <w:sz w:val="24"/>
                <w:szCs w:val="24"/>
              </w:rPr>
              <w:t>探路者</w:t>
            </w:r>
          </w:p>
        </w:tc>
        <w:tc>
          <w:tcPr>
            <w:tcW w:w="1334" w:type="dxa"/>
            <w:vAlign w:val="center"/>
          </w:tcPr>
          <w:p w:rsidR="00F33F7F" w:rsidRDefault="002D24B9">
            <w:pPr>
              <w:jc w:val="right"/>
            </w:pPr>
            <w:r>
              <w:rPr>
                <w:color w:val="000000"/>
                <w:sz w:val="24"/>
                <w:szCs w:val="24"/>
              </w:rPr>
              <w:t>251,652</w:t>
            </w:r>
          </w:p>
        </w:tc>
        <w:tc>
          <w:tcPr>
            <w:tcW w:w="1924" w:type="dxa"/>
            <w:vAlign w:val="center"/>
          </w:tcPr>
          <w:p w:rsidR="00F33F7F" w:rsidRDefault="002D24B9">
            <w:pPr>
              <w:jc w:val="right"/>
            </w:pPr>
            <w:r>
              <w:rPr>
                <w:color w:val="000000"/>
                <w:sz w:val="24"/>
                <w:szCs w:val="24"/>
              </w:rPr>
              <w:t>4,499,537.76</w:t>
            </w:r>
          </w:p>
        </w:tc>
        <w:tc>
          <w:tcPr>
            <w:tcW w:w="1644" w:type="dxa"/>
            <w:vAlign w:val="center"/>
          </w:tcPr>
          <w:p w:rsidR="00F33F7F" w:rsidRDefault="002D24B9">
            <w:pPr>
              <w:jc w:val="right"/>
            </w:pPr>
            <w:r>
              <w:rPr>
                <w:color w:val="000000"/>
                <w:sz w:val="24"/>
                <w:szCs w:val="24"/>
              </w:rPr>
              <w:t>4.57</w:t>
            </w:r>
          </w:p>
        </w:tc>
      </w:tr>
      <w:tr w:rsidR="00F33F7F">
        <w:trPr>
          <w:jc w:val="center"/>
        </w:trPr>
        <w:tc>
          <w:tcPr>
            <w:tcW w:w="855" w:type="dxa"/>
            <w:vAlign w:val="center"/>
          </w:tcPr>
          <w:p w:rsidR="00F33F7F" w:rsidRDefault="002D24B9">
            <w:pPr>
              <w:jc w:val="center"/>
            </w:pPr>
            <w:r>
              <w:rPr>
                <w:color w:val="000000"/>
                <w:sz w:val="24"/>
                <w:szCs w:val="24"/>
              </w:rPr>
              <w:t>6</w:t>
            </w:r>
          </w:p>
        </w:tc>
        <w:tc>
          <w:tcPr>
            <w:tcW w:w="1334" w:type="dxa"/>
            <w:vAlign w:val="center"/>
          </w:tcPr>
          <w:p w:rsidR="00F33F7F" w:rsidRDefault="002D24B9">
            <w:pPr>
              <w:jc w:val="center"/>
            </w:pPr>
            <w:r>
              <w:rPr>
                <w:color w:val="000000"/>
                <w:sz w:val="24"/>
                <w:szCs w:val="24"/>
              </w:rPr>
              <w:t>002045</w:t>
            </w:r>
          </w:p>
        </w:tc>
        <w:tc>
          <w:tcPr>
            <w:tcW w:w="1777" w:type="dxa"/>
            <w:vAlign w:val="center"/>
          </w:tcPr>
          <w:p w:rsidR="00F33F7F" w:rsidRDefault="002D24B9">
            <w:pPr>
              <w:jc w:val="center"/>
            </w:pPr>
            <w:r>
              <w:rPr>
                <w:color w:val="000000"/>
                <w:sz w:val="24"/>
                <w:szCs w:val="24"/>
              </w:rPr>
              <w:t>国光电器</w:t>
            </w:r>
          </w:p>
        </w:tc>
        <w:tc>
          <w:tcPr>
            <w:tcW w:w="1334" w:type="dxa"/>
            <w:vAlign w:val="center"/>
          </w:tcPr>
          <w:p w:rsidR="00F33F7F" w:rsidRDefault="002D24B9">
            <w:pPr>
              <w:jc w:val="right"/>
            </w:pPr>
            <w:r>
              <w:rPr>
                <w:color w:val="000000"/>
                <w:sz w:val="24"/>
                <w:szCs w:val="24"/>
              </w:rPr>
              <w:t>249,000</w:t>
            </w:r>
          </w:p>
        </w:tc>
        <w:tc>
          <w:tcPr>
            <w:tcW w:w="1924" w:type="dxa"/>
            <w:vAlign w:val="center"/>
          </w:tcPr>
          <w:p w:rsidR="00F33F7F" w:rsidRDefault="002D24B9">
            <w:pPr>
              <w:jc w:val="right"/>
            </w:pPr>
            <w:r>
              <w:rPr>
                <w:color w:val="000000"/>
                <w:sz w:val="24"/>
                <w:szCs w:val="24"/>
              </w:rPr>
              <w:t>3,319,170.00</w:t>
            </w:r>
          </w:p>
        </w:tc>
        <w:tc>
          <w:tcPr>
            <w:tcW w:w="1644" w:type="dxa"/>
            <w:vAlign w:val="center"/>
          </w:tcPr>
          <w:p w:rsidR="00F33F7F" w:rsidRDefault="002D24B9">
            <w:pPr>
              <w:jc w:val="right"/>
            </w:pPr>
            <w:r>
              <w:rPr>
                <w:color w:val="000000"/>
                <w:sz w:val="24"/>
                <w:szCs w:val="24"/>
              </w:rPr>
              <w:t>3.37</w:t>
            </w:r>
          </w:p>
        </w:tc>
      </w:tr>
      <w:tr w:rsidR="00F33F7F">
        <w:trPr>
          <w:jc w:val="center"/>
        </w:trPr>
        <w:tc>
          <w:tcPr>
            <w:tcW w:w="855" w:type="dxa"/>
            <w:vAlign w:val="center"/>
          </w:tcPr>
          <w:p w:rsidR="00F33F7F" w:rsidRDefault="002D24B9">
            <w:pPr>
              <w:jc w:val="center"/>
            </w:pPr>
            <w:r>
              <w:rPr>
                <w:color w:val="000000"/>
                <w:sz w:val="24"/>
                <w:szCs w:val="24"/>
              </w:rPr>
              <w:t>7</w:t>
            </w:r>
          </w:p>
        </w:tc>
        <w:tc>
          <w:tcPr>
            <w:tcW w:w="1334" w:type="dxa"/>
            <w:vAlign w:val="center"/>
          </w:tcPr>
          <w:p w:rsidR="00F33F7F" w:rsidRDefault="002D24B9">
            <w:pPr>
              <w:jc w:val="center"/>
            </w:pPr>
            <w:r>
              <w:rPr>
                <w:color w:val="000000"/>
                <w:sz w:val="24"/>
                <w:szCs w:val="24"/>
              </w:rPr>
              <w:t>002180</w:t>
            </w:r>
          </w:p>
        </w:tc>
        <w:tc>
          <w:tcPr>
            <w:tcW w:w="1777" w:type="dxa"/>
            <w:vAlign w:val="center"/>
          </w:tcPr>
          <w:p w:rsidR="00F33F7F" w:rsidRDefault="002D24B9">
            <w:pPr>
              <w:jc w:val="center"/>
            </w:pPr>
            <w:r>
              <w:rPr>
                <w:color w:val="000000"/>
                <w:sz w:val="24"/>
                <w:szCs w:val="24"/>
              </w:rPr>
              <w:t>艾派克</w:t>
            </w:r>
          </w:p>
        </w:tc>
        <w:tc>
          <w:tcPr>
            <w:tcW w:w="1334" w:type="dxa"/>
            <w:vAlign w:val="center"/>
          </w:tcPr>
          <w:p w:rsidR="00F33F7F" w:rsidRDefault="002D24B9">
            <w:pPr>
              <w:jc w:val="right"/>
            </w:pPr>
            <w:r>
              <w:rPr>
                <w:color w:val="000000"/>
                <w:sz w:val="24"/>
                <w:szCs w:val="24"/>
              </w:rPr>
              <w:t>71,800</w:t>
            </w:r>
          </w:p>
        </w:tc>
        <w:tc>
          <w:tcPr>
            <w:tcW w:w="1924" w:type="dxa"/>
            <w:vAlign w:val="center"/>
          </w:tcPr>
          <w:p w:rsidR="00F33F7F" w:rsidRDefault="002D24B9">
            <w:pPr>
              <w:jc w:val="right"/>
            </w:pPr>
            <w:r>
              <w:rPr>
                <w:color w:val="000000"/>
                <w:sz w:val="24"/>
                <w:szCs w:val="24"/>
              </w:rPr>
              <w:t>3,313,570.00</w:t>
            </w:r>
          </w:p>
        </w:tc>
        <w:tc>
          <w:tcPr>
            <w:tcW w:w="1644" w:type="dxa"/>
            <w:vAlign w:val="center"/>
          </w:tcPr>
          <w:p w:rsidR="00F33F7F" w:rsidRDefault="002D24B9">
            <w:pPr>
              <w:jc w:val="right"/>
            </w:pPr>
            <w:r>
              <w:rPr>
                <w:color w:val="000000"/>
                <w:sz w:val="24"/>
                <w:szCs w:val="24"/>
              </w:rPr>
              <w:t>3.37</w:t>
            </w:r>
          </w:p>
        </w:tc>
      </w:tr>
      <w:tr w:rsidR="00F33F7F">
        <w:trPr>
          <w:jc w:val="center"/>
        </w:trPr>
        <w:tc>
          <w:tcPr>
            <w:tcW w:w="855" w:type="dxa"/>
            <w:vAlign w:val="center"/>
          </w:tcPr>
          <w:p w:rsidR="00F33F7F" w:rsidRDefault="002D24B9">
            <w:pPr>
              <w:jc w:val="center"/>
            </w:pPr>
            <w:r>
              <w:rPr>
                <w:color w:val="000000"/>
                <w:sz w:val="24"/>
                <w:szCs w:val="24"/>
              </w:rPr>
              <w:t>8</w:t>
            </w:r>
          </w:p>
        </w:tc>
        <w:tc>
          <w:tcPr>
            <w:tcW w:w="1334" w:type="dxa"/>
            <w:vAlign w:val="center"/>
          </w:tcPr>
          <w:p w:rsidR="00F33F7F" w:rsidRDefault="002D24B9">
            <w:pPr>
              <w:jc w:val="center"/>
            </w:pPr>
            <w:r>
              <w:rPr>
                <w:color w:val="000000"/>
                <w:sz w:val="24"/>
                <w:szCs w:val="24"/>
              </w:rPr>
              <w:t>002280</w:t>
            </w:r>
          </w:p>
        </w:tc>
        <w:tc>
          <w:tcPr>
            <w:tcW w:w="1777" w:type="dxa"/>
            <w:vAlign w:val="center"/>
          </w:tcPr>
          <w:p w:rsidR="00F33F7F" w:rsidRDefault="002D24B9">
            <w:pPr>
              <w:jc w:val="center"/>
            </w:pPr>
            <w:r>
              <w:rPr>
                <w:color w:val="000000"/>
                <w:sz w:val="24"/>
                <w:szCs w:val="24"/>
              </w:rPr>
              <w:t>联络互动</w:t>
            </w:r>
          </w:p>
        </w:tc>
        <w:tc>
          <w:tcPr>
            <w:tcW w:w="1334" w:type="dxa"/>
            <w:vAlign w:val="center"/>
          </w:tcPr>
          <w:p w:rsidR="00F33F7F" w:rsidRDefault="002D24B9">
            <w:pPr>
              <w:jc w:val="right"/>
            </w:pPr>
            <w:r>
              <w:rPr>
                <w:color w:val="000000"/>
                <w:sz w:val="24"/>
                <w:szCs w:val="24"/>
              </w:rPr>
              <w:t>128,500</w:t>
            </w:r>
          </w:p>
        </w:tc>
        <w:tc>
          <w:tcPr>
            <w:tcW w:w="1924" w:type="dxa"/>
            <w:vAlign w:val="center"/>
          </w:tcPr>
          <w:p w:rsidR="00F33F7F" w:rsidRDefault="002D24B9">
            <w:pPr>
              <w:jc w:val="right"/>
            </w:pPr>
            <w:r>
              <w:rPr>
                <w:color w:val="000000"/>
                <w:sz w:val="24"/>
                <w:szCs w:val="24"/>
              </w:rPr>
              <w:t>3,251,050.00</w:t>
            </w:r>
          </w:p>
        </w:tc>
        <w:tc>
          <w:tcPr>
            <w:tcW w:w="1644" w:type="dxa"/>
            <w:vAlign w:val="center"/>
          </w:tcPr>
          <w:p w:rsidR="00F33F7F" w:rsidRDefault="002D24B9">
            <w:pPr>
              <w:jc w:val="right"/>
            </w:pPr>
            <w:r>
              <w:rPr>
                <w:color w:val="000000"/>
                <w:sz w:val="24"/>
                <w:szCs w:val="24"/>
              </w:rPr>
              <w:t>3.30</w:t>
            </w:r>
          </w:p>
        </w:tc>
      </w:tr>
      <w:tr w:rsidR="00F33F7F">
        <w:trPr>
          <w:jc w:val="center"/>
        </w:trPr>
        <w:tc>
          <w:tcPr>
            <w:tcW w:w="855" w:type="dxa"/>
            <w:vAlign w:val="center"/>
          </w:tcPr>
          <w:p w:rsidR="00F33F7F" w:rsidRDefault="002D24B9">
            <w:pPr>
              <w:jc w:val="center"/>
            </w:pPr>
            <w:r>
              <w:rPr>
                <w:color w:val="000000"/>
                <w:sz w:val="24"/>
                <w:szCs w:val="24"/>
              </w:rPr>
              <w:t>9</w:t>
            </w:r>
          </w:p>
        </w:tc>
        <w:tc>
          <w:tcPr>
            <w:tcW w:w="1334" w:type="dxa"/>
            <w:vAlign w:val="center"/>
          </w:tcPr>
          <w:p w:rsidR="00F33F7F" w:rsidRDefault="002D24B9">
            <w:pPr>
              <w:jc w:val="center"/>
            </w:pPr>
            <w:r>
              <w:rPr>
                <w:color w:val="000000"/>
                <w:sz w:val="24"/>
                <w:szCs w:val="24"/>
              </w:rPr>
              <w:t>600054</w:t>
            </w:r>
          </w:p>
        </w:tc>
        <w:tc>
          <w:tcPr>
            <w:tcW w:w="1777" w:type="dxa"/>
            <w:vAlign w:val="center"/>
          </w:tcPr>
          <w:p w:rsidR="00F33F7F" w:rsidRDefault="002D24B9">
            <w:pPr>
              <w:jc w:val="center"/>
            </w:pPr>
            <w:r>
              <w:rPr>
                <w:color w:val="000000"/>
                <w:sz w:val="24"/>
                <w:szCs w:val="24"/>
              </w:rPr>
              <w:t>黄山旅游</w:t>
            </w:r>
          </w:p>
        </w:tc>
        <w:tc>
          <w:tcPr>
            <w:tcW w:w="1334" w:type="dxa"/>
            <w:vAlign w:val="center"/>
          </w:tcPr>
          <w:p w:rsidR="00F33F7F" w:rsidRDefault="002D24B9">
            <w:pPr>
              <w:jc w:val="right"/>
            </w:pPr>
            <w:r>
              <w:rPr>
                <w:color w:val="000000"/>
                <w:sz w:val="24"/>
                <w:szCs w:val="24"/>
              </w:rPr>
              <w:t>116,400</w:t>
            </w:r>
          </w:p>
        </w:tc>
        <w:tc>
          <w:tcPr>
            <w:tcW w:w="1924" w:type="dxa"/>
            <w:vAlign w:val="center"/>
          </w:tcPr>
          <w:p w:rsidR="00F33F7F" w:rsidRDefault="002D24B9">
            <w:pPr>
              <w:jc w:val="right"/>
            </w:pPr>
            <w:r>
              <w:rPr>
                <w:color w:val="000000"/>
                <w:sz w:val="24"/>
                <w:szCs w:val="24"/>
              </w:rPr>
              <w:t>2,807,568.00</w:t>
            </w:r>
          </w:p>
        </w:tc>
        <w:tc>
          <w:tcPr>
            <w:tcW w:w="1644" w:type="dxa"/>
            <w:vAlign w:val="center"/>
          </w:tcPr>
          <w:p w:rsidR="00F33F7F" w:rsidRDefault="002D24B9">
            <w:pPr>
              <w:jc w:val="right"/>
            </w:pPr>
            <w:r>
              <w:rPr>
                <w:color w:val="000000"/>
                <w:sz w:val="24"/>
                <w:szCs w:val="24"/>
              </w:rPr>
              <w:t>2.85</w:t>
            </w:r>
          </w:p>
        </w:tc>
      </w:tr>
      <w:tr w:rsidR="00F33F7F">
        <w:trPr>
          <w:jc w:val="center"/>
        </w:trPr>
        <w:tc>
          <w:tcPr>
            <w:tcW w:w="855" w:type="dxa"/>
            <w:vAlign w:val="center"/>
          </w:tcPr>
          <w:p w:rsidR="00F33F7F" w:rsidRDefault="002D24B9">
            <w:pPr>
              <w:jc w:val="center"/>
            </w:pPr>
            <w:r>
              <w:rPr>
                <w:color w:val="000000"/>
                <w:sz w:val="24"/>
                <w:szCs w:val="24"/>
              </w:rPr>
              <w:t>10</w:t>
            </w:r>
          </w:p>
        </w:tc>
        <w:tc>
          <w:tcPr>
            <w:tcW w:w="1334" w:type="dxa"/>
            <w:vAlign w:val="center"/>
          </w:tcPr>
          <w:p w:rsidR="00F33F7F" w:rsidRDefault="002D24B9">
            <w:pPr>
              <w:jc w:val="center"/>
            </w:pPr>
            <w:r>
              <w:rPr>
                <w:color w:val="000000"/>
                <w:sz w:val="24"/>
                <w:szCs w:val="24"/>
              </w:rPr>
              <w:t>603555</w:t>
            </w:r>
          </w:p>
        </w:tc>
        <w:tc>
          <w:tcPr>
            <w:tcW w:w="1777" w:type="dxa"/>
            <w:vAlign w:val="center"/>
          </w:tcPr>
          <w:p w:rsidR="00F33F7F" w:rsidRDefault="002D24B9">
            <w:pPr>
              <w:jc w:val="center"/>
            </w:pPr>
            <w:r>
              <w:rPr>
                <w:color w:val="000000"/>
                <w:sz w:val="24"/>
                <w:szCs w:val="24"/>
              </w:rPr>
              <w:t>贵人鸟</w:t>
            </w:r>
          </w:p>
        </w:tc>
        <w:tc>
          <w:tcPr>
            <w:tcW w:w="1334" w:type="dxa"/>
            <w:vAlign w:val="center"/>
          </w:tcPr>
          <w:p w:rsidR="00F33F7F" w:rsidRDefault="002D24B9">
            <w:pPr>
              <w:jc w:val="right"/>
            </w:pPr>
            <w:r>
              <w:rPr>
                <w:color w:val="000000"/>
                <w:sz w:val="24"/>
                <w:szCs w:val="24"/>
              </w:rPr>
              <w:t>88,145</w:t>
            </w:r>
          </w:p>
        </w:tc>
        <w:tc>
          <w:tcPr>
            <w:tcW w:w="1924" w:type="dxa"/>
            <w:vAlign w:val="center"/>
          </w:tcPr>
          <w:p w:rsidR="00F33F7F" w:rsidRDefault="002D24B9">
            <w:pPr>
              <w:jc w:val="right"/>
            </w:pPr>
            <w:r>
              <w:rPr>
                <w:color w:val="000000"/>
                <w:sz w:val="24"/>
                <w:szCs w:val="24"/>
              </w:rPr>
              <w:t>2,443,379.40</w:t>
            </w:r>
          </w:p>
        </w:tc>
        <w:tc>
          <w:tcPr>
            <w:tcW w:w="1644" w:type="dxa"/>
            <w:vAlign w:val="center"/>
          </w:tcPr>
          <w:p w:rsidR="00F33F7F" w:rsidRDefault="002D24B9">
            <w:pPr>
              <w:jc w:val="right"/>
            </w:pPr>
            <w:r>
              <w:rPr>
                <w:color w:val="000000"/>
                <w:sz w:val="24"/>
                <w:szCs w:val="24"/>
              </w:rPr>
              <w:t>2.48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12,736.77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6,546.67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3,076.95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22,360.39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F33F7F">
        <w:trPr>
          <w:jc w:val="center"/>
        </w:trPr>
        <w:tc>
          <w:tcPr>
            <w:tcW w:w="1129" w:type="dxa"/>
            <w:vAlign w:val="center"/>
          </w:tcPr>
          <w:p w:rsidR="00F33F7F" w:rsidRDefault="002D24B9">
            <w:pPr>
              <w:jc w:val="center"/>
            </w:pPr>
            <w:r>
              <w:rPr>
                <w:color w:val="000000"/>
                <w:sz w:val="24"/>
                <w:szCs w:val="24"/>
              </w:rPr>
              <w:t>1</w:t>
            </w:r>
          </w:p>
        </w:tc>
        <w:tc>
          <w:tcPr>
            <w:tcW w:w="1356" w:type="dxa"/>
            <w:vAlign w:val="center"/>
          </w:tcPr>
          <w:p w:rsidR="00F33F7F" w:rsidRDefault="002D24B9">
            <w:pPr>
              <w:jc w:val="center"/>
            </w:pPr>
            <w:r>
              <w:rPr>
                <w:color w:val="000000"/>
                <w:sz w:val="24"/>
                <w:szCs w:val="24"/>
              </w:rPr>
              <w:t>600389</w:t>
            </w:r>
          </w:p>
        </w:tc>
        <w:tc>
          <w:tcPr>
            <w:tcW w:w="1355" w:type="dxa"/>
            <w:vAlign w:val="center"/>
          </w:tcPr>
          <w:p w:rsidR="00F33F7F" w:rsidRDefault="002D24B9">
            <w:pPr>
              <w:jc w:val="center"/>
            </w:pPr>
            <w:r>
              <w:rPr>
                <w:color w:val="000000"/>
                <w:sz w:val="24"/>
                <w:szCs w:val="24"/>
              </w:rPr>
              <w:t>江山股份</w:t>
            </w:r>
          </w:p>
        </w:tc>
        <w:tc>
          <w:tcPr>
            <w:tcW w:w="1880" w:type="dxa"/>
            <w:vAlign w:val="center"/>
          </w:tcPr>
          <w:p w:rsidR="00F33F7F" w:rsidRDefault="002D24B9">
            <w:pPr>
              <w:jc w:val="right"/>
            </w:pPr>
            <w:r>
              <w:rPr>
                <w:color w:val="000000"/>
                <w:sz w:val="24"/>
                <w:szCs w:val="24"/>
              </w:rPr>
              <w:t>9,082,106.70</w:t>
            </w:r>
          </w:p>
        </w:tc>
        <w:tc>
          <w:tcPr>
            <w:tcW w:w="1724" w:type="dxa"/>
            <w:vAlign w:val="center"/>
          </w:tcPr>
          <w:p w:rsidR="00F33F7F" w:rsidRDefault="002D24B9">
            <w:pPr>
              <w:jc w:val="right"/>
            </w:pPr>
            <w:r>
              <w:rPr>
                <w:color w:val="000000"/>
                <w:sz w:val="24"/>
                <w:szCs w:val="24"/>
              </w:rPr>
              <w:t>9.22</w:t>
            </w:r>
          </w:p>
        </w:tc>
        <w:tc>
          <w:tcPr>
            <w:tcW w:w="1424" w:type="dxa"/>
            <w:vAlign w:val="center"/>
          </w:tcPr>
          <w:p w:rsidR="00F33F7F" w:rsidRDefault="002D24B9">
            <w:pPr>
              <w:jc w:val="right"/>
            </w:pPr>
            <w:r>
              <w:rPr>
                <w:color w:val="000000"/>
                <w:sz w:val="24"/>
                <w:szCs w:val="24"/>
              </w:rPr>
              <w:t>重大事项</w:t>
            </w:r>
          </w:p>
        </w:tc>
      </w:tr>
      <w:tr w:rsidR="00F33F7F">
        <w:trPr>
          <w:jc w:val="center"/>
        </w:trPr>
        <w:tc>
          <w:tcPr>
            <w:tcW w:w="1129" w:type="dxa"/>
            <w:vAlign w:val="center"/>
          </w:tcPr>
          <w:p w:rsidR="00F33F7F" w:rsidRDefault="002D24B9">
            <w:pPr>
              <w:jc w:val="center"/>
            </w:pPr>
            <w:r>
              <w:rPr>
                <w:color w:val="000000"/>
                <w:sz w:val="24"/>
                <w:szCs w:val="24"/>
              </w:rPr>
              <w:t>2</w:t>
            </w:r>
          </w:p>
        </w:tc>
        <w:tc>
          <w:tcPr>
            <w:tcW w:w="1356" w:type="dxa"/>
            <w:vAlign w:val="center"/>
          </w:tcPr>
          <w:p w:rsidR="00F33F7F" w:rsidRDefault="002D24B9">
            <w:pPr>
              <w:jc w:val="center"/>
            </w:pPr>
            <w:r>
              <w:rPr>
                <w:color w:val="000000"/>
                <w:sz w:val="24"/>
                <w:szCs w:val="24"/>
              </w:rPr>
              <w:t>002180</w:t>
            </w:r>
          </w:p>
        </w:tc>
        <w:tc>
          <w:tcPr>
            <w:tcW w:w="1355" w:type="dxa"/>
            <w:vAlign w:val="center"/>
          </w:tcPr>
          <w:p w:rsidR="00F33F7F" w:rsidRDefault="002D24B9">
            <w:pPr>
              <w:jc w:val="center"/>
            </w:pPr>
            <w:r>
              <w:rPr>
                <w:color w:val="000000"/>
                <w:sz w:val="24"/>
                <w:szCs w:val="24"/>
              </w:rPr>
              <w:t>艾派克</w:t>
            </w:r>
          </w:p>
        </w:tc>
        <w:tc>
          <w:tcPr>
            <w:tcW w:w="1880" w:type="dxa"/>
            <w:vAlign w:val="center"/>
          </w:tcPr>
          <w:p w:rsidR="00F33F7F" w:rsidRDefault="002D24B9">
            <w:pPr>
              <w:jc w:val="right"/>
            </w:pPr>
            <w:r>
              <w:rPr>
                <w:color w:val="000000"/>
                <w:sz w:val="24"/>
                <w:szCs w:val="24"/>
              </w:rPr>
              <w:t>3,313,570.00</w:t>
            </w:r>
          </w:p>
        </w:tc>
        <w:tc>
          <w:tcPr>
            <w:tcW w:w="1724" w:type="dxa"/>
            <w:vAlign w:val="center"/>
          </w:tcPr>
          <w:p w:rsidR="00F33F7F" w:rsidRDefault="002D24B9">
            <w:pPr>
              <w:jc w:val="right"/>
            </w:pPr>
            <w:r>
              <w:rPr>
                <w:color w:val="000000"/>
                <w:sz w:val="24"/>
                <w:szCs w:val="24"/>
              </w:rPr>
              <w:t>3.37</w:t>
            </w:r>
          </w:p>
        </w:tc>
        <w:tc>
          <w:tcPr>
            <w:tcW w:w="1424" w:type="dxa"/>
            <w:vAlign w:val="center"/>
          </w:tcPr>
          <w:p w:rsidR="00F33F7F" w:rsidRDefault="002D24B9">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74,080,477.11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1,783,111.64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3,282,881.38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72,580,707.37</w:t>
            </w:r>
          </w:p>
        </w:tc>
      </w:tr>
    </w:tbl>
    <w:p w:rsidR="00F33F7F" w:rsidRDefault="002D24B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F33F7F" w:rsidRDefault="002D24B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w:t>
      </w:r>
      <w:r>
        <w:rPr>
          <w:color w:val="000000"/>
          <w:sz w:val="24"/>
          <w:szCs w:val="24"/>
        </w:rPr>
        <w:t>30</w:t>
      </w:r>
      <w:r>
        <w:rPr>
          <w:color w:val="000000"/>
          <w:sz w:val="24"/>
          <w:szCs w:val="24"/>
        </w:rPr>
        <w:t>股票型证券投资基金募集的文件；</w:t>
      </w:r>
      <w:r>
        <w:rPr>
          <w:color w:val="000000"/>
          <w:sz w:val="24"/>
          <w:szCs w:val="24"/>
        </w:rPr>
        <w:t xml:space="preserve"> </w:t>
      </w:r>
    </w:p>
    <w:p w:rsidR="00F33F7F" w:rsidRDefault="002D24B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w:t>
      </w:r>
      <w:r>
        <w:rPr>
          <w:color w:val="000000"/>
          <w:sz w:val="24"/>
          <w:szCs w:val="24"/>
        </w:rPr>
        <w:t>30</w:t>
      </w:r>
      <w:r>
        <w:rPr>
          <w:color w:val="000000"/>
          <w:sz w:val="24"/>
          <w:szCs w:val="24"/>
        </w:rPr>
        <w:t>混合型证券投资基金基金合同》；</w:t>
      </w:r>
      <w:r>
        <w:rPr>
          <w:color w:val="000000"/>
          <w:sz w:val="24"/>
          <w:szCs w:val="24"/>
        </w:rPr>
        <w:t xml:space="preserve"> </w:t>
      </w:r>
    </w:p>
    <w:p w:rsidR="00F33F7F" w:rsidRDefault="002D24B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w:t>
      </w:r>
      <w:r>
        <w:rPr>
          <w:color w:val="000000"/>
          <w:sz w:val="24"/>
          <w:szCs w:val="24"/>
        </w:rPr>
        <w:t>30</w:t>
      </w:r>
      <w:r>
        <w:rPr>
          <w:color w:val="000000"/>
          <w:sz w:val="24"/>
          <w:szCs w:val="24"/>
        </w:rPr>
        <w:t>混合型证券投资基金招募说明书》；</w:t>
      </w:r>
      <w:r>
        <w:rPr>
          <w:color w:val="000000"/>
          <w:sz w:val="24"/>
          <w:szCs w:val="24"/>
        </w:rPr>
        <w:t xml:space="preserve"> </w:t>
      </w:r>
    </w:p>
    <w:p w:rsidR="00F33F7F" w:rsidRDefault="002D24B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w:t>
      </w:r>
      <w:r>
        <w:rPr>
          <w:color w:val="000000"/>
          <w:sz w:val="24"/>
          <w:szCs w:val="24"/>
        </w:rPr>
        <w:t>30</w:t>
      </w:r>
      <w:r>
        <w:rPr>
          <w:color w:val="000000"/>
          <w:sz w:val="24"/>
          <w:szCs w:val="24"/>
        </w:rPr>
        <w:t>混合型证券投资基金托管协议》；</w:t>
      </w:r>
      <w:r>
        <w:rPr>
          <w:color w:val="000000"/>
          <w:sz w:val="24"/>
          <w:szCs w:val="24"/>
        </w:rPr>
        <w:t xml:space="preserve"> </w:t>
      </w:r>
    </w:p>
    <w:p w:rsidR="00F33F7F" w:rsidRDefault="002D24B9">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w:t>
      </w:r>
      <w:r>
        <w:rPr>
          <w:color w:val="000000"/>
          <w:sz w:val="24"/>
          <w:szCs w:val="24"/>
        </w:rPr>
        <w:t>30</w:t>
      </w:r>
      <w:r>
        <w:rPr>
          <w:color w:val="000000"/>
          <w:sz w:val="24"/>
          <w:szCs w:val="24"/>
        </w:rPr>
        <w:t>股票型证券投资基金之法律意见书；</w:t>
      </w:r>
      <w:r>
        <w:rPr>
          <w:color w:val="000000"/>
          <w:sz w:val="24"/>
          <w:szCs w:val="24"/>
        </w:rPr>
        <w:t xml:space="preserve"> </w:t>
      </w:r>
    </w:p>
    <w:p w:rsidR="00F33F7F" w:rsidRDefault="002D24B9">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F33F7F" w:rsidRDefault="002D24B9">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w:t>
      </w:r>
      <w:r w:rsidRPr="00414345">
        <w:rPr>
          <w:color w:val="000000"/>
          <w:sz w:val="24"/>
          <w:szCs w:val="24"/>
        </w:rPr>
        <w:t>30</w:t>
      </w:r>
      <w:r w:rsidRPr="00414345">
        <w:rPr>
          <w:color w:val="000000"/>
          <w:sz w:val="24"/>
          <w:szCs w:val="24"/>
        </w:rPr>
        <w:t>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F33F7F" w:rsidRDefault="002D24B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ABE" w:rsidRDefault="004B0ABE" w:rsidP="00876D65">
      <w:r>
        <w:separator/>
      </w:r>
    </w:p>
  </w:endnote>
  <w:endnote w:type="continuationSeparator" w:id="0">
    <w:p w:rsidR="004B0ABE" w:rsidRDefault="004B0AB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C05A70">
      <w:rPr>
        <w:noProof/>
        <w:kern w:val="0"/>
        <w:szCs w:val="21"/>
      </w:rPr>
      <w:t>5</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C05A70">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ABE" w:rsidRDefault="004B0ABE" w:rsidP="00876D65">
      <w:r>
        <w:separator/>
      </w:r>
    </w:p>
  </w:footnote>
  <w:footnote w:type="continuationSeparator" w:id="0">
    <w:p w:rsidR="004B0ABE" w:rsidRDefault="004B0AB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24B9"/>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4CA"/>
    <w:rsid w:val="00491C81"/>
    <w:rsid w:val="004934E9"/>
    <w:rsid w:val="004943C2"/>
    <w:rsid w:val="004949F3"/>
    <w:rsid w:val="004A11A7"/>
    <w:rsid w:val="004A459C"/>
    <w:rsid w:val="004A7B1D"/>
    <w:rsid w:val="004B0ABE"/>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480E"/>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4E91"/>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05A70"/>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51D4"/>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3F7F"/>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327E8-3B0F-4E28-8601-392E915F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11</Pages>
  <Words>1032</Words>
  <Characters>5889</Characters>
  <Application>Microsoft Office Word</Application>
  <DocSecurity>0</DocSecurity>
  <Lines>49</Lines>
  <Paragraphs>13</Paragraphs>
  <ScaleCrop>false</ScaleCrop>
  <Company/>
  <LinksUpToDate>false</LinksUpToDate>
  <CharactersWithSpaces>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568</cp:revision>
  <dcterms:created xsi:type="dcterms:W3CDTF">2012-10-16T06:07:00Z</dcterms:created>
  <dcterms:modified xsi:type="dcterms:W3CDTF">2016-04-18T06:10:00Z</dcterms:modified>
</cp:coreProperties>
</file>