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21E04" w:rsidRDefault="002F152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189,278,889.10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62E5E" w:rsidRPr="00414345" w:rsidTr="00162E5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62E5E" w:rsidRPr="00414345" w:rsidTr="00162E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-9,105,095.86</w:t>
            </w:r>
          </w:p>
        </w:tc>
      </w:tr>
      <w:tr w:rsidR="00162E5E" w:rsidRPr="00414345" w:rsidTr="00162E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-44,534,292.66</w:t>
            </w:r>
          </w:p>
        </w:tc>
      </w:tr>
      <w:tr w:rsidR="00162E5E" w:rsidRPr="00414345" w:rsidTr="00162E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-0.2388</w:t>
            </w:r>
          </w:p>
        </w:tc>
      </w:tr>
      <w:tr w:rsidR="00162E5E" w:rsidRPr="00414345" w:rsidTr="00162E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266,573,497.55</w:t>
            </w:r>
          </w:p>
        </w:tc>
      </w:tr>
      <w:tr w:rsidR="00162E5E" w:rsidRPr="00414345" w:rsidTr="00162E5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1.408</w:t>
            </w:r>
          </w:p>
        </w:tc>
      </w:tr>
    </w:tbl>
    <w:p w:rsidR="00021E04" w:rsidRDefault="002F152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8526F8">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21E04">
        <w:trPr>
          <w:jc w:val="center"/>
        </w:trPr>
        <w:tc>
          <w:tcPr>
            <w:tcW w:w="1701" w:type="dxa"/>
            <w:vAlign w:val="center"/>
          </w:tcPr>
          <w:p w:rsidR="00021E04" w:rsidRDefault="002F1522">
            <w:pPr>
              <w:jc w:val="left"/>
            </w:pPr>
            <w:r>
              <w:rPr>
                <w:color w:val="000000"/>
                <w:sz w:val="24"/>
                <w:szCs w:val="24"/>
              </w:rPr>
              <w:t>过去三个月</w:t>
            </w:r>
          </w:p>
        </w:tc>
        <w:tc>
          <w:tcPr>
            <w:tcW w:w="1045" w:type="dxa"/>
            <w:vAlign w:val="center"/>
          </w:tcPr>
          <w:p w:rsidR="00021E04" w:rsidRDefault="002F1522">
            <w:pPr>
              <w:jc w:val="center"/>
            </w:pPr>
            <w:r>
              <w:rPr>
                <w:color w:val="000000"/>
                <w:sz w:val="24"/>
                <w:szCs w:val="24"/>
              </w:rPr>
              <w:t>-14.72%</w:t>
            </w:r>
          </w:p>
        </w:tc>
        <w:tc>
          <w:tcPr>
            <w:tcW w:w="1344" w:type="dxa"/>
            <w:vAlign w:val="center"/>
          </w:tcPr>
          <w:p w:rsidR="00021E04" w:rsidRDefault="002F1522">
            <w:pPr>
              <w:jc w:val="center"/>
            </w:pPr>
            <w:r>
              <w:rPr>
                <w:color w:val="000000"/>
                <w:sz w:val="24"/>
                <w:szCs w:val="24"/>
              </w:rPr>
              <w:t>2.60%</w:t>
            </w:r>
          </w:p>
        </w:tc>
        <w:tc>
          <w:tcPr>
            <w:tcW w:w="1194" w:type="dxa"/>
            <w:vAlign w:val="center"/>
          </w:tcPr>
          <w:p w:rsidR="00021E04" w:rsidRDefault="002F1522">
            <w:pPr>
              <w:jc w:val="center"/>
            </w:pPr>
            <w:r>
              <w:rPr>
                <w:color w:val="000000"/>
                <w:sz w:val="24"/>
                <w:szCs w:val="24"/>
              </w:rPr>
              <w:t>-9.94%</w:t>
            </w:r>
          </w:p>
        </w:tc>
        <w:tc>
          <w:tcPr>
            <w:tcW w:w="1492" w:type="dxa"/>
            <w:vAlign w:val="center"/>
          </w:tcPr>
          <w:p w:rsidR="00021E04" w:rsidRDefault="002F1522">
            <w:pPr>
              <w:jc w:val="center"/>
            </w:pPr>
            <w:r>
              <w:rPr>
                <w:color w:val="000000"/>
                <w:sz w:val="24"/>
                <w:szCs w:val="24"/>
              </w:rPr>
              <w:t>1.82%</w:t>
            </w:r>
          </w:p>
        </w:tc>
        <w:tc>
          <w:tcPr>
            <w:tcW w:w="1194" w:type="dxa"/>
            <w:vAlign w:val="center"/>
          </w:tcPr>
          <w:p w:rsidR="00021E04" w:rsidRDefault="002F1522">
            <w:pPr>
              <w:jc w:val="center"/>
            </w:pPr>
            <w:r>
              <w:rPr>
                <w:color w:val="000000"/>
                <w:sz w:val="24"/>
                <w:szCs w:val="24"/>
              </w:rPr>
              <w:t>-4.78%</w:t>
            </w:r>
          </w:p>
        </w:tc>
        <w:tc>
          <w:tcPr>
            <w:tcW w:w="898" w:type="dxa"/>
            <w:vAlign w:val="center"/>
          </w:tcPr>
          <w:p w:rsidR="00021E04" w:rsidRDefault="002F1522">
            <w:pPr>
              <w:jc w:val="center"/>
            </w:pPr>
            <w:r>
              <w:rPr>
                <w:color w:val="000000"/>
                <w:sz w:val="24"/>
                <w:szCs w:val="24"/>
              </w:rPr>
              <w:t>0.78%</w:t>
            </w:r>
          </w:p>
        </w:tc>
      </w:tr>
    </w:tbl>
    <w:p w:rsidR="008526F8" w:rsidRDefault="008526F8" w:rsidP="008526F8">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指数收益率</w:t>
      </w:r>
      <w:r>
        <w:rPr>
          <w:color w:val="000000"/>
          <w:sz w:val="24"/>
          <w:szCs w:val="24"/>
        </w:rPr>
        <w:t>+25%×</w:t>
      </w:r>
      <w:r>
        <w:rPr>
          <w:rFonts w:hint="eastAsia"/>
          <w:color w:val="000000"/>
          <w:sz w:val="24"/>
          <w:szCs w:val="24"/>
        </w:rPr>
        <w:t>中信标普全债指数收益率</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指数收益率</w:t>
      </w:r>
      <w:r>
        <w:rPr>
          <w:color w:val="000000"/>
          <w:sz w:val="24"/>
          <w:szCs w:val="24"/>
        </w:rPr>
        <w:t>+25%×</w:t>
      </w:r>
      <w:r>
        <w:rPr>
          <w:rFonts w:hint="eastAsia"/>
          <w:color w:val="000000"/>
          <w:sz w:val="24"/>
          <w:szCs w:val="24"/>
        </w:rPr>
        <w:t>中证综合债券指数收益率</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8526F8"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21E04">
        <w:trPr>
          <w:jc w:val="center"/>
        </w:trPr>
        <w:tc>
          <w:tcPr>
            <w:tcW w:w="846" w:type="dxa"/>
            <w:vAlign w:val="center"/>
          </w:tcPr>
          <w:p w:rsidR="00021E04" w:rsidRDefault="002F1522">
            <w:pPr>
              <w:jc w:val="center"/>
            </w:pPr>
            <w:r>
              <w:rPr>
                <w:color w:val="000000"/>
                <w:sz w:val="24"/>
                <w:szCs w:val="24"/>
              </w:rPr>
              <w:t>曹文俊</w:t>
            </w:r>
          </w:p>
        </w:tc>
        <w:tc>
          <w:tcPr>
            <w:tcW w:w="845" w:type="dxa"/>
            <w:vAlign w:val="center"/>
          </w:tcPr>
          <w:p w:rsidR="00021E04" w:rsidRDefault="002F1522">
            <w:pPr>
              <w:jc w:val="center"/>
            </w:pPr>
            <w:r>
              <w:rPr>
                <w:color w:val="000000"/>
                <w:sz w:val="24"/>
                <w:szCs w:val="24"/>
              </w:rPr>
              <w:t>交银精选混合、交银趋势混合的基金经理</w:t>
            </w:r>
          </w:p>
        </w:tc>
        <w:tc>
          <w:tcPr>
            <w:tcW w:w="1549" w:type="dxa"/>
            <w:vAlign w:val="center"/>
          </w:tcPr>
          <w:p w:rsidR="00021E04" w:rsidRDefault="002F1522">
            <w:pPr>
              <w:jc w:val="center"/>
            </w:pPr>
            <w:r>
              <w:rPr>
                <w:color w:val="000000"/>
                <w:sz w:val="24"/>
                <w:szCs w:val="24"/>
              </w:rPr>
              <w:t>2013-08-08</w:t>
            </w:r>
          </w:p>
        </w:tc>
        <w:tc>
          <w:tcPr>
            <w:tcW w:w="1548" w:type="dxa"/>
            <w:vAlign w:val="center"/>
          </w:tcPr>
          <w:p w:rsidR="00021E04" w:rsidRDefault="002F1522">
            <w:pPr>
              <w:jc w:val="center"/>
            </w:pPr>
            <w:r>
              <w:rPr>
                <w:color w:val="000000"/>
                <w:sz w:val="24"/>
                <w:szCs w:val="24"/>
              </w:rPr>
              <w:t>-</w:t>
            </w:r>
          </w:p>
        </w:tc>
        <w:tc>
          <w:tcPr>
            <w:tcW w:w="1407" w:type="dxa"/>
            <w:vAlign w:val="center"/>
          </w:tcPr>
          <w:p w:rsidR="00021E04" w:rsidRDefault="002F1522">
            <w:pPr>
              <w:jc w:val="center"/>
            </w:pPr>
            <w:r>
              <w:rPr>
                <w:color w:val="000000"/>
                <w:sz w:val="24"/>
                <w:szCs w:val="24"/>
              </w:rPr>
              <w:t>11</w:t>
            </w:r>
            <w:r>
              <w:rPr>
                <w:color w:val="000000"/>
                <w:sz w:val="24"/>
                <w:szCs w:val="24"/>
              </w:rPr>
              <w:t>年</w:t>
            </w:r>
          </w:p>
        </w:tc>
        <w:tc>
          <w:tcPr>
            <w:tcW w:w="2673" w:type="dxa"/>
            <w:vAlign w:val="center"/>
          </w:tcPr>
          <w:p w:rsidR="00021E04" w:rsidRDefault="002F1522">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21E04" w:rsidRDefault="002F152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21E04" w:rsidRDefault="002F152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21E04" w:rsidRDefault="002F152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bookmarkStart w:id="0" w:name="_GoBack"/>
    </w:p>
    <w:bookmarkEnd w:id="0"/>
    <w:p w:rsidR="00CF7CAC" w:rsidRPr="00CF7CAC" w:rsidRDefault="00CF7CAC" w:rsidP="00C15CAC">
      <w:pPr>
        <w:spacing w:before="29" w:line="288" w:lineRule="auto"/>
        <w:ind w:firstLineChars="200" w:firstLine="480"/>
        <w:rPr>
          <w:rFonts w:hint="eastAsia"/>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21E04" w:rsidRDefault="002F1522">
      <w:pPr>
        <w:spacing w:before="29" w:line="288" w:lineRule="auto"/>
        <w:ind w:firstLineChars="200" w:firstLine="480"/>
        <w:rPr>
          <w:color w:val="000000"/>
          <w:sz w:val="24"/>
          <w:szCs w:val="24"/>
        </w:rPr>
      </w:pPr>
      <w:r>
        <w:rPr>
          <w:color w:val="000000"/>
          <w:sz w:val="24"/>
          <w:szCs w:val="24"/>
        </w:rPr>
        <w:t>一季度市场波动幅度很大，整体以下跌为主。</w:t>
      </w:r>
      <w:r>
        <w:rPr>
          <w:color w:val="000000"/>
          <w:sz w:val="24"/>
          <w:szCs w:val="24"/>
        </w:rPr>
        <w:t>2016</w:t>
      </w:r>
      <w:r>
        <w:rPr>
          <w:color w:val="000000"/>
          <w:sz w:val="24"/>
          <w:szCs w:val="24"/>
        </w:rPr>
        <w:t>年年初伴随人民币贬值预期加剧及新出台的熔断机制的恐慌心理，指数出现暴跌，</w:t>
      </w:r>
      <w:r>
        <w:rPr>
          <w:color w:val="000000"/>
          <w:sz w:val="24"/>
          <w:szCs w:val="24"/>
        </w:rPr>
        <w:t>2</w:t>
      </w:r>
      <w:r>
        <w:rPr>
          <w:color w:val="000000"/>
          <w:sz w:val="24"/>
          <w:szCs w:val="24"/>
        </w:rPr>
        <w:t>月份、</w:t>
      </w:r>
      <w:r>
        <w:rPr>
          <w:color w:val="000000"/>
          <w:sz w:val="24"/>
          <w:szCs w:val="24"/>
        </w:rPr>
        <w:t>3</w:t>
      </w:r>
      <w:r>
        <w:rPr>
          <w:color w:val="000000"/>
          <w:sz w:val="24"/>
          <w:szCs w:val="24"/>
        </w:rPr>
        <w:t>月份则呈现震荡整固、超跌反弹行情。宏观经济方面，跟随一、二线城市地产市场成交活跃，地产新开工有所回暖，一定程度上对上游行业有所拉动。宽松货币政策延续，美联储鸽派言论使得人民币汇率压力有所缓解。股票供给方面，注册制放缓和战略新兴板推延也一定程度上缓解投资者的悲观预期。一季度本基金净值表现未能跑赢业绩比较基准，月度间操作判断各有得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展望未来一个季度，我们保持对市场的中性态度。在看到持续增量资金入市之前，我们维持市场区间震荡的判断。从上涨空间维度来看，经过</w:t>
      </w:r>
      <w:r w:rsidRPr="00414345">
        <w:rPr>
          <w:color w:val="000000"/>
          <w:sz w:val="24"/>
          <w:szCs w:val="24"/>
        </w:rPr>
        <w:t>3</w:t>
      </w:r>
      <w:r w:rsidRPr="00414345">
        <w:rPr>
          <w:color w:val="000000"/>
          <w:sz w:val="24"/>
          <w:szCs w:val="24"/>
        </w:rPr>
        <w:t>月份的反弹，多数成长股龙头公司已经达到或突破可投资估值范围的上沿，估值与业绩增速性价比已明显下降。从时间维度来看，在美联储重启下一次加息举措之前，市场风险相对较小，但对于美国就业数据、通胀数据等指标需要高度警惕，谨防加息预期重新升温。选股方向上，我们仍倾向于选择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2F1522" w:rsidP="00162E5E">
      <w:pPr>
        <w:spacing w:before="29" w:line="288" w:lineRule="auto"/>
        <w:ind w:firstLineChars="200" w:firstLine="480"/>
        <w:rPr>
          <w:color w:val="000000"/>
          <w:sz w:val="24"/>
          <w:szCs w:val="24"/>
        </w:rPr>
      </w:pPr>
      <w:r>
        <w:rPr>
          <w:color w:val="000000"/>
          <w:sz w:val="24"/>
          <w:szCs w:val="24"/>
        </w:rPr>
        <w:t>截至</w:t>
      </w:r>
      <w:r>
        <w:rPr>
          <w:color w:val="000000"/>
          <w:sz w:val="24"/>
          <w:szCs w:val="24"/>
        </w:rPr>
        <w:t>2016</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日，本基金份额净值为</w:t>
      </w:r>
      <w:r>
        <w:rPr>
          <w:color w:val="000000"/>
          <w:sz w:val="24"/>
          <w:szCs w:val="24"/>
        </w:rPr>
        <w:t>1.408</w:t>
      </w:r>
      <w:r>
        <w:rPr>
          <w:color w:val="000000"/>
          <w:sz w:val="24"/>
          <w:szCs w:val="24"/>
        </w:rPr>
        <w:t>元，本报告期份额净值增长率为</w:t>
      </w:r>
      <w:r>
        <w:rPr>
          <w:color w:val="000000"/>
          <w:sz w:val="24"/>
          <w:szCs w:val="24"/>
        </w:rPr>
        <w:t>-14.72%</w:t>
      </w:r>
      <w:r>
        <w:rPr>
          <w:color w:val="000000"/>
          <w:sz w:val="24"/>
          <w:szCs w:val="24"/>
        </w:rPr>
        <w:t>，同期业绩比较基准增长率为</w:t>
      </w:r>
      <w:r>
        <w:rPr>
          <w:color w:val="000000"/>
          <w:sz w:val="24"/>
          <w:szCs w:val="24"/>
        </w:rPr>
        <w:t>-9.94%</w:t>
      </w:r>
      <w:r w:rsidR="004061AC"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183,689,531.86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183,689,531.86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73,734,293.19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561,320.85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267,995,145.90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17,251,179.05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118,328,777.28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10,260,508.59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15,254,765.82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18,759,301.12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183,689,531.86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68.91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21E04">
        <w:trPr>
          <w:jc w:val="center"/>
        </w:trPr>
        <w:tc>
          <w:tcPr>
            <w:tcW w:w="855" w:type="dxa"/>
            <w:vAlign w:val="center"/>
          </w:tcPr>
          <w:p w:rsidR="00021E04" w:rsidRDefault="002F1522">
            <w:pPr>
              <w:jc w:val="center"/>
            </w:pPr>
            <w:r>
              <w:rPr>
                <w:color w:val="000000"/>
                <w:sz w:val="24"/>
                <w:szCs w:val="24"/>
              </w:rPr>
              <w:t>1</w:t>
            </w:r>
          </w:p>
        </w:tc>
        <w:tc>
          <w:tcPr>
            <w:tcW w:w="1334" w:type="dxa"/>
            <w:vAlign w:val="center"/>
          </w:tcPr>
          <w:p w:rsidR="00021E04" w:rsidRDefault="002F1522">
            <w:pPr>
              <w:jc w:val="center"/>
            </w:pPr>
            <w:r>
              <w:rPr>
                <w:color w:val="000000"/>
                <w:sz w:val="24"/>
                <w:szCs w:val="24"/>
              </w:rPr>
              <w:t>300347</w:t>
            </w:r>
          </w:p>
        </w:tc>
        <w:tc>
          <w:tcPr>
            <w:tcW w:w="1777" w:type="dxa"/>
            <w:vAlign w:val="center"/>
          </w:tcPr>
          <w:p w:rsidR="00021E04" w:rsidRDefault="002F1522">
            <w:pPr>
              <w:jc w:val="center"/>
            </w:pPr>
            <w:r>
              <w:rPr>
                <w:color w:val="000000"/>
                <w:sz w:val="24"/>
                <w:szCs w:val="24"/>
              </w:rPr>
              <w:t>泰格医药</w:t>
            </w:r>
          </w:p>
        </w:tc>
        <w:tc>
          <w:tcPr>
            <w:tcW w:w="1334" w:type="dxa"/>
            <w:vAlign w:val="center"/>
          </w:tcPr>
          <w:p w:rsidR="00021E04" w:rsidRDefault="002F1522">
            <w:pPr>
              <w:jc w:val="right"/>
            </w:pPr>
            <w:r>
              <w:rPr>
                <w:color w:val="000000"/>
                <w:sz w:val="24"/>
                <w:szCs w:val="24"/>
              </w:rPr>
              <w:t>683,648</w:t>
            </w:r>
          </w:p>
        </w:tc>
        <w:tc>
          <w:tcPr>
            <w:tcW w:w="1924" w:type="dxa"/>
            <w:vAlign w:val="center"/>
          </w:tcPr>
          <w:p w:rsidR="00021E04" w:rsidRDefault="002F1522">
            <w:pPr>
              <w:jc w:val="right"/>
            </w:pPr>
            <w:r>
              <w:rPr>
                <w:color w:val="000000"/>
                <w:sz w:val="24"/>
                <w:szCs w:val="24"/>
              </w:rPr>
              <w:t>18,759,301.12</w:t>
            </w:r>
          </w:p>
        </w:tc>
        <w:tc>
          <w:tcPr>
            <w:tcW w:w="1644" w:type="dxa"/>
            <w:vAlign w:val="center"/>
          </w:tcPr>
          <w:p w:rsidR="00021E04" w:rsidRDefault="002F1522">
            <w:pPr>
              <w:jc w:val="right"/>
            </w:pPr>
            <w:r>
              <w:rPr>
                <w:color w:val="000000"/>
                <w:sz w:val="24"/>
                <w:szCs w:val="24"/>
              </w:rPr>
              <w:t>7.04</w:t>
            </w:r>
          </w:p>
        </w:tc>
      </w:tr>
      <w:tr w:rsidR="00021E04">
        <w:trPr>
          <w:jc w:val="center"/>
        </w:trPr>
        <w:tc>
          <w:tcPr>
            <w:tcW w:w="855" w:type="dxa"/>
            <w:vAlign w:val="center"/>
          </w:tcPr>
          <w:p w:rsidR="00021E04" w:rsidRDefault="002F1522">
            <w:pPr>
              <w:jc w:val="center"/>
            </w:pPr>
            <w:r>
              <w:rPr>
                <w:color w:val="000000"/>
                <w:sz w:val="24"/>
                <w:szCs w:val="24"/>
              </w:rPr>
              <w:t>2</w:t>
            </w:r>
          </w:p>
        </w:tc>
        <w:tc>
          <w:tcPr>
            <w:tcW w:w="1334" w:type="dxa"/>
            <w:vAlign w:val="center"/>
          </w:tcPr>
          <w:p w:rsidR="00021E04" w:rsidRDefault="002F1522">
            <w:pPr>
              <w:jc w:val="center"/>
            </w:pPr>
            <w:r>
              <w:rPr>
                <w:color w:val="000000"/>
                <w:sz w:val="24"/>
                <w:szCs w:val="24"/>
              </w:rPr>
              <w:t>002045</w:t>
            </w:r>
          </w:p>
        </w:tc>
        <w:tc>
          <w:tcPr>
            <w:tcW w:w="1777" w:type="dxa"/>
            <w:vAlign w:val="center"/>
          </w:tcPr>
          <w:p w:rsidR="00021E04" w:rsidRDefault="002F1522">
            <w:pPr>
              <w:jc w:val="center"/>
            </w:pPr>
            <w:r>
              <w:rPr>
                <w:color w:val="000000"/>
                <w:sz w:val="24"/>
                <w:szCs w:val="24"/>
              </w:rPr>
              <w:t>国光电器</w:t>
            </w:r>
          </w:p>
        </w:tc>
        <w:tc>
          <w:tcPr>
            <w:tcW w:w="1334" w:type="dxa"/>
            <w:vAlign w:val="center"/>
          </w:tcPr>
          <w:p w:rsidR="00021E04" w:rsidRDefault="002F1522">
            <w:pPr>
              <w:jc w:val="right"/>
            </w:pPr>
            <w:r>
              <w:rPr>
                <w:color w:val="000000"/>
                <w:sz w:val="24"/>
                <w:szCs w:val="24"/>
              </w:rPr>
              <w:t>1,000,000</w:t>
            </w:r>
          </w:p>
        </w:tc>
        <w:tc>
          <w:tcPr>
            <w:tcW w:w="1924" w:type="dxa"/>
            <w:vAlign w:val="center"/>
          </w:tcPr>
          <w:p w:rsidR="00021E04" w:rsidRDefault="002F1522">
            <w:pPr>
              <w:jc w:val="right"/>
            </w:pPr>
            <w:r>
              <w:rPr>
                <w:color w:val="000000"/>
                <w:sz w:val="24"/>
                <w:szCs w:val="24"/>
              </w:rPr>
              <w:t>13,330,000.00</w:t>
            </w:r>
          </w:p>
        </w:tc>
        <w:tc>
          <w:tcPr>
            <w:tcW w:w="1644" w:type="dxa"/>
            <w:vAlign w:val="center"/>
          </w:tcPr>
          <w:p w:rsidR="00021E04" w:rsidRDefault="002F1522">
            <w:pPr>
              <w:jc w:val="right"/>
            </w:pPr>
            <w:r>
              <w:rPr>
                <w:color w:val="000000"/>
                <w:sz w:val="24"/>
                <w:szCs w:val="24"/>
              </w:rPr>
              <w:t>5.00</w:t>
            </w:r>
          </w:p>
        </w:tc>
      </w:tr>
      <w:tr w:rsidR="00021E04">
        <w:trPr>
          <w:jc w:val="center"/>
        </w:trPr>
        <w:tc>
          <w:tcPr>
            <w:tcW w:w="855" w:type="dxa"/>
            <w:vAlign w:val="center"/>
          </w:tcPr>
          <w:p w:rsidR="00021E04" w:rsidRDefault="002F1522">
            <w:pPr>
              <w:jc w:val="center"/>
            </w:pPr>
            <w:r>
              <w:rPr>
                <w:color w:val="000000"/>
                <w:sz w:val="24"/>
                <w:szCs w:val="24"/>
              </w:rPr>
              <w:t>3</w:t>
            </w:r>
          </w:p>
        </w:tc>
        <w:tc>
          <w:tcPr>
            <w:tcW w:w="1334" w:type="dxa"/>
            <w:vAlign w:val="center"/>
          </w:tcPr>
          <w:p w:rsidR="00021E04" w:rsidRDefault="002F1522">
            <w:pPr>
              <w:jc w:val="center"/>
            </w:pPr>
            <w:r>
              <w:rPr>
                <w:color w:val="000000"/>
                <w:sz w:val="24"/>
                <w:szCs w:val="24"/>
              </w:rPr>
              <w:t>300203</w:t>
            </w:r>
          </w:p>
        </w:tc>
        <w:tc>
          <w:tcPr>
            <w:tcW w:w="1777" w:type="dxa"/>
            <w:vAlign w:val="center"/>
          </w:tcPr>
          <w:p w:rsidR="00021E04" w:rsidRDefault="002F1522">
            <w:pPr>
              <w:jc w:val="center"/>
            </w:pPr>
            <w:r>
              <w:rPr>
                <w:color w:val="000000"/>
                <w:sz w:val="24"/>
                <w:szCs w:val="24"/>
              </w:rPr>
              <w:t>聚光科技</w:t>
            </w:r>
          </w:p>
        </w:tc>
        <w:tc>
          <w:tcPr>
            <w:tcW w:w="1334" w:type="dxa"/>
            <w:vAlign w:val="center"/>
          </w:tcPr>
          <w:p w:rsidR="00021E04" w:rsidRDefault="002F1522">
            <w:pPr>
              <w:jc w:val="right"/>
            </w:pPr>
            <w:r>
              <w:rPr>
                <w:color w:val="000000"/>
                <w:sz w:val="24"/>
                <w:szCs w:val="24"/>
              </w:rPr>
              <w:t>501,781</w:t>
            </w:r>
          </w:p>
        </w:tc>
        <w:tc>
          <w:tcPr>
            <w:tcW w:w="1924" w:type="dxa"/>
            <w:vAlign w:val="center"/>
          </w:tcPr>
          <w:p w:rsidR="00021E04" w:rsidRDefault="002F1522">
            <w:pPr>
              <w:jc w:val="right"/>
            </w:pPr>
            <w:r>
              <w:rPr>
                <w:color w:val="000000"/>
                <w:sz w:val="24"/>
                <w:szCs w:val="24"/>
              </w:rPr>
              <w:t>13,146,662.20</w:t>
            </w:r>
          </w:p>
        </w:tc>
        <w:tc>
          <w:tcPr>
            <w:tcW w:w="1644" w:type="dxa"/>
            <w:vAlign w:val="center"/>
          </w:tcPr>
          <w:p w:rsidR="00021E04" w:rsidRDefault="002F1522">
            <w:pPr>
              <w:jc w:val="right"/>
            </w:pPr>
            <w:r>
              <w:rPr>
                <w:color w:val="000000"/>
                <w:sz w:val="24"/>
                <w:szCs w:val="24"/>
              </w:rPr>
              <w:t>4.93</w:t>
            </w:r>
          </w:p>
        </w:tc>
      </w:tr>
      <w:tr w:rsidR="00021E04">
        <w:trPr>
          <w:jc w:val="center"/>
        </w:trPr>
        <w:tc>
          <w:tcPr>
            <w:tcW w:w="855" w:type="dxa"/>
            <w:vAlign w:val="center"/>
          </w:tcPr>
          <w:p w:rsidR="00021E04" w:rsidRDefault="002F1522">
            <w:pPr>
              <w:jc w:val="center"/>
            </w:pPr>
            <w:r>
              <w:rPr>
                <w:color w:val="000000"/>
                <w:sz w:val="24"/>
                <w:szCs w:val="24"/>
              </w:rPr>
              <w:t>4</w:t>
            </w:r>
          </w:p>
        </w:tc>
        <w:tc>
          <w:tcPr>
            <w:tcW w:w="1334" w:type="dxa"/>
            <w:vAlign w:val="center"/>
          </w:tcPr>
          <w:p w:rsidR="00021E04" w:rsidRDefault="002F1522">
            <w:pPr>
              <w:jc w:val="center"/>
            </w:pPr>
            <w:r>
              <w:rPr>
                <w:color w:val="000000"/>
                <w:sz w:val="24"/>
                <w:szCs w:val="24"/>
              </w:rPr>
              <w:t>300011</w:t>
            </w:r>
          </w:p>
        </w:tc>
        <w:tc>
          <w:tcPr>
            <w:tcW w:w="1777" w:type="dxa"/>
            <w:vAlign w:val="center"/>
          </w:tcPr>
          <w:p w:rsidR="00021E04" w:rsidRDefault="002F1522">
            <w:pPr>
              <w:jc w:val="center"/>
            </w:pPr>
            <w:r>
              <w:rPr>
                <w:color w:val="000000"/>
                <w:sz w:val="24"/>
                <w:szCs w:val="24"/>
              </w:rPr>
              <w:t>鼎汉技术</w:t>
            </w:r>
          </w:p>
        </w:tc>
        <w:tc>
          <w:tcPr>
            <w:tcW w:w="1334" w:type="dxa"/>
            <w:vAlign w:val="center"/>
          </w:tcPr>
          <w:p w:rsidR="00021E04" w:rsidRDefault="002F1522">
            <w:pPr>
              <w:jc w:val="right"/>
            </w:pPr>
            <w:r>
              <w:rPr>
                <w:color w:val="000000"/>
                <w:sz w:val="24"/>
                <w:szCs w:val="24"/>
              </w:rPr>
              <w:t>600,466</w:t>
            </w:r>
          </w:p>
        </w:tc>
        <w:tc>
          <w:tcPr>
            <w:tcW w:w="1924" w:type="dxa"/>
            <w:vAlign w:val="center"/>
          </w:tcPr>
          <w:p w:rsidR="00021E04" w:rsidRDefault="002F1522">
            <w:pPr>
              <w:jc w:val="right"/>
            </w:pPr>
            <w:r>
              <w:rPr>
                <w:color w:val="000000"/>
                <w:sz w:val="24"/>
                <w:szCs w:val="24"/>
              </w:rPr>
              <w:t>11,865,208.16</w:t>
            </w:r>
          </w:p>
        </w:tc>
        <w:tc>
          <w:tcPr>
            <w:tcW w:w="1644" w:type="dxa"/>
            <w:vAlign w:val="center"/>
          </w:tcPr>
          <w:p w:rsidR="00021E04" w:rsidRDefault="002F1522">
            <w:pPr>
              <w:jc w:val="right"/>
            </w:pPr>
            <w:r>
              <w:rPr>
                <w:color w:val="000000"/>
                <w:sz w:val="24"/>
                <w:szCs w:val="24"/>
              </w:rPr>
              <w:t>4.45</w:t>
            </w:r>
          </w:p>
        </w:tc>
      </w:tr>
      <w:tr w:rsidR="00021E04">
        <w:trPr>
          <w:jc w:val="center"/>
        </w:trPr>
        <w:tc>
          <w:tcPr>
            <w:tcW w:w="855" w:type="dxa"/>
            <w:vAlign w:val="center"/>
          </w:tcPr>
          <w:p w:rsidR="00021E04" w:rsidRDefault="002F1522">
            <w:pPr>
              <w:jc w:val="center"/>
            </w:pPr>
            <w:r>
              <w:rPr>
                <w:color w:val="000000"/>
                <w:sz w:val="24"/>
                <w:szCs w:val="24"/>
              </w:rPr>
              <w:t>5</w:t>
            </w:r>
          </w:p>
        </w:tc>
        <w:tc>
          <w:tcPr>
            <w:tcW w:w="1334" w:type="dxa"/>
            <w:vAlign w:val="center"/>
          </w:tcPr>
          <w:p w:rsidR="00021E04" w:rsidRDefault="002F1522">
            <w:pPr>
              <w:jc w:val="center"/>
            </w:pPr>
            <w:r>
              <w:rPr>
                <w:color w:val="000000"/>
                <w:sz w:val="24"/>
                <w:szCs w:val="24"/>
              </w:rPr>
              <w:t>002475</w:t>
            </w:r>
          </w:p>
        </w:tc>
        <w:tc>
          <w:tcPr>
            <w:tcW w:w="1777" w:type="dxa"/>
            <w:vAlign w:val="center"/>
          </w:tcPr>
          <w:p w:rsidR="00021E04" w:rsidRDefault="002F1522">
            <w:pPr>
              <w:jc w:val="center"/>
            </w:pPr>
            <w:r>
              <w:rPr>
                <w:color w:val="000000"/>
                <w:sz w:val="24"/>
                <w:szCs w:val="24"/>
              </w:rPr>
              <w:t>立讯精密</w:t>
            </w:r>
          </w:p>
        </w:tc>
        <w:tc>
          <w:tcPr>
            <w:tcW w:w="1334" w:type="dxa"/>
            <w:vAlign w:val="center"/>
          </w:tcPr>
          <w:p w:rsidR="00021E04" w:rsidRDefault="002F1522">
            <w:pPr>
              <w:jc w:val="right"/>
            </w:pPr>
            <w:r>
              <w:rPr>
                <w:color w:val="000000"/>
                <w:sz w:val="24"/>
                <w:szCs w:val="24"/>
              </w:rPr>
              <w:t>400,172</w:t>
            </w:r>
          </w:p>
        </w:tc>
        <w:tc>
          <w:tcPr>
            <w:tcW w:w="1924" w:type="dxa"/>
            <w:vAlign w:val="center"/>
          </w:tcPr>
          <w:p w:rsidR="00021E04" w:rsidRDefault="002F1522">
            <w:pPr>
              <w:jc w:val="right"/>
            </w:pPr>
            <w:r>
              <w:rPr>
                <w:color w:val="000000"/>
                <w:sz w:val="24"/>
                <w:szCs w:val="24"/>
              </w:rPr>
              <w:t>11,705,031.00</w:t>
            </w:r>
          </w:p>
        </w:tc>
        <w:tc>
          <w:tcPr>
            <w:tcW w:w="1644" w:type="dxa"/>
            <w:vAlign w:val="center"/>
          </w:tcPr>
          <w:p w:rsidR="00021E04" w:rsidRDefault="002F1522">
            <w:pPr>
              <w:jc w:val="right"/>
            </w:pPr>
            <w:r>
              <w:rPr>
                <w:color w:val="000000"/>
                <w:sz w:val="24"/>
                <w:szCs w:val="24"/>
              </w:rPr>
              <w:t>4.39</w:t>
            </w:r>
          </w:p>
        </w:tc>
      </w:tr>
      <w:tr w:rsidR="00021E04">
        <w:trPr>
          <w:jc w:val="center"/>
        </w:trPr>
        <w:tc>
          <w:tcPr>
            <w:tcW w:w="855" w:type="dxa"/>
            <w:vAlign w:val="center"/>
          </w:tcPr>
          <w:p w:rsidR="00021E04" w:rsidRDefault="002F1522">
            <w:pPr>
              <w:jc w:val="center"/>
            </w:pPr>
            <w:r>
              <w:rPr>
                <w:color w:val="000000"/>
                <w:sz w:val="24"/>
                <w:szCs w:val="24"/>
              </w:rPr>
              <w:t>6</w:t>
            </w:r>
          </w:p>
        </w:tc>
        <w:tc>
          <w:tcPr>
            <w:tcW w:w="1334" w:type="dxa"/>
            <w:vAlign w:val="center"/>
          </w:tcPr>
          <w:p w:rsidR="00021E04" w:rsidRDefault="002F1522">
            <w:pPr>
              <w:jc w:val="center"/>
            </w:pPr>
            <w:r>
              <w:rPr>
                <w:color w:val="000000"/>
                <w:sz w:val="24"/>
                <w:szCs w:val="24"/>
              </w:rPr>
              <w:t>002477</w:t>
            </w:r>
          </w:p>
        </w:tc>
        <w:tc>
          <w:tcPr>
            <w:tcW w:w="1777" w:type="dxa"/>
            <w:vAlign w:val="center"/>
          </w:tcPr>
          <w:p w:rsidR="00021E04" w:rsidRDefault="002F1522">
            <w:pPr>
              <w:jc w:val="center"/>
            </w:pPr>
            <w:r>
              <w:rPr>
                <w:color w:val="000000"/>
                <w:sz w:val="24"/>
                <w:szCs w:val="24"/>
              </w:rPr>
              <w:t>雏鹰农牧</w:t>
            </w:r>
          </w:p>
        </w:tc>
        <w:tc>
          <w:tcPr>
            <w:tcW w:w="1334" w:type="dxa"/>
            <w:vAlign w:val="center"/>
          </w:tcPr>
          <w:p w:rsidR="00021E04" w:rsidRDefault="002F1522">
            <w:pPr>
              <w:jc w:val="right"/>
            </w:pPr>
            <w:r>
              <w:rPr>
                <w:color w:val="000000"/>
                <w:sz w:val="24"/>
                <w:szCs w:val="24"/>
              </w:rPr>
              <w:t>600,000</w:t>
            </w:r>
          </w:p>
        </w:tc>
        <w:tc>
          <w:tcPr>
            <w:tcW w:w="1924" w:type="dxa"/>
            <w:vAlign w:val="center"/>
          </w:tcPr>
          <w:p w:rsidR="00021E04" w:rsidRDefault="002F1522">
            <w:pPr>
              <w:jc w:val="right"/>
            </w:pPr>
            <w:r>
              <w:rPr>
                <w:color w:val="000000"/>
                <w:sz w:val="24"/>
                <w:szCs w:val="24"/>
              </w:rPr>
              <w:t>11,190,000.00</w:t>
            </w:r>
          </w:p>
        </w:tc>
        <w:tc>
          <w:tcPr>
            <w:tcW w:w="1644" w:type="dxa"/>
            <w:vAlign w:val="center"/>
          </w:tcPr>
          <w:p w:rsidR="00021E04" w:rsidRDefault="002F1522">
            <w:pPr>
              <w:jc w:val="right"/>
            </w:pPr>
            <w:r>
              <w:rPr>
                <w:color w:val="000000"/>
                <w:sz w:val="24"/>
                <w:szCs w:val="24"/>
              </w:rPr>
              <w:t>4.20</w:t>
            </w:r>
          </w:p>
        </w:tc>
      </w:tr>
      <w:tr w:rsidR="00021E04">
        <w:trPr>
          <w:jc w:val="center"/>
        </w:trPr>
        <w:tc>
          <w:tcPr>
            <w:tcW w:w="855" w:type="dxa"/>
            <w:vAlign w:val="center"/>
          </w:tcPr>
          <w:p w:rsidR="00021E04" w:rsidRDefault="002F1522">
            <w:pPr>
              <w:jc w:val="center"/>
            </w:pPr>
            <w:r>
              <w:rPr>
                <w:color w:val="000000"/>
                <w:sz w:val="24"/>
                <w:szCs w:val="24"/>
              </w:rPr>
              <w:t>7</w:t>
            </w:r>
          </w:p>
        </w:tc>
        <w:tc>
          <w:tcPr>
            <w:tcW w:w="1334" w:type="dxa"/>
            <w:vAlign w:val="center"/>
          </w:tcPr>
          <w:p w:rsidR="00021E04" w:rsidRDefault="002F1522">
            <w:pPr>
              <w:jc w:val="center"/>
            </w:pPr>
            <w:r>
              <w:rPr>
                <w:color w:val="000000"/>
                <w:sz w:val="24"/>
                <w:szCs w:val="24"/>
              </w:rPr>
              <w:t>002456</w:t>
            </w:r>
          </w:p>
        </w:tc>
        <w:tc>
          <w:tcPr>
            <w:tcW w:w="1777" w:type="dxa"/>
            <w:vAlign w:val="center"/>
          </w:tcPr>
          <w:p w:rsidR="00021E04" w:rsidRDefault="002F1522">
            <w:pPr>
              <w:jc w:val="center"/>
            </w:pPr>
            <w:r>
              <w:rPr>
                <w:color w:val="000000"/>
                <w:sz w:val="24"/>
                <w:szCs w:val="24"/>
              </w:rPr>
              <w:t>欧菲光</w:t>
            </w:r>
          </w:p>
        </w:tc>
        <w:tc>
          <w:tcPr>
            <w:tcW w:w="1334" w:type="dxa"/>
            <w:vAlign w:val="center"/>
          </w:tcPr>
          <w:p w:rsidR="00021E04" w:rsidRDefault="002F1522">
            <w:pPr>
              <w:jc w:val="right"/>
            </w:pPr>
            <w:r>
              <w:rPr>
                <w:color w:val="000000"/>
                <w:sz w:val="24"/>
                <w:szCs w:val="24"/>
              </w:rPr>
              <w:t>400,300</w:t>
            </w:r>
          </w:p>
        </w:tc>
        <w:tc>
          <w:tcPr>
            <w:tcW w:w="1924" w:type="dxa"/>
            <w:vAlign w:val="center"/>
          </w:tcPr>
          <w:p w:rsidR="00021E04" w:rsidRDefault="002F1522">
            <w:pPr>
              <w:jc w:val="right"/>
            </w:pPr>
            <w:r>
              <w:rPr>
                <w:color w:val="000000"/>
                <w:sz w:val="24"/>
                <w:szCs w:val="24"/>
              </w:rPr>
              <w:t>10,623,962.00</w:t>
            </w:r>
          </w:p>
        </w:tc>
        <w:tc>
          <w:tcPr>
            <w:tcW w:w="1644" w:type="dxa"/>
            <w:vAlign w:val="center"/>
          </w:tcPr>
          <w:p w:rsidR="00021E04" w:rsidRDefault="002F1522">
            <w:pPr>
              <w:jc w:val="right"/>
            </w:pPr>
            <w:r>
              <w:rPr>
                <w:color w:val="000000"/>
                <w:sz w:val="24"/>
                <w:szCs w:val="24"/>
              </w:rPr>
              <w:t>3.99</w:t>
            </w:r>
          </w:p>
        </w:tc>
      </w:tr>
      <w:tr w:rsidR="00021E04">
        <w:trPr>
          <w:jc w:val="center"/>
        </w:trPr>
        <w:tc>
          <w:tcPr>
            <w:tcW w:w="855" w:type="dxa"/>
            <w:vAlign w:val="center"/>
          </w:tcPr>
          <w:p w:rsidR="00021E04" w:rsidRDefault="002F1522">
            <w:pPr>
              <w:jc w:val="center"/>
            </w:pPr>
            <w:r>
              <w:rPr>
                <w:color w:val="000000"/>
                <w:sz w:val="24"/>
                <w:szCs w:val="24"/>
              </w:rPr>
              <w:t>8</w:t>
            </w:r>
          </w:p>
        </w:tc>
        <w:tc>
          <w:tcPr>
            <w:tcW w:w="1334" w:type="dxa"/>
            <w:vAlign w:val="center"/>
          </w:tcPr>
          <w:p w:rsidR="00021E04" w:rsidRDefault="002F1522">
            <w:pPr>
              <w:jc w:val="center"/>
            </w:pPr>
            <w:r>
              <w:rPr>
                <w:color w:val="000000"/>
                <w:sz w:val="24"/>
                <w:szCs w:val="24"/>
              </w:rPr>
              <w:t>300279</w:t>
            </w:r>
          </w:p>
        </w:tc>
        <w:tc>
          <w:tcPr>
            <w:tcW w:w="1777" w:type="dxa"/>
            <w:vAlign w:val="center"/>
          </w:tcPr>
          <w:p w:rsidR="00021E04" w:rsidRDefault="002F1522">
            <w:pPr>
              <w:jc w:val="center"/>
            </w:pPr>
            <w:r>
              <w:rPr>
                <w:color w:val="000000"/>
                <w:sz w:val="24"/>
                <w:szCs w:val="24"/>
              </w:rPr>
              <w:t>和晶科技</w:t>
            </w:r>
          </w:p>
        </w:tc>
        <w:tc>
          <w:tcPr>
            <w:tcW w:w="1334" w:type="dxa"/>
            <w:vAlign w:val="center"/>
          </w:tcPr>
          <w:p w:rsidR="00021E04" w:rsidRDefault="002F1522">
            <w:pPr>
              <w:jc w:val="right"/>
            </w:pPr>
            <w:r>
              <w:rPr>
                <w:color w:val="000000"/>
                <w:sz w:val="24"/>
                <w:szCs w:val="24"/>
              </w:rPr>
              <w:t>300,339</w:t>
            </w:r>
          </w:p>
        </w:tc>
        <w:tc>
          <w:tcPr>
            <w:tcW w:w="1924" w:type="dxa"/>
            <w:vAlign w:val="center"/>
          </w:tcPr>
          <w:p w:rsidR="00021E04" w:rsidRDefault="002F1522">
            <w:pPr>
              <w:jc w:val="right"/>
            </w:pPr>
            <w:r>
              <w:rPr>
                <w:color w:val="000000"/>
                <w:sz w:val="24"/>
                <w:szCs w:val="24"/>
              </w:rPr>
              <w:t>9,730,983.60</w:t>
            </w:r>
          </w:p>
        </w:tc>
        <w:tc>
          <w:tcPr>
            <w:tcW w:w="1644" w:type="dxa"/>
            <w:vAlign w:val="center"/>
          </w:tcPr>
          <w:p w:rsidR="00021E04" w:rsidRDefault="002F1522">
            <w:pPr>
              <w:jc w:val="right"/>
            </w:pPr>
            <w:r>
              <w:rPr>
                <w:color w:val="000000"/>
                <w:sz w:val="24"/>
                <w:szCs w:val="24"/>
              </w:rPr>
              <w:t>3.65</w:t>
            </w:r>
          </w:p>
        </w:tc>
      </w:tr>
      <w:tr w:rsidR="00021E04">
        <w:trPr>
          <w:jc w:val="center"/>
        </w:trPr>
        <w:tc>
          <w:tcPr>
            <w:tcW w:w="855" w:type="dxa"/>
            <w:vAlign w:val="center"/>
          </w:tcPr>
          <w:p w:rsidR="00021E04" w:rsidRDefault="002F1522">
            <w:pPr>
              <w:jc w:val="center"/>
            </w:pPr>
            <w:r>
              <w:rPr>
                <w:color w:val="000000"/>
                <w:sz w:val="24"/>
                <w:szCs w:val="24"/>
              </w:rPr>
              <w:t>9</w:t>
            </w:r>
          </w:p>
        </w:tc>
        <w:tc>
          <w:tcPr>
            <w:tcW w:w="1334" w:type="dxa"/>
            <w:vAlign w:val="center"/>
          </w:tcPr>
          <w:p w:rsidR="00021E04" w:rsidRDefault="002F1522">
            <w:pPr>
              <w:jc w:val="center"/>
            </w:pPr>
            <w:r>
              <w:rPr>
                <w:color w:val="000000"/>
                <w:sz w:val="24"/>
                <w:szCs w:val="24"/>
              </w:rPr>
              <w:t>002672</w:t>
            </w:r>
          </w:p>
        </w:tc>
        <w:tc>
          <w:tcPr>
            <w:tcW w:w="1777" w:type="dxa"/>
            <w:vAlign w:val="center"/>
          </w:tcPr>
          <w:p w:rsidR="00021E04" w:rsidRDefault="002F1522">
            <w:pPr>
              <w:jc w:val="center"/>
            </w:pPr>
            <w:r>
              <w:rPr>
                <w:color w:val="000000"/>
                <w:sz w:val="24"/>
                <w:szCs w:val="24"/>
              </w:rPr>
              <w:t>东江环保</w:t>
            </w:r>
          </w:p>
        </w:tc>
        <w:tc>
          <w:tcPr>
            <w:tcW w:w="1334" w:type="dxa"/>
            <w:vAlign w:val="center"/>
          </w:tcPr>
          <w:p w:rsidR="00021E04" w:rsidRDefault="002F1522">
            <w:pPr>
              <w:jc w:val="right"/>
            </w:pPr>
            <w:r>
              <w:rPr>
                <w:color w:val="000000"/>
                <w:sz w:val="24"/>
                <w:szCs w:val="24"/>
              </w:rPr>
              <w:t>481,050</w:t>
            </w:r>
          </w:p>
        </w:tc>
        <w:tc>
          <w:tcPr>
            <w:tcW w:w="1924" w:type="dxa"/>
            <w:vAlign w:val="center"/>
          </w:tcPr>
          <w:p w:rsidR="00021E04" w:rsidRDefault="002F1522">
            <w:pPr>
              <w:jc w:val="right"/>
            </w:pPr>
            <w:r>
              <w:rPr>
                <w:color w:val="000000"/>
                <w:sz w:val="24"/>
                <w:szCs w:val="24"/>
              </w:rPr>
              <w:t>8,019,103.50</w:t>
            </w:r>
          </w:p>
        </w:tc>
        <w:tc>
          <w:tcPr>
            <w:tcW w:w="1644" w:type="dxa"/>
            <w:vAlign w:val="center"/>
          </w:tcPr>
          <w:p w:rsidR="00021E04" w:rsidRDefault="002F1522">
            <w:pPr>
              <w:jc w:val="right"/>
            </w:pPr>
            <w:r>
              <w:rPr>
                <w:color w:val="000000"/>
                <w:sz w:val="24"/>
                <w:szCs w:val="24"/>
              </w:rPr>
              <w:t>3.01</w:t>
            </w:r>
          </w:p>
        </w:tc>
      </w:tr>
      <w:tr w:rsidR="00021E04">
        <w:trPr>
          <w:jc w:val="center"/>
        </w:trPr>
        <w:tc>
          <w:tcPr>
            <w:tcW w:w="855" w:type="dxa"/>
            <w:vAlign w:val="center"/>
          </w:tcPr>
          <w:p w:rsidR="00021E04" w:rsidRDefault="002F1522">
            <w:pPr>
              <w:jc w:val="center"/>
            </w:pPr>
            <w:r>
              <w:rPr>
                <w:color w:val="000000"/>
                <w:sz w:val="24"/>
                <w:szCs w:val="24"/>
              </w:rPr>
              <w:t>10</w:t>
            </w:r>
          </w:p>
        </w:tc>
        <w:tc>
          <w:tcPr>
            <w:tcW w:w="1334" w:type="dxa"/>
            <w:vAlign w:val="center"/>
          </w:tcPr>
          <w:p w:rsidR="00021E04" w:rsidRDefault="002F1522">
            <w:pPr>
              <w:jc w:val="center"/>
            </w:pPr>
            <w:r>
              <w:rPr>
                <w:color w:val="000000"/>
                <w:sz w:val="24"/>
                <w:szCs w:val="24"/>
              </w:rPr>
              <w:t>600352</w:t>
            </w:r>
          </w:p>
        </w:tc>
        <w:tc>
          <w:tcPr>
            <w:tcW w:w="1777" w:type="dxa"/>
            <w:vAlign w:val="center"/>
          </w:tcPr>
          <w:p w:rsidR="00021E04" w:rsidRDefault="002F1522">
            <w:pPr>
              <w:jc w:val="center"/>
            </w:pPr>
            <w:r>
              <w:rPr>
                <w:color w:val="000000"/>
                <w:sz w:val="24"/>
                <w:szCs w:val="24"/>
              </w:rPr>
              <w:t>浙江龙盛</w:t>
            </w:r>
          </w:p>
        </w:tc>
        <w:tc>
          <w:tcPr>
            <w:tcW w:w="1334" w:type="dxa"/>
            <w:vAlign w:val="center"/>
          </w:tcPr>
          <w:p w:rsidR="00021E04" w:rsidRDefault="002F1522">
            <w:pPr>
              <w:jc w:val="right"/>
            </w:pPr>
            <w:r>
              <w:rPr>
                <w:color w:val="000000"/>
                <w:sz w:val="24"/>
                <w:szCs w:val="24"/>
              </w:rPr>
              <w:t>715,900</w:t>
            </w:r>
          </w:p>
        </w:tc>
        <w:tc>
          <w:tcPr>
            <w:tcW w:w="1924" w:type="dxa"/>
            <w:vAlign w:val="center"/>
          </w:tcPr>
          <w:p w:rsidR="00021E04" w:rsidRDefault="002F1522">
            <w:pPr>
              <w:jc w:val="right"/>
            </w:pPr>
            <w:r>
              <w:rPr>
                <w:color w:val="000000"/>
                <w:sz w:val="24"/>
                <w:szCs w:val="24"/>
              </w:rPr>
              <w:t>7,595,699.00</w:t>
            </w:r>
          </w:p>
        </w:tc>
        <w:tc>
          <w:tcPr>
            <w:tcW w:w="1644" w:type="dxa"/>
            <w:vAlign w:val="center"/>
          </w:tcPr>
          <w:p w:rsidR="00021E04" w:rsidRDefault="002F1522">
            <w:pPr>
              <w:jc w:val="right"/>
            </w:pPr>
            <w:r>
              <w:rPr>
                <w:color w:val="000000"/>
                <w:sz w:val="24"/>
                <w:szCs w:val="24"/>
              </w:rPr>
              <w:t>2.85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21E04">
        <w:trPr>
          <w:jc w:val="center"/>
        </w:trPr>
        <w:tc>
          <w:tcPr>
            <w:tcW w:w="850" w:type="dxa"/>
            <w:vAlign w:val="center"/>
          </w:tcPr>
          <w:p w:rsidR="00021E04" w:rsidRDefault="002F1522">
            <w:pPr>
              <w:jc w:val="center"/>
            </w:pPr>
            <w:r>
              <w:rPr>
                <w:color w:val="000000"/>
                <w:sz w:val="24"/>
                <w:szCs w:val="24"/>
              </w:rPr>
              <w:t>1</w:t>
            </w:r>
          </w:p>
        </w:tc>
        <w:tc>
          <w:tcPr>
            <w:tcW w:w="1475" w:type="dxa"/>
            <w:vAlign w:val="center"/>
          </w:tcPr>
          <w:p w:rsidR="00021E04" w:rsidRDefault="002F1522">
            <w:pPr>
              <w:jc w:val="center"/>
            </w:pPr>
            <w:r>
              <w:rPr>
                <w:color w:val="000000"/>
                <w:sz w:val="24"/>
                <w:szCs w:val="24"/>
              </w:rPr>
              <w:t>150416</w:t>
            </w:r>
          </w:p>
        </w:tc>
        <w:tc>
          <w:tcPr>
            <w:tcW w:w="1769" w:type="dxa"/>
            <w:vAlign w:val="center"/>
          </w:tcPr>
          <w:p w:rsidR="00021E04" w:rsidRDefault="002F1522">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021E04" w:rsidRDefault="002F1522">
            <w:pPr>
              <w:jc w:val="right"/>
            </w:pPr>
            <w:r>
              <w:rPr>
                <w:color w:val="000000"/>
                <w:sz w:val="24"/>
                <w:szCs w:val="24"/>
              </w:rPr>
              <w:t>100,000</w:t>
            </w:r>
          </w:p>
        </w:tc>
        <w:tc>
          <w:tcPr>
            <w:tcW w:w="2150" w:type="dxa"/>
            <w:vAlign w:val="center"/>
          </w:tcPr>
          <w:p w:rsidR="00021E04" w:rsidRDefault="002F1522">
            <w:pPr>
              <w:jc w:val="right"/>
            </w:pPr>
            <w:r>
              <w:rPr>
                <w:color w:val="000000"/>
                <w:sz w:val="24"/>
                <w:szCs w:val="24"/>
              </w:rPr>
              <w:t>10,010,000.00</w:t>
            </w:r>
          </w:p>
        </w:tc>
        <w:tc>
          <w:tcPr>
            <w:tcW w:w="1237" w:type="dxa"/>
            <w:vAlign w:val="center"/>
          </w:tcPr>
          <w:p w:rsidR="00021E04" w:rsidRDefault="002F1522">
            <w:pPr>
              <w:jc w:val="right"/>
            </w:pPr>
            <w:r>
              <w:rPr>
                <w:color w:val="000000"/>
                <w:sz w:val="24"/>
                <w:szCs w:val="24"/>
              </w:rPr>
              <w:t>3.76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265,936.13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212,880.26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82,504.46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561,320.85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183,678,288.27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12,874,489.78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7,273,888.95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189,278,889.10</w:t>
            </w:r>
          </w:p>
        </w:tc>
      </w:tr>
    </w:tbl>
    <w:p w:rsidR="00021E04" w:rsidRDefault="002F152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10.57</w:t>
            </w:r>
          </w:p>
        </w:tc>
      </w:tr>
    </w:tbl>
    <w:p w:rsidR="00021E04" w:rsidRDefault="002F15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21E04" w:rsidRDefault="002F152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021E04" w:rsidRDefault="002F152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021E04" w:rsidRDefault="002F152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021E04" w:rsidRDefault="002F152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021E04" w:rsidRDefault="002F152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21E04" w:rsidRDefault="002F152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22" w:rsidRDefault="002F1522" w:rsidP="00876D65">
      <w:r>
        <w:separator/>
      </w:r>
    </w:p>
  </w:endnote>
  <w:endnote w:type="continuationSeparator" w:id="0">
    <w:p w:rsidR="002F1522" w:rsidRDefault="002F152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F7CAC">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F7CAC">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22" w:rsidRDefault="002F1522" w:rsidP="00876D65">
      <w:r>
        <w:separator/>
      </w:r>
    </w:p>
  </w:footnote>
  <w:footnote w:type="continuationSeparator" w:id="0">
    <w:p w:rsidR="002F1522" w:rsidRDefault="002F152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1E04"/>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2E5E"/>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1522"/>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26F8"/>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CF7CAC"/>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0610-3FFC-4BF1-B07D-5282A663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565</cp:revision>
  <dcterms:created xsi:type="dcterms:W3CDTF">2012-10-16T06:07:00Z</dcterms:created>
  <dcterms:modified xsi:type="dcterms:W3CDTF">2016-04-18T06:02:00Z</dcterms:modified>
</cp:coreProperties>
</file>