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rFonts w:hint="eastAsia"/>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二〇一六年四月二十日</w:t>
      </w:r>
      <w:bookmarkStart w:id="0" w:name="_GoBack"/>
      <w:bookmarkEnd w:id="0"/>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C00982">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E74C22" w:rsidRDefault="00C0098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59,359,444.01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C00982" w:rsidRPr="008640AE" w:rsidTr="00C00982">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C00982" w:rsidRPr="008640AE" w:rsidTr="00C0098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-3,468,146.63</w:t>
            </w:r>
          </w:p>
        </w:tc>
      </w:tr>
      <w:tr w:rsidR="00C00982" w:rsidRPr="008640AE" w:rsidTr="00C0098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-4,750,384.36</w:t>
            </w:r>
          </w:p>
        </w:tc>
      </w:tr>
      <w:tr w:rsidR="00C00982" w:rsidRPr="008640AE" w:rsidTr="00C0098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-0.0804</w:t>
            </w:r>
          </w:p>
        </w:tc>
      </w:tr>
      <w:tr w:rsidR="00C00982" w:rsidRPr="008640AE" w:rsidTr="00C0098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86,349,344.73</w:t>
            </w:r>
          </w:p>
        </w:tc>
      </w:tr>
      <w:tr w:rsidR="00C00982" w:rsidRPr="008640AE" w:rsidTr="00C00982">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1.455</w:t>
            </w:r>
          </w:p>
        </w:tc>
      </w:tr>
    </w:tbl>
    <w:p w:rsidR="00E74C22" w:rsidRDefault="00C0098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E74C22">
        <w:trPr>
          <w:jc w:val="center"/>
        </w:trPr>
        <w:tc>
          <w:tcPr>
            <w:tcW w:w="1701" w:type="dxa"/>
            <w:vAlign w:val="center"/>
          </w:tcPr>
          <w:p w:rsidR="00E74C22" w:rsidRDefault="00C00982">
            <w:pPr>
              <w:jc w:val="left"/>
            </w:pPr>
            <w:r>
              <w:rPr>
                <w:color w:val="000000"/>
                <w:sz w:val="24"/>
              </w:rPr>
              <w:t>过去三个月</w:t>
            </w:r>
          </w:p>
        </w:tc>
        <w:tc>
          <w:tcPr>
            <w:tcW w:w="1194" w:type="dxa"/>
            <w:vAlign w:val="center"/>
          </w:tcPr>
          <w:p w:rsidR="00E74C22" w:rsidRDefault="00C00982">
            <w:pPr>
              <w:jc w:val="right"/>
            </w:pPr>
            <w:r>
              <w:rPr>
                <w:color w:val="000000"/>
                <w:sz w:val="24"/>
              </w:rPr>
              <w:t>-5.11%</w:t>
            </w:r>
          </w:p>
        </w:tc>
        <w:tc>
          <w:tcPr>
            <w:tcW w:w="1194" w:type="dxa"/>
            <w:vAlign w:val="center"/>
          </w:tcPr>
          <w:p w:rsidR="00E74C22" w:rsidRDefault="00C00982">
            <w:pPr>
              <w:jc w:val="right"/>
            </w:pPr>
            <w:r>
              <w:rPr>
                <w:color w:val="000000"/>
                <w:sz w:val="24"/>
              </w:rPr>
              <w:t>1.06%</w:t>
            </w:r>
          </w:p>
        </w:tc>
        <w:tc>
          <w:tcPr>
            <w:tcW w:w="1194" w:type="dxa"/>
            <w:vAlign w:val="center"/>
          </w:tcPr>
          <w:p w:rsidR="00E74C22" w:rsidRDefault="00C00982">
            <w:pPr>
              <w:jc w:val="right"/>
            </w:pPr>
            <w:r>
              <w:rPr>
                <w:color w:val="000000"/>
                <w:sz w:val="24"/>
              </w:rPr>
              <w:t>-1.73%</w:t>
            </w:r>
          </w:p>
        </w:tc>
        <w:tc>
          <w:tcPr>
            <w:tcW w:w="1343" w:type="dxa"/>
            <w:vAlign w:val="center"/>
          </w:tcPr>
          <w:p w:rsidR="00E74C22" w:rsidRDefault="00C00982">
            <w:pPr>
              <w:jc w:val="right"/>
            </w:pPr>
            <w:r>
              <w:rPr>
                <w:color w:val="000000"/>
                <w:sz w:val="24"/>
              </w:rPr>
              <w:t>1.07%</w:t>
            </w:r>
          </w:p>
        </w:tc>
        <w:tc>
          <w:tcPr>
            <w:tcW w:w="1194" w:type="dxa"/>
            <w:vAlign w:val="center"/>
          </w:tcPr>
          <w:p w:rsidR="00E74C22" w:rsidRDefault="00C00982">
            <w:pPr>
              <w:jc w:val="right"/>
            </w:pPr>
            <w:r>
              <w:rPr>
                <w:color w:val="000000"/>
                <w:sz w:val="24"/>
              </w:rPr>
              <w:t>-3.38%</w:t>
            </w:r>
          </w:p>
        </w:tc>
        <w:tc>
          <w:tcPr>
            <w:tcW w:w="1048" w:type="dxa"/>
            <w:vAlign w:val="center"/>
          </w:tcPr>
          <w:p w:rsidR="00E74C22" w:rsidRDefault="00C00982">
            <w:pPr>
              <w:jc w:val="right"/>
            </w:pPr>
            <w:r>
              <w:rPr>
                <w:color w:val="000000"/>
                <w:sz w:val="24"/>
              </w:rPr>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E74C22">
        <w:trPr>
          <w:jc w:val="center"/>
        </w:trPr>
        <w:tc>
          <w:tcPr>
            <w:tcW w:w="846" w:type="dxa"/>
            <w:vAlign w:val="center"/>
          </w:tcPr>
          <w:p w:rsidR="00E74C22" w:rsidRDefault="00C00982">
            <w:pPr>
              <w:jc w:val="center"/>
            </w:pPr>
            <w:r>
              <w:rPr>
                <w:color w:val="000000"/>
                <w:sz w:val="24"/>
              </w:rPr>
              <w:t>蔡铮</w:t>
            </w:r>
          </w:p>
        </w:tc>
        <w:tc>
          <w:tcPr>
            <w:tcW w:w="845" w:type="dxa"/>
            <w:vAlign w:val="center"/>
          </w:tcPr>
          <w:p w:rsidR="00E74C22" w:rsidRDefault="00C00982">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指数分级的基金经理，公司量化投资部助理总经理</w:t>
            </w:r>
          </w:p>
        </w:tc>
        <w:tc>
          <w:tcPr>
            <w:tcW w:w="1549" w:type="dxa"/>
            <w:vAlign w:val="center"/>
          </w:tcPr>
          <w:p w:rsidR="00E74C22" w:rsidRDefault="00C00982">
            <w:pPr>
              <w:jc w:val="center"/>
            </w:pPr>
            <w:r>
              <w:rPr>
                <w:color w:val="000000"/>
                <w:sz w:val="24"/>
              </w:rPr>
              <w:lastRenderedPageBreak/>
              <w:t>2015-04-22</w:t>
            </w:r>
          </w:p>
        </w:tc>
        <w:tc>
          <w:tcPr>
            <w:tcW w:w="1548" w:type="dxa"/>
            <w:vAlign w:val="center"/>
          </w:tcPr>
          <w:p w:rsidR="00E74C22" w:rsidRDefault="00C00982">
            <w:pPr>
              <w:jc w:val="center"/>
            </w:pPr>
            <w:r>
              <w:rPr>
                <w:color w:val="000000"/>
                <w:sz w:val="24"/>
              </w:rPr>
              <w:t>-</w:t>
            </w:r>
          </w:p>
        </w:tc>
        <w:tc>
          <w:tcPr>
            <w:tcW w:w="1407" w:type="dxa"/>
            <w:vAlign w:val="center"/>
          </w:tcPr>
          <w:p w:rsidR="00E74C22" w:rsidRDefault="00C00982">
            <w:pPr>
              <w:jc w:val="center"/>
            </w:pPr>
            <w:r>
              <w:rPr>
                <w:color w:val="000000"/>
                <w:sz w:val="24"/>
              </w:rPr>
              <w:t>7</w:t>
            </w:r>
            <w:r>
              <w:rPr>
                <w:color w:val="000000"/>
                <w:sz w:val="24"/>
              </w:rPr>
              <w:t>年</w:t>
            </w:r>
          </w:p>
        </w:tc>
        <w:tc>
          <w:tcPr>
            <w:tcW w:w="2673" w:type="dxa"/>
            <w:vAlign w:val="center"/>
          </w:tcPr>
          <w:p w:rsidR="00E74C22" w:rsidRDefault="00C00982">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r w:rsidR="00E74C22">
        <w:trPr>
          <w:jc w:val="center"/>
        </w:trPr>
        <w:tc>
          <w:tcPr>
            <w:tcW w:w="846" w:type="dxa"/>
            <w:vAlign w:val="center"/>
          </w:tcPr>
          <w:p w:rsidR="00E74C22" w:rsidRDefault="00C00982">
            <w:pPr>
              <w:jc w:val="center"/>
            </w:pPr>
            <w:r>
              <w:rPr>
                <w:color w:val="000000"/>
                <w:sz w:val="24"/>
              </w:rPr>
              <w:lastRenderedPageBreak/>
              <w:t>陈俊华</w:t>
            </w:r>
          </w:p>
        </w:tc>
        <w:tc>
          <w:tcPr>
            <w:tcW w:w="845" w:type="dxa"/>
            <w:vAlign w:val="center"/>
          </w:tcPr>
          <w:p w:rsidR="00E74C22" w:rsidRDefault="00C00982">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E74C22" w:rsidRDefault="00C00982">
            <w:pPr>
              <w:jc w:val="center"/>
            </w:pPr>
            <w:r>
              <w:rPr>
                <w:color w:val="000000"/>
                <w:sz w:val="24"/>
              </w:rPr>
              <w:t>2015-11-21</w:t>
            </w:r>
          </w:p>
        </w:tc>
        <w:tc>
          <w:tcPr>
            <w:tcW w:w="1548" w:type="dxa"/>
            <w:vAlign w:val="center"/>
          </w:tcPr>
          <w:p w:rsidR="00E74C22" w:rsidRDefault="00C00982">
            <w:pPr>
              <w:jc w:val="center"/>
            </w:pPr>
            <w:r>
              <w:rPr>
                <w:color w:val="000000"/>
                <w:sz w:val="24"/>
              </w:rPr>
              <w:t>-</w:t>
            </w:r>
          </w:p>
        </w:tc>
        <w:tc>
          <w:tcPr>
            <w:tcW w:w="1407" w:type="dxa"/>
            <w:vAlign w:val="center"/>
          </w:tcPr>
          <w:p w:rsidR="00E74C22" w:rsidRDefault="00C00982">
            <w:pPr>
              <w:jc w:val="center"/>
            </w:pPr>
            <w:r>
              <w:rPr>
                <w:color w:val="000000"/>
                <w:sz w:val="24"/>
              </w:rPr>
              <w:t>11</w:t>
            </w:r>
            <w:r>
              <w:rPr>
                <w:color w:val="000000"/>
                <w:sz w:val="24"/>
              </w:rPr>
              <w:t>年</w:t>
            </w:r>
          </w:p>
        </w:tc>
        <w:tc>
          <w:tcPr>
            <w:tcW w:w="2673" w:type="dxa"/>
            <w:vAlign w:val="center"/>
          </w:tcPr>
          <w:p w:rsidR="00E74C22" w:rsidRDefault="00C00982">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E74C22">
        <w:trPr>
          <w:jc w:val="center"/>
        </w:trPr>
        <w:tc>
          <w:tcPr>
            <w:tcW w:w="846" w:type="dxa"/>
            <w:vAlign w:val="center"/>
          </w:tcPr>
          <w:p w:rsidR="00E74C22" w:rsidRDefault="00C00982">
            <w:pPr>
              <w:jc w:val="center"/>
            </w:pPr>
            <w:r>
              <w:rPr>
                <w:color w:val="000000"/>
                <w:sz w:val="24"/>
              </w:rPr>
              <w:t>周中</w:t>
            </w:r>
          </w:p>
        </w:tc>
        <w:tc>
          <w:tcPr>
            <w:tcW w:w="845" w:type="dxa"/>
            <w:vAlign w:val="center"/>
          </w:tcPr>
          <w:p w:rsidR="00E74C22" w:rsidRDefault="00C00982">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E74C22" w:rsidRDefault="00C00982">
            <w:pPr>
              <w:jc w:val="center"/>
            </w:pPr>
            <w:r>
              <w:rPr>
                <w:color w:val="000000"/>
                <w:sz w:val="24"/>
              </w:rPr>
              <w:t>2015-12-12</w:t>
            </w:r>
          </w:p>
        </w:tc>
        <w:tc>
          <w:tcPr>
            <w:tcW w:w="1548" w:type="dxa"/>
            <w:vAlign w:val="center"/>
          </w:tcPr>
          <w:p w:rsidR="00E74C22" w:rsidRDefault="00C00982">
            <w:pPr>
              <w:jc w:val="center"/>
            </w:pPr>
            <w:r>
              <w:rPr>
                <w:color w:val="000000"/>
                <w:sz w:val="24"/>
              </w:rPr>
              <w:t>-</w:t>
            </w:r>
          </w:p>
        </w:tc>
        <w:tc>
          <w:tcPr>
            <w:tcW w:w="1407" w:type="dxa"/>
            <w:vAlign w:val="center"/>
          </w:tcPr>
          <w:p w:rsidR="00E74C22" w:rsidRDefault="00C00982">
            <w:pPr>
              <w:jc w:val="center"/>
            </w:pPr>
            <w:r>
              <w:rPr>
                <w:color w:val="000000"/>
                <w:sz w:val="24"/>
              </w:rPr>
              <w:t>7</w:t>
            </w:r>
            <w:r>
              <w:rPr>
                <w:color w:val="000000"/>
                <w:sz w:val="24"/>
              </w:rPr>
              <w:t>年</w:t>
            </w:r>
          </w:p>
        </w:tc>
        <w:tc>
          <w:tcPr>
            <w:tcW w:w="2673" w:type="dxa"/>
            <w:vAlign w:val="center"/>
          </w:tcPr>
          <w:p w:rsidR="00E74C22" w:rsidRDefault="00C00982">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E74C22">
        <w:trPr>
          <w:jc w:val="center"/>
        </w:trPr>
        <w:tc>
          <w:tcPr>
            <w:tcW w:w="2070" w:type="dxa"/>
            <w:vAlign w:val="center"/>
          </w:tcPr>
          <w:p w:rsidR="00E74C22" w:rsidRDefault="00C00982">
            <w:pPr>
              <w:jc w:val="center"/>
            </w:pPr>
            <w:r>
              <w:rPr>
                <w:color w:val="000000"/>
                <w:sz w:val="24"/>
              </w:rPr>
              <w:t>Simon Webber</w:t>
            </w:r>
          </w:p>
        </w:tc>
        <w:tc>
          <w:tcPr>
            <w:tcW w:w="2465" w:type="dxa"/>
            <w:vAlign w:val="center"/>
          </w:tcPr>
          <w:p w:rsidR="00E74C22" w:rsidRDefault="00C00982">
            <w:pPr>
              <w:jc w:val="center"/>
            </w:pPr>
            <w:r>
              <w:rPr>
                <w:color w:val="000000"/>
                <w:sz w:val="24"/>
              </w:rPr>
              <w:t>施罗德集团多区域（全球及国际）股票投资主管、全球和国际股票基金经理、全球气候变化股票基金经理</w:t>
            </w:r>
          </w:p>
        </w:tc>
        <w:tc>
          <w:tcPr>
            <w:tcW w:w="2116" w:type="dxa"/>
            <w:vAlign w:val="center"/>
          </w:tcPr>
          <w:p w:rsidR="00E74C22" w:rsidRDefault="00C00982">
            <w:pPr>
              <w:jc w:val="center"/>
            </w:pPr>
            <w:r>
              <w:rPr>
                <w:color w:val="000000"/>
                <w:sz w:val="24"/>
              </w:rPr>
              <w:t>17</w:t>
            </w:r>
            <w:r>
              <w:rPr>
                <w:color w:val="000000"/>
                <w:sz w:val="24"/>
              </w:rPr>
              <w:t>年</w:t>
            </w:r>
          </w:p>
        </w:tc>
        <w:tc>
          <w:tcPr>
            <w:tcW w:w="2217" w:type="dxa"/>
            <w:vAlign w:val="center"/>
          </w:tcPr>
          <w:p w:rsidR="00E74C22" w:rsidRDefault="00C0098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E74C22" w:rsidRDefault="00C009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4C22" w:rsidRDefault="00C009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E74C22" w:rsidRDefault="00C009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w:t>
      </w:r>
      <w:r w:rsidRPr="008640AE">
        <w:rPr>
          <w:color w:val="000000"/>
          <w:sz w:val="24"/>
        </w:rPr>
        <w:lastRenderedPageBreak/>
        <w:t>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E74C22" w:rsidRDefault="00C00982">
      <w:pPr>
        <w:spacing w:before="29" w:line="288" w:lineRule="auto"/>
        <w:ind w:firstLineChars="200" w:firstLine="480"/>
        <w:rPr>
          <w:color w:val="000000"/>
          <w:sz w:val="24"/>
        </w:rPr>
      </w:pPr>
      <w:r>
        <w:rPr>
          <w:color w:val="000000"/>
          <w:sz w:val="24"/>
        </w:rPr>
        <w:t>2016</w:t>
      </w:r>
      <w:r>
        <w:rPr>
          <w:color w:val="000000"/>
          <w:sz w:val="24"/>
        </w:rPr>
        <w:t>年一季度，对宏观环境的不确定性，尤其对中、美两大经济体的经济前景的分歧，成为引起全球股市波动的焦点因素。全球金融市场都经历了快速下挫、反弹的走势，主要金融市场中，仅美国股指回到了</w:t>
      </w:r>
      <w:r>
        <w:rPr>
          <w:color w:val="000000"/>
          <w:sz w:val="24"/>
        </w:rPr>
        <w:t>2016</w:t>
      </w:r>
      <w:r>
        <w:rPr>
          <w:color w:val="000000"/>
          <w:sz w:val="24"/>
        </w:rPr>
        <w:t>年</w:t>
      </w:r>
      <w:r>
        <w:rPr>
          <w:color w:val="000000"/>
          <w:sz w:val="24"/>
        </w:rPr>
        <w:t>年初的水平，欧洲股市普遍下挫，英国跌幅超</w:t>
      </w:r>
      <w:r>
        <w:rPr>
          <w:color w:val="000000"/>
          <w:sz w:val="24"/>
        </w:rPr>
        <w:t>1%</w:t>
      </w:r>
      <w:r>
        <w:rPr>
          <w:color w:val="000000"/>
          <w:sz w:val="24"/>
        </w:rPr>
        <w:t>，德、法跌幅都超过</w:t>
      </w:r>
      <w:r>
        <w:rPr>
          <w:color w:val="000000"/>
          <w:sz w:val="24"/>
        </w:rPr>
        <w:t>5%</w:t>
      </w:r>
      <w:r>
        <w:rPr>
          <w:color w:val="000000"/>
          <w:sz w:val="24"/>
        </w:rPr>
        <w:t>，</w:t>
      </w:r>
      <w:r>
        <w:rPr>
          <w:color w:val="000000"/>
          <w:sz w:val="24"/>
        </w:rPr>
        <w:t>A</w:t>
      </w:r>
      <w:r>
        <w:rPr>
          <w:color w:val="000000"/>
          <w:sz w:val="24"/>
        </w:rPr>
        <w:t>股累计跌幅超过</w:t>
      </w:r>
      <w:r>
        <w:rPr>
          <w:color w:val="000000"/>
          <w:sz w:val="24"/>
        </w:rPr>
        <w:t>10%</w:t>
      </w:r>
      <w:r>
        <w:rPr>
          <w:color w:val="000000"/>
          <w:sz w:val="24"/>
        </w:rPr>
        <w:t>，香港恒指跌幅超过</w:t>
      </w:r>
      <w:r>
        <w:rPr>
          <w:color w:val="000000"/>
          <w:sz w:val="24"/>
        </w:rPr>
        <w:t>7%</w:t>
      </w:r>
      <w:r>
        <w:rPr>
          <w:color w:val="000000"/>
          <w:sz w:val="24"/>
        </w:rPr>
        <w:t>。市场的震荡源自投资者对于经济复苏的预期仍有摇摆。美国方面，市场对于美联储加息一致预期从</w:t>
      </w:r>
      <w:r>
        <w:rPr>
          <w:color w:val="000000"/>
          <w:sz w:val="24"/>
        </w:rPr>
        <w:t>4</w:t>
      </w:r>
      <w:r>
        <w:rPr>
          <w:color w:val="000000"/>
          <w:sz w:val="24"/>
        </w:rPr>
        <w:t>次调降至</w:t>
      </w:r>
      <w:r>
        <w:rPr>
          <w:color w:val="000000"/>
          <w:sz w:val="24"/>
        </w:rPr>
        <w:t>2-3</w:t>
      </w:r>
      <w:r>
        <w:rPr>
          <w:color w:val="000000"/>
          <w:sz w:val="24"/>
        </w:rPr>
        <w:t>次，加息步伐仍是市场关注的重点，每次的经济数据都会引发市场波动。中国方面，在</w:t>
      </w:r>
      <w:r>
        <w:rPr>
          <w:color w:val="000000"/>
          <w:sz w:val="24"/>
        </w:rPr>
        <w:t>“</w:t>
      </w:r>
      <w:r>
        <w:rPr>
          <w:color w:val="000000"/>
          <w:sz w:val="24"/>
        </w:rPr>
        <w:t>供给侧改革</w:t>
      </w:r>
      <w:r>
        <w:rPr>
          <w:color w:val="000000"/>
          <w:sz w:val="24"/>
        </w:rPr>
        <w:t>”</w:t>
      </w:r>
      <w:r>
        <w:rPr>
          <w:color w:val="000000"/>
          <w:sz w:val="24"/>
        </w:rPr>
        <w:t>、</w:t>
      </w:r>
      <w:r>
        <w:rPr>
          <w:color w:val="000000"/>
          <w:sz w:val="24"/>
        </w:rPr>
        <w:t>“</w:t>
      </w:r>
      <w:r>
        <w:rPr>
          <w:color w:val="000000"/>
          <w:sz w:val="24"/>
        </w:rPr>
        <w:t>稳增长</w:t>
      </w:r>
      <w:r>
        <w:rPr>
          <w:color w:val="000000"/>
          <w:sz w:val="24"/>
        </w:rPr>
        <w:t>”</w:t>
      </w:r>
      <w:r>
        <w:rPr>
          <w:color w:val="000000"/>
          <w:sz w:val="24"/>
        </w:rPr>
        <w:t>等新主题的带动下，市场对于经济增长有了新的预期，然而，持续性存在巨大分歧。受上述预期的影响，大宗商品触底反弹，但可持续性待观察。股市出现震荡，板块间轮动加速，整体而言，市场都表现得更加谨慎。</w:t>
      </w:r>
    </w:p>
    <w:p w:rsidR="00E74C22" w:rsidRDefault="00C00982">
      <w:pPr>
        <w:spacing w:before="29" w:line="288" w:lineRule="auto"/>
        <w:ind w:firstLineChars="200" w:firstLine="480"/>
        <w:rPr>
          <w:color w:val="000000"/>
          <w:sz w:val="24"/>
        </w:rPr>
      </w:pPr>
      <w:r>
        <w:rPr>
          <w:color w:val="000000"/>
          <w:sz w:val="24"/>
        </w:rPr>
        <w:t>在</w:t>
      </w:r>
      <w:r>
        <w:rPr>
          <w:color w:val="000000"/>
          <w:sz w:val="24"/>
        </w:rPr>
        <w:t>上述环境中，本基金强调稳健操作，寻求基本面稳定、估值偏低的行业。个股方面，注重向子行业龙头进行集中，仓位整体保持中性。我们更加深入、广泛地进行调研，力图从中、长期的视角评判企业的发展前景，更加注重行业内的格局变化对于企业的影响，努力寻求优势企业作为我们的潜在标的。</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展望未来，我们认为宏观不确定性仍将带动市场呈震荡态势，经济回升的预期需要更多的、持续的数据给予支撑。注重风控和甄选优势企业仍是投资的重点。我们将深化自下而上的选股策略，关注旅游消费、</w:t>
      </w:r>
      <w:r w:rsidRPr="008640AE">
        <w:rPr>
          <w:color w:val="000000"/>
          <w:sz w:val="24"/>
        </w:rPr>
        <w:t>TMT</w:t>
      </w:r>
      <w:r w:rsidRPr="008640AE">
        <w:rPr>
          <w:color w:val="000000"/>
          <w:sz w:val="24"/>
        </w:rPr>
        <w:t>和高端加工制造等领域，挖掘潜在标的，我们亦将密切关注市场的风险偏好，及时调整组合，努力为基金份额持有人创造较好的业绩回报。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1.455</w:t>
      </w:r>
      <w:r w:rsidRPr="008640AE">
        <w:rPr>
          <w:color w:val="000000"/>
          <w:sz w:val="24"/>
        </w:rPr>
        <w:t>元，本报告期份额净值增长率为</w:t>
      </w:r>
      <w:r w:rsidRPr="008640AE">
        <w:rPr>
          <w:color w:val="000000"/>
          <w:sz w:val="24"/>
        </w:rPr>
        <w:t>-5.11%</w:t>
      </w:r>
      <w:r w:rsidRPr="008640AE">
        <w:rPr>
          <w:color w:val="000000"/>
          <w:sz w:val="24"/>
        </w:rPr>
        <w:t>，同期业绩比较基准增长率为</w:t>
      </w:r>
      <w:r w:rsidRPr="008640AE">
        <w:rPr>
          <w:color w:val="000000"/>
          <w:sz w:val="24"/>
        </w:rPr>
        <w:t>-1.73%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lastRenderedPageBreak/>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lastRenderedPageBreak/>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75,675,353.71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87.29</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74,975,311.51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86.49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700,042.20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0.81</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8,520,428.45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9.83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2,494,902.18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2.88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86,690,684.34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74C22">
        <w:trPr>
          <w:jc w:val="center"/>
        </w:trPr>
        <w:tc>
          <w:tcPr>
            <w:tcW w:w="2484" w:type="dxa"/>
            <w:vAlign w:val="center"/>
          </w:tcPr>
          <w:p w:rsidR="00E74C22" w:rsidRDefault="00C00982">
            <w:pPr>
              <w:jc w:val="left"/>
            </w:pPr>
            <w:r>
              <w:rPr>
                <w:color w:val="000000"/>
                <w:sz w:val="24"/>
              </w:rPr>
              <w:t>美国</w:t>
            </w:r>
          </w:p>
        </w:tc>
        <w:tc>
          <w:tcPr>
            <w:tcW w:w="3214" w:type="dxa"/>
            <w:vAlign w:val="center"/>
          </w:tcPr>
          <w:p w:rsidR="00E74C22" w:rsidRDefault="00C00982">
            <w:pPr>
              <w:jc w:val="right"/>
            </w:pPr>
            <w:r>
              <w:rPr>
                <w:color w:val="000000"/>
                <w:sz w:val="24"/>
              </w:rPr>
              <w:t>35,177,091.68</w:t>
            </w:r>
          </w:p>
        </w:tc>
        <w:tc>
          <w:tcPr>
            <w:tcW w:w="3170" w:type="dxa"/>
            <w:vAlign w:val="center"/>
          </w:tcPr>
          <w:p w:rsidR="00E74C22" w:rsidRDefault="00C00982">
            <w:pPr>
              <w:jc w:val="right"/>
            </w:pPr>
            <w:r>
              <w:rPr>
                <w:color w:val="000000"/>
                <w:sz w:val="24"/>
              </w:rPr>
              <w:t>40.74</w:t>
            </w:r>
          </w:p>
        </w:tc>
      </w:tr>
      <w:tr w:rsidR="00E74C22">
        <w:trPr>
          <w:jc w:val="center"/>
        </w:trPr>
        <w:tc>
          <w:tcPr>
            <w:tcW w:w="2484" w:type="dxa"/>
            <w:vAlign w:val="center"/>
          </w:tcPr>
          <w:p w:rsidR="00E74C22" w:rsidRDefault="00C00982">
            <w:pPr>
              <w:jc w:val="left"/>
            </w:pPr>
            <w:r>
              <w:rPr>
                <w:color w:val="000000"/>
                <w:sz w:val="24"/>
              </w:rPr>
              <w:t>香港</w:t>
            </w:r>
          </w:p>
        </w:tc>
        <w:tc>
          <w:tcPr>
            <w:tcW w:w="3214" w:type="dxa"/>
            <w:vAlign w:val="center"/>
          </w:tcPr>
          <w:p w:rsidR="00E74C22" w:rsidRDefault="00C00982">
            <w:pPr>
              <w:jc w:val="right"/>
            </w:pPr>
            <w:r>
              <w:rPr>
                <w:color w:val="000000"/>
                <w:sz w:val="24"/>
              </w:rPr>
              <w:t>17,465,696.06</w:t>
            </w:r>
          </w:p>
        </w:tc>
        <w:tc>
          <w:tcPr>
            <w:tcW w:w="3170" w:type="dxa"/>
            <w:vAlign w:val="center"/>
          </w:tcPr>
          <w:p w:rsidR="00E74C22" w:rsidRDefault="00C00982">
            <w:pPr>
              <w:jc w:val="right"/>
            </w:pPr>
            <w:r>
              <w:rPr>
                <w:color w:val="000000"/>
                <w:sz w:val="24"/>
              </w:rPr>
              <w:t>20.23</w:t>
            </w:r>
          </w:p>
        </w:tc>
      </w:tr>
      <w:tr w:rsidR="00E74C22">
        <w:trPr>
          <w:jc w:val="center"/>
        </w:trPr>
        <w:tc>
          <w:tcPr>
            <w:tcW w:w="2484" w:type="dxa"/>
            <w:vAlign w:val="center"/>
          </w:tcPr>
          <w:p w:rsidR="00E74C22" w:rsidRDefault="00C00982">
            <w:pPr>
              <w:jc w:val="left"/>
            </w:pPr>
            <w:r>
              <w:rPr>
                <w:color w:val="000000"/>
                <w:sz w:val="24"/>
              </w:rPr>
              <w:t>英国</w:t>
            </w:r>
          </w:p>
        </w:tc>
        <w:tc>
          <w:tcPr>
            <w:tcW w:w="3214" w:type="dxa"/>
            <w:vAlign w:val="center"/>
          </w:tcPr>
          <w:p w:rsidR="00E74C22" w:rsidRDefault="00C00982">
            <w:pPr>
              <w:jc w:val="right"/>
            </w:pPr>
            <w:r>
              <w:rPr>
                <w:color w:val="000000"/>
                <w:sz w:val="24"/>
              </w:rPr>
              <w:t>8,840,567.11</w:t>
            </w:r>
          </w:p>
        </w:tc>
        <w:tc>
          <w:tcPr>
            <w:tcW w:w="3170" w:type="dxa"/>
            <w:vAlign w:val="center"/>
          </w:tcPr>
          <w:p w:rsidR="00E74C22" w:rsidRDefault="00C00982">
            <w:pPr>
              <w:jc w:val="right"/>
            </w:pPr>
            <w:r>
              <w:rPr>
                <w:color w:val="000000"/>
                <w:sz w:val="24"/>
              </w:rPr>
              <w:t>10.24</w:t>
            </w:r>
          </w:p>
        </w:tc>
      </w:tr>
      <w:tr w:rsidR="00E74C22">
        <w:trPr>
          <w:jc w:val="center"/>
        </w:trPr>
        <w:tc>
          <w:tcPr>
            <w:tcW w:w="2484" w:type="dxa"/>
            <w:vAlign w:val="center"/>
          </w:tcPr>
          <w:p w:rsidR="00E74C22" w:rsidRDefault="00C00982">
            <w:pPr>
              <w:jc w:val="left"/>
            </w:pPr>
            <w:r>
              <w:rPr>
                <w:color w:val="000000"/>
                <w:sz w:val="24"/>
              </w:rPr>
              <w:t>日本</w:t>
            </w:r>
          </w:p>
        </w:tc>
        <w:tc>
          <w:tcPr>
            <w:tcW w:w="3214" w:type="dxa"/>
            <w:vAlign w:val="center"/>
          </w:tcPr>
          <w:p w:rsidR="00E74C22" w:rsidRDefault="00C00982">
            <w:pPr>
              <w:jc w:val="right"/>
            </w:pPr>
            <w:r>
              <w:rPr>
                <w:color w:val="000000"/>
                <w:sz w:val="24"/>
              </w:rPr>
              <w:t>5,076,111.14</w:t>
            </w:r>
          </w:p>
        </w:tc>
        <w:tc>
          <w:tcPr>
            <w:tcW w:w="3170" w:type="dxa"/>
            <w:vAlign w:val="center"/>
          </w:tcPr>
          <w:p w:rsidR="00E74C22" w:rsidRDefault="00C00982">
            <w:pPr>
              <w:jc w:val="right"/>
            </w:pPr>
            <w:r>
              <w:rPr>
                <w:color w:val="000000"/>
                <w:sz w:val="24"/>
              </w:rPr>
              <w:t>5.88</w:t>
            </w:r>
          </w:p>
        </w:tc>
      </w:tr>
      <w:tr w:rsidR="00E74C22">
        <w:trPr>
          <w:jc w:val="center"/>
        </w:trPr>
        <w:tc>
          <w:tcPr>
            <w:tcW w:w="2484" w:type="dxa"/>
            <w:vAlign w:val="center"/>
          </w:tcPr>
          <w:p w:rsidR="00E74C22" w:rsidRDefault="00C00982">
            <w:pPr>
              <w:jc w:val="left"/>
            </w:pPr>
            <w:r>
              <w:rPr>
                <w:color w:val="000000"/>
                <w:sz w:val="24"/>
              </w:rPr>
              <w:t>德国</w:t>
            </w:r>
          </w:p>
        </w:tc>
        <w:tc>
          <w:tcPr>
            <w:tcW w:w="3214" w:type="dxa"/>
            <w:vAlign w:val="center"/>
          </w:tcPr>
          <w:p w:rsidR="00E74C22" w:rsidRDefault="00C00982">
            <w:pPr>
              <w:jc w:val="right"/>
            </w:pPr>
            <w:r>
              <w:rPr>
                <w:color w:val="000000"/>
                <w:sz w:val="24"/>
              </w:rPr>
              <w:t>2,809,913.57</w:t>
            </w:r>
          </w:p>
        </w:tc>
        <w:tc>
          <w:tcPr>
            <w:tcW w:w="3170" w:type="dxa"/>
            <w:vAlign w:val="center"/>
          </w:tcPr>
          <w:p w:rsidR="00E74C22" w:rsidRDefault="00C00982">
            <w:pPr>
              <w:jc w:val="right"/>
            </w:pPr>
            <w:r>
              <w:rPr>
                <w:color w:val="000000"/>
                <w:sz w:val="24"/>
              </w:rPr>
              <w:t>3.25</w:t>
            </w:r>
          </w:p>
        </w:tc>
      </w:tr>
      <w:tr w:rsidR="00E74C22">
        <w:trPr>
          <w:jc w:val="center"/>
        </w:trPr>
        <w:tc>
          <w:tcPr>
            <w:tcW w:w="2484" w:type="dxa"/>
            <w:vAlign w:val="center"/>
          </w:tcPr>
          <w:p w:rsidR="00E74C22" w:rsidRDefault="00C00982">
            <w:pPr>
              <w:jc w:val="left"/>
            </w:pPr>
            <w:r>
              <w:rPr>
                <w:color w:val="000000"/>
                <w:sz w:val="24"/>
              </w:rPr>
              <w:t>瑞士</w:t>
            </w:r>
          </w:p>
        </w:tc>
        <w:tc>
          <w:tcPr>
            <w:tcW w:w="3214" w:type="dxa"/>
            <w:vAlign w:val="center"/>
          </w:tcPr>
          <w:p w:rsidR="00E74C22" w:rsidRDefault="00C00982">
            <w:pPr>
              <w:jc w:val="right"/>
            </w:pPr>
            <w:r>
              <w:rPr>
                <w:color w:val="000000"/>
                <w:sz w:val="24"/>
              </w:rPr>
              <w:t>1,328,463.09</w:t>
            </w:r>
          </w:p>
        </w:tc>
        <w:tc>
          <w:tcPr>
            <w:tcW w:w="3170" w:type="dxa"/>
            <w:vAlign w:val="center"/>
          </w:tcPr>
          <w:p w:rsidR="00E74C22" w:rsidRDefault="00C00982">
            <w:pPr>
              <w:jc w:val="right"/>
            </w:pPr>
            <w:r>
              <w:rPr>
                <w:color w:val="000000"/>
                <w:sz w:val="24"/>
              </w:rPr>
              <w:t>1.54</w:t>
            </w:r>
          </w:p>
        </w:tc>
      </w:tr>
      <w:tr w:rsidR="00E74C22">
        <w:trPr>
          <w:jc w:val="center"/>
        </w:trPr>
        <w:tc>
          <w:tcPr>
            <w:tcW w:w="2484" w:type="dxa"/>
            <w:vAlign w:val="center"/>
          </w:tcPr>
          <w:p w:rsidR="00E74C22" w:rsidRDefault="00C00982">
            <w:pPr>
              <w:jc w:val="left"/>
            </w:pPr>
            <w:r>
              <w:rPr>
                <w:color w:val="000000"/>
                <w:sz w:val="24"/>
              </w:rPr>
              <w:t>法国</w:t>
            </w:r>
          </w:p>
        </w:tc>
        <w:tc>
          <w:tcPr>
            <w:tcW w:w="3214" w:type="dxa"/>
            <w:vAlign w:val="center"/>
          </w:tcPr>
          <w:p w:rsidR="00E74C22" w:rsidRDefault="00C00982">
            <w:pPr>
              <w:jc w:val="right"/>
            </w:pPr>
            <w:r>
              <w:rPr>
                <w:color w:val="000000"/>
                <w:sz w:val="24"/>
              </w:rPr>
              <w:t>1,190,618.30</w:t>
            </w:r>
          </w:p>
        </w:tc>
        <w:tc>
          <w:tcPr>
            <w:tcW w:w="3170" w:type="dxa"/>
            <w:vAlign w:val="center"/>
          </w:tcPr>
          <w:p w:rsidR="00E74C22" w:rsidRDefault="00C00982">
            <w:pPr>
              <w:jc w:val="right"/>
            </w:pPr>
            <w:r>
              <w:rPr>
                <w:color w:val="000000"/>
                <w:sz w:val="24"/>
              </w:rPr>
              <w:t>1.38</w:t>
            </w:r>
          </w:p>
        </w:tc>
      </w:tr>
      <w:tr w:rsidR="00E74C22">
        <w:trPr>
          <w:jc w:val="center"/>
        </w:trPr>
        <w:tc>
          <w:tcPr>
            <w:tcW w:w="2484" w:type="dxa"/>
            <w:vAlign w:val="center"/>
          </w:tcPr>
          <w:p w:rsidR="00E74C22" w:rsidRDefault="00C00982">
            <w:pPr>
              <w:jc w:val="left"/>
            </w:pPr>
            <w:r>
              <w:rPr>
                <w:color w:val="000000"/>
                <w:sz w:val="24"/>
              </w:rPr>
              <w:lastRenderedPageBreak/>
              <w:t>挪威</w:t>
            </w:r>
          </w:p>
        </w:tc>
        <w:tc>
          <w:tcPr>
            <w:tcW w:w="3214" w:type="dxa"/>
            <w:vAlign w:val="center"/>
          </w:tcPr>
          <w:p w:rsidR="00E74C22" w:rsidRDefault="00C00982">
            <w:pPr>
              <w:jc w:val="right"/>
            </w:pPr>
            <w:r>
              <w:rPr>
                <w:color w:val="000000"/>
                <w:sz w:val="24"/>
              </w:rPr>
              <w:t>907,476.58</w:t>
            </w:r>
          </w:p>
        </w:tc>
        <w:tc>
          <w:tcPr>
            <w:tcW w:w="3170" w:type="dxa"/>
            <w:vAlign w:val="center"/>
          </w:tcPr>
          <w:p w:rsidR="00E74C22" w:rsidRDefault="00C00982">
            <w:pPr>
              <w:jc w:val="right"/>
            </w:pPr>
            <w:r>
              <w:rPr>
                <w:color w:val="000000"/>
                <w:sz w:val="24"/>
              </w:rPr>
              <w:t>1.05</w:t>
            </w:r>
          </w:p>
        </w:tc>
      </w:tr>
      <w:tr w:rsidR="00E74C22">
        <w:trPr>
          <w:jc w:val="center"/>
        </w:trPr>
        <w:tc>
          <w:tcPr>
            <w:tcW w:w="2484" w:type="dxa"/>
            <w:vAlign w:val="center"/>
          </w:tcPr>
          <w:p w:rsidR="00E74C22" w:rsidRDefault="00C00982">
            <w:pPr>
              <w:jc w:val="left"/>
            </w:pPr>
            <w:r>
              <w:rPr>
                <w:color w:val="000000"/>
                <w:sz w:val="24"/>
              </w:rPr>
              <w:t>西班牙</w:t>
            </w:r>
          </w:p>
        </w:tc>
        <w:tc>
          <w:tcPr>
            <w:tcW w:w="3214" w:type="dxa"/>
            <w:vAlign w:val="center"/>
          </w:tcPr>
          <w:p w:rsidR="00E74C22" w:rsidRDefault="00C00982">
            <w:pPr>
              <w:jc w:val="right"/>
            </w:pPr>
            <w:r>
              <w:rPr>
                <w:color w:val="000000"/>
                <w:sz w:val="24"/>
              </w:rPr>
              <w:t>869,701.50</w:t>
            </w:r>
          </w:p>
        </w:tc>
        <w:tc>
          <w:tcPr>
            <w:tcW w:w="3170" w:type="dxa"/>
            <w:vAlign w:val="center"/>
          </w:tcPr>
          <w:p w:rsidR="00E74C22" w:rsidRDefault="00C00982">
            <w:pPr>
              <w:jc w:val="right"/>
            </w:pPr>
            <w:r>
              <w:rPr>
                <w:color w:val="000000"/>
                <w:sz w:val="24"/>
              </w:rPr>
              <w:t>1.01</w:t>
            </w:r>
          </w:p>
        </w:tc>
      </w:tr>
      <w:tr w:rsidR="00E74C22">
        <w:trPr>
          <w:jc w:val="center"/>
        </w:trPr>
        <w:tc>
          <w:tcPr>
            <w:tcW w:w="2484" w:type="dxa"/>
            <w:vAlign w:val="center"/>
          </w:tcPr>
          <w:p w:rsidR="00E74C22" w:rsidRDefault="00C00982">
            <w:pPr>
              <w:jc w:val="left"/>
            </w:pPr>
            <w:r>
              <w:rPr>
                <w:color w:val="000000"/>
                <w:sz w:val="24"/>
              </w:rPr>
              <w:t>泰国</w:t>
            </w:r>
          </w:p>
        </w:tc>
        <w:tc>
          <w:tcPr>
            <w:tcW w:w="3214" w:type="dxa"/>
            <w:vAlign w:val="center"/>
          </w:tcPr>
          <w:p w:rsidR="00E74C22" w:rsidRDefault="00C00982">
            <w:pPr>
              <w:jc w:val="right"/>
            </w:pPr>
            <w:r>
              <w:rPr>
                <w:color w:val="000000"/>
                <w:sz w:val="24"/>
              </w:rPr>
              <w:t>750,979.79</w:t>
            </w:r>
          </w:p>
        </w:tc>
        <w:tc>
          <w:tcPr>
            <w:tcW w:w="3170" w:type="dxa"/>
            <w:vAlign w:val="center"/>
          </w:tcPr>
          <w:p w:rsidR="00E74C22" w:rsidRDefault="00C00982">
            <w:pPr>
              <w:jc w:val="right"/>
            </w:pPr>
            <w:r>
              <w:rPr>
                <w:color w:val="000000"/>
                <w:sz w:val="24"/>
              </w:rPr>
              <w:t>0.87</w:t>
            </w:r>
          </w:p>
        </w:tc>
      </w:tr>
      <w:tr w:rsidR="00E74C22">
        <w:trPr>
          <w:jc w:val="center"/>
        </w:trPr>
        <w:tc>
          <w:tcPr>
            <w:tcW w:w="2484" w:type="dxa"/>
            <w:vAlign w:val="center"/>
          </w:tcPr>
          <w:p w:rsidR="00E74C22" w:rsidRDefault="00C00982">
            <w:pPr>
              <w:jc w:val="left"/>
            </w:pPr>
            <w:r>
              <w:rPr>
                <w:color w:val="000000"/>
                <w:sz w:val="24"/>
              </w:rPr>
              <w:t>新加坡</w:t>
            </w:r>
          </w:p>
        </w:tc>
        <w:tc>
          <w:tcPr>
            <w:tcW w:w="3214" w:type="dxa"/>
            <w:vAlign w:val="center"/>
          </w:tcPr>
          <w:p w:rsidR="00E74C22" w:rsidRDefault="00C00982">
            <w:pPr>
              <w:jc w:val="right"/>
            </w:pPr>
            <w:r>
              <w:rPr>
                <w:color w:val="000000"/>
                <w:sz w:val="24"/>
              </w:rPr>
              <w:t>700,685.16</w:t>
            </w:r>
          </w:p>
        </w:tc>
        <w:tc>
          <w:tcPr>
            <w:tcW w:w="3170" w:type="dxa"/>
            <w:vAlign w:val="center"/>
          </w:tcPr>
          <w:p w:rsidR="00E74C22" w:rsidRDefault="00C00982">
            <w:pPr>
              <w:jc w:val="right"/>
            </w:pPr>
            <w:r>
              <w:rPr>
                <w:color w:val="000000"/>
                <w:sz w:val="24"/>
              </w:rPr>
              <w:t>0.81</w:t>
            </w:r>
          </w:p>
        </w:tc>
      </w:tr>
      <w:tr w:rsidR="00E74C22">
        <w:trPr>
          <w:jc w:val="center"/>
        </w:trPr>
        <w:tc>
          <w:tcPr>
            <w:tcW w:w="2484" w:type="dxa"/>
            <w:vAlign w:val="center"/>
          </w:tcPr>
          <w:p w:rsidR="00E74C22" w:rsidRDefault="00C00982">
            <w:pPr>
              <w:jc w:val="left"/>
            </w:pPr>
            <w:r>
              <w:rPr>
                <w:color w:val="000000"/>
                <w:sz w:val="24"/>
              </w:rPr>
              <w:t>瑞典</w:t>
            </w:r>
          </w:p>
        </w:tc>
        <w:tc>
          <w:tcPr>
            <w:tcW w:w="3214" w:type="dxa"/>
            <w:vAlign w:val="center"/>
          </w:tcPr>
          <w:p w:rsidR="00E74C22" w:rsidRDefault="00C00982">
            <w:pPr>
              <w:jc w:val="right"/>
            </w:pPr>
            <w:r>
              <w:rPr>
                <w:color w:val="000000"/>
                <w:sz w:val="24"/>
              </w:rPr>
              <w:t>558,049.73</w:t>
            </w:r>
          </w:p>
        </w:tc>
        <w:tc>
          <w:tcPr>
            <w:tcW w:w="3170" w:type="dxa"/>
            <w:vAlign w:val="center"/>
          </w:tcPr>
          <w:p w:rsidR="00E74C22" w:rsidRDefault="00C00982">
            <w:pPr>
              <w:jc w:val="right"/>
            </w:pPr>
            <w:r>
              <w:rPr>
                <w:color w:val="000000"/>
                <w:sz w:val="24"/>
              </w:rPr>
              <w:t>0.65</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75,675,353.71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87.64</w:t>
            </w:r>
          </w:p>
        </w:tc>
      </w:tr>
    </w:tbl>
    <w:p w:rsidR="00E74C22" w:rsidRDefault="00C0098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74C22">
        <w:trPr>
          <w:jc w:val="center"/>
        </w:trPr>
        <w:tc>
          <w:tcPr>
            <w:tcW w:w="2904" w:type="dxa"/>
            <w:vAlign w:val="center"/>
          </w:tcPr>
          <w:p w:rsidR="00E74C22" w:rsidRDefault="00C00982">
            <w:pPr>
              <w:jc w:val="left"/>
            </w:pPr>
            <w:r>
              <w:rPr>
                <w:color w:val="000000"/>
                <w:sz w:val="24"/>
              </w:rPr>
              <w:t>金融</w:t>
            </w:r>
          </w:p>
        </w:tc>
        <w:tc>
          <w:tcPr>
            <w:tcW w:w="2657" w:type="dxa"/>
            <w:vAlign w:val="center"/>
          </w:tcPr>
          <w:p w:rsidR="00E74C22" w:rsidRDefault="00C00982">
            <w:pPr>
              <w:jc w:val="right"/>
            </w:pPr>
            <w:r>
              <w:rPr>
                <w:color w:val="000000"/>
                <w:sz w:val="24"/>
              </w:rPr>
              <w:t>16,671,120.40</w:t>
            </w:r>
          </w:p>
        </w:tc>
        <w:tc>
          <w:tcPr>
            <w:tcW w:w="3307" w:type="dxa"/>
            <w:vAlign w:val="center"/>
          </w:tcPr>
          <w:p w:rsidR="00E74C22" w:rsidRDefault="00C00982">
            <w:pPr>
              <w:jc w:val="right"/>
            </w:pPr>
            <w:r>
              <w:rPr>
                <w:color w:val="000000"/>
                <w:sz w:val="24"/>
              </w:rPr>
              <w:t>19.31</w:t>
            </w:r>
          </w:p>
        </w:tc>
      </w:tr>
      <w:tr w:rsidR="00E74C22">
        <w:trPr>
          <w:jc w:val="center"/>
        </w:trPr>
        <w:tc>
          <w:tcPr>
            <w:tcW w:w="2904" w:type="dxa"/>
            <w:vAlign w:val="center"/>
          </w:tcPr>
          <w:p w:rsidR="00E74C22" w:rsidRDefault="00C00982">
            <w:pPr>
              <w:jc w:val="left"/>
            </w:pPr>
            <w:r>
              <w:rPr>
                <w:color w:val="000000"/>
                <w:sz w:val="24"/>
              </w:rPr>
              <w:t>信息技术</w:t>
            </w:r>
          </w:p>
        </w:tc>
        <w:tc>
          <w:tcPr>
            <w:tcW w:w="2657" w:type="dxa"/>
            <w:vAlign w:val="center"/>
          </w:tcPr>
          <w:p w:rsidR="00E74C22" w:rsidRDefault="00C00982">
            <w:pPr>
              <w:jc w:val="right"/>
            </w:pPr>
            <w:r>
              <w:rPr>
                <w:color w:val="000000"/>
                <w:sz w:val="24"/>
              </w:rPr>
              <w:t>11,698,111.89</w:t>
            </w:r>
          </w:p>
        </w:tc>
        <w:tc>
          <w:tcPr>
            <w:tcW w:w="3307" w:type="dxa"/>
            <w:vAlign w:val="center"/>
          </w:tcPr>
          <w:p w:rsidR="00E74C22" w:rsidRDefault="00C00982">
            <w:pPr>
              <w:jc w:val="right"/>
            </w:pPr>
            <w:r>
              <w:rPr>
                <w:color w:val="000000"/>
                <w:sz w:val="24"/>
              </w:rPr>
              <w:t>13.55</w:t>
            </w:r>
          </w:p>
        </w:tc>
      </w:tr>
      <w:tr w:rsidR="00E74C22">
        <w:trPr>
          <w:jc w:val="center"/>
        </w:trPr>
        <w:tc>
          <w:tcPr>
            <w:tcW w:w="2904" w:type="dxa"/>
            <w:vAlign w:val="center"/>
          </w:tcPr>
          <w:p w:rsidR="00E74C22" w:rsidRDefault="00C00982">
            <w:pPr>
              <w:jc w:val="left"/>
            </w:pPr>
            <w:r>
              <w:rPr>
                <w:color w:val="000000"/>
                <w:sz w:val="24"/>
              </w:rPr>
              <w:t>非必需消费品</w:t>
            </w:r>
          </w:p>
        </w:tc>
        <w:tc>
          <w:tcPr>
            <w:tcW w:w="2657" w:type="dxa"/>
            <w:vAlign w:val="center"/>
          </w:tcPr>
          <w:p w:rsidR="00E74C22" w:rsidRDefault="00C00982">
            <w:pPr>
              <w:jc w:val="right"/>
            </w:pPr>
            <w:r>
              <w:rPr>
                <w:color w:val="000000"/>
                <w:sz w:val="24"/>
              </w:rPr>
              <w:t>11,630,224.66</w:t>
            </w:r>
          </w:p>
        </w:tc>
        <w:tc>
          <w:tcPr>
            <w:tcW w:w="3307" w:type="dxa"/>
            <w:vAlign w:val="center"/>
          </w:tcPr>
          <w:p w:rsidR="00E74C22" w:rsidRDefault="00C00982">
            <w:pPr>
              <w:jc w:val="right"/>
            </w:pPr>
            <w:r>
              <w:rPr>
                <w:color w:val="000000"/>
                <w:sz w:val="24"/>
              </w:rPr>
              <w:t>13.47</w:t>
            </w:r>
          </w:p>
        </w:tc>
      </w:tr>
      <w:tr w:rsidR="00E74C22">
        <w:trPr>
          <w:jc w:val="center"/>
        </w:trPr>
        <w:tc>
          <w:tcPr>
            <w:tcW w:w="2904" w:type="dxa"/>
            <w:vAlign w:val="center"/>
          </w:tcPr>
          <w:p w:rsidR="00E74C22" w:rsidRDefault="00C00982">
            <w:pPr>
              <w:jc w:val="left"/>
            </w:pPr>
            <w:r>
              <w:rPr>
                <w:color w:val="000000"/>
                <w:sz w:val="24"/>
              </w:rPr>
              <w:t>必需消费品</w:t>
            </w:r>
          </w:p>
        </w:tc>
        <w:tc>
          <w:tcPr>
            <w:tcW w:w="2657" w:type="dxa"/>
            <w:vAlign w:val="center"/>
          </w:tcPr>
          <w:p w:rsidR="00E74C22" w:rsidRDefault="00C00982">
            <w:pPr>
              <w:jc w:val="right"/>
            </w:pPr>
            <w:r>
              <w:rPr>
                <w:color w:val="000000"/>
                <w:sz w:val="24"/>
              </w:rPr>
              <w:t>9,588,381.37</w:t>
            </w:r>
          </w:p>
        </w:tc>
        <w:tc>
          <w:tcPr>
            <w:tcW w:w="3307" w:type="dxa"/>
            <w:vAlign w:val="center"/>
          </w:tcPr>
          <w:p w:rsidR="00E74C22" w:rsidRDefault="00C00982">
            <w:pPr>
              <w:jc w:val="right"/>
            </w:pPr>
            <w:r>
              <w:rPr>
                <w:color w:val="000000"/>
                <w:sz w:val="24"/>
              </w:rPr>
              <w:t>11.10</w:t>
            </w:r>
          </w:p>
        </w:tc>
      </w:tr>
      <w:tr w:rsidR="00E74C22">
        <w:trPr>
          <w:jc w:val="center"/>
        </w:trPr>
        <w:tc>
          <w:tcPr>
            <w:tcW w:w="2904" w:type="dxa"/>
            <w:vAlign w:val="center"/>
          </w:tcPr>
          <w:p w:rsidR="00E74C22" w:rsidRDefault="00C00982">
            <w:pPr>
              <w:jc w:val="left"/>
            </w:pPr>
            <w:r>
              <w:rPr>
                <w:color w:val="000000"/>
                <w:sz w:val="24"/>
              </w:rPr>
              <w:t>工业</w:t>
            </w:r>
          </w:p>
        </w:tc>
        <w:tc>
          <w:tcPr>
            <w:tcW w:w="2657" w:type="dxa"/>
            <w:vAlign w:val="center"/>
          </w:tcPr>
          <w:p w:rsidR="00E74C22" w:rsidRDefault="00C00982">
            <w:pPr>
              <w:jc w:val="right"/>
            </w:pPr>
            <w:r>
              <w:rPr>
                <w:color w:val="000000"/>
                <w:sz w:val="24"/>
              </w:rPr>
              <w:t>9,341,135.90</w:t>
            </w:r>
          </w:p>
        </w:tc>
        <w:tc>
          <w:tcPr>
            <w:tcW w:w="3307" w:type="dxa"/>
            <w:vAlign w:val="center"/>
          </w:tcPr>
          <w:p w:rsidR="00E74C22" w:rsidRDefault="00C00982">
            <w:pPr>
              <w:jc w:val="right"/>
            </w:pPr>
            <w:r>
              <w:rPr>
                <w:color w:val="000000"/>
                <w:sz w:val="24"/>
              </w:rPr>
              <w:t>10.82</w:t>
            </w:r>
          </w:p>
        </w:tc>
      </w:tr>
      <w:tr w:rsidR="00E74C22">
        <w:trPr>
          <w:jc w:val="center"/>
        </w:trPr>
        <w:tc>
          <w:tcPr>
            <w:tcW w:w="2904" w:type="dxa"/>
            <w:vAlign w:val="center"/>
          </w:tcPr>
          <w:p w:rsidR="00E74C22" w:rsidRDefault="00C00982">
            <w:pPr>
              <w:jc w:val="left"/>
            </w:pPr>
            <w:r>
              <w:rPr>
                <w:color w:val="000000"/>
                <w:sz w:val="24"/>
              </w:rPr>
              <w:t>保健</w:t>
            </w:r>
          </w:p>
        </w:tc>
        <w:tc>
          <w:tcPr>
            <w:tcW w:w="2657" w:type="dxa"/>
            <w:vAlign w:val="center"/>
          </w:tcPr>
          <w:p w:rsidR="00E74C22" w:rsidRDefault="00C00982">
            <w:pPr>
              <w:jc w:val="right"/>
            </w:pPr>
            <w:r>
              <w:rPr>
                <w:color w:val="000000"/>
                <w:sz w:val="24"/>
              </w:rPr>
              <w:t>8,910,738.82</w:t>
            </w:r>
          </w:p>
        </w:tc>
        <w:tc>
          <w:tcPr>
            <w:tcW w:w="3307" w:type="dxa"/>
            <w:vAlign w:val="center"/>
          </w:tcPr>
          <w:p w:rsidR="00E74C22" w:rsidRDefault="00C00982">
            <w:pPr>
              <w:jc w:val="right"/>
            </w:pPr>
            <w:r>
              <w:rPr>
                <w:color w:val="000000"/>
                <w:sz w:val="24"/>
              </w:rPr>
              <w:t>10.32</w:t>
            </w:r>
          </w:p>
        </w:tc>
      </w:tr>
      <w:tr w:rsidR="00E74C22">
        <w:trPr>
          <w:jc w:val="center"/>
        </w:trPr>
        <w:tc>
          <w:tcPr>
            <w:tcW w:w="2904" w:type="dxa"/>
            <w:vAlign w:val="center"/>
          </w:tcPr>
          <w:p w:rsidR="00E74C22" w:rsidRDefault="00C00982">
            <w:pPr>
              <w:jc w:val="left"/>
            </w:pPr>
            <w:r>
              <w:rPr>
                <w:color w:val="000000"/>
                <w:sz w:val="24"/>
              </w:rPr>
              <w:t>能源</w:t>
            </w:r>
          </w:p>
        </w:tc>
        <w:tc>
          <w:tcPr>
            <w:tcW w:w="2657" w:type="dxa"/>
            <w:vAlign w:val="center"/>
          </w:tcPr>
          <w:p w:rsidR="00E74C22" w:rsidRDefault="00C00982">
            <w:pPr>
              <w:jc w:val="right"/>
            </w:pPr>
            <w:r>
              <w:rPr>
                <w:color w:val="000000"/>
                <w:sz w:val="24"/>
              </w:rPr>
              <w:t>3,652,830.52</w:t>
            </w:r>
          </w:p>
        </w:tc>
        <w:tc>
          <w:tcPr>
            <w:tcW w:w="3307" w:type="dxa"/>
            <w:vAlign w:val="center"/>
          </w:tcPr>
          <w:p w:rsidR="00E74C22" w:rsidRDefault="00C00982">
            <w:pPr>
              <w:jc w:val="right"/>
            </w:pPr>
            <w:r>
              <w:rPr>
                <w:color w:val="000000"/>
                <w:sz w:val="24"/>
              </w:rPr>
              <w:t>4.23</w:t>
            </w:r>
          </w:p>
        </w:tc>
      </w:tr>
      <w:tr w:rsidR="00E74C22">
        <w:trPr>
          <w:jc w:val="center"/>
        </w:trPr>
        <w:tc>
          <w:tcPr>
            <w:tcW w:w="2904" w:type="dxa"/>
            <w:vAlign w:val="center"/>
          </w:tcPr>
          <w:p w:rsidR="00E74C22" w:rsidRDefault="00C00982">
            <w:pPr>
              <w:jc w:val="left"/>
            </w:pPr>
            <w:r>
              <w:rPr>
                <w:color w:val="000000"/>
                <w:sz w:val="24"/>
              </w:rPr>
              <w:t>材料</w:t>
            </w:r>
          </w:p>
        </w:tc>
        <w:tc>
          <w:tcPr>
            <w:tcW w:w="2657" w:type="dxa"/>
            <w:vAlign w:val="center"/>
          </w:tcPr>
          <w:p w:rsidR="00E74C22" w:rsidRDefault="00C00982">
            <w:pPr>
              <w:jc w:val="right"/>
            </w:pPr>
            <w:r>
              <w:rPr>
                <w:color w:val="000000"/>
                <w:sz w:val="24"/>
              </w:rPr>
              <w:t>1,939,503.86</w:t>
            </w:r>
          </w:p>
        </w:tc>
        <w:tc>
          <w:tcPr>
            <w:tcW w:w="3307" w:type="dxa"/>
            <w:vAlign w:val="center"/>
          </w:tcPr>
          <w:p w:rsidR="00E74C22" w:rsidRDefault="00C00982">
            <w:pPr>
              <w:jc w:val="right"/>
            </w:pPr>
            <w:r>
              <w:rPr>
                <w:color w:val="000000"/>
                <w:sz w:val="24"/>
              </w:rPr>
              <w:t>2.25</w:t>
            </w:r>
          </w:p>
        </w:tc>
      </w:tr>
      <w:tr w:rsidR="00E74C22">
        <w:trPr>
          <w:jc w:val="center"/>
        </w:trPr>
        <w:tc>
          <w:tcPr>
            <w:tcW w:w="2904" w:type="dxa"/>
            <w:vAlign w:val="center"/>
          </w:tcPr>
          <w:p w:rsidR="00E74C22" w:rsidRDefault="00C00982">
            <w:pPr>
              <w:jc w:val="left"/>
            </w:pPr>
            <w:r>
              <w:rPr>
                <w:color w:val="000000"/>
                <w:sz w:val="24"/>
              </w:rPr>
              <w:t>电信服务</w:t>
            </w:r>
          </w:p>
        </w:tc>
        <w:tc>
          <w:tcPr>
            <w:tcW w:w="2657" w:type="dxa"/>
            <w:vAlign w:val="center"/>
          </w:tcPr>
          <w:p w:rsidR="00E74C22" w:rsidRDefault="00C00982">
            <w:pPr>
              <w:jc w:val="right"/>
            </w:pPr>
            <w:r>
              <w:rPr>
                <w:color w:val="000000"/>
                <w:sz w:val="24"/>
              </w:rPr>
              <w:t>1,724,613.79</w:t>
            </w:r>
          </w:p>
        </w:tc>
        <w:tc>
          <w:tcPr>
            <w:tcW w:w="3307" w:type="dxa"/>
            <w:vAlign w:val="center"/>
          </w:tcPr>
          <w:p w:rsidR="00E74C22" w:rsidRDefault="00C00982">
            <w:pPr>
              <w:jc w:val="right"/>
            </w:pPr>
            <w:r>
              <w:rPr>
                <w:color w:val="000000"/>
                <w:sz w:val="24"/>
              </w:rPr>
              <w:t>2.00</w:t>
            </w:r>
          </w:p>
        </w:tc>
      </w:tr>
      <w:tr w:rsidR="00E74C22">
        <w:trPr>
          <w:jc w:val="center"/>
        </w:trPr>
        <w:tc>
          <w:tcPr>
            <w:tcW w:w="2904" w:type="dxa"/>
            <w:vAlign w:val="center"/>
          </w:tcPr>
          <w:p w:rsidR="00E74C22" w:rsidRDefault="00C00982">
            <w:pPr>
              <w:jc w:val="left"/>
            </w:pPr>
            <w:r>
              <w:rPr>
                <w:color w:val="000000"/>
                <w:sz w:val="24"/>
              </w:rPr>
              <w:t>公共事业</w:t>
            </w:r>
          </w:p>
        </w:tc>
        <w:tc>
          <w:tcPr>
            <w:tcW w:w="2657" w:type="dxa"/>
            <w:vAlign w:val="center"/>
          </w:tcPr>
          <w:p w:rsidR="00E74C22" w:rsidRDefault="00C00982">
            <w:pPr>
              <w:jc w:val="right"/>
            </w:pPr>
            <w:r>
              <w:rPr>
                <w:color w:val="000000"/>
                <w:sz w:val="24"/>
              </w:rPr>
              <w:t>518,692.50</w:t>
            </w:r>
          </w:p>
        </w:tc>
        <w:tc>
          <w:tcPr>
            <w:tcW w:w="3307" w:type="dxa"/>
            <w:vAlign w:val="center"/>
          </w:tcPr>
          <w:p w:rsidR="00E74C22" w:rsidRDefault="00C00982">
            <w:pPr>
              <w:jc w:val="right"/>
            </w:pPr>
            <w:r>
              <w:rPr>
                <w:color w:val="000000"/>
                <w:sz w:val="24"/>
              </w:rPr>
              <w:t>0.60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75,675,353.71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87.64</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E74C22">
        <w:trPr>
          <w:jc w:val="center"/>
        </w:trPr>
        <w:tc>
          <w:tcPr>
            <w:tcW w:w="1243" w:type="dxa"/>
            <w:vAlign w:val="center"/>
          </w:tcPr>
          <w:p w:rsidR="00E74C22" w:rsidRDefault="00C00982">
            <w:pPr>
              <w:jc w:val="center"/>
            </w:pPr>
            <w:r>
              <w:rPr>
                <w:color w:val="000000"/>
                <w:sz w:val="24"/>
              </w:rPr>
              <w:t>1</w:t>
            </w:r>
          </w:p>
        </w:tc>
        <w:tc>
          <w:tcPr>
            <w:tcW w:w="971" w:type="dxa"/>
            <w:vAlign w:val="center"/>
          </w:tcPr>
          <w:p w:rsidR="00E74C22" w:rsidRDefault="00C00982">
            <w:pPr>
              <w:jc w:val="center"/>
            </w:pPr>
            <w:r>
              <w:rPr>
                <w:color w:val="000000"/>
                <w:sz w:val="24"/>
              </w:rPr>
              <w:t>Alphabet Inc</w:t>
            </w:r>
          </w:p>
        </w:tc>
        <w:tc>
          <w:tcPr>
            <w:tcW w:w="993" w:type="dxa"/>
            <w:vAlign w:val="center"/>
          </w:tcPr>
          <w:p w:rsidR="00E74C22" w:rsidRDefault="00C00982">
            <w:pPr>
              <w:jc w:val="center"/>
            </w:pPr>
            <w:r>
              <w:rPr>
                <w:color w:val="000000"/>
                <w:sz w:val="24"/>
              </w:rPr>
              <w:t>Alphabet</w:t>
            </w:r>
            <w:r>
              <w:rPr>
                <w:color w:val="000000"/>
                <w:sz w:val="24"/>
              </w:rPr>
              <w:t>公司</w:t>
            </w:r>
          </w:p>
        </w:tc>
        <w:tc>
          <w:tcPr>
            <w:tcW w:w="725" w:type="dxa"/>
            <w:vAlign w:val="center"/>
          </w:tcPr>
          <w:p w:rsidR="00E74C22" w:rsidRDefault="00C00982">
            <w:pPr>
              <w:jc w:val="center"/>
            </w:pPr>
            <w:r>
              <w:rPr>
                <w:color w:val="000000"/>
                <w:sz w:val="24"/>
              </w:rPr>
              <w:t xml:space="preserve">GOOGL </w:t>
            </w:r>
            <w:r>
              <w:rPr>
                <w:color w:val="000000"/>
                <w:sz w:val="24"/>
              </w:rPr>
              <w:lastRenderedPageBreak/>
              <w:t>US</w:t>
            </w:r>
          </w:p>
        </w:tc>
        <w:tc>
          <w:tcPr>
            <w:tcW w:w="747" w:type="dxa"/>
            <w:vAlign w:val="center"/>
          </w:tcPr>
          <w:p w:rsidR="00E74C22" w:rsidRDefault="00C00982">
            <w:pPr>
              <w:jc w:val="center"/>
            </w:pPr>
            <w:r>
              <w:rPr>
                <w:color w:val="000000"/>
                <w:sz w:val="24"/>
              </w:rPr>
              <w:lastRenderedPageBreak/>
              <w:t>美国证券</w:t>
            </w:r>
            <w:r>
              <w:rPr>
                <w:color w:val="000000"/>
                <w:sz w:val="24"/>
              </w:rPr>
              <w:lastRenderedPageBreak/>
              <w:t>交易所</w:t>
            </w:r>
          </w:p>
        </w:tc>
        <w:tc>
          <w:tcPr>
            <w:tcW w:w="975" w:type="dxa"/>
            <w:vAlign w:val="center"/>
          </w:tcPr>
          <w:p w:rsidR="00E74C22" w:rsidRDefault="00C00982">
            <w:pPr>
              <w:jc w:val="center"/>
            </w:pPr>
            <w:r>
              <w:rPr>
                <w:color w:val="000000"/>
                <w:sz w:val="24"/>
              </w:rPr>
              <w:lastRenderedPageBreak/>
              <w:t>美国</w:t>
            </w:r>
          </w:p>
        </w:tc>
        <w:tc>
          <w:tcPr>
            <w:tcW w:w="1175" w:type="dxa"/>
            <w:vAlign w:val="center"/>
          </w:tcPr>
          <w:p w:rsidR="00E74C22" w:rsidRDefault="00C00982">
            <w:pPr>
              <w:jc w:val="right"/>
            </w:pPr>
            <w:r>
              <w:rPr>
                <w:color w:val="000000"/>
                <w:sz w:val="24"/>
              </w:rPr>
              <w:t>489</w:t>
            </w:r>
          </w:p>
        </w:tc>
        <w:tc>
          <w:tcPr>
            <w:tcW w:w="975" w:type="dxa"/>
            <w:vAlign w:val="center"/>
          </w:tcPr>
          <w:p w:rsidR="00E74C22" w:rsidRDefault="00C00982">
            <w:pPr>
              <w:jc w:val="right"/>
            </w:pPr>
            <w:r>
              <w:rPr>
                <w:color w:val="000000"/>
                <w:sz w:val="24"/>
              </w:rPr>
              <w:t>2,410,403.00</w:t>
            </w:r>
          </w:p>
        </w:tc>
        <w:tc>
          <w:tcPr>
            <w:tcW w:w="1175" w:type="dxa"/>
            <w:vAlign w:val="center"/>
          </w:tcPr>
          <w:p w:rsidR="00E74C22" w:rsidRDefault="00C00982">
            <w:pPr>
              <w:jc w:val="right"/>
            </w:pPr>
            <w:r>
              <w:rPr>
                <w:color w:val="000000"/>
                <w:sz w:val="24"/>
              </w:rPr>
              <w:t>2.79</w:t>
            </w:r>
          </w:p>
        </w:tc>
      </w:tr>
      <w:tr w:rsidR="00E74C22">
        <w:trPr>
          <w:jc w:val="center"/>
        </w:trPr>
        <w:tc>
          <w:tcPr>
            <w:tcW w:w="1243" w:type="dxa"/>
            <w:vAlign w:val="center"/>
          </w:tcPr>
          <w:p w:rsidR="00E74C22" w:rsidRDefault="00C00982">
            <w:pPr>
              <w:jc w:val="center"/>
            </w:pPr>
            <w:r>
              <w:rPr>
                <w:color w:val="000000"/>
                <w:sz w:val="24"/>
              </w:rPr>
              <w:lastRenderedPageBreak/>
              <w:t>2</w:t>
            </w:r>
          </w:p>
        </w:tc>
        <w:tc>
          <w:tcPr>
            <w:tcW w:w="971" w:type="dxa"/>
            <w:vAlign w:val="center"/>
          </w:tcPr>
          <w:p w:rsidR="00E74C22" w:rsidRDefault="00C00982">
            <w:pPr>
              <w:jc w:val="center"/>
            </w:pPr>
            <w:r>
              <w:rPr>
                <w:color w:val="000000"/>
                <w:sz w:val="24"/>
              </w:rPr>
              <w:t>Comcast Corporation</w:t>
            </w:r>
          </w:p>
        </w:tc>
        <w:tc>
          <w:tcPr>
            <w:tcW w:w="993" w:type="dxa"/>
            <w:vAlign w:val="center"/>
          </w:tcPr>
          <w:p w:rsidR="00E74C22" w:rsidRDefault="00C00982">
            <w:pPr>
              <w:jc w:val="center"/>
            </w:pPr>
            <w:r>
              <w:rPr>
                <w:color w:val="000000"/>
                <w:sz w:val="24"/>
              </w:rPr>
              <w:t>康卡斯特公司</w:t>
            </w:r>
          </w:p>
        </w:tc>
        <w:tc>
          <w:tcPr>
            <w:tcW w:w="725" w:type="dxa"/>
            <w:vAlign w:val="center"/>
          </w:tcPr>
          <w:p w:rsidR="00E74C22" w:rsidRDefault="00C00982">
            <w:pPr>
              <w:jc w:val="center"/>
            </w:pPr>
            <w:r>
              <w:rPr>
                <w:color w:val="000000"/>
                <w:sz w:val="24"/>
              </w:rPr>
              <w:t>CMCSA US</w:t>
            </w:r>
          </w:p>
        </w:tc>
        <w:tc>
          <w:tcPr>
            <w:tcW w:w="747" w:type="dxa"/>
            <w:vAlign w:val="center"/>
          </w:tcPr>
          <w:p w:rsidR="00E74C22" w:rsidRDefault="00C00982">
            <w:pPr>
              <w:jc w:val="center"/>
            </w:pPr>
            <w:r>
              <w:rPr>
                <w:color w:val="000000"/>
                <w:sz w:val="24"/>
              </w:rPr>
              <w:t>美国证券交易所</w:t>
            </w:r>
          </w:p>
        </w:tc>
        <w:tc>
          <w:tcPr>
            <w:tcW w:w="975" w:type="dxa"/>
            <w:vAlign w:val="center"/>
          </w:tcPr>
          <w:p w:rsidR="00E74C22" w:rsidRDefault="00C00982">
            <w:pPr>
              <w:jc w:val="center"/>
            </w:pPr>
            <w:r>
              <w:rPr>
                <w:color w:val="000000"/>
                <w:sz w:val="24"/>
              </w:rPr>
              <w:t>美国</w:t>
            </w:r>
          </w:p>
        </w:tc>
        <w:tc>
          <w:tcPr>
            <w:tcW w:w="1175" w:type="dxa"/>
            <w:vAlign w:val="center"/>
          </w:tcPr>
          <w:p w:rsidR="00E74C22" w:rsidRDefault="00C00982">
            <w:pPr>
              <w:jc w:val="right"/>
            </w:pPr>
            <w:r>
              <w:rPr>
                <w:color w:val="000000"/>
                <w:sz w:val="24"/>
              </w:rPr>
              <w:t>4,144</w:t>
            </w:r>
          </w:p>
        </w:tc>
        <w:tc>
          <w:tcPr>
            <w:tcW w:w="975" w:type="dxa"/>
            <w:vAlign w:val="center"/>
          </w:tcPr>
          <w:p w:rsidR="00E74C22" w:rsidRDefault="00C00982">
            <w:pPr>
              <w:jc w:val="right"/>
            </w:pPr>
            <w:r>
              <w:rPr>
                <w:color w:val="000000"/>
                <w:sz w:val="24"/>
              </w:rPr>
              <w:t>1,635,430.00</w:t>
            </w:r>
          </w:p>
        </w:tc>
        <w:tc>
          <w:tcPr>
            <w:tcW w:w="1175" w:type="dxa"/>
            <w:vAlign w:val="center"/>
          </w:tcPr>
          <w:p w:rsidR="00E74C22" w:rsidRDefault="00C00982">
            <w:pPr>
              <w:jc w:val="right"/>
            </w:pPr>
            <w:r>
              <w:rPr>
                <w:color w:val="000000"/>
                <w:sz w:val="24"/>
              </w:rPr>
              <w:t>1.89</w:t>
            </w:r>
          </w:p>
        </w:tc>
      </w:tr>
      <w:tr w:rsidR="00E74C22">
        <w:trPr>
          <w:jc w:val="center"/>
        </w:trPr>
        <w:tc>
          <w:tcPr>
            <w:tcW w:w="1243" w:type="dxa"/>
            <w:vAlign w:val="center"/>
          </w:tcPr>
          <w:p w:rsidR="00E74C22" w:rsidRDefault="00C00982">
            <w:pPr>
              <w:jc w:val="center"/>
            </w:pPr>
            <w:r>
              <w:rPr>
                <w:color w:val="000000"/>
                <w:sz w:val="24"/>
              </w:rPr>
              <w:t>3</w:t>
            </w:r>
          </w:p>
        </w:tc>
        <w:tc>
          <w:tcPr>
            <w:tcW w:w="971" w:type="dxa"/>
            <w:vAlign w:val="center"/>
          </w:tcPr>
          <w:p w:rsidR="00E74C22" w:rsidRDefault="00C00982">
            <w:pPr>
              <w:jc w:val="center"/>
            </w:pPr>
            <w:r>
              <w:rPr>
                <w:color w:val="000000"/>
                <w:sz w:val="24"/>
              </w:rPr>
              <w:t>Reckitt Benckiser Group Plc</w:t>
            </w:r>
          </w:p>
        </w:tc>
        <w:tc>
          <w:tcPr>
            <w:tcW w:w="993" w:type="dxa"/>
            <w:vAlign w:val="center"/>
          </w:tcPr>
          <w:p w:rsidR="00E74C22" w:rsidRDefault="00C00982">
            <w:pPr>
              <w:jc w:val="center"/>
            </w:pPr>
            <w:r>
              <w:rPr>
                <w:color w:val="000000"/>
                <w:sz w:val="24"/>
              </w:rPr>
              <w:t>利洁时集团</w:t>
            </w:r>
          </w:p>
        </w:tc>
        <w:tc>
          <w:tcPr>
            <w:tcW w:w="725" w:type="dxa"/>
            <w:vAlign w:val="center"/>
          </w:tcPr>
          <w:p w:rsidR="00E74C22" w:rsidRDefault="00C00982">
            <w:pPr>
              <w:jc w:val="center"/>
            </w:pPr>
            <w:r>
              <w:rPr>
                <w:color w:val="000000"/>
                <w:sz w:val="24"/>
              </w:rPr>
              <w:t>RB/ LN</w:t>
            </w:r>
          </w:p>
        </w:tc>
        <w:tc>
          <w:tcPr>
            <w:tcW w:w="747" w:type="dxa"/>
            <w:vAlign w:val="center"/>
          </w:tcPr>
          <w:p w:rsidR="00E74C22" w:rsidRDefault="00C00982">
            <w:pPr>
              <w:jc w:val="center"/>
            </w:pPr>
            <w:r>
              <w:rPr>
                <w:color w:val="000000"/>
                <w:sz w:val="24"/>
              </w:rPr>
              <w:t>伦敦证券交易所</w:t>
            </w:r>
          </w:p>
        </w:tc>
        <w:tc>
          <w:tcPr>
            <w:tcW w:w="975" w:type="dxa"/>
            <w:vAlign w:val="center"/>
          </w:tcPr>
          <w:p w:rsidR="00E74C22" w:rsidRDefault="00C00982">
            <w:pPr>
              <w:jc w:val="center"/>
            </w:pPr>
            <w:r>
              <w:rPr>
                <w:color w:val="000000"/>
                <w:sz w:val="24"/>
              </w:rPr>
              <w:t>英国</w:t>
            </w:r>
          </w:p>
        </w:tc>
        <w:tc>
          <w:tcPr>
            <w:tcW w:w="1175" w:type="dxa"/>
            <w:vAlign w:val="center"/>
          </w:tcPr>
          <w:p w:rsidR="00E74C22" w:rsidRDefault="00C00982">
            <w:pPr>
              <w:jc w:val="right"/>
            </w:pPr>
            <w:r>
              <w:rPr>
                <w:color w:val="000000"/>
                <w:sz w:val="24"/>
              </w:rPr>
              <w:t>2,543</w:t>
            </w:r>
          </w:p>
        </w:tc>
        <w:tc>
          <w:tcPr>
            <w:tcW w:w="975" w:type="dxa"/>
            <w:vAlign w:val="center"/>
          </w:tcPr>
          <w:p w:rsidR="00E74C22" w:rsidRDefault="00C00982">
            <w:pPr>
              <w:jc w:val="right"/>
            </w:pPr>
            <w:r>
              <w:rPr>
                <w:color w:val="000000"/>
                <w:sz w:val="24"/>
              </w:rPr>
              <w:t>1,589,580.26</w:t>
            </w:r>
          </w:p>
        </w:tc>
        <w:tc>
          <w:tcPr>
            <w:tcW w:w="1175" w:type="dxa"/>
            <w:vAlign w:val="center"/>
          </w:tcPr>
          <w:p w:rsidR="00E74C22" w:rsidRDefault="00C00982">
            <w:pPr>
              <w:jc w:val="right"/>
            </w:pPr>
            <w:r>
              <w:rPr>
                <w:color w:val="000000"/>
                <w:sz w:val="24"/>
              </w:rPr>
              <w:t>1.84</w:t>
            </w:r>
          </w:p>
        </w:tc>
      </w:tr>
      <w:tr w:rsidR="00E74C22">
        <w:trPr>
          <w:jc w:val="center"/>
        </w:trPr>
        <w:tc>
          <w:tcPr>
            <w:tcW w:w="1243" w:type="dxa"/>
            <w:vAlign w:val="center"/>
          </w:tcPr>
          <w:p w:rsidR="00E74C22" w:rsidRDefault="00C00982">
            <w:pPr>
              <w:jc w:val="center"/>
            </w:pPr>
            <w:r>
              <w:rPr>
                <w:color w:val="000000"/>
                <w:sz w:val="24"/>
              </w:rPr>
              <w:t>4</w:t>
            </w:r>
          </w:p>
        </w:tc>
        <w:tc>
          <w:tcPr>
            <w:tcW w:w="971" w:type="dxa"/>
            <w:vAlign w:val="center"/>
          </w:tcPr>
          <w:p w:rsidR="00E74C22" w:rsidRDefault="00C00982">
            <w:pPr>
              <w:jc w:val="center"/>
            </w:pPr>
            <w:r>
              <w:rPr>
                <w:color w:val="000000"/>
                <w:sz w:val="24"/>
              </w:rPr>
              <w:t>Unitedhealth Group Inc</w:t>
            </w:r>
          </w:p>
        </w:tc>
        <w:tc>
          <w:tcPr>
            <w:tcW w:w="993" w:type="dxa"/>
            <w:vAlign w:val="center"/>
          </w:tcPr>
          <w:p w:rsidR="00E74C22" w:rsidRDefault="00C00982">
            <w:pPr>
              <w:jc w:val="center"/>
            </w:pPr>
            <w:r>
              <w:rPr>
                <w:color w:val="000000"/>
                <w:sz w:val="24"/>
              </w:rPr>
              <w:t>美国联合健康集团</w:t>
            </w:r>
          </w:p>
        </w:tc>
        <w:tc>
          <w:tcPr>
            <w:tcW w:w="725" w:type="dxa"/>
            <w:vAlign w:val="center"/>
          </w:tcPr>
          <w:p w:rsidR="00E74C22" w:rsidRDefault="00C00982">
            <w:pPr>
              <w:jc w:val="center"/>
            </w:pPr>
            <w:r>
              <w:rPr>
                <w:color w:val="000000"/>
                <w:sz w:val="24"/>
              </w:rPr>
              <w:t>UNH US</w:t>
            </w:r>
          </w:p>
        </w:tc>
        <w:tc>
          <w:tcPr>
            <w:tcW w:w="747" w:type="dxa"/>
            <w:vAlign w:val="center"/>
          </w:tcPr>
          <w:p w:rsidR="00E74C22" w:rsidRDefault="00C00982">
            <w:pPr>
              <w:jc w:val="center"/>
            </w:pPr>
            <w:r>
              <w:rPr>
                <w:color w:val="000000"/>
                <w:sz w:val="24"/>
              </w:rPr>
              <w:t>美国证券交易所</w:t>
            </w:r>
          </w:p>
        </w:tc>
        <w:tc>
          <w:tcPr>
            <w:tcW w:w="975" w:type="dxa"/>
            <w:vAlign w:val="center"/>
          </w:tcPr>
          <w:p w:rsidR="00E74C22" w:rsidRDefault="00C00982">
            <w:pPr>
              <w:jc w:val="center"/>
            </w:pPr>
            <w:r>
              <w:rPr>
                <w:color w:val="000000"/>
                <w:sz w:val="24"/>
              </w:rPr>
              <w:t>美国</w:t>
            </w:r>
          </w:p>
        </w:tc>
        <w:tc>
          <w:tcPr>
            <w:tcW w:w="1175" w:type="dxa"/>
            <w:vAlign w:val="center"/>
          </w:tcPr>
          <w:p w:rsidR="00E74C22" w:rsidRDefault="00C00982">
            <w:pPr>
              <w:jc w:val="right"/>
            </w:pPr>
            <w:r>
              <w:rPr>
                <w:color w:val="000000"/>
                <w:sz w:val="24"/>
              </w:rPr>
              <w:t>1,861</w:t>
            </w:r>
          </w:p>
        </w:tc>
        <w:tc>
          <w:tcPr>
            <w:tcW w:w="975" w:type="dxa"/>
            <w:vAlign w:val="center"/>
          </w:tcPr>
          <w:p w:rsidR="00E74C22" w:rsidRDefault="00C00982">
            <w:pPr>
              <w:jc w:val="right"/>
            </w:pPr>
            <w:r>
              <w:rPr>
                <w:color w:val="000000"/>
                <w:sz w:val="24"/>
              </w:rPr>
              <w:t>1,549,931.39</w:t>
            </w:r>
          </w:p>
        </w:tc>
        <w:tc>
          <w:tcPr>
            <w:tcW w:w="1175" w:type="dxa"/>
            <w:vAlign w:val="center"/>
          </w:tcPr>
          <w:p w:rsidR="00E74C22" w:rsidRDefault="00C00982">
            <w:pPr>
              <w:jc w:val="right"/>
            </w:pPr>
            <w:r>
              <w:rPr>
                <w:color w:val="000000"/>
                <w:sz w:val="24"/>
              </w:rPr>
              <w:t>1.79</w:t>
            </w:r>
          </w:p>
        </w:tc>
      </w:tr>
      <w:tr w:rsidR="00E74C22">
        <w:trPr>
          <w:jc w:val="center"/>
        </w:trPr>
        <w:tc>
          <w:tcPr>
            <w:tcW w:w="1243" w:type="dxa"/>
            <w:vAlign w:val="center"/>
          </w:tcPr>
          <w:p w:rsidR="00E74C22" w:rsidRDefault="00C00982">
            <w:pPr>
              <w:jc w:val="center"/>
            </w:pPr>
            <w:r>
              <w:rPr>
                <w:color w:val="000000"/>
                <w:sz w:val="24"/>
              </w:rPr>
              <w:t>5</w:t>
            </w:r>
          </w:p>
        </w:tc>
        <w:tc>
          <w:tcPr>
            <w:tcW w:w="971" w:type="dxa"/>
            <w:vAlign w:val="center"/>
          </w:tcPr>
          <w:p w:rsidR="00E74C22" w:rsidRDefault="00C00982">
            <w:pPr>
              <w:jc w:val="center"/>
            </w:pPr>
            <w:r>
              <w:rPr>
                <w:color w:val="000000"/>
                <w:sz w:val="24"/>
              </w:rPr>
              <w:t>Imperial Brands PLC</w:t>
            </w:r>
          </w:p>
        </w:tc>
        <w:tc>
          <w:tcPr>
            <w:tcW w:w="993" w:type="dxa"/>
            <w:vAlign w:val="center"/>
          </w:tcPr>
          <w:p w:rsidR="00E74C22" w:rsidRDefault="00C00982">
            <w:pPr>
              <w:jc w:val="center"/>
            </w:pPr>
            <w:r>
              <w:rPr>
                <w:color w:val="000000"/>
                <w:sz w:val="24"/>
              </w:rPr>
              <w:t>帝国烟草公司</w:t>
            </w:r>
          </w:p>
        </w:tc>
        <w:tc>
          <w:tcPr>
            <w:tcW w:w="725" w:type="dxa"/>
            <w:vAlign w:val="center"/>
          </w:tcPr>
          <w:p w:rsidR="00E74C22" w:rsidRDefault="00C00982">
            <w:pPr>
              <w:jc w:val="center"/>
            </w:pPr>
            <w:r>
              <w:rPr>
                <w:color w:val="000000"/>
                <w:sz w:val="24"/>
              </w:rPr>
              <w:t>IMB LN</w:t>
            </w:r>
          </w:p>
        </w:tc>
        <w:tc>
          <w:tcPr>
            <w:tcW w:w="747" w:type="dxa"/>
            <w:vAlign w:val="center"/>
          </w:tcPr>
          <w:p w:rsidR="00E74C22" w:rsidRDefault="00C00982">
            <w:pPr>
              <w:jc w:val="center"/>
            </w:pPr>
            <w:r>
              <w:rPr>
                <w:color w:val="000000"/>
                <w:sz w:val="24"/>
              </w:rPr>
              <w:t>伦敦证券交易所</w:t>
            </w:r>
          </w:p>
        </w:tc>
        <w:tc>
          <w:tcPr>
            <w:tcW w:w="975" w:type="dxa"/>
            <w:vAlign w:val="center"/>
          </w:tcPr>
          <w:p w:rsidR="00E74C22" w:rsidRDefault="00C00982">
            <w:pPr>
              <w:jc w:val="center"/>
            </w:pPr>
            <w:r>
              <w:rPr>
                <w:color w:val="000000"/>
                <w:sz w:val="24"/>
              </w:rPr>
              <w:t>英国</w:t>
            </w:r>
          </w:p>
        </w:tc>
        <w:tc>
          <w:tcPr>
            <w:tcW w:w="1175" w:type="dxa"/>
            <w:vAlign w:val="center"/>
          </w:tcPr>
          <w:p w:rsidR="00E74C22" w:rsidRDefault="00C00982">
            <w:pPr>
              <w:jc w:val="right"/>
            </w:pPr>
            <w:r>
              <w:rPr>
                <w:color w:val="000000"/>
                <w:sz w:val="24"/>
              </w:rPr>
              <w:t>4,020</w:t>
            </w:r>
          </w:p>
        </w:tc>
        <w:tc>
          <w:tcPr>
            <w:tcW w:w="975" w:type="dxa"/>
            <w:vAlign w:val="center"/>
          </w:tcPr>
          <w:p w:rsidR="00E74C22" w:rsidRDefault="00C00982">
            <w:pPr>
              <w:jc w:val="right"/>
            </w:pPr>
            <w:r>
              <w:rPr>
                <w:color w:val="000000"/>
                <w:sz w:val="24"/>
              </w:rPr>
              <w:t>1,442,353.79</w:t>
            </w:r>
          </w:p>
        </w:tc>
        <w:tc>
          <w:tcPr>
            <w:tcW w:w="1175" w:type="dxa"/>
            <w:vAlign w:val="center"/>
          </w:tcPr>
          <w:p w:rsidR="00E74C22" w:rsidRDefault="00C00982">
            <w:pPr>
              <w:jc w:val="right"/>
            </w:pPr>
            <w:r>
              <w:rPr>
                <w:color w:val="000000"/>
                <w:sz w:val="24"/>
              </w:rPr>
              <w:t>1.67</w:t>
            </w:r>
          </w:p>
        </w:tc>
      </w:tr>
      <w:tr w:rsidR="00E74C22">
        <w:trPr>
          <w:jc w:val="center"/>
        </w:trPr>
        <w:tc>
          <w:tcPr>
            <w:tcW w:w="1243" w:type="dxa"/>
            <w:vAlign w:val="center"/>
          </w:tcPr>
          <w:p w:rsidR="00E74C22" w:rsidRDefault="00C00982">
            <w:pPr>
              <w:jc w:val="center"/>
            </w:pPr>
            <w:r>
              <w:rPr>
                <w:color w:val="000000"/>
                <w:sz w:val="24"/>
              </w:rPr>
              <w:t>6</w:t>
            </w:r>
          </w:p>
        </w:tc>
        <w:tc>
          <w:tcPr>
            <w:tcW w:w="971" w:type="dxa"/>
            <w:vAlign w:val="center"/>
          </w:tcPr>
          <w:p w:rsidR="00E74C22" w:rsidRDefault="00C00982">
            <w:pPr>
              <w:jc w:val="center"/>
            </w:pPr>
            <w:r>
              <w:rPr>
                <w:color w:val="000000"/>
                <w:sz w:val="24"/>
              </w:rPr>
              <w:t>Citigroup Inc</w:t>
            </w:r>
          </w:p>
        </w:tc>
        <w:tc>
          <w:tcPr>
            <w:tcW w:w="993" w:type="dxa"/>
            <w:vAlign w:val="center"/>
          </w:tcPr>
          <w:p w:rsidR="00E74C22" w:rsidRDefault="00C00982">
            <w:pPr>
              <w:jc w:val="center"/>
            </w:pPr>
            <w:r>
              <w:rPr>
                <w:color w:val="000000"/>
                <w:sz w:val="24"/>
              </w:rPr>
              <w:t>花旗集团</w:t>
            </w:r>
          </w:p>
        </w:tc>
        <w:tc>
          <w:tcPr>
            <w:tcW w:w="725" w:type="dxa"/>
            <w:vAlign w:val="center"/>
          </w:tcPr>
          <w:p w:rsidR="00E74C22" w:rsidRDefault="00C00982">
            <w:pPr>
              <w:jc w:val="center"/>
            </w:pPr>
            <w:r>
              <w:rPr>
                <w:color w:val="000000"/>
                <w:sz w:val="24"/>
              </w:rPr>
              <w:t>C US</w:t>
            </w:r>
          </w:p>
        </w:tc>
        <w:tc>
          <w:tcPr>
            <w:tcW w:w="747" w:type="dxa"/>
            <w:vAlign w:val="center"/>
          </w:tcPr>
          <w:p w:rsidR="00E74C22" w:rsidRDefault="00C00982">
            <w:pPr>
              <w:jc w:val="center"/>
            </w:pPr>
            <w:r>
              <w:rPr>
                <w:color w:val="000000"/>
                <w:sz w:val="24"/>
              </w:rPr>
              <w:t>美国证券交易所</w:t>
            </w:r>
          </w:p>
        </w:tc>
        <w:tc>
          <w:tcPr>
            <w:tcW w:w="975" w:type="dxa"/>
            <w:vAlign w:val="center"/>
          </w:tcPr>
          <w:p w:rsidR="00E74C22" w:rsidRDefault="00C00982">
            <w:pPr>
              <w:jc w:val="center"/>
            </w:pPr>
            <w:r>
              <w:rPr>
                <w:color w:val="000000"/>
                <w:sz w:val="24"/>
              </w:rPr>
              <w:t>美国</w:t>
            </w:r>
          </w:p>
        </w:tc>
        <w:tc>
          <w:tcPr>
            <w:tcW w:w="1175" w:type="dxa"/>
            <w:vAlign w:val="center"/>
          </w:tcPr>
          <w:p w:rsidR="00E74C22" w:rsidRDefault="00C00982">
            <w:pPr>
              <w:jc w:val="right"/>
            </w:pPr>
            <w:r>
              <w:rPr>
                <w:color w:val="000000"/>
                <w:sz w:val="24"/>
              </w:rPr>
              <w:t>5,229</w:t>
            </w:r>
          </w:p>
        </w:tc>
        <w:tc>
          <w:tcPr>
            <w:tcW w:w="975" w:type="dxa"/>
            <w:vAlign w:val="center"/>
          </w:tcPr>
          <w:p w:rsidR="00E74C22" w:rsidRDefault="00C00982">
            <w:pPr>
              <w:jc w:val="right"/>
            </w:pPr>
            <w:r>
              <w:rPr>
                <w:color w:val="000000"/>
                <w:sz w:val="24"/>
              </w:rPr>
              <w:t>1,410,549.42</w:t>
            </w:r>
          </w:p>
        </w:tc>
        <w:tc>
          <w:tcPr>
            <w:tcW w:w="1175" w:type="dxa"/>
            <w:vAlign w:val="center"/>
          </w:tcPr>
          <w:p w:rsidR="00E74C22" w:rsidRDefault="00C00982">
            <w:pPr>
              <w:jc w:val="right"/>
            </w:pPr>
            <w:r>
              <w:rPr>
                <w:color w:val="000000"/>
                <w:sz w:val="24"/>
              </w:rPr>
              <w:t>1.63</w:t>
            </w:r>
          </w:p>
        </w:tc>
      </w:tr>
      <w:tr w:rsidR="00E74C22">
        <w:trPr>
          <w:jc w:val="center"/>
        </w:trPr>
        <w:tc>
          <w:tcPr>
            <w:tcW w:w="1243" w:type="dxa"/>
            <w:vAlign w:val="center"/>
          </w:tcPr>
          <w:p w:rsidR="00E74C22" w:rsidRDefault="00C00982">
            <w:pPr>
              <w:jc w:val="center"/>
            </w:pPr>
            <w:r>
              <w:rPr>
                <w:color w:val="000000"/>
                <w:sz w:val="24"/>
              </w:rPr>
              <w:t>7</w:t>
            </w:r>
          </w:p>
        </w:tc>
        <w:tc>
          <w:tcPr>
            <w:tcW w:w="971" w:type="dxa"/>
            <w:vAlign w:val="center"/>
          </w:tcPr>
          <w:p w:rsidR="00E74C22" w:rsidRDefault="00C00982">
            <w:pPr>
              <w:jc w:val="center"/>
            </w:pPr>
            <w:r>
              <w:rPr>
                <w:color w:val="000000"/>
                <w:sz w:val="24"/>
              </w:rPr>
              <w:t>Apple Inc</w:t>
            </w:r>
          </w:p>
        </w:tc>
        <w:tc>
          <w:tcPr>
            <w:tcW w:w="993" w:type="dxa"/>
            <w:vAlign w:val="center"/>
          </w:tcPr>
          <w:p w:rsidR="00E74C22" w:rsidRDefault="00C00982">
            <w:pPr>
              <w:jc w:val="center"/>
            </w:pPr>
            <w:r>
              <w:rPr>
                <w:color w:val="000000"/>
                <w:sz w:val="24"/>
              </w:rPr>
              <w:t>苹果公司</w:t>
            </w:r>
          </w:p>
        </w:tc>
        <w:tc>
          <w:tcPr>
            <w:tcW w:w="725" w:type="dxa"/>
            <w:vAlign w:val="center"/>
          </w:tcPr>
          <w:p w:rsidR="00E74C22" w:rsidRDefault="00C00982">
            <w:pPr>
              <w:jc w:val="center"/>
            </w:pPr>
            <w:r>
              <w:rPr>
                <w:color w:val="000000"/>
                <w:sz w:val="24"/>
              </w:rPr>
              <w:t>AAPL US</w:t>
            </w:r>
          </w:p>
        </w:tc>
        <w:tc>
          <w:tcPr>
            <w:tcW w:w="747" w:type="dxa"/>
            <w:vAlign w:val="center"/>
          </w:tcPr>
          <w:p w:rsidR="00E74C22" w:rsidRDefault="00C00982">
            <w:pPr>
              <w:jc w:val="center"/>
            </w:pPr>
            <w:r>
              <w:rPr>
                <w:color w:val="000000"/>
                <w:sz w:val="24"/>
              </w:rPr>
              <w:t>美国证券交易所</w:t>
            </w:r>
          </w:p>
        </w:tc>
        <w:tc>
          <w:tcPr>
            <w:tcW w:w="975" w:type="dxa"/>
            <w:vAlign w:val="center"/>
          </w:tcPr>
          <w:p w:rsidR="00E74C22" w:rsidRDefault="00C00982">
            <w:pPr>
              <w:jc w:val="center"/>
            </w:pPr>
            <w:r>
              <w:rPr>
                <w:color w:val="000000"/>
                <w:sz w:val="24"/>
              </w:rPr>
              <w:t>美国</w:t>
            </w:r>
          </w:p>
        </w:tc>
        <w:tc>
          <w:tcPr>
            <w:tcW w:w="1175" w:type="dxa"/>
            <w:vAlign w:val="center"/>
          </w:tcPr>
          <w:p w:rsidR="00E74C22" w:rsidRDefault="00C00982">
            <w:pPr>
              <w:jc w:val="right"/>
            </w:pPr>
            <w:r>
              <w:rPr>
                <w:color w:val="000000"/>
                <w:sz w:val="24"/>
              </w:rPr>
              <w:t>1,985</w:t>
            </w:r>
          </w:p>
        </w:tc>
        <w:tc>
          <w:tcPr>
            <w:tcW w:w="975" w:type="dxa"/>
            <w:vAlign w:val="center"/>
          </w:tcPr>
          <w:p w:rsidR="00E74C22" w:rsidRDefault="00C00982">
            <w:pPr>
              <w:jc w:val="right"/>
            </w:pPr>
            <w:r>
              <w:rPr>
                <w:color w:val="000000"/>
                <w:sz w:val="24"/>
              </w:rPr>
              <w:t>1,397,849.28</w:t>
            </w:r>
          </w:p>
        </w:tc>
        <w:tc>
          <w:tcPr>
            <w:tcW w:w="1175" w:type="dxa"/>
            <w:vAlign w:val="center"/>
          </w:tcPr>
          <w:p w:rsidR="00E74C22" w:rsidRDefault="00C00982">
            <w:pPr>
              <w:jc w:val="right"/>
            </w:pPr>
            <w:r>
              <w:rPr>
                <w:color w:val="000000"/>
                <w:sz w:val="24"/>
              </w:rPr>
              <w:t>1.62</w:t>
            </w:r>
          </w:p>
        </w:tc>
      </w:tr>
      <w:tr w:rsidR="00E74C22">
        <w:trPr>
          <w:jc w:val="center"/>
        </w:trPr>
        <w:tc>
          <w:tcPr>
            <w:tcW w:w="1243" w:type="dxa"/>
            <w:vAlign w:val="center"/>
          </w:tcPr>
          <w:p w:rsidR="00E74C22" w:rsidRDefault="00C00982">
            <w:pPr>
              <w:jc w:val="center"/>
            </w:pPr>
            <w:r>
              <w:rPr>
                <w:color w:val="000000"/>
                <w:sz w:val="24"/>
              </w:rPr>
              <w:t>8</w:t>
            </w:r>
          </w:p>
        </w:tc>
        <w:tc>
          <w:tcPr>
            <w:tcW w:w="971" w:type="dxa"/>
            <w:vAlign w:val="center"/>
          </w:tcPr>
          <w:p w:rsidR="00E74C22" w:rsidRDefault="00C00982">
            <w:pPr>
              <w:jc w:val="center"/>
            </w:pPr>
            <w:r>
              <w:rPr>
                <w:color w:val="000000"/>
                <w:sz w:val="24"/>
              </w:rPr>
              <w:t>Fresenius Medical Care AG &amp; Co. KGaA</w:t>
            </w:r>
          </w:p>
        </w:tc>
        <w:tc>
          <w:tcPr>
            <w:tcW w:w="993" w:type="dxa"/>
            <w:vAlign w:val="center"/>
          </w:tcPr>
          <w:p w:rsidR="00E74C22" w:rsidRDefault="00C00982">
            <w:pPr>
              <w:jc w:val="center"/>
            </w:pPr>
            <w:r>
              <w:rPr>
                <w:color w:val="000000"/>
                <w:sz w:val="24"/>
              </w:rPr>
              <w:t>费森尤斯医疗服务股份两合公司</w:t>
            </w:r>
          </w:p>
        </w:tc>
        <w:tc>
          <w:tcPr>
            <w:tcW w:w="725" w:type="dxa"/>
            <w:vAlign w:val="center"/>
          </w:tcPr>
          <w:p w:rsidR="00E74C22" w:rsidRDefault="00C00982">
            <w:pPr>
              <w:jc w:val="center"/>
            </w:pPr>
            <w:r>
              <w:rPr>
                <w:color w:val="000000"/>
                <w:sz w:val="24"/>
              </w:rPr>
              <w:t>FME GR</w:t>
            </w:r>
          </w:p>
        </w:tc>
        <w:tc>
          <w:tcPr>
            <w:tcW w:w="747" w:type="dxa"/>
            <w:vAlign w:val="center"/>
          </w:tcPr>
          <w:p w:rsidR="00E74C22" w:rsidRDefault="00C00982">
            <w:pPr>
              <w:jc w:val="center"/>
            </w:pPr>
            <w:r>
              <w:rPr>
                <w:color w:val="000000"/>
                <w:sz w:val="24"/>
              </w:rPr>
              <w:t>德国证券交易所</w:t>
            </w:r>
          </w:p>
        </w:tc>
        <w:tc>
          <w:tcPr>
            <w:tcW w:w="975" w:type="dxa"/>
            <w:vAlign w:val="center"/>
          </w:tcPr>
          <w:p w:rsidR="00E74C22" w:rsidRDefault="00C00982">
            <w:pPr>
              <w:jc w:val="center"/>
            </w:pPr>
            <w:r>
              <w:rPr>
                <w:color w:val="000000"/>
                <w:sz w:val="24"/>
              </w:rPr>
              <w:t>德国</w:t>
            </w:r>
          </w:p>
        </w:tc>
        <w:tc>
          <w:tcPr>
            <w:tcW w:w="1175" w:type="dxa"/>
            <w:vAlign w:val="center"/>
          </w:tcPr>
          <w:p w:rsidR="00E74C22" w:rsidRDefault="00C00982">
            <w:pPr>
              <w:jc w:val="right"/>
            </w:pPr>
            <w:r>
              <w:rPr>
                <w:color w:val="000000"/>
                <w:sz w:val="24"/>
              </w:rPr>
              <w:t>2,428</w:t>
            </w:r>
          </w:p>
        </w:tc>
        <w:tc>
          <w:tcPr>
            <w:tcW w:w="975" w:type="dxa"/>
            <w:vAlign w:val="center"/>
          </w:tcPr>
          <w:p w:rsidR="00E74C22" w:rsidRDefault="00C00982">
            <w:pPr>
              <w:jc w:val="right"/>
            </w:pPr>
            <w:r>
              <w:rPr>
                <w:color w:val="000000"/>
                <w:sz w:val="24"/>
              </w:rPr>
              <w:t>1,387,535.92</w:t>
            </w:r>
          </w:p>
        </w:tc>
        <w:tc>
          <w:tcPr>
            <w:tcW w:w="1175" w:type="dxa"/>
            <w:vAlign w:val="center"/>
          </w:tcPr>
          <w:p w:rsidR="00E74C22" w:rsidRDefault="00C00982">
            <w:pPr>
              <w:jc w:val="right"/>
            </w:pPr>
            <w:r>
              <w:rPr>
                <w:color w:val="000000"/>
                <w:sz w:val="24"/>
              </w:rPr>
              <w:t>1.61</w:t>
            </w:r>
          </w:p>
        </w:tc>
      </w:tr>
      <w:tr w:rsidR="00E74C22">
        <w:trPr>
          <w:jc w:val="center"/>
        </w:trPr>
        <w:tc>
          <w:tcPr>
            <w:tcW w:w="1243" w:type="dxa"/>
            <w:vAlign w:val="center"/>
          </w:tcPr>
          <w:p w:rsidR="00E74C22" w:rsidRDefault="00C00982">
            <w:pPr>
              <w:jc w:val="center"/>
            </w:pPr>
            <w:r>
              <w:rPr>
                <w:color w:val="000000"/>
                <w:sz w:val="24"/>
              </w:rPr>
              <w:t>9</w:t>
            </w:r>
          </w:p>
        </w:tc>
        <w:tc>
          <w:tcPr>
            <w:tcW w:w="971" w:type="dxa"/>
            <w:vAlign w:val="center"/>
          </w:tcPr>
          <w:p w:rsidR="00E74C22" w:rsidRDefault="00C00982">
            <w:pPr>
              <w:jc w:val="center"/>
            </w:pPr>
            <w:r>
              <w:rPr>
                <w:color w:val="000000"/>
                <w:sz w:val="24"/>
              </w:rPr>
              <w:t>Pfizer Inc</w:t>
            </w:r>
          </w:p>
        </w:tc>
        <w:tc>
          <w:tcPr>
            <w:tcW w:w="993" w:type="dxa"/>
            <w:vAlign w:val="center"/>
          </w:tcPr>
          <w:p w:rsidR="00E74C22" w:rsidRDefault="00C00982">
            <w:pPr>
              <w:jc w:val="center"/>
            </w:pPr>
            <w:r>
              <w:rPr>
                <w:color w:val="000000"/>
                <w:sz w:val="24"/>
              </w:rPr>
              <w:t>辉瑞制药公司</w:t>
            </w:r>
          </w:p>
        </w:tc>
        <w:tc>
          <w:tcPr>
            <w:tcW w:w="725" w:type="dxa"/>
            <w:vAlign w:val="center"/>
          </w:tcPr>
          <w:p w:rsidR="00E74C22" w:rsidRDefault="00C00982">
            <w:pPr>
              <w:jc w:val="center"/>
            </w:pPr>
            <w:r>
              <w:rPr>
                <w:color w:val="000000"/>
                <w:sz w:val="24"/>
              </w:rPr>
              <w:t>PFE US</w:t>
            </w:r>
          </w:p>
        </w:tc>
        <w:tc>
          <w:tcPr>
            <w:tcW w:w="747" w:type="dxa"/>
            <w:vAlign w:val="center"/>
          </w:tcPr>
          <w:p w:rsidR="00E74C22" w:rsidRDefault="00C00982">
            <w:pPr>
              <w:jc w:val="center"/>
            </w:pPr>
            <w:r>
              <w:rPr>
                <w:color w:val="000000"/>
                <w:sz w:val="24"/>
              </w:rPr>
              <w:t>美国证券交易所</w:t>
            </w:r>
          </w:p>
        </w:tc>
        <w:tc>
          <w:tcPr>
            <w:tcW w:w="975" w:type="dxa"/>
            <w:vAlign w:val="center"/>
          </w:tcPr>
          <w:p w:rsidR="00E74C22" w:rsidRDefault="00C00982">
            <w:pPr>
              <w:jc w:val="center"/>
            </w:pPr>
            <w:r>
              <w:rPr>
                <w:color w:val="000000"/>
                <w:sz w:val="24"/>
              </w:rPr>
              <w:t>美国</w:t>
            </w:r>
          </w:p>
        </w:tc>
        <w:tc>
          <w:tcPr>
            <w:tcW w:w="1175" w:type="dxa"/>
            <w:vAlign w:val="center"/>
          </w:tcPr>
          <w:p w:rsidR="00E74C22" w:rsidRDefault="00C00982">
            <w:pPr>
              <w:jc w:val="right"/>
            </w:pPr>
            <w:r>
              <w:rPr>
                <w:color w:val="000000"/>
                <w:sz w:val="24"/>
              </w:rPr>
              <w:t>7,242</w:t>
            </w:r>
          </w:p>
        </w:tc>
        <w:tc>
          <w:tcPr>
            <w:tcW w:w="975" w:type="dxa"/>
            <w:vAlign w:val="center"/>
          </w:tcPr>
          <w:p w:rsidR="00E74C22" w:rsidRDefault="00C00982">
            <w:pPr>
              <w:jc w:val="right"/>
            </w:pPr>
            <w:r>
              <w:rPr>
                <w:color w:val="000000"/>
                <w:sz w:val="24"/>
              </w:rPr>
              <w:t>1,386,915.19</w:t>
            </w:r>
          </w:p>
        </w:tc>
        <w:tc>
          <w:tcPr>
            <w:tcW w:w="1175" w:type="dxa"/>
            <w:vAlign w:val="center"/>
          </w:tcPr>
          <w:p w:rsidR="00E74C22" w:rsidRDefault="00C00982">
            <w:pPr>
              <w:jc w:val="right"/>
            </w:pPr>
            <w:r>
              <w:rPr>
                <w:color w:val="000000"/>
                <w:sz w:val="24"/>
              </w:rPr>
              <w:t>1.61</w:t>
            </w:r>
          </w:p>
        </w:tc>
      </w:tr>
      <w:tr w:rsidR="00E74C22">
        <w:trPr>
          <w:jc w:val="center"/>
        </w:trPr>
        <w:tc>
          <w:tcPr>
            <w:tcW w:w="1243" w:type="dxa"/>
            <w:vAlign w:val="center"/>
          </w:tcPr>
          <w:p w:rsidR="00E74C22" w:rsidRDefault="00C00982">
            <w:pPr>
              <w:jc w:val="center"/>
            </w:pPr>
            <w:r>
              <w:rPr>
                <w:color w:val="000000"/>
                <w:sz w:val="24"/>
              </w:rPr>
              <w:t>10</w:t>
            </w:r>
          </w:p>
        </w:tc>
        <w:tc>
          <w:tcPr>
            <w:tcW w:w="971" w:type="dxa"/>
            <w:vAlign w:val="center"/>
          </w:tcPr>
          <w:p w:rsidR="00E74C22" w:rsidRDefault="00C00982">
            <w:pPr>
              <w:jc w:val="center"/>
            </w:pPr>
            <w:r>
              <w:rPr>
                <w:color w:val="000000"/>
                <w:sz w:val="24"/>
              </w:rPr>
              <w:t>Visa Inc</w:t>
            </w:r>
          </w:p>
        </w:tc>
        <w:tc>
          <w:tcPr>
            <w:tcW w:w="993" w:type="dxa"/>
            <w:vAlign w:val="center"/>
          </w:tcPr>
          <w:p w:rsidR="00E74C22" w:rsidRDefault="00C00982">
            <w:pPr>
              <w:jc w:val="center"/>
            </w:pPr>
            <w:r>
              <w:rPr>
                <w:color w:val="000000"/>
                <w:sz w:val="24"/>
              </w:rPr>
              <w:t>维萨公司</w:t>
            </w:r>
          </w:p>
        </w:tc>
        <w:tc>
          <w:tcPr>
            <w:tcW w:w="725" w:type="dxa"/>
            <w:vAlign w:val="center"/>
          </w:tcPr>
          <w:p w:rsidR="00E74C22" w:rsidRDefault="00C00982">
            <w:pPr>
              <w:jc w:val="center"/>
            </w:pPr>
            <w:r>
              <w:rPr>
                <w:color w:val="000000"/>
                <w:sz w:val="24"/>
              </w:rPr>
              <w:t>V US</w:t>
            </w:r>
          </w:p>
        </w:tc>
        <w:tc>
          <w:tcPr>
            <w:tcW w:w="747" w:type="dxa"/>
            <w:vAlign w:val="center"/>
          </w:tcPr>
          <w:p w:rsidR="00E74C22" w:rsidRDefault="00C00982">
            <w:pPr>
              <w:jc w:val="center"/>
            </w:pPr>
            <w:r>
              <w:rPr>
                <w:color w:val="000000"/>
                <w:sz w:val="24"/>
              </w:rPr>
              <w:t>美国证券</w:t>
            </w:r>
            <w:r>
              <w:rPr>
                <w:color w:val="000000"/>
                <w:sz w:val="24"/>
              </w:rPr>
              <w:lastRenderedPageBreak/>
              <w:t>交易所</w:t>
            </w:r>
          </w:p>
        </w:tc>
        <w:tc>
          <w:tcPr>
            <w:tcW w:w="975" w:type="dxa"/>
            <w:vAlign w:val="center"/>
          </w:tcPr>
          <w:p w:rsidR="00E74C22" w:rsidRDefault="00C00982">
            <w:pPr>
              <w:jc w:val="center"/>
            </w:pPr>
            <w:r>
              <w:rPr>
                <w:color w:val="000000"/>
                <w:sz w:val="24"/>
              </w:rPr>
              <w:lastRenderedPageBreak/>
              <w:t>美国</w:t>
            </w:r>
          </w:p>
        </w:tc>
        <w:tc>
          <w:tcPr>
            <w:tcW w:w="1175" w:type="dxa"/>
            <w:vAlign w:val="center"/>
          </w:tcPr>
          <w:p w:rsidR="00E74C22" w:rsidRDefault="00C00982">
            <w:pPr>
              <w:jc w:val="right"/>
            </w:pPr>
            <w:r>
              <w:rPr>
                <w:color w:val="000000"/>
                <w:sz w:val="24"/>
              </w:rPr>
              <w:t>2,799</w:t>
            </w:r>
          </w:p>
        </w:tc>
        <w:tc>
          <w:tcPr>
            <w:tcW w:w="975" w:type="dxa"/>
            <w:vAlign w:val="center"/>
          </w:tcPr>
          <w:p w:rsidR="00E74C22" w:rsidRDefault="00C00982">
            <w:pPr>
              <w:jc w:val="right"/>
            </w:pPr>
            <w:r>
              <w:rPr>
                <w:color w:val="000000"/>
                <w:sz w:val="24"/>
              </w:rPr>
              <w:t>1,383,133.06</w:t>
            </w:r>
          </w:p>
        </w:tc>
        <w:tc>
          <w:tcPr>
            <w:tcW w:w="1175" w:type="dxa"/>
            <w:vAlign w:val="center"/>
          </w:tcPr>
          <w:p w:rsidR="00E74C22" w:rsidRDefault="00C00982">
            <w:pPr>
              <w:jc w:val="right"/>
            </w:pPr>
            <w:r>
              <w:rPr>
                <w:color w:val="000000"/>
                <w:sz w:val="24"/>
              </w:rPr>
              <w:t>1.60</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lastRenderedPageBreak/>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Ind w:w="15" w:type="dxa"/>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2,279,722.60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122,399.41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434.29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92,345.88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lastRenderedPageBreak/>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2,494,902.18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57,715,799.32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2,865,260.77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1,221,616.08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59,359,444.01</w:t>
            </w:r>
          </w:p>
        </w:tc>
      </w:tr>
    </w:tbl>
    <w:p w:rsidR="00E74C22" w:rsidRDefault="00C0098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00982">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2"/>
        <w:gridCol w:w="1776"/>
        <w:gridCol w:w="1317"/>
        <w:gridCol w:w="1633"/>
        <w:gridCol w:w="1767"/>
        <w:gridCol w:w="1343"/>
      </w:tblGrid>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序号</w:t>
            </w:r>
          </w:p>
        </w:tc>
        <w:tc>
          <w:tcPr>
            <w:tcW w:w="185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交易方式</w:t>
            </w:r>
          </w:p>
        </w:tc>
        <w:tc>
          <w:tcPr>
            <w:tcW w:w="1370" w:type="dxa"/>
            <w:vAlign w:val="center"/>
          </w:tcPr>
          <w:p w:rsidR="005E64DA" w:rsidRPr="008640AE" w:rsidRDefault="005E64DA" w:rsidP="005546C0">
            <w:pPr>
              <w:adjustRightInd w:val="0"/>
              <w:snapToGrid w:val="0"/>
              <w:spacing w:before="29" w:line="288" w:lineRule="auto"/>
              <w:rPr>
                <w:color w:val="000000"/>
                <w:kern w:val="0"/>
                <w:sz w:val="24"/>
              </w:rPr>
            </w:pPr>
            <w:r w:rsidRPr="008640AE">
              <w:rPr>
                <w:color w:val="000000"/>
                <w:kern w:val="0"/>
                <w:sz w:val="24"/>
              </w:rPr>
              <w:t>交易日期</w:t>
            </w:r>
          </w:p>
        </w:tc>
        <w:tc>
          <w:tcPr>
            <w:tcW w:w="170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交易份额（份）</w:t>
            </w:r>
          </w:p>
        </w:tc>
        <w:tc>
          <w:tcPr>
            <w:tcW w:w="1842"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交易金额（元）</w:t>
            </w:r>
          </w:p>
        </w:tc>
        <w:tc>
          <w:tcPr>
            <w:tcW w:w="1397"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适用费率</w:t>
            </w:r>
          </w:p>
        </w:tc>
      </w:tr>
      <w:tr w:rsidR="00E74C22">
        <w:trPr>
          <w:jc w:val="center"/>
        </w:trPr>
        <w:tc>
          <w:tcPr>
            <w:tcW w:w="1032" w:type="dxa"/>
            <w:vAlign w:val="center"/>
          </w:tcPr>
          <w:p w:rsidR="00E74C22" w:rsidRDefault="00C00982">
            <w:pPr>
              <w:jc w:val="center"/>
            </w:pPr>
            <w:r>
              <w:rPr>
                <w:color w:val="000000"/>
                <w:sz w:val="24"/>
              </w:rPr>
              <w:t>1</w:t>
            </w:r>
          </w:p>
        </w:tc>
        <w:tc>
          <w:tcPr>
            <w:tcW w:w="1776" w:type="dxa"/>
            <w:vAlign w:val="center"/>
          </w:tcPr>
          <w:p w:rsidR="00E74C22" w:rsidRDefault="00C00982">
            <w:pPr>
              <w:jc w:val="center"/>
            </w:pPr>
            <w:r>
              <w:rPr>
                <w:color w:val="000000"/>
                <w:sz w:val="24"/>
              </w:rPr>
              <w:t>红利再投</w:t>
            </w:r>
          </w:p>
        </w:tc>
        <w:tc>
          <w:tcPr>
            <w:tcW w:w="1317" w:type="dxa"/>
            <w:vAlign w:val="center"/>
          </w:tcPr>
          <w:p w:rsidR="00E74C22" w:rsidRDefault="00C00982">
            <w:pPr>
              <w:jc w:val="center"/>
            </w:pPr>
            <w:r>
              <w:rPr>
                <w:color w:val="000000"/>
                <w:sz w:val="24"/>
              </w:rPr>
              <w:t>2016-01-14</w:t>
            </w:r>
          </w:p>
        </w:tc>
        <w:tc>
          <w:tcPr>
            <w:tcW w:w="1633" w:type="dxa"/>
            <w:vAlign w:val="center"/>
          </w:tcPr>
          <w:p w:rsidR="00E74C22" w:rsidRDefault="00C00982">
            <w:pPr>
              <w:jc w:val="right"/>
            </w:pPr>
            <w:r>
              <w:rPr>
                <w:color w:val="000000"/>
                <w:sz w:val="24"/>
              </w:rPr>
              <w:t>1,007,791.44</w:t>
            </w:r>
          </w:p>
        </w:tc>
        <w:tc>
          <w:tcPr>
            <w:tcW w:w="1767" w:type="dxa"/>
            <w:vAlign w:val="center"/>
          </w:tcPr>
          <w:p w:rsidR="00E74C22" w:rsidRDefault="00C00982">
            <w:pPr>
              <w:jc w:val="right"/>
            </w:pPr>
            <w:r>
              <w:rPr>
                <w:color w:val="000000"/>
                <w:sz w:val="24"/>
              </w:rPr>
              <w:t>1,437,110.60</w:t>
            </w:r>
          </w:p>
        </w:tc>
        <w:tc>
          <w:tcPr>
            <w:tcW w:w="1343" w:type="dxa"/>
            <w:vAlign w:val="center"/>
          </w:tcPr>
          <w:p w:rsidR="00E74C22" w:rsidRDefault="00C00982">
            <w:pPr>
              <w:jc w:val="center"/>
            </w:pPr>
            <w:r>
              <w:rPr>
                <w:color w:val="000000"/>
                <w:sz w:val="24"/>
              </w:rPr>
              <w:t>-</w:t>
            </w:r>
          </w:p>
        </w:tc>
      </w:tr>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合计</w:t>
            </w:r>
          </w:p>
        </w:tc>
        <w:tc>
          <w:tcPr>
            <w:tcW w:w="1851"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370"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701"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1,007,791.44</w:t>
            </w:r>
          </w:p>
        </w:tc>
        <w:tc>
          <w:tcPr>
            <w:tcW w:w="1842"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1,437,110.60</w:t>
            </w:r>
          </w:p>
        </w:tc>
        <w:tc>
          <w:tcPr>
            <w:tcW w:w="1397" w:type="dxa"/>
            <w:vAlign w:val="center"/>
          </w:tcPr>
          <w:p w:rsidR="005E64DA" w:rsidRPr="008640AE" w:rsidRDefault="005E64DA" w:rsidP="005546C0">
            <w:pPr>
              <w:adjustRightInd w:val="0"/>
              <w:snapToGrid w:val="0"/>
              <w:spacing w:before="29" w:line="288" w:lineRule="auto"/>
              <w:jc w:val="right"/>
              <w:rPr>
                <w:color w:val="0000FF"/>
                <w:kern w:val="0"/>
                <w:sz w:val="18"/>
              </w:rPr>
            </w:pPr>
          </w:p>
        </w:tc>
      </w:tr>
    </w:tbl>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注：本基金管理人本报告期末持有本基金份额</w:t>
      </w:r>
      <w:r w:rsidRPr="008640AE">
        <w:rPr>
          <w:color w:val="000000"/>
          <w:sz w:val="24"/>
        </w:rPr>
        <w:t>24,959,634.69</w:t>
      </w:r>
      <w:r w:rsidRPr="008640AE">
        <w:rPr>
          <w:color w:val="000000"/>
          <w:sz w:val="24"/>
        </w:rPr>
        <w:t>份，占本基金期末总份额的</w:t>
      </w:r>
      <w:r w:rsidRPr="008640AE">
        <w:rPr>
          <w:color w:val="000000"/>
          <w:sz w:val="24"/>
        </w:rPr>
        <w:t>42.05%</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C00982">
      <w:pPr>
        <w:pStyle w:val="1"/>
        <w:spacing w:beforeLines="100" w:afterLines="100" w:line="288" w:lineRule="auto"/>
        <w:jc w:val="center"/>
        <w:rPr>
          <w:color w:val="000000"/>
          <w:kern w:val="0"/>
          <w:sz w:val="24"/>
          <w:szCs w:val="24"/>
        </w:rPr>
      </w:pPr>
      <w:r w:rsidRPr="008640AE">
        <w:rPr>
          <w:color w:val="000000"/>
          <w:kern w:val="0"/>
          <w:sz w:val="24"/>
          <w:szCs w:val="24"/>
        </w:rPr>
        <w:lastRenderedPageBreak/>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E74C22" w:rsidRDefault="00C00982">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E74C22" w:rsidRDefault="00C00982">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E74C22" w:rsidRDefault="00C00982">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E74C22" w:rsidRDefault="00C00982">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E74C22" w:rsidRDefault="00C0098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74C22" w:rsidRDefault="00C0098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E74C22" w:rsidRDefault="00C0098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AF" w:rsidRDefault="00516FAF">
      <w:r>
        <w:separator/>
      </w:r>
    </w:p>
  </w:endnote>
  <w:endnote w:type="continuationSeparator" w:id="0">
    <w:p w:rsidR="00516FAF" w:rsidRDefault="00516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E74C22">
      <w:rPr>
        <w:kern w:val="0"/>
        <w:szCs w:val="21"/>
      </w:rPr>
      <w:fldChar w:fldCharType="begin"/>
    </w:r>
    <w:r>
      <w:rPr>
        <w:kern w:val="0"/>
        <w:szCs w:val="21"/>
      </w:rPr>
      <w:instrText xml:space="preserve"> PAGE </w:instrText>
    </w:r>
    <w:r w:rsidR="00E74C22">
      <w:rPr>
        <w:kern w:val="0"/>
        <w:szCs w:val="21"/>
      </w:rPr>
      <w:fldChar w:fldCharType="separate"/>
    </w:r>
    <w:r w:rsidR="00C00982">
      <w:rPr>
        <w:noProof/>
        <w:kern w:val="0"/>
        <w:szCs w:val="21"/>
      </w:rPr>
      <w:t>12</w:t>
    </w:r>
    <w:r w:rsidR="00E74C22">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E74C22">
      <w:rPr>
        <w:kern w:val="0"/>
        <w:szCs w:val="21"/>
      </w:rPr>
      <w:fldChar w:fldCharType="begin"/>
    </w:r>
    <w:r>
      <w:rPr>
        <w:kern w:val="0"/>
        <w:szCs w:val="21"/>
      </w:rPr>
      <w:instrText xml:space="preserve"> NUMPAGES </w:instrText>
    </w:r>
    <w:r w:rsidR="00E74C22">
      <w:rPr>
        <w:kern w:val="0"/>
        <w:szCs w:val="21"/>
      </w:rPr>
      <w:fldChar w:fldCharType="separate"/>
    </w:r>
    <w:r w:rsidR="00C00982">
      <w:rPr>
        <w:noProof/>
        <w:kern w:val="0"/>
        <w:szCs w:val="21"/>
      </w:rPr>
      <w:t>14</w:t>
    </w:r>
    <w:r w:rsidR="00E74C22">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C" w:rsidRDefault="00E74C22">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AF" w:rsidRDefault="00516FAF">
      <w:r>
        <w:separator/>
      </w:r>
    </w:p>
  </w:footnote>
  <w:footnote w:type="continuationSeparator" w:id="0">
    <w:p w:rsidR="00516FAF" w:rsidRDefault="00516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0982"/>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C22"/>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14</Pages>
  <Words>1184</Words>
  <Characters>6751</Characters>
  <Application>Microsoft Office Word</Application>
  <DocSecurity>0</DocSecurity>
  <Lines>56</Lines>
  <Paragraphs>15</Paragraphs>
  <ScaleCrop>false</ScaleCrop>
  <Company>TRT. Ltd. Co.</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237</cp:revision>
  <cp:lastPrinted>2007-07-19T00:46:00Z</cp:lastPrinted>
  <dcterms:created xsi:type="dcterms:W3CDTF">2013-08-01T05:26:00Z</dcterms:created>
  <dcterms:modified xsi:type="dcterms:W3CDTF">2016-04-12T09:38:00Z</dcterms:modified>
</cp:coreProperties>
</file>