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074E9F" w:rsidRPr="005E324A" w:rsidRDefault="00074E9F" w:rsidP="00074E9F">
      <w:pPr>
        <w:autoSpaceDE w:val="0"/>
        <w:autoSpaceDN w:val="0"/>
        <w:adjustRightInd w:val="0"/>
        <w:spacing w:line="360" w:lineRule="auto"/>
        <w:jc w:val="left"/>
        <w:rPr>
          <w:rFonts w:eastAsiaTheme="minorEastAsia"/>
          <w:color w:val="000000"/>
          <w:kern w:val="0"/>
          <w:sz w:val="24"/>
        </w:rPr>
      </w:pPr>
    </w:p>
    <w:p w:rsidR="007F47E2" w:rsidRPr="005E324A" w:rsidRDefault="007F47E2" w:rsidP="007951F3">
      <w:pPr>
        <w:spacing w:line="360" w:lineRule="auto"/>
        <w:jc w:val="center"/>
        <w:rPr>
          <w:rFonts w:eastAsiaTheme="minorEastAsia"/>
          <w:b/>
          <w:sz w:val="36"/>
          <w:szCs w:val="36"/>
        </w:rPr>
      </w:pPr>
      <w:r w:rsidRPr="005E324A">
        <w:rPr>
          <w:rFonts w:eastAsiaTheme="minorEastAsia"/>
          <w:b/>
          <w:sz w:val="36"/>
          <w:szCs w:val="36"/>
        </w:rPr>
        <w:t>交银施罗德国证新能源指数分级证券投资基金</w:t>
      </w:r>
    </w:p>
    <w:p w:rsidR="007F47E2" w:rsidRPr="005E324A" w:rsidRDefault="007F47E2" w:rsidP="007951F3">
      <w:pPr>
        <w:spacing w:line="360" w:lineRule="auto"/>
        <w:jc w:val="center"/>
        <w:rPr>
          <w:rFonts w:eastAsiaTheme="minorEastAsia"/>
          <w:b/>
          <w:sz w:val="36"/>
          <w:szCs w:val="36"/>
        </w:rPr>
      </w:pPr>
      <w:r w:rsidRPr="005E324A">
        <w:rPr>
          <w:rFonts w:eastAsiaTheme="minorEastAsia"/>
          <w:b/>
          <w:sz w:val="36"/>
          <w:szCs w:val="36"/>
        </w:rPr>
        <w:t>2015</w:t>
      </w:r>
      <w:r w:rsidRPr="005E324A">
        <w:rPr>
          <w:rFonts w:eastAsiaTheme="minorEastAsia"/>
          <w:b/>
          <w:sz w:val="36"/>
          <w:szCs w:val="36"/>
        </w:rPr>
        <w:t>年第</w:t>
      </w:r>
      <w:r w:rsidRPr="005E324A">
        <w:rPr>
          <w:rFonts w:eastAsiaTheme="minorEastAsia"/>
          <w:b/>
          <w:sz w:val="36"/>
          <w:szCs w:val="36"/>
        </w:rPr>
        <w:t>4</w:t>
      </w:r>
      <w:r w:rsidRPr="005E324A">
        <w:rPr>
          <w:rFonts w:eastAsiaTheme="minorEastAsia"/>
          <w:b/>
          <w:sz w:val="36"/>
          <w:szCs w:val="36"/>
        </w:rPr>
        <w:t>季度报告</w:t>
      </w:r>
    </w:p>
    <w:p w:rsidR="00074E9F" w:rsidRPr="005E324A" w:rsidRDefault="001B64E7" w:rsidP="007951F3">
      <w:pPr>
        <w:spacing w:line="360" w:lineRule="auto"/>
        <w:jc w:val="center"/>
        <w:rPr>
          <w:rFonts w:eastAsiaTheme="minorEastAsia"/>
          <w:b/>
          <w:sz w:val="36"/>
          <w:szCs w:val="36"/>
        </w:rPr>
      </w:pPr>
      <w:r w:rsidRPr="005E324A">
        <w:rPr>
          <w:rFonts w:eastAsiaTheme="minorEastAsia"/>
          <w:b/>
          <w:sz w:val="36"/>
          <w:szCs w:val="36"/>
        </w:rPr>
        <w:t>2015</w:t>
      </w:r>
      <w:r w:rsidRPr="005E324A">
        <w:rPr>
          <w:rFonts w:eastAsiaTheme="minorEastAsia"/>
          <w:b/>
          <w:sz w:val="36"/>
          <w:szCs w:val="36"/>
        </w:rPr>
        <w:t>年</w:t>
      </w:r>
      <w:r w:rsidRPr="005E324A">
        <w:rPr>
          <w:rFonts w:eastAsiaTheme="minorEastAsia"/>
          <w:b/>
          <w:sz w:val="36"/>
          <w:szCs w:val="36"/>
        </w:rPr>
        <w:t>12</w:t>
      </w:r>
      <w:r w:rsidRPr="005E324A">
        <w:rPr>
          <w:rFonts w:eastAsiaTheme="minorEastAsia"/>
          <w:b/>
          <w:sz w:val="36"/>
          <w:szCs w:val="36"/>
        </w:rPr>
        <w:t>月</w:t>
      </w:r>
      <w:r w:rsidRPr="005E324A">
        <w:rPr>
          <w:rFonts w:eastAsiaTheme="minorEastAsia"/>
          <w:b/>
          <w:sz w:val="36"/>
          <w:szCs w:val="36"/>
        </w:rPr>
        <w:t>31</w:t>
      </w:r>
      <w:r w:rsidRPr="005E324A">
        <w:rPr>
          <w:rFonts w:eastAsiaTheme="minorEastAsia"/>
          <w:b/>
          <w:sz w:val="36"/>
          <w:szCs w:val="36"/>
        </w:rPr>
        <w:t>日</w:t>
      </w: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jc w:val="center"/>
        <w:rPr>
          <w:rFonts w:eastAsiaTheme="minorEastAsia"/>
          <w:b/>
          <w:color w:val="000000"/>
          <w:sz w:val="24"/>
        </w:rPr>
      </w:pPr>
    </w:p>
    <w:p w:rsidR="00074E9F" w:rsidRPr="005E324A" w:rsidRDefault="00074E9F" w:rsidP="00074E9F">
      <w:pPr>
        <w:spacing w:line="360" w:lineRule="auto"/>
        <w:rPr>
          <w:rFonts w:eastAsiaTheme="minorEastAsia"/>
          <w:b/>
          <w:color w:val="000000"/>
          <w:sz w:val="24"/>
        </w:rPr>
      </w:pPr>
    </w:p>
    <w:p w:rsidR="00074E9F" w:rsidRPr="005E324A" w:rsidRDefault="00074E9F" w:rsidP="007951F3">
      <w:pPr>
        <w:spacing w:line="360" w:lineRule="auto"/>
        <w:ind w:firstLineChars="900" w:firstLine="2168"/>
        <w:rPr>
          <w:rFonts w:eastAsiaTheme="minorEastAsia"/>
          <w:b/>
          <w:color w:val="000000"/>
          <w:sz w:val="24"/>
        </w:rPr>
      </w:pPr>
      <w:r w:rsidRPr="005E324A">
        <w:rPr>
          <w:rFonts w:eastAsiaTheme="minorEastAsia"/>
          <w:b/>
          <w:color w:val="000000"/>
          <w:sz w:val="24"/>
        </w:rPr>
        <w:t>基金管理人：</w:t>
      </w:r>
      <w:r w:rsidR="008A4909" w:rsidRPr="005E324A">
        <w:rPr>
          <w:rFonts w:eastAsiaTheme="minorEastAsia"/>
          <w:b/>
          <w:color w:val="000000"/>
          <w:sz w:val="24"/>
        </w:rPr>
        <w:t>交银施罗德基金管理有限公司</w:t>
      </w:r>
    </w:p>
    <w:p w:rsidR="00074E9F" w:rsidRPr="005E324A" w:rsidRDefault="00074E9F" w:rsidP="007951F3">
      <w:pPr>
        <w:spacing w:line="360" w:lineRule="auto"/>
        <w:ind w:firstLineChars="900" w:firstLine="2168"/>
        <w:rPr>
          <w:rFonts w:eastAsiaTheme="minorEastAsia"/>
          <w:b/>
          <w:color w:val="000000"/>
          <w:sz w:val="24"/>
        </w:rPr>
      </w:pPr>
      <w:r w:rsidRPr="005E324A">
        <w:rPr>
          <w:rFonts w:eastAsiaTheme="minorEastAsia"/>
          <w:b/>
          <w:color w:val="000000"/>
          <w:sz w:val="24"/>
        </w:rPr>
        <w:t>基金托管人：</w:t>
      </w:r>
      <w:r w:rsidR="008A4909" w:rsidRPr="005E324A">
        <w:rPr>
          <w:rFonts w:eastAsiaTheme="minorEastAsia"/>
          <w:b/>
          <w:color w:val="000000"/>
          <w:sz w:val="24"/>
        </w:rPr>
        <w:t>中国建设银行股份有限公司</w:t>
      </w:r>
    </w:p>
    <w:p w:rsidR="00074E9F" w:rsidRPr="005E324A" w:rsidRDefault="00074E9F" w:rsidP="007951F3">
      <w:pPr>
        <w:spacing w:line="360" w:lineRule="auto"/>
        <w:ind w:firstLineChars="900" w:firstLine="2168"/>
        <w:rPr>
          <w:rFonts w:eastAsiaTheme="minorEastAsia"/>
          <w:b/>
          <w:color w:val="000000"/>
          <w:sz w:val="24"/>
        </w:rPr>
        <w:sectPr w:rsidR="00074E9F" w:rsidRPr="005E324A" w:rsidSect="00230A66">
          <w:headerReference w:type="default" r:id="rId7"/>
          <w:footerReference w:type="default" r:id="rId8"/>
          <w:pgSz w:w="11926" w:h="15840"/>
          <w:pgMar w:top="1418" w:right="1418" w:bottom="851" w:left="1418" w:header="851" w:footer="992" w:gutter="0"/>
          <w:cols w:space="720"/>
          <w:noEndnote/>
        </w:sectPr>
      </w:pPr>
      <w:r w:rsidRPr="005E324A">
        <w:rPr>
          <w:rFonts w:eastAsiaTheme="minorEastAsia"/>
          <w:b/>
          <w:color w:val="000000"/>
          <w:sz w:val="24"/>
        </w:rPr>
        <w:t>报告送出日期：</w:t>
      </w:r>
      <w:r w:rsidR="007D1C16" w:rsidRPr="005E324A">
        <w:rPr>
          <w:rFonts w:eastAsiaTheme="minorEastAsia"/>
          <w:b/>
          <w:color w:val="000000"/>
          <w:sz w:val="24"/>
        </w:rPr>
        <w:t>二〇一六年一月二十一日</w:t>
      </w:r>
    </w:p>
    <w:p w:rsidR="00220542" w:rsidRPr="005E324A" w:rsidRDefault="00220542" w:rsidP="00304CC2">
      <w:pPr>
        <w:pStyle w:val="1"/>
        <w:spacing w:beforeLines="100" w:before="312" w:afterLines="100" w:after="312" w:line="360" w:lineRule="auto"/>
        <w:jc w:val="center"/>
        <w:rPr>
          <w:rFonts w:eastAsiaTheme="minorEastAsia"/>
          <w:b w:val="0"/>
          <w:color w:val="000000"/>
          <w:kern w:val="0"/>
          <w:sz w:val="24"/>
          <w:szCs w:val="24"/>
        </w:rPr>
      </w:pPr>
      <w:r w:rsidRPr="005E324A">
        <w:rPr>
          <w:rFonts w:eastAsiaTheme="minorEastAsia"/>
          <w:color w:val="000000"/>
          <w:kern w:val="0"/>
          <w:sz w:val="24"/>
          <w:szCs w:val="24"/>
        </w:rPr>
        <w:lastRenderedPageBreak/>
        <w:t xml:space="preserve">§1  </w:t>
      </w:r>
      <w:r w:rsidRPr="005E324A">
        <w:rPr>
          <w:rFonts w:eastAsiaTheme="minorEastAsia"/>
          <w:color w:val="000000"/>
          <w:kern w:val="0"/>
          <w:sz w:val="24"/>
          <w:szCs w:val="24"/>
        </w:rPr>
        <w:t>重要提示</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220542" w:rsidRPr="005E324A" w:rsidRDefault="008A4909" w:rsidP="007951F3">
      <w:pPr>
        <w:spacing w:line="360" w:lineRule="auto"/>
        <w:ind w:firstLineChars="200" w:firstLine="480"/>
        <w:rPr>
          <w:rFonts w:eastAsiaTheme="minorEastAsia"/>
          <w:color w:val="000000"/>
          <w:sz w:val="24"/>
        </w:rPr>
      </w:pPr>
      <w:r w:rsidRPr="005E324A">
        <w:rPr>
          <w:rFonts w:eastAsiaTheme="minorEastAsia"/>
          <w:color w:val="000000"/>
          <w:sz w:val="24"/>
        </w:rPr>
        <w:t>本报告期自</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10</w:t>
      </w:r>
      <w:r w:rsidRPr="005E324A">
        <w:rPr>
          <w:rFonts w:eastAsiaTheme="minorEastAsia"/>
          <w:color w:val="000000"/>
          <w:sz w:val="24"/>
        </w:rPr>
        <w:t>月</w:t>
      </w:r>
      <w:r w:rsidRPr="005E324A">
        <w:rPr>
          <w:rFonts w:eastAsiaTheme="minorEastAsia"/>
          <w:color w:val="000000"/>
          <w:sz w:val="24"/>
        </w:rPr>
        <w:t>1</w:t>
      </w:r>
      <w:r w:rsidRPr="005E324A">
        <w:rPr>
          <w:rFonts w:eastAsiaTheme="minorEastAsia"/>
          <w:color w:val="000000"/>
          <w:sz w:val="24"/>
        </w:rPr>
        <w:t>日起至</w:t>
      </w:r>
      <w:r w:rsidRPr="005E324A">
        <w:rPr>
          <w:rFonts w:eastAsiaTheme="minorEastAsia"/>
          <w:color w:val="000000"/>
          <w:sz w:val="24"/>
        </w:rPr>
        <w:t>12</w:t>
      </w:r>
      <w:r w:rsidRPr="005E324A">
        <w:rPr>
          <w:rFonts w:eastAsiaTheme="minorEastAsia"/>
          <w:color w:val="000000"/>
          <w:sz w:val="24"/>
        </w:rPr>
        <w:t>月</w:t>
      </w:r>
      <w:r w:rsidRPr="005E324A">
        <w:rPr>
          <w:rFonts w:eastAsiaTheme="minorEastAsia"/>
          <w:color w:val="000000"/>
          <w:sz w:val="24"/>
        </w:rPr>
        <w:t>31</w:t>
      </w:r>
      <w:r w:rsidRPr="005E324A">
        <w:rPr>
          <w:rFonts w:eastAsiaTheme="minorEastAsia"/>
          <w:color w:val="000000"/>
          <w:sz w:val="24"/>
        </w:rPr>
        <w:t>日止。</w:t>
      </w:r>
    </w:p>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 xml:space="preserve">§2  </w:t>
      </w:r>
      <w:r w:rsidRPr="005E324A">
        <w:rPr>
          <w:rFonts w:eastAsiaTheme="minor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8A4909" w:rsidRPr="005E324A" w:rsidTr="007A6BEA">
        <w:tc>
          <w:tcPr>
            <w:tcW w:w="2835" w:type="dxa"/>
          </w:tcPr>
          <w:p w:rsidR="008A4909" w:rsidRPr="005E324A" w:rsidRDefault="008A4909" w:rsidP="007A6BEA">
            <w:pPr>
              <w:adjustRightInd w:val="0"/>
              <w:spacing w:before="29" w:line="360" w:lineRule="auto"/>
              <w:ind w:left="17"/>
              <w:jc w:val="left"/>
              <w:rPr>
                <w:rFonts w:eastAsiaTheme="minorEastAsia"/>
                <w:kern w:val="0"/>
                <w:sz w:val="24"/>
              </w:rPr>
            </w:pPr>
            <w:r w:rsidRPr="005E324A">
              <w:rPr>
                <w:rFonts w:eastAsiaTheme="minorEastAsia"/>
                <w:kern w:val="0"/>
                <w:sz w:val="24"/>
              </w:rPr>
              <w:t>基金简称</w:t>
            </w:r>
          </w:p>
        </w:tc>
        <w:tc>
          <w:tcPr>
            <w:tcW w:w="5479" w:type="dxa"/>
            <w:gridSpan w:val="3"/>
          </w:tcPr>
          <w:p w:rsidR="008A4909" w:rsidRPr="005E324A" w:rsidRDefault="008A4909" w:rsidP="007A6BEA">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交银国证新能源指数分级</w:t>
            </w:r>
          </w:p>
        </w:tc>
      </w:tr>
      <w:tr w:rsidR="00161BBC" w:rsidRPr="005E324A" w:rsidTr="00161BBC">
        <w:tc>
          <w:tcPr>
            <w:tcW w:w="2835" w:type="dxa"/>
            <w:vAlign w:val="center"/>
          </w:tcPr>
          <w:p w:rsidR="00161BBC" w:rsidRPr="005E324A" w:rsidRDefault="00161BBC" w:rsidP="00161BBC">
            <w:pPr>
              <w:rPr>
                <w:sz w:val="24"/>
              </w:rPr>
            </w:pPr>
            <w:r w:rsidRPr="005E324A">
              <w:rPr>
                <w:sz w:val="24"/>
              </w:rPr>
              <w:t>场内简称</w:t>
            </w:r>
          </w:p>
        </w:tc>
        <w:tc>
          <w:tcPr>
            <w:tcW w:w="5479" w:type="dxa"/>
            <w:gridSpan w:val="3"/>
            <w:vAlign w:val="center"/>
          </w:tcPr>
          <w:p w:rsidR="00161BBC" w:rsidRPr="005E324A" w:rsidRDefault="00161BBC" w:rsidP="00161BBC">
            <w:pPr>
              <w:rPr>
                <w:sz w:val="24"/>
              </w:rPr>
            </w:pPr>
            <w:r w:rsidRPr="005E324A">
              <w:rPr>
                <w:sz w:val="24"/>
              </w:rPr>
              <w:t>交银新能</w:t>
            </w:r>
          </w:p>
        </w:tc>
      </w:tr>
      <w:tr w:rsidR="002A44F9" w:rsidRPr="005E324A" w:rsidTr="002A44F9">
        <w:tc>
          <w:tcPr>
            <w:tcW w:w="2835" w:type="dxa"/>
            <w:tcBorders>
              <w:top w:val="single" w:sz="4" w:space="0" w:color="auto"/>
              <w:left w:val="single" w:sz="4" w:space="0" w:color="auto"/>
              <w:bottom w:val="single" w:sz="4" w:space="0" w:color="auto"/>
              <w:right w:val="single" w:sz="4" w:space="0" w:color="auto"/>
            </w:tcBorders>
            <w:hideMark/>
          </w:tcPr>
          <w:p w:rsidR="002A44F9" w:rsidRPr="005E324A" w:rsidRDefault="002A44F9">
            <w:pPr>
              <w:adjustRightInd w:val="0"/>
              <w:spacing w:before="29" w:line="360" w:lineRule="auto"/>
              <w:ind w:left="17"/>
              <w:jc w:val="left"/>
              <w:rPr>
                <w:rFonts w:eastAsiaTheme="minorEastAsia"/>
                <w:kern w:val="0"/>
                <w:sz w:val="24"/>
              </w:rPr>
            </w:pPr>
            <w:r w:rsidRPr="005E324A">
              <w:rPr>
                <w:rFonts w:eastAsiaTheme="minorEastAsia"/>
                <w:kern w:val="0"/>
                <w:sz w:val="24"/>
              </w:rPr>
              <w:t>基金主代码</w:t>
            </w:r>
          </w:p>
        </w:tc>
        <w:tc>
          <w:tcPr>
            <w:tcW w:w="5479" w:type="dxa"/>
            <w:gridSpan w:val="3"/>
            <w:tcBorders>
              <w:top w:val="single" w:sz="4" w:space="0" w:color="auto"/>
              <w:left w:val="single" w:sz="4" w:space="0" w:color="auto"/>
              <w:bottom w:val="single" w:sz="4" w:space="0" w:color="auto"/>
              <w:right w:val="single" w:sz="4" w:space="0" w:color="auto"/>
            </w:tcBorders>
            <w:hideMark/>
          </w:tcPr>
          <w:p w:rsidR="002A44F9" w:rsidRPr="005E324A" w:rsidRDefault="002A44F9">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164905</w:t>
            </w:r>
          </w:p>
        </w:tc>
      </w:tr>
      <w:tr w:rsidR="00134868" w:rsidRPr="005E324A" w:rsidTr="002A44F9">
        <w:tc>
          <w:tcPr>
            <w:tcW w:w="2835" w:type="dxa"/>
            <w:tcBorders>
              <w:top w:val="single" w:sz="4" w:space="0" w:color="auto"/>
              <w:left w:val="single" w:sz="4" w:space="0" w:color="auto"/>
              <w:bottom w:val="single" w:sz="4" w:space="0" w:color="auto"/>
              <w:right w:val="single" w:sz="4" w:space="0" w:color="auto"/>
            </w:tcBorders>
          </w:tcPr>
          <w:p w:rsidR="00134868" w:rsidRPr="005E324A" w:rsidRDefault="00134868" w:rsidP="00CA4126">
            <w:pPr>
              <w:adjustRightInd w:val="0"/>
              <w:spacing w:before="29" w:line="360" w:lineRule="auto"/>
              <w:ind w:left="17"/>
              <w:jc w:val="left"/>
              <w:rPr>
                <w:rFonts w:eastAsiaTheme="minorEastAsia"/>
                <w:kern w:val="0"/>
                <w:sz w:val="24"/>
              </w:rPr>
            </w:pPr>
            <w:r w:rsidRPr="005E324A">
              <w:rPr>
                <w:rFonts w:eastAsiaTheme="minorEastAsia"/>
                <w:kern w:val="0"/>
                <w:sz w:val="24"/>
              </w:rPr>
              <w:t>交易代码</w:t>
            </w:r>
          </w:p>
        </w:tc>
        <w:tc>
          <w:tcPr>
            <w:tcW w:w="5479" w:type="dxa"/>
            <w:gridSpan w:val="3"/>
            <w:tcBorders>
              <w:top w:val="single" w:sz="4" w:space="0" w:color="auto"/>
              <w:left w:val="single" w:sz="4" w:space="0" w:color="auto"/>
              <w:bottom w:val="single" w:sz="4" w:space="0" w:color="auto"/>
              <w:right w:val="single" w:sz="4" w:space="0" w:color="auto"/>
            </w:tcBorders>
          </w:tcPr>
          <w:p w:rsidR="00134868" w:rsidRPr="005E324A" w:rsidRDefault="00134868" w:rsidP="00CA4126">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164905</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基金运作方式</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契约型开放式</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基金合同生效日</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2015</w:t>
            </w:r>
            <w:r w:rsidRPr="005E324A">
              <w:rPr>
                <w:rFonts w:eastAsiaTheme="minorEastAsia"/>
                <w:color w:val="000000"/>
                <w:kern w:val="0"/>
                <w:sz w:val="24"/>
              </w:rPr>
              <w:t>年</w:t>
            </w:r>
            <w:r w:rsidRPr="005E324A">
              <w:rPr>
                <w:rFonts w:eastAsiaTheme="minorEastAsia"/>
                <w:color w:val="000000"/>
                <w:kern w:val="0"/>
                <w:sz w:val="24"/>
              </w:rPr>
              <w:t>3</w:t>
            </w:r>
            <w:r w:rsidRPr="005E324A">
              <w:rPr>
                <w:rFonts w:eastAsiaTheme="minorEastAsia"/>
                <w:color w:val="000000"/>
                <w:kern w:val="0"/>
                <w:sz w:val="24"/>
              </w:rPr>
              <w:t>月</w:t>
            </w:r>
            <w:r w:rsidRPr="005E324A">
              <w:rPr>
                <w:rFonts w:eastAsiaTheme="minorEastAsia"/>
                <w:color w:val="000000"/>
                <w:kern w:val="0"/>
                <w:sz w:val="24"/>
              </w:rPr>
              <w:t>26</w:t>
            </w:r>
            <w:r w:rsidRPr="005E324A">
              <w:rPr>
                <w:rFonts w:eastAsiaTheme="minorEastAsia"/>
                <w:color w:val="000000"/>
                <w:kern w:val="0"/>
                <w:sz w:val="24"/>
              </w:rPr>
              <w:t>日</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报告期末基金份额总额</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1,086,959,413.44</w:t>
            </w:r>
            <w:r w:rsidRPr="005E324A">
              <w:rPr>
                <w:rFonts w:eastAsiaTheme="minorEastAsia"/>
                <w:color w:val="000000"/>
                <w:kern w:val="0"/>
                <w:sz w:val="24"/>
              </w:rPr>
              <w:t>份</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投资目标</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本基金采用指数化投资，紧密跟踪标的指数，追求跟踪偏离度与跟踪误差最小化。本基金力争控制本基金日均跟踪偏离度的绝对值不超过</w:t>
            </w:r>
            <w:r w:rsidRPr="005E324A">
              <w:rPr>
                <w:rFonts w:eastAsiaTheme="minorEastAsia"/>
                <w:color w:val="000000"/>
                <w:kern w:val="0"/>
                <w:sz w:val="24"/>
              </w:rPr>
              <w:t>0.35%</w:t>
            </w:r>
            <w:r w:rsidRPr="005E324A">
              <w:rPr>
                <w:rFonts w:eastAsiaTheme="minorEastAsia"/>
                <w:color w:val="000000"/>
                <w:kern w:val="0"/>
                <w:sz w:val="24"/>
              </w:rPr>
              <w:t>，年跟踪误差不超过</w:t>
            </w:r>
            <w:r w:rsidRPr="005E324A">
              <w:rPr>
                <w:rFonts w:eastAsiaTheme="minorEastAsia"/>
                <w:color w:val="000000"/>
                <w:kern w:val="0"/>
                <w:sz w:val="24"/>
              </w:rPr>
              <w:t>4%</w:t>
            </w:r>
            <w:r w:rsidRPr="005E324A">
              <w:rPr>
                <w:rFonts w:eastAsiaTheme="minorEastAsia"/>
                <w:color w:val="000000"/>
                <w:kern w:val="0"/>
                <w:sz w:val="24"/>
              </w:rPr>
              <w:t>。</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投资策略</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本基金为指数型基金，绝大部分资产采用完全复制标的指数的方法跟踪标的指数，即按照国证新能源</w:t>
            </w:r>
            <w:r w:rsidRPr="005E324A">
              <w:rPr>
                <w:rFonts w:eastAsiaTheme="minorEastAsia"/>
                <w:color w:val="000000"/>
                <w:kern w:val="0"/>
                <w:sz w:val="24"/>
              </w:rPr>
              <w:lastRenderedPageBreak/>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lastRenderedPageBreak/>
              <w:t>业绩比较基准</w:t>
            </w:r>
          </w:p>
        </w:tc>
        <w:tc>
          <w:tcPr>
            <w:tcW w:w="5479" w:type="dxa"/>
            <w:gridSpan w:val="3"/>
          </w:tcPr>
          <w:p w:rsidR="00134868" w:rsidRPr="005E324A" w:rsidRDefault="00134868" w:rsidP="00CD0AAD">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国证新能源指数收益率</w:t>
            </w:r>
            <w:r w:rsidRPr="005E324A">
              <w:rPr>
                <w:rFonts w:eastAsiaTheme="minorEastAsia"/>
                <w:color w:val="000000"/>
                <w:kern w:val="0"/>
                <w:sz w:val="24"/>
              </w:rPr>
              <w:t>×95%</w:t>
            </w:r>
            <w:r w:rsidRPr="005E324A">
              <w:rPr>
                <w:rFonts w:eastAsiaTheme="minorEastAsia"/>
                <w:color w:val="000000"/>
                <w:kern w:val="0"/>
                <w:sz w:val="24"/>
              </w:rPr>
              <w:t>＋银行活期存款利率（税后）</w:t>
            </w:r>
            <w:r w:rsidRPr="005E324A">
              <w:rPr>
                <w:rFonts w:eastAsiaTheme="minorEastAsia"/>
                <w:color w:val="000000"/>
                <w:kern w:val="0"/>
                <w:sz w:val="24"/>
              </w:rPr>
              <w:t>×5%</w:t>
            </w:r>
          </w:p>
        </w:tc>
      </w:tr>
      <w:tr w:rsidR="00134868" w:rsidRPr="005E324A" w:rsidTr="00A008DA">
        <w:tc>
          <w:tcPr>
            <w:tcW w:w="2835" w:type="dxa"/>
          </w:tcPr>
          <w:p w:rsidR="00134868" w:rsidRPr="005E324A" w:rsidRDefault="00134868" w:rsidP="00A008DA">
            <w:pPr>
              <w:adjustRightInd w:val="0"/>
              <w:spacing w:before="29" w:line="360" w:lineRule="auto"/>
              <w:ind w:left="17"/>
              <w:jc w:val="left"/>
              <w:rPr>
                <w:rFonts w:eastAsiaTheme="minorEastAsia"/>
                <w:sz w:val="24"/>
              </w:rPr>
            </w:pPr>
            <w:bookmarkStart w:id="0" w:name="_GoBack"/>
            <w:bookmarkEnd w:id="0"/>
            <w:r w:rsidRPr="005E324A">
              <w:rPr>
                <w:rFonts w:eastAsiaTheme="minorEastAsia"/>
                <w:kern w:val="0"/>
                <w:sz w:val="24"/>
              </w:rPr>
              <w:t>风险收益特征</w:t>
            </w:r>
          </w:p>
        </w:tc>
        <w:tc>
          <w:tcPr>
            <w:tcW w:w="5479" w:type="dxa"/>
            <w:gridSpan w:val="3"/>
          </w:tcPr>
          <w:p w:rsidR="00134868" w:rsidRPr="005E324A" w:rsidRDefault="00134868" w:rsidP="00A008D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5E324A">
              <w:rPr>
                <w:rFonts w:eastAsiaTheme="minorEastAsia"/>
                <w:color w:val="000000"/>
                <w:kern w:val="0"/>
                <w:sz w:val="24"/>
              </w:rPr>
              <w:t>A</w:t>
            </w:r>
            <w:r w:rsidRPr="005E324A">
              <w:rPr>
                <w:rFonts w:eastAsiaTheme="minorEastAsia"/>
                <w:color w:val="000000"/>
                <w:kern w:val="0"/>
                <w:sz w:val="24"/>
              </w:rPr>
              <w:t>份额具有低预期风险、预期收益相对稳定的特征；交银新能源</w:t>
            </w:r>
            <w:r w:rsidRPr="005E324A">
              <w:rPr>
                <w:rFonts w:eastAsiaTheme="minorEastAsia"/>
                <w:color w:val="000000"/>
                <w:kern w:val="0"/>
                <w:sz w:val="24"/>
              </w:rPr>
              <w:t>B</w:t>
            </w:r>
            <w:r w:rsidRPr="005E324A">
              <w:rPr>
                <w:rFonts w:eastAsiaTheme="minorEastAsia"/>
                <w:color w:val="000000"/>
                <w:kern w:val="0"/>
                <w:sz w:val="24"/>
              </w:rPr>
              <w:t>份额具有高预期风险、高预期收益的特征。</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基金管理人</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交银施罗德基金管理有限公司</w:t>
            </w:r>
          </w:p>
        </w:tc>
      </w:tr>
      <w:tr w:rsidR="00134868" w:rsidRPr="005E324A" w:rsidTr="007A6BEA">
        <w:tc>
          <w:tcPr>
            <w:tcW w:w="2835" w:type="dxa"/>
          </w:tcPr>
          <w:p w:rsidR="00134868" w:rsidRPr="005E324A" w:rsidRDefault="00134868" w:rsidP="007A6BEA">
            <w:pPr>
              <w:adjustRightInd w:val="0"/>
              <w:spacing w:before="29" w:line="360" w:lineRule="auto"/>
              <w:ind w:left="17"/>
              <w:jc w:val="left"/>
              <w:rPr>
                <w:rFonts w:eastAsiaTheme="minorEastAsia"/>
                <w:sz w:val="24"/>
              </w:rPr>
            </w:pPr>
            <w:r w:rsidRPr="005E324A">
              <w:rPr>
                <w:rFonts w:eastAsiaTheme="minorEastAsia"/>
                <w:kern w:val="0"/>
                <w:sz w:val="24"/>
              </w:rPr>
              <w:t>基金托管人</w:t>
            </w:r>
          </w:p>
        </w:tc>
        <w:tc>
          <w:tcPr>
            <w:tcW w:w="5479" w:type="dxa"/>
            <w:gridSpan w:val="3"/>
          </w:tcPr>
          <w:p w:rsidR="00134868" w:rsidRPr="005E324A" w:rsidRDefault="00134868" w:rsidP="007A6BE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中国建设银行股份有限公司</w:t>
            </w:r>
          </w:p>
        </w:tc>
      </w:tr>
      <w:tr w:rsidR="00134868" w:rsidRPr="005E324A" w:rsidTr="000B5208">
        <w:tc>
          <w:tcPr>
            <w:tcW w:w="2835" w:type="dxa"/>
          </w:tcPr>
          <w:p w:rsidR="00134868" w:rsidRPr="005E324A" w:rsidRDefault="00134868" w:rsidP="005F621F">
            <w:pPr>
              <w:adjustRightInd w:val="0"/>
              <w:spacing w:before="29" w:line="360" w:lineRule="auto"/>
              <w:ind w:left="17"/>
              <w:jc w:val="left"/>
              <w:rPr>
                <w:rFonts w:eastAsiaTheme="minorEastAsia"/>
                <w:kern w:val="0"/>
                <w:sz w:val="24"/>
              </w:rPr>
            </w:pPr>
            <w:r w:rsidRPr="005E324A">
              <w:rPr>
                <w:rFonts w:eastAsiaTheme="minorEastAsia"/>
                <w:color w:val="000000"/>
                <w:sz w:val="24"/>
              </w:rPr>
              <w:t>下属</w:t>
            </w:r>
            <w:r w:rsidR="005F621F" w:rsidRPr="005E324A">
              <w:rPr>
                <w:rFonts w:eastAsiaTheme="minorEastAsia"/>
                <w:color w:val="000000"/>
                <w:sz w:val="24"/>
              </w:rPr>
              <w:t>分</w:t>
            </w:r>
            <w:r w:rsidRPr="005E324A">
              <w:rPr>
                <w:rFonts w:eastAsiaTheme="minorEastAsia"/>
                <w:color w:val="000000"/>
                <w:sz w:val="24"/>
              </w:rPr>
              <w:t>级基金的基金简称</w:t>
            </w:r>
          </w:p>
        </w:tc>
        <w:tc>
          <w:tcPr>
            <w:tcW w:w="1826" w:type="dxa"/>
            <w:vAlign w:val="center"/>
          </w:tcPr>
          <w:p w:rsidR="00134868" w:rsidRPr="005E324A" w:rsidRDefault="00134868" w:rsidP="000B5208">
            <w:pPr>
              <w:rPr>
                <w:rFonts w:eastAsiaTheme="minorEastAsia"/>
                <w:sz w:val="24"/>
              </w:rPr>
            </w:pPr>
            <w:r w:rsidRPr="005E324A">
              <w:rPr>
                <w:rFonts w:eastAsiaTheme="minorEastAsia"/>
                <w:sz w:val="24"/>
              </w:rPr>
              <w:t>交银新能</w:t>
            </w:r>
          </w:p>
        </w:tc>
        <w:tc>
          <w:tcPr>
            <w:tcW w:w="1826" w:type="dxa"/>
            <w:vAlign w:val="center"/>
          </w:tcPr>
          <w:p w:rsidR="00134868" w:rsidRPr="005E324A" w:rsidRDefault="00134868" w:rsidP="000B5208">
            <w:pPr>
              <w:rPr>
                <w:rFonts w:eastAsiaTheme="minorEastAsia"/>
                <w:sz w:val="24"/>
              </w:rPr>
            </w:pPr>
            <w:r w:rsidRPr="005E324A">
              <w:rPr>
                <w:rFonts w:eastAsiaTheme="minorEastAsia"/>
                <w:sz w:val="24"/>
              </w:rPr>
              <w:t>新能源</w:t>
            </w:r>
            <w:r w:rsidRPr="005E324A">
              <w:rPr>
                <w:rFonts w:eastAsiaTheme="minorEastAsia"/>
                <w:sz w:val="24"/>
              </w:rPr>
              <w:t>A</w:t>
            </w:r>
          </w:p>
        </w:tc>
        <w:tc>
          <w:tcPr>
            <w:tcW w:w="1827" w:type="dxa"/>
            <w:vAlign w:val="center"/>
          </w:tcPr>
          <w:p w:rsidR="00134868" w:rsidRPr="005E324A" w:rsidRDefault="00134868" w:rsidP="000B5208">
            <w:pPr>
              <w:rPr>
                <w:rFonts w:eastAsiaTheme="minorEastAsia"/>
                <w:sz w:val="24"/>
              </w:rPr>
            </w:pPr>
            <w:r w:rsidRPr="005E324A">
              <w:rPr>
                <w:rFonts w:eastAsiaTheme="minorEastAsia"/>
                <w:sz w:val="24"/>
              </w:rPr>
              <w:t>新能源</w:t>
            </w:r>
            <w:r w:rsidRPr="005E324A">
              <w:rPr>
                <w:rFonts w:eastAsiaTheme="minorEastAsia"/>
                <w:sz w:val="24"/>
              </w:rPr>
              <w:t>B</w:t>
            </w:r>
          </w:p>
        </w:tc>
      </w:tr>
      <w:tr w:rsidR="00C136F5" w:rsidRPr="005E324A" w:rsidTr="000B5208">
        <w:tc>
          <w:tcPr>
            <w:tcW w:w="2835" w:type="dxa"/>
          </w:tcPr>
          <w:p w:rsidR="00C136F5" w:rsidRPr="005E324A" w:rsidRDefault="00C136F5" w:rsidP="00CD0AAD">
            <w:pPr>
              <w:adjustRightInd w:val="0"/>
              <w:spacing w:before="29" w:line="360" w:lineRule="auto"/>
              <w:ind w:left="17"/>
              <w:jc w:val="left"/>
              <w:rPr>
                <w:rFonts w:eastAsiaTheme="minorEastAsia"/>
                <w:color w:val="000000"/>
                <w:sz w:val="24"/>
              </w:rPr>
            </w:pPr>
            <w:r w:rsidRPr="005E324A">
              <w:rPr>
                <w:rFonts w:eastAsiaTheme="minorEastAsia"/>
                <w:color w:val="000000"/>
                <w:sz w:val="24"/>
              </w:rPr>
              <w:t>下属</w:t>
            </w:r>
            <w:r w:rsidR="005F621F" w:rsidRPr="005E324A">
              <w:rPr>
                <w:rFonts w:eastAsiaTheme="minorEastAsia"/>
                <w:color w:val="000000"/>
                <w:sz w:val="24"/>
              </w:rPr>
              <w:t>分</w:t>
            </w:r>
            <w:r w:rsidRPr="005E324A">
              <w:rPr>
                <w:rFonts w:eastAsiaTheme="minorEastAsia"/>
                <w:color w:val="000000"/>
                <w:sz w:val="24"/>
              </w:rPr>
              <w:t>级基金的场内简称</w:t>
            </w:r>
          </w:p>
        </w:tc>
        <w:tc>
          <w:tcPr>
            <w:tcW w:w="1826" w:type="dxa"/>
            <w:vAlign w:val="center"/>
          </w:tcPr>
          <w:p w:rsidR="00C136F5" w:rsidRPr="005E324A" w:rsidRDefault="00C136F5" w:rsidP="000B5208">
            <w:pPr>
              <w:rPr>
                <w:rFonts w:eastAsiaTheme="minorEastAsia"/>
                <w:color w:val="000000"/>
                <w:kern w:val="0"/>
                <w:sz w:val="24"/>
              </w:rPr>
            </w:pPr>
            <w:r w:rsidRPr="005E324A">
              <w:rPr>
                <w:sz w:val="24"/>
              </w:rPr>
              <w:t>交银新能</w:t>
            </w:r>
          </w:p>
        </w:tc>
        <w:tc>
          <w:tcPr>
            <w:tcW w:w="1826" w:type="dxa"/>
            <w:vAlign w:val="center"/>
          </w:tcPr>
          <w:p w:rsidR="00C136F5" w:rsidRPr="005E324A" w:rsidRDefault="00C136F5" w:rsidP="000B5208">
            <w:pPr>
              <w:rPr>
                <w:rFonts w:eastAsiaTheme="minorEastAsia"/>
                <w:color w:val="000000"/>
                <w:kern w:val="0"/>
                <w:sz w:val="24"/>
              </w:rPr>
            </w:pPr>
            <w:r w:rsidRPr="005E324A">
              <w:rPr>
                <w:sz w:val="24"/>
              </w:rPr>
              <w:t>新能源</w:t>
            </w:r>
            <w:r w:rsidRPr="005E324A">
              <w:rPr>
                <w:sz w:val="24"/>
              </w:rPr>
              <w:t>A</w:t>
            </w:r>
          </w:p>
        </w:tc>
        <w:tc>
          <w:tcPr>
            <w:tcW w:w="1827" w:type="dxa"/>
            <w:vAlign w:val="center"/>
          </w:tcPr>
          <w:p w:rsidR="00C136F5" w:rsidRPr="005E324A" w:rsidRDefault="00C136F5" w:rsidP="000B5208">
            <w:pPr>
              <w:rPr>
                <w:rFonts w:eastAsiaTheme="minorEastAsia"/>
                <w:color w:val="000000"/>
                <w:kern w:val="0"/>
                <w:sz w:val="24"/>
              </w:rPr>
            </w:pPr>
            <w:r w:rsidRPr="005E324A">
              <w:rPr>
                <w:sz w:val="24"/>
              </w:rPr>
              <w:t>新能源</w:t>
            </w:r>
            <w:r w:rsidRPr="005E324A">
              <w:rPr>
                <w:sz w:val="24"/>
              </w:rPr>
              <w:t>B</w:t>
            </w:r>
          </w:p>
        </w:tc>
      </w:tr>
      <w:tr w:rsidR="00134868" w:rsidRPr="005E324A" w:rsidTr="00EB3E72">
        <w:tc>
          <w:tcPr>
            <w:tcW w:w="2835" w:type="dxa"/>
          </w:tcPr>
          <w:p w:rsidR="00134868" w:rsidRPr="005E324A" w:rsidRDefault="00134868" w:rsidP="00CD0AAD">
            <w:pPr>
              <w:adjustRightInd w:val="0"/>
              <w:spacing w:before="29" w:line="360" w:lineRule="auto"/>
              <w:ind w:left="17"/>
              <w:jc w:val="left"/>
              <w:rPr>
                <w:rFonts w:eastAsiaTheme="minorEastAsia"/>
                <w:color w:val="000000"/>
                <w:sz w:val="24"/>
              </w:rPr>
            </w:pPr>
            <w:r w:rsidRPr="005E324A">
              <w:rPr>
                <w:rFonts w:eastAsiaTheme="minorEastAsia"/>
                <w:color w:val="000000"/>
                <w:sz w:val="24"/>
              </w:rPr>
              <w:t>下属</w:t>
            </w:r>
            <w:r w:rsidR="005F621F" w:rsidRPr="005E324A">
              <w:rPr>
                <w:rFonts w:eastAsiaTheme="minorEastAsia"/>
                <w:color w:val="000000"/>
                <w:sz w:val="24"/>
              </w:rPr>
              <w:t>分</w:t>
            </w:r>
            <w:r w:rsidRPr="005E324A">
              <w:rPr>
                <w:rFonts w:eastAsiaTheme="minorEastAsia"/>
                <w:color w:val="000000"/>
                <w:sz w:val="24"/>
              </w:rPr>
              <w:t>级基金的交易代码</w:t>
            </w:r>
          </w:p>
        </w:tc>
        <w:tc>
          <w:tcPr>
            <w:tcW w:w="1826" w:type="dxa"/>
            <w:vAlign w:val="center"/>
          </w:tcPr>
          <w:p w:rsidR="00134868" w:rsidRPr="005E324A" w:rsidRDefault="00134868" w:rsidP="005E7140">
            <w:pPr>
              <w:adjustRightInd w:val="0"/>
              <w:spacing w:before="29" w:line="360" w:lineRule="auto"/>
              <w:ind w:left="17"/>
              <w:jc w:val="left"/>
              <w:rPr>
                <w:rFonts w:eastAsiaTheme="minorEastAsia"/>
                <w:sz w:val="24"/>
              </w:rPr>
            </w:pPr>
            <w:r w:rsidRPr="005E324A">
              <w:rPr>
                <w:rFonts w:eastAsiaTheme="minorEastAsia"/>
                <w:color w:val="000000"/>
                <w:kern w:val="0"/>
                <w:sz w:val="24"/>
              </w:rPr>
              <w:t>164905</w:t>
            </w:r>
          </w:p>
        </w:tc>
        <w:tc>
          <w:tcPr>
            <w:tcW w:w="1826" w:type="dxa"/>
            <w:vAlign w:val="center"/>
          </w:tcPr>
          <w:p w:rsidR="00134868" w:rsidRPr="005E324A" w:rsidRDefault="00134868" w:rsidP="005E7140">
            <w:pPr>
              <w:adjustRightInd w:val="0"/>
              <w:spacing w:before="29" w:line="360" w:lineRule="auto"/>
              <w:ind w:left="17"/>
              <w:jc w:val="left"/>
              <w:rPr>
                <w:rFonts w:eastAsiaTheme="minorEastAsia"/>
                <w:sz w:val="24"/>
              </w:rPr>
            </w:pPr>
            <w:r w:rsidRPr="005E324A">
              <w:rPr>
                <w:rFonts w:eastAsiaTheme="minorEastAsia"/>
                <w:color w:val="000000"/>
                <w:kern w:val="0"/>
                <w:sz w:val="24"/>
              </w:rPr>
              <w:t>150217</w:t>
            </w:r>
          </w:p>
        </w:tc>
        <w:tc>
          <w:tcPr>
            <w:tcW w:w="1827" w:type="dxa"/>
            <w:vAlign w:val="center"/>
          </w:tcPr>
          <w:p w:rsidR="00134868" w:rsidRPr="005E324A" w:rsidRDefault="00134868" w:rsidP="005E7140">
            <w:pPr>
              <w:adjustRightInd w:val="0"/>
              <w:spacing w:before="29" w:line="360" w:lineRule="auto"/>
              <w:ind w:left="17"/>
              <w:jc w:val="left"/>
              <w:rPr>
                <w:rFonts w:eastAsiaTheme="minorEastAsia"/>
                <w:sz w:val="24"/>
              </w:rPr>
            </w:pPr>
            <w:r w:rsidRPr="005E324A">
              <w:rPr>
                <w:rFonts w:eastAsiaTheme="minorEastAsia"/>
                <w:color w:val="000000"/>
                <w:kern w:val="0"/>
                <w:sz w:val="24"/>
              </w:rPr>
              <w:t>150218</w:t>
            </w:r>
          </w:p>
        </w:tc>
      </w:tr>
      <w:tr w:rsidR="00134868" w:rsidRPr="005E324A" w:rsidTr="00EB3E72">
        <w:tc>
          <w:tcPr>
            <w:tcW w:w="2835" w:type="dxa"/>
          </w:tcPr>
          <w:p w:rsidR="00134868" w:rsidRPr="005E324A" w:rsidRDefault="00134868" w:rsidP="00CD0AAD">
            <w:pPr>
              <w:adjustRightInd w:val="0"/>
              <w:spacing w:before="29" w:line="360" w:lineRule="auto"/>
              <w:ind w:left="17"/>
              <w:jc w:val="left"/>
              <w:rPr>
                <w:rFonts w:eastAsiaTheme="minorEastAsia"/>
                <w:color w:val="000000"/>
                <w:sz w:val="24"/>
              </w:rPr>
            </w:pPr>
            <w:r w:rsidRPr="005E324A">
              <w:rPr>
                <w:rFonts w:eastAsiaTheme="minorEastAsia"/>
                <w:color w:val="000000"/>
                <w:sz w:val="24"/>
              </w:rPr>
              <w:t>报告期末下属</w:t>
            </w:r>
            <w:r w:rsidR="005F621F" w:rsidRPr="005E324A">
              <w:rPr>
                <w:rFonts w:eastAsiaTheme="minorEastAsia"/>
                <w:color w:val="000000"/>
                <w:sz w:val="24"/>
              </w:rPr>
              <w:t>分</w:t>
            </w:r>
            <w:r w:rsidRPr="005E324A">
              <w:rPr>
                <w:rFonts w:eastAsiaTheme="minorEastAsia"/>
                <w:color w:val="000000"/>
                <w:sz w:val="24"/>
              </w:rPr>
              <w:t>级基金的份额总额</w:t>
            </w:r>
          </w:p>
        </w:tc>
        <w:tc>
          <w:tcPr>
            <w:tcW w:w="1826" w:type="dxa"/>
            <w:vAlign w:val="center"/>
          </w:tcPr>
          <w:p w:rsidR="00134868" w:rsidRPr="005E324A" w:rsidRDefault="00134868" w:rsidP="00057DD3">
            <w:pPr>
              <w:jc w:val="left"/>
              <w:rPr>
                <w:rFonts w:eastAsiaTheme="minorEastAsia"/>
                <w:sz w:val="24"/>
              </w:rPr>
            </w:pPr>
            <w:r w:rsidRPr="005E324A">
              <w:rPr>
                <w:rFonts w:eastAsiaTheme="minorEastAsia"/>
                <w:color w:val="000000"/>
                <w:kern w:val="0"/>
                <w:sz w:val="24"/>
              </w:rPr>
              <w:t>809,754,873.44</w:t>
            </w:r>
            <w:r w:rsidRPr="005E324A">
              <w:rPr>
                <w:rFonts w:eastAsiaTheme="minorEastAsia"/>
                <w:color w:val="000000"/>
                <w:kern w:val="0"/>
                <w:sz w:val="24"/>
              </w:rPr>
              <w:t>份</w:t>
            </w:r>
          </w:p>
        </w:tc>
        <w:tc>
          <w:tcPr>
            <w:tcW w:w="1826" w:type="dxa"/>
            <w:vAlign w:val="center"/>
          </w:tcPr>
          <w:p w:rsidR="00134868" w:rsidRPr="005E324A" w:rsidRDefault="00134868" w:rsidP="00057DD3">
            <w:pPr>
              <w:jc w:val="left"/>
              <w:rPr>
                <w:rFonts w:eastAsiaTheme="minorEastAsia"/>
                <w:sz w:val="24"/>
              </w:rPr>
            </w:pPr>
            <w:r w:rsidRPr="005E324A">
              <w:rPr>
                <w:rFonts w:eastAsiaTheme="minorEastAsia"/>
                <w:color w:val="000000"/>
                <w:kern w:val="0"/>
                <w:sz w:val="24"/>
              </w:rPr>
              <w:t>138,602,270.00</w:t>
            </w:r>
            <w:r w:rsidRPr="005E324A">
              <w:rPr>
                <w:rFonts w:eastAsiaTheme="minorEastAsia"/>
                <w:color w:val="000000"/>
                <w:kern w:val="0"/>
                <w:sz w:val="24"/>
              </w:rPr>
              <w:t>份</w:t>
            </w:r>
          </w:p>
        </w:tc>
        <w:tc>
          <w:tcPr>
            <w:tcW w:w="1827" w:type="dxa"/>
            <w:vAlign w:val="center"/>
          </w:tcPr>
          <w:p w:rsidR="00134868" w:rsidRPr="005E324A" w:rsidRDefault="00134868" w:rsidP="00057DD3">
            <w:pPr>
              <w:jc w:val="left"/>
              <w:rPr>
                <w:rFonts w:eastAsiaTheme="minorEastAsia"/>
                <w:sz w:val="24"/>
              </w:rPr>
            </w:pPr>
            <w:r w:rsidRPr="005E324A">
              <w:rPr>
                <w:rFonts w:eastAsiaTheme="minorEastAsia"/>
                <w:color w:val="000000"/>
                <w:kern w:val="0"/>
                <w:sz w:val="24"/>
              </w:rPr>
              <w:t>138,602,270.00</w:t>
            </w:r>
            <w:r w:rsidRPr="005E324A">
              <w:rPr>
                <w:rFonts w:eastAsiaTheme="minorEastAsia"/>
                <w:color w:val="000000"/>
                <w:kern w:val="0"/>
                <w:sz w:val="24"/>
              </w:rPr>
              <w:t>份</w:t>
            </w:r>
          </w:p>
        </w:tc>
      </w:tr>
      <w:tr w:rsidR="00134868" w:rsidRPr="005E324A" w:rsidTr="00EB3E72">
        <w:tc>
          <w:tcPr>
            <w:tcW w:w="2835" w:type="dxa"/>
          </w:tcPr>
          <w:p w:rsidR="00134868" w:rsidRPr="005E324A" w:rsidRDefault="00307735" w:rsidP="00A008DA">
            <w:pPr>
              <w:adjustRightInd w:val="0"/>
              <w:spacing w:before="29" w:line="360" w:lineRule="auto"/>
              <w:ind w:left="17"/>
              <w:jc w:val="left"/>
              <w:rPr>
                <w:rFonts w:eastAsiaTheme="minorEastAsia"/>
                <w:sz w:val="24"/>
              </w:rPr>
            </w:pPr>
            <w:r w:rsidRPr="005E324A">
              <w:rPr>
                <w:sz w:val="24"/>
              </w:rPr>
              <w:t>下属分级基金的</w:t>
            </w:r>
            <w:r w:rsidR="00134868" w:rsidRPr="005E324A">
              <w:rPr>
                <w:rFonts w:eastAsiaTheme="minorEastAsia"/>
                <w:kern w:val="0"/>
                <w:sz w:val="24"/>
              </w:rPr>
              <w:t>风险收益特征</w:t>
            </w:r>
          </w:p>
        </w:tc>
        <w:tc>
          <w:tcPr>
            <w:tcW w:w="1826" w:type="dxa"/>
          </w:tcPr>
          <w:p w:rsidR="00134868" w:rsidRPr="005E324A" w:rsidRDefault="00134868" w:rsidP="00A008D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交银新能源份额具有与标的指数、以及标的指数所代表的股票市场相似的风险收益特征</w:t>
            </w:r>
          </w:p>
        </w:tc>
        <w:tc>
          <w:tcPr>
            <w:tcW w:w="1826" w:type="dxa"/>
          </w:tcPr>
          <w:p w:rsidR="00134868" w:rsidRPr="005E324A" w:rsidRDefault="00134868" w:rsidP="00A008D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交银新能源</w:t>
            </w:r>
            <w:r w:rsidRPr="005E324A">
              <w:rPr>
                <w:rFonts w:eastAsiaTheme="minorEastAsia"/>
                <w:color w:val="000000"/>
                <w:kern w:val="0"/>
                <w:sz w:val="24"/>
              </w:rPr>
              <w:t>A</w:t>
            </w:r>
            <w:r w:rsidRPr="005E324A">
              <w:rPr>
                <w:rFonts w:eastAsiaTheme="minorEastAsia"/>
                <w:color w:val="000000"/>
                <w:kern w:val="0"/>
                <w:sz w:val="24"/>
              </w:rPr>
              <w:t>份额具有低预期风险、预期收益相对稳定的特征</w:t>
            </w:r>
          </w:p>
        </w:tc>
        <w:tc>
          <w:tcPr>
            <w:tcW w:w="1827" w:type="dxa"/>
          </w:tcPr>
          <w:p w:rsidR="00134868" w:rsidRPr="005E324A" w:rsidRDefault="00134868" w:rsidP="00A008DA">
            <w:pPr>
              <w:adjustRightInd w:val="0"/>
              <w:spacing w:before="29" w:line="360" w:lineRule="auto"/>
              <w:ind w:left="17"/>
              <w:jc w:val="left"/>
              <w:rPr>
                <w:rFonts w:eastAsiaTheme="minorEastAsia"/>
                <w:color w:val="000000"/>
                <w:sz w:val="24"/>
              </w:rPr>
            </w:pPr>
            <w:r w:rsidRPr="005E324A">
              <w:rPr>
                <w:rFonts w:eastAsiaTheme="minorEastAsia"/>
                <w:color w:val="000000"/>
                <w:kern w:val="0"/>
                <w:sz w:val="24"/>
              </w:rPr>
              <w:t>交银新能源</w:t>
            </w:r>
            <w:r w:rsidRPr="005E324A">
              <w:rPr>
                <w:rFonts w:eastAsiaTheme="minorEastAsia"/>
                <w:color w:val="000000"/>
                <w:kern w:val="0"/>
                <w:sz w:val="24"/>
              </w:rPr>
              <w:t>B</w:t>
            </w:r>
            <w:r w:rsidRPr="005E324A">
              <w:rPr>
                <w:rFonts w:eastAsiaTheme="minorEastAsia"/>
                <w:color w:val="000000"/>
                <w:kern w:val="0"/>
                <w:sz w:val="24"/>
              </w:rPr>
              <w:t>份额具有高预期风险、高预期收益的特征</w:t>
            </w:r>
          </w:p>
        </w:tc>
      </w:tr>
    </w:tbl>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 xml:space="preserve">§3  </w:t>
      </w:r>
      <w:r w:rsidRPr="005E324A">
        <w:rPr>
          <w:rFonts w:eastAsiaTheme="minorEastAsia"/>
          <w:color w:val="000000"/>
          <w:kern w:val="0"/>
          <w:sz w:val="24"/>
          <w:szCs w:val="24"/>
        </w:rPr>
        <w:t>主要财务指标和基金净值表现</w:t>
      </w: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3.1 </w:t>
      </w:r>
      <w:r w:rsidRPr="005E324A">
        <w:rPr>
          <w:rFonts w:eastAsiaTheme="minorEastAsia"/>
          <w:b/>
          <w:color w:val="000000"/>
          <w:kern w:val="0"/>
          <w:sz w:val="24"/>
        </w:rPr>
        <w:t>主要财务指标</w:t>
      </w:r>
    </w:p>
    <w:p w:rsidR="00220542" w:rsidRPr="005E324A" w:rsidRDefault="00220542" w:rsidP="0019563C">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304CC2" w:rsidRPr="005E324A" w:rsidTr="00304CC2">
        <w:tc>
          <w:tcPr>
            <w:tcW w:w="3402" w:type="dxa"/>
            <w:vAlign w:val="center"/>
          </w:tcPr>
          <w:p w:rsidR="00FC219C" w:rsidRPr="005E324A" w:rsidRDefault="00FC219C" w:rsidP="004D67E0">
            <w:pPr>
              <w:adjustRightInd w:val="0"/>
              <w:spacing w:before="29" w:line="360" w:lineRule="auto"/>
              <w:ind w:left="17"/>
              <w:jc w:val="center"/>
              <w:rPr>
                <w:rFonts w:eastAsiaTheme="minorEastAsia"/>
                <w:kern w:val="0"/>
                <w:sz w:val="24"/>
              </w:rPr>
            </w:pPr>
            <w:r w:rsidRPr="005E324A">
              <w:rPr>
                <w:rFonts w:eastAsiaTheme="minorEastAsia"/>
                <w:kern w:val="0"/>
                <w:sz w:val="24"/>
              </w:rPr>
              <w:t>主要财务指标</w:t>
            </w:r>
          </w:p>
        </w:tc>
        <w:tc>
          <w:tcPr>
            <w:tcW w:w="4962" w:type="dxa"/>
            <w:vAlign w:val="center"/>
          </w:tcPr>
          <w:p w:rsidR="00FC219C" w:rsidRPr="005E324A" w:rsidRDefault="00FC219C" w:rsidP="004D67E0">
            <w:pPr>
              <w:adjustRightInd w:val="0"/>
              <w:spacing w:before="29" w:line="360" w:lineRule="auto"/>
              <w:ind w:left="17"/>
              <w:jc w:val="center"/>
              <w:rPr>
                <w:rFonts w:eastAsiaTheme="minorEastAsia"/>
                <w:color w:val="000000"/>
                <w:sz w:val="24"/>
              </w:rPr>
            </w:pPr>
            <w:r w:rsidRPr="005E324A">
              <w:rPr>
                <w:rFonts w:eastAsiaTheme="minorEastAsia"/>
                <w:color w:val="000000"/>
                <w:sz w:val="24"/>
              </w:rPr>
              <w:t>报告期</w:t>
            </w:r>
          </w:p>
          <w:p w:rsidR="00FC219C" w:rsidRPr="005E324A" w:rsidRDefault="00FC219C" w:rsidP="004D67E0">
            <w:pPr>
              <w:adjustRightInd w:val="0"/>
              <w:spacing w:before="29" w:line="360" w:lineRule="auto"/>
              <w:ind w:left="17"/>
              <w:jc w:val="center"/>
              <w:rPr>
                <w:rFonts w:eastAsiaTheme="minorEastAsia"/>
                <w:color w:val="000000"/>
                <w:sz w:val="24"/>
              </w:rPr>
            </w:pP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10</w:t>
            </w:r>
            <w:r w:rsidRPr="005E324A">
              <w:rPr>
                <w:rFonts w:eastAsiaTheme="minorEastAsia"/>
                <w:color w:val="000000"/>
                <w:sz w:val="24"/>
              </w:rPr>
              <w:t>月</w:t>
            </w:r>
            <w:r w:rsidRPr="005E324A">
              <w:rPr>
                <w:rFonts w:eastAsiaTheme="minorEastAsia"/>
                <w:color w:val="000000"/>
                <w:sz w:val="24"/>
              </w:rPr>
              <w:t>1</w:t>
            </w:r>
            <w:r w:rsidRPr="005E324A">
              <w:rPr>
                <w:rFonts w:eastAsiaTheme="minorEastAsia"/>
                <w:color w:val="000000"/>
                <w:sz w:val="24"/>
              </w:rPr>
              <w:t>日</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12</w:t>
            </w:r>
            <w:r w:rsidRPr="005E324A">
              <w:rPr>
                <w:rFonts w:eastAsiaTheme="minorEastAsia"/>
                <w:color w:val="000000"/>
                <w:sz w:val="24"/>
              </w:rPr>
              <w:t>月</w:t>
            </w:r>
            <w:r w:rsidRPr="005E324A">
              <w:rPr>
                <w:rFonts w:eastAsiaTheme="minorEastAsia"/>
                <w:color w:val="000000"/>
                <w:sz w:val="24"/>
              </w:rPr>
              <w:t>31</w:t>
            </w:r>
            <w:r w:rsidRPr="005E324A">
              <w:rPr>
                <w:rFonts w:eastAsiaTheme="minorEastAsia"/>
                <w:color w:val="000000"/>
                <w:sz w:val="24"/>
              </w:rPr>
              <w:t>日</w:t>
            </w:r>
            <w:r w:rsidRPr="005E324A">
              <w:rPr>
                <w:rFonts w:eastAsiaTheme="minorEastAsia"/>
                <w:color w:val="000000"/>
                <w:sz w:val="24"/>
              </w:rPr>
              <w:t>)</w:t>
            </w:r>
          </w:p>
        </w:tc>
      </w:tr>
      <w:tr w:rsidR="00304CC2" w:rsidRPr="005E324A" w:rsidTr="00304CC2">
        <w:tc>
          <w:tcPr>
            <w:tcW w:w="3402" w:type="dxa"/>
          </w:tcPr>
          <w:p w:rsidR="00FC219C" w:rsidRPr="005E324A" w:rsidRDefault="00FC219C" w:rsidP="004D67E0">
            <w:pPr>
              <w:adjustRightInd w:val="0"/>
              <w:spacing w:before="29" w:line="360" w:lineRule="auto"/>
              <w:ind w:left="17"/>
              <w:rPr>
                <w:rFonts w:eastAsiaTheme="minorEastAsia"/>
                <w:kern w:val="0"/>
                <w:sz w:val="24"/>
              </w:rPr>
            </w:pPr>
            <w:r w:rsidRPr="005E324A">
              <w:rPr>
                <w:rFonts w:eastAsiaTheme="minorEastAsia"/>
                <w:kern w:val="0"/>
                <w:sz w:val="24"/>
              </w:rPr>
              <w:t>1.</w:t>
            </w:r>
            <w:r w:rsidRPr="005E324A">
              <w:rPr>
                <w:rFonts w:eastAsiaTheme="minorEastAsia"/>
                <w:kern w:val="0"/>
                <w:sz w:val="24"/>
              </w:rPr>
              <w:t>本期已实现收益</w:t>
            </w:r>
          </w:p>
        </w:tc>
        <w:tc>
          <w:tcPr>
            <w:tcW w:w="4962" w:type="dxa"/>
            <w:vAlign w:val="bottom"/>
          </w:tcPr>
          <w:p w:rsidR="00FC219C" w:rsidRPr="005E324A" w:rsidRDefault="00FC219C" w:rsidP="005E7140">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27,536,972.52</w:t>
            </w:r>
          </w:p>
        </w:tc>
      </w:tr>
      <w:tr w:rsidR="00304CC2" w:rsidRPr="005E324A" w:rsidTr="00304CC2">
        <w:tc>
          <w:tcPr>
            <w:tcW w:w="3402" w:type="dxa"/>
          </w:tcPr>
          <w:p w:rsidR="00FC219C" w:rsidRPr="005E324A" w:rsidRDefault="00FC219C" w:rsidP="004D67E0">
            <w:pPr>
              <w:adjustRightInd w:val="0"/>
              <w:spacing w:before="29" w:line="360" w:lineRule="auto"/>
              <w:ind w:left="17"/>
              <w:rPr>
                <w:rFonts w:eastAsiaTheme="minorEastAsia"/>
                <w:kern w:val="0"/>
                <w:sz w:val="24"/>
              </w:rPr>
            </w:pPr>
            <w:r w:rsidRPr="005E324A">
              <w:rPr>
                <w:rFonts w:eastAsiaTheme="minorEastAsia"/>
                <w:kern w:val="0"/>
                <w:sz w:val="24"/>
              </w:rPr>
              <w:t>2.</w:t>
            </w:r>
            <w:r w:rsidRPr="005E324A">
              <w:rPr>
                <w:rFonts w:eastAsiaTheme="minorEastAsia"/>
                <w:kern w:val="0"/>
                <w:sz w:val="24"/>
              </w:rPr>
              <w:t>本期利润</w:t>
            </w:r>
          </w:p>
        </w:tc>
        <w:tc>
          <w:tcPr>
            <w:tcW w:w="4962" w:type="dxa"/>
            <w:vAlign w:val="bottom"/>
          </w:tcPr>
          <w:p w:rsidR="00FC219C" w:rsidRPr="005E324A" w:rsidRDefault="00FC219C" w:rsidP="005E7140">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299,431,518.16</w:t>
            </w:r>
          </w:p>
        </w:tc>
      </w:tr>
      <w:tr w:rsidR="00304CC2" w:rsidRPr="005E324A" w:rsidTr="00304CC2">
        <w:tc>
          <w:tcPr>
            <w:tcW w:w="3402" w:type="dxa"/>
          </w:tcPr>
          <w:p w:rsidR="00FC219C" w:rsidRPr="005E324A" w:rsidRDefault="00FC219C" w:rsidP="004D67E0">
            <w:pPr>
              <w:adjustRightInd w:val="0"/>
              <w:spacing w:before="29" w:line="360" w:lineRule="auto"/>
              <w:ind w:left="17"/>
              <w:rPr>
                <w:rFonts w:eastAsiaTheme="minorEastAsia"/>
                <w:kern w:val="0"/>
                <w:sz w:val="24"/>
              </w:rPr>
            </w:pPr>
            <w:r w:rsidRPr="005E324A">
              <w:rPr>
                <w:rFonts w:eastAsiaTheme="minorEastAsia"/>
                <w:kern w:val="0"/>
                <w:sz w:val="24"/>
              </w:rPr>
              <w:t>3.</w:t>
            </w:r>
            <w:r w:rsidRPr="005E324A">
              <w:rPr>
                <w:rFonts w:eastAsiaTheme="minorEastAsia"/>
                <w:kern w:val="0"/>
                <w:sz w:val="24"/>
              </w:rPr>
              <w:t>加权平均基金份额本期利润</w:t>
            </w:r>
          </w:p>
        </w:tc>
        <w:tc>
          <w:tcPr>
            <w:tcW w:w="4962" w:type="dxa"/>
            <w:vAlign w:val="bottom"/>
          </w:tcPr>
          <w:p w:rsidR="00FC219C" w:rsidRPr="005E324A" w:rsidRDefault="00FC219C" w:rsidP="005E7140">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0.4035</w:t>
            </w:r>
          </w:p>
        </w:tc>
      </w:tr>
      <w:tr w:rsidR="00304CC2" w:rsidRPr="005E324A" w:rsidTr="00304CC2">
        <w:tc>
          <w:tcPr>
            <w:tcW w:w="3402" w:type="dxa"/>
          </w:tcPr>
          <w:p w:rsidR="00FC219C" w:rsidRPr="005E324A" w:rsidRDefault="00FC219C" w:rsidP="004D67E0">
            <w:pPr>
              <w:adjustRightInd w:val="0"/>
              <w:spacing w:before="29" w:line="360" w:lineRule="auto"/>
              <w:ind w:left="17"/>
              <w:rPr>
                <w:rFonts w:eastAsiaTheme="minorEastAsia"/>
                <w:kern w:val="0"/>
                <w:sz w:val="24"/>
              </w:rPr>
            </w:pPr>
            <w:r w:rsidRPr="005E324A">
              <w:rPr>
                <w:rFonts w:eastAsiaTheme="minorEastAsia"/>
                <w:kern w:val="0"/>
                <w:sz w:val="24"/>
              </w:rPr>
              <w:t>4.</w:t>
            </w:r>
            <w:r w:rsidRPr="005E324A">
              <w:rPr>
                <w:rFonts w:eastAsiaTheme="minorEastAsia"/>
                <w:kern w:val="0"/>
                <w:sz w:val="24"/>
              </w:rPr>
              <w:t>期末基金资产净值</w:t>
            </w:r>
          </w:p>
        </w:tc>
        <w:tc>
          <w:tcPr>
            <w:tcW w:w="4962" w:type="dxa"/>
          </w:tcPr>
          <w:p w:rsidR="00FC219C" w:rsidRPr="005E324A" w:rsidRDefault="00FC219C" w:rsidP="005E7140">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1,086,599,377.41</w:t>
            </w:r>
          </w:p>
        </w:tc>
      </w:tr>
      <w:tr w:rsidR="00304CC2" w:rsidRPr="005E324A" w:rsidTr="00304CC2">
        <w:trPr>
          <w:trHeight w:val="158"/>
        </w:trPr>
        <w:tc>
          <w:tcPr>
            <w:tcW w:w="3402" w:type="dxa"/>
          </w:tcPr>
          <w:p w:rsidR="00FC219C" w:rsidRPr="005E324A" w:rsidRDefault="00FC219C" w:rsidP="004D67E0">
            <w:pPr>
              <w:adjustRightInd w:val="0"/>
              <w:spacing w:before="29" w:line="360" w:lineRule="auto"/>
              <w:ind w:left="17"/>
              <w:rPr>
                <w:rFonts w:eastAsiaTheme="minorEastAsia"/>
                <w:kern w:val="0"/>
                <w:sz w:val="24"/>
              </w:rPr>
            </w:pPr>
            <w:r w:rsidRPr="005E324A">
              <w:rPr>
                <w:rFonts w:eastAsiaTheme="minorEastAsia"/>
                <w:kern w:val="0"/>
                <w:sz w:val="24"/>
              </w:rPr>
              <w:t>5.</w:t>
            </w:r>
            <w:r w:rsidRPr="005E324A">
              <w:rPr>
                <w:rFonts w:eastAsiaTheme="minorEastAsia"/>
                <w:kern w:val="0"/>
                <w:sz w:val="24"/>
              </w:rPr>
              <w:t>期末基金份额净值</w:t>
            </w:r>
          </w:p>
        </w:tc>
        <w:tc>
          <w:tcPr>
            <w:tcW w:w="4962" w:type="dxa"/>
          </w:tcPr>
          <w:p w:rsidR="00FC219C" w:rsidRPr="005E324A" w:rsidRDefault="00FC219C" w:rsidP="005E7140">
            <w:pPr>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1.000</w:t>
            </w:r>
          </w:p>
        </w:tc>
      </w:tr>
    </w:tbl>
    <w:p w:rsidR="00B14986" w:rsidRDefault="00304CC2">
      <w:pPr>
        <w:autoSpaceDE w:val="0"/>
        <w:autoSpaceDN w:val="0"/>
        <w:adjustRightInd w:val="0"/>
        <w:spacing w:line="360"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p>
    <w:p w:rsidR="00220542" w:rsidRPr="005E324A" w:rsidRDefault="006D676F"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 xml:space="preserve">    2</w:t>
      </w:r>
      <w:r w:rsidRPr="005E324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220542" w:rsidRPr="005E324A" w:rsidRDefault="00220542" w:rsidP="0019563C">
      <w:pPr>
        <w:autoSpaceDE w:val="0"/>
        <w:autoSpaceDN w:val="0"/>
        <w:adjustRightInd w:val="0"/>
        <w:spacing w:line="360" w:lineRule="auto"/>
        <w:jc w:val="left"/>
        <w:rPr>
          <w:rFonts w:eastAsiaTheme="minorEastAsia"/>
          <w:color w:val="000000"/>
          <w:kern w:val="0"/>
          <w:sz w:val="24"/>
        </w:rPr>
      </w:pP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3.2 </w:t>
      </w:r>
      <w:r w:rsidRPr="005E324A">
        <w:rPr>
          <w:rFonts w:eastAsiaTheme="minorEastAsia"/>
          <w:b/>
          <w:color w:val="000000"/>
          <w:kern w:val="0"/>
          <w:sz w:val="24"/>
        </w:rPr>
        <w:t>基金净值表现</w:t>
      </w:r>
    </w:p>
    <w:p w:rsidR="007622F6" w:rsidRPr="005E324A" w:rsidRDefault="00220542" w:rsidP="003A4DA3">
      <w:pPr>
        <w:autoSpaceDE w:val="0"/>
        <w:autoSpaceDN w:val="0"/>
        <w:adjustRightInd w:val="0"/>
        <w:spacing w:line="360" w:lineRule="auto"/>
        <w:jc w:val="left"/>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5E324A">
          <w:rPr>
            <w:rFonts w:eastAsiaTheme="minorEastAsia"/>
            <w:b/>
            <w:color w:val="000000"/>
            <w:kern w:val="0"/>
            <w:sz w:val="24"/>
          </w:rPr>
          <w:t>3.2.1</w:t>
        </w:r>
      </w:smartTag>
      <w:r w:rsidRPr="005E324A">
        <w:rPr>
          <w:rFonts w:eastAsiaTheme="minorEastAsia"/>
          <w:b/>
          <w:color w:val="000000"/>
          <w:kern w:val="0"/>
          <w:sz w:val="24"/>
        </w:rPr>
        <w:t>本报告期基金份额净值增长率及其与同期业绩比较基准收益率的比较</w:t>
      </w:r>
    </w:p>
    <w:tbl>
      <w:tblPr>
        <w:tblStyle w:val="af7"/>
        <w:tblW w:w="0" w:type="auto"/>
        <w:tblInd w:w="15" w:type="dxa"/>
        <w:tblLayout w:type="fixed"/>
        <w:tblLook w:val="04A0" w:firstRow="1" w:lastRow="0" w:firstColumn="1" w:lastColumn="0" w:noHBand="0" w:noVBand="1"/>
      </w:tblPr>
      <w:tblGrid>
        <w:gridCol w:w="1215"/>
        <w:gridCol w:w="1216"/>
        <w:gridCol w:w="1216"/>
        <w:gridCol w:w="1216"/>
        <w:gridCol w:w="1216"/>
        <w:gridCol w:w="1217"/>
        <w:gridCol w:w="1217"/>
      </w:tblGrid>
      <w:tr w:rsidR="00E27A14" w:rsidRPr="005E324A" w:rsidTr="00E34CDF">
        <w:tc>
          <w:tcPr>
            <w:tcW w:w="1215" w:type="dxa"/>
            <w:vAlign w:val="center"/>
          </w:tcPr>
          <w:p w:rsidR="00E27A14" w:rsidRPr="005E324A" w:rsidRDefault="00E27A14" w:rsidP="00465C86">
            <w:pPr>
              <w:snapToGrid w:val="0"/>
              <w:spacing w:line="288" w:lineRule="auto"/>
              <w:jc w:val="center"/>
              <w:rPr>
                <w:rFonts w:eastAsiaTheme="minorEastAsia"/>
                <w:color w:val="000000"/>
                <w:sz w:val="24"/>
              </w:rPr>
            </w:pPr>
            <w:r w:rsidRPr="005E324A">
              <w:rPr>
                <w:rFonts w:eastAsiaTheme="minorEastAsia"/>
                <w:color w:val="000000"/>
                <w:sz w:val="24"/>
              </w:rPr>
              <w:t>阶段</w:t>
            </w:r>
          </w:p>
        </w:tc>
        <w:tc>
          <w:tcPr>
            <w:tcW w:w="1216" w:type="dxa"/>
            <w:vAlign w:val="center"/>
          </w:tcPr>
          <w:p w:rsidR="00E27A14" w:rsidRPr="005E324A" w:rsidRDefault="00E27A14" w:rsidP="00465C86">
            <w:pPr>
              <w:snapToGrid w:val="0"/>
              <w:spacing w:line="288" w:lineRule="auto"/>
              <w:jc w:val="center"/>
              <w:rPr>
                <w:rFonts w:eastAsiaTheme="minorEastAsia"/>
                <w:color w:val="000000"/>
                <w:sz w:val="24"/>
                <w:highlight w:val="green"/>
              </w:rPr>
            </w:pPr>
            <w:r w:rsidRPr="005E324A">
              <w:rPr>
                <w:rFonts w:eastAsiaTheme="minorEastAsia"/>
                <w:color w:val="000000"/>
                <w:sz w:val="24"/>
              </w:rPr>
              <w:t>净值增长率</w:t>
            </w:r>
            <w:r w:rsidRPr="005E324A">
              <w:rPr>
                <w:rFonts w:ascii="宋体" w:hAnsi="宋体" w:cs="宋体" w:hint="eastAsia"/>
                <w:color w:val="000000"/>
                <w:sz w:val="24"/>
              </w:rPr>
              <w:t>①</w:t>
            </w:r>
          </w:p>
        </w:tc>
        <w:tc>
          <w:tcPr>
            <w:tcW w:w="1216" w:type="dxa"/>
            <w:vAlign w:val="center"/>
          </w:tcPr>
          <w:p w:rsidR="00E27A14" w:rsidRPr="005E324A" w:rsidRDefault="00E27A14" w:rsidP="00465C86">
            <w:pPr>
              <w:snapToGrid w:val="0"/>
              <w:spacing w:line="288" w:lineRule="auto"/>
              <w:jc w:val="center"/>
              <w:rPr>
                <w:rFonts w:eastAsiaTheme="minorEastAsia"/>
                <w:color w:val="000000"/>
                <w:sz w:val="24"/>
                <w:highlight w:val="green"/>
              </w:rPr>
            </w:pPr>
            <w:r w:rsidRPr="005E324A">
              <w:rPr>
                <w:rFonts w:eastAsiaTheme="minorEastAsia"/>
                <w:color w:val="000000"/>
                <w:sz w:val="24"/>
              </w:rPr>
              <w:t>净值增长率标准差</w:t>
            </w:r>
            <w:r w:rsidRPr="005E324A">
              <w:rPr>
                <w:rFonts w:ascii="宋体" w:hAnsi="宋体" w:cs="宋体" w:hint="eastAsia"/>
                <w:color w:val="000000"/>
                <w:sz w:val="24"/>
              </w:rPr>
              <w:t>②</w:t>
            </w:r>
          </w:p>
        </w:tc>
        <w:tc>
          <w:tcPr>
            <w:tcW w:w="1216" w:type="dxa"/>
            <w:vAlign w:val="center"/>
          </w:tcPr>
          <w:p w:rsidR="00E27A14" w:rsidRPr="005E324A" w:rsidRDefault="00E27A14" w:rsidP="00465C86">
            <w:pPr>
              <w:snapToGrid w:val="0"/>
              <w:spacing w:line="288" w:lineRule="auto"/>
              <w:jc w:val="center"/>
              <w:rPr>
                <w:rFonts w:eastAsiaTheme="minorEastAsia"/>
                <w:color w:val="000000"/>
                <w:sz w:val="24"/>
              </w:rPr>
            </w:pPr>
            <w:r w:rsidRPr="005E324A">
              <w:rPr>
                <w:rFonts w:eastAsiaTheme="minorEastAsia"/>
                <w:color w:val="000000"/>
                <w:sz w:val="24"/>
              </w:rPr>
              <w:t>业绩比较基准收益率</w:t>
            </w:r>
            <w:r w:rsidRPr="005E324A">
              <w:rPr>
                <w:rFonts w:ascii="宋体" w:hAnsi="宋体" w:cs="宋体" w:hint="eastAsia"/>
                <w:color w:val="000000"/>
                <w:sz w:val="24"/>
              </w:rPr>
              <w:t>③</w:t>
            </w:r>
          </w:p>
        </w:tc>
        <w:tc>
          <w:tcPr>
            <w:tcW w:w="1216" w:type="dxa"/>
            <w:vAlign w:val="center"/>
          </w:tcPr>
          <w:p w:rsidR="00E27A14" w:rsidRPr="005E324A" w:rsidRDefault="00E27A14" w:rsidP="00465C86">
            <w:pPr>
              <w:snapToGrid w:val="0"/>
              <w:spacing w:line="288" w:lineRule="auto"/>
              <w:jc w:val="center"/>
              <w:rPr>
                <w:rFonts w:eastAsiaTheme="minorEastAsia"/>
                <w:color w:val="000000"/>
                <w:sz w:val="24"/>
              </w:rPr>
            </w:pPr>
            <w:r w:rsidRPr="005E324A">
              <w:rPr>
                <w:rFonts w:eastAsiaTheme="minorEastAsia"/>
                <w:color w:val="000000"/>
                <w:sz w:val="24"/>
              </w:rPr>
              <w:t>业绩比较基准收益率标准差</w:t>
            </w:r>
            <w:r w:rsidRPr="005E324A">
              <w:rPr>
                <w:rFonts w:ascii="宋体" w:hAnsi="宋体" w:cs="宋体" w:hint="eastAsia"/>
                <w:color w:val="000000"/>
                <w:sz w:val="24"/>
              </w:rPr>
              <w:t>④</w:t>
            </w:r>
          </w:p>
        </w:tc>
        <w:tc>
          <w:tcPr>
            <w:tcW w:w="1217" w:type="dxa"/>
            <w:vAlign w:val="center"/>
          </w:tcPr>
          <w:p w:rsidR="00E27A14" w:rsidRPr="005E324A" w:rsidRDefault="00E27A14" w:rsidP="00465C86">
            <w:pPr>
              <w:snapToGrid w:val="0"/>
              <w:spacing w:line="288" w:lineRule="auto"/>
              <w:jc w:val="center"/>
              <w:rPr>
                <w:rFonts w:eastAsiaTheme="minorEastAsia"/>
                <w:color w:val="000000"/>
                <w:sz w:val="24"/>
              </w:rPr>
            </w:pPr>
            <w:r w:rsidRPr="005E324A">
              <w:rPr>
                <w:rFonts w:ascii="宋体" w:hAnsi="宋体" w:cs="宋体" w:hint="eastAsia"/>
                <w:color w:val="000000"/>
                <w:sz w:val="24"/>
              </w:rPr>
              <w:t>①</w:t>
            </w:r>
            <w:r w:rsidRPr="005E324A">
              <w:rPr>
                <w:rFonts w:eastAsiaTheme="minorEastAsia"/>
                <w:color w:val="000000"/>
                <w:sz w:val="24"/>
              </w:rPr>
              <w:t>－</w:t>
            </w:r>
            <w:r w:rsidRPr="005E324A">
              <w:rPr>
                <w:rFonts w:ascii="宋体" w:hAnsi="宋体" w:cs="宋体" w:hint="eastAsia"/>
                <w:color w:val="000000"/>
                <w:sz w:val="24"/>
              </w:rPr>
              <w:t>③</w:t>
            </w:r>
          </w:p>
        </w:tc>
        <w:tc>
          <w:tcPr>
            <w:tcW w:w="1217" w:type="dxa"/>
            <w:vAlign w:val="center"/>
          </w:tcPr>
          <w:p w:rsidR="00E27A14" w:rsidRPr="005E324A" w:rsidRDefault="00E27A14" w:rsidP="00465C86">
            <w:pPr>
              <w:snapToGrid w:val="0"/>
              <w:spacing w:line="288" w:lineRule="auto"/>
              <w:jc w:val="center"/>
              <w:rPr>
                <w:rFonts w:eastAsiaTheme="minorEastAsia"/>
                <w:color w:val="000000"/>
                <w:sz w:val="24"/>
              </w:rPr>
            </w:pPr>
            <w:r w:rsidRPr="005E324A">
              <w:rPr>
                <w:rFonts w:ascii="宋体" w:hAnsi="宋体" w:cs="宋体" w:hint="eastAsia"/>
                <w:color w:val="000000"/>
                <w:sz w:val="24"/>
              </w:rPr>
              <w:t>②</w:t>
            </w:r>
            <w:r w:rsidRPr="005E324A">
              <w:rPr>
                <w:rFonts w:eastAsiaTheme="minorEastAsia"/>
                <w:color w:val="000000"/>
                <w:sz w:val="24"/>
              </w:rPr>
              <w:t>－</w:t>
            </w:r>
            <w:r w:rsidRPr="005E324A">
              <w:rPr>
                <w:rFonts w:ascii="宋体" w:hAnsi="宋体" w:cs="宋体" w:hint="eastAsia"/>
                <w:color w:val="000000"/>
                <w:sz w:val="24"/>
              </w:rPr>
              <w:t>④</w:t>
            </w:r>
          </w:p>
        </w:tc>
      </w:tr>
      <w:tr w:rsidR="00B14986">
        <w:tc>
          <w:tcPr>
            <w:tcW w:w="1215" w:type="dxa"/>
            <w:vAlign w:val="center"/>
          </w:tcPr>
          <w:p w:rsidR="00B14986" w:rsidRDefault="00304CC2">
            <w:pPr>
              <w:jc w:val="left"/>
            </w:pPr>
            <w:r>
              <w:rPr>
                <w:rFonts w:eastAsiaTheme="minorEastAsia"/>
                <w:color w:val="000000"/>
                <w:kern w:val="0"/>
                <w:sz w:val="24"/>
              </w:rPr>
              <w:t>过去三个月</w:t>
            </w:r>
          </w:p>
        </w:tc>
        <w:tc>
          <w:tcPr>
            <w:tcW w:w="1216" w:type="dxa"/>
            <w:vAlign w:val="center"/>
          </w:tcPr>
          <w:p w:rsidR="00B14986" w:rsidRDefault="00304CC2">
            <w:pPr>
              <w:jc w:val="center"/>
            </w:pPr>
            <w:r>
              <w:rPr>
                <w:rFonts w:eastAsiaTheme="minorEastAsia"/>
                <w:color w:val="000000"/>
                <w:kern w:val="0"/>
                <w:sz w:val="24"/>
              </w:rPr>
              <w:t>41.35%</w:t>
            </w:r>
          </w:p>
        </w:tc>
        <w:tc>
          <w:tcPr>
            <w:tcW w:w="1216" w:type="dxa"/>
            <w:vAlign w:val="center"/>
          </w:tcPr>
          <w:p w:rsidR="00B14986" w:rsidRDefault="00304CC2">
            <w:pPr>
              <w:jc w:val="center"/>
            </w:pPr>
            <w:r>
              <w:rPr>
                <w:rFonts w:eastAsiaTheme="minorEastAsia"/>
                <w:color w:val="000000"/>
                <w:kern w:val="0"/>
                <w:sz w:val="24"/>
              </w:rPr>
              <w:t>2.36%</w:t>
            </w:r>
          </w:p>
        </w:tc>
        <w:tc>
          <w:tcPr>
            <w:tcW w:w="1216" w:type="dxa"/>
            <w:vAlign w:val="center"/>
          </w:tcPr>
          <w:p w:rsidR="00B14986" w:rsidRDefault="00304CC2">
            <w:pPr>
              <w:jc w:val="center"/>
            </w:pPr>
            <w:r>
              <w:rPr>
                <w:rFonts w:eastAsiaTheme="minorEastAsia"/>
                <w:color w:val="000000"/>
                <w:kern w:val="0"/>
                <w:sz w:val="24"/>
              </w:rPr>
              <w:t>32.17%</w:t>
            </w:r>
          </w:p>
        </w:tc>
        <w:tc>
          <w:tcPr>
            <w:tcW w:w="1216" w:type="dxa"/>
            <w:vAlign w:val="center"/>
          </w:tcPr>
          <w:p w:rsidR="00B14986" w:rsidRDefault="00304CC2">
            <w:pPr>
              <w:jc w:val="center"/>
            </w:pPr>
            <w:r>
              <w:rPr>
                <w:rFonts w:eastAsiaTheme="minorEastAsia"/>
                <w:color w:val="000000"/>
                <w:kern w:val="0"/>
                <w:sz w:val="24"/>
              </w:rPr>
              <w:t>2.14%</w:t>
            </w:r>
          </w:p>
        </w:tc>
        <w:tc>
          <w:tcPr>
            <w:tcW w:w="1217" w:type="dxa"/>
            <w:vAlign w:val="center"/>
          </w:tcPr>
          <w:p w:rsidR="00B14986" w:rsidRDefault="00304CC2">
            <w:pPr>
              <w:jc w:val="center"/>
            </w:pPr>
            <w:r>
              <w:rPr>
                <w:rFonts w:eastAsiaTheme="minorEastAsia"/>
                <w:color w:val="000000"/>
                <w:kern w:val="0"/>
                <w:sz w:val="24"/>
              </w:rPr>
              <w:t>9.18%</w:t>
            </w:r>
          </w:p>
        </w:tc>
        <w:tc>
          <w:tcPr>
            <w:tcW w:w="1217" w:type="dxa"/>
            <w:vAlign w:val="center"/>
          </w:tcPr>
          <w:p w:rsidR="00B14986" w:rsidRDefault="00304CC2">
            <w:pPr>
              <w:jc w:val="center"/>
            </w:pPr>
            <w:r>
              <w:rPr>
                <w:rFonts w:eastAsiaTheme="minorEastAsia"/>
                <w:color w:val="000000"/>
                <w:kern w:val="0"/>
                <w:sz w:val="24"/>
              </w:rPr>
              <w:t>0.22%</w:t>
            </w:r>
          </w:p>
        </w:tc>
      </w:tr>
    </w:tbl>
    <w:p w:rsidR="00465C86" w:rsidRPr="005E324A" w:rsidRDefault="00465C86" w:rsidP="0019563C">
      <w:pPr>
        <w:tabs>
          <w:tab w:val="left" w:pos="1800"/>
        </w:tabs>
        <w:spacing w:line="360" w:lineRule="auto"/>
        <w:rPr>
          <w:rFonts w:eastAsiaTheme="minorEastAsia"/>
          <w:color w:val="000000"/>
          <w:sz w:val="24"/>
        </w:rPr>
      </w:pPr>
    </w:p>
    <w:p w:rsidR="00220542" w:rsidRPr="005E324A" w:rsidRDefault="00220542" w:rsidP="003A4DA3">
      <w:pPr>
        <w:spacing w:line="360" w:lineRule="auto"/>
        <w:rPr>
          <w:rFonts w:eastAsiaTheme="minorEastAsia"/>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5E324A">
          <w:rPr>
            <w:rFonts w:eastAsiaTheme="minorEastAsia"/>
            <w:b/>
            <w:color w:val="000000"/>
            <w:kern w:val="0"/>
            <w:sz w:val="24"/>
          </w:rPr>
          <w:t>3.2.2</w:t>
        </w:r>
        <w:r w:rsidR="00C4274D" w:rsidRPr="005E324A">
          <w:rPr>
            <w:rStyle w:val="af8"/>
            <w:color w:val="000000"/>
            <w:sz w:val="24"/>
            <w:shd w:val="clear" w:color="auto" w:fill="FFFFFF"/>
          </w:rPr>
          <w:t>自基金合同生效以来</w:t>
        </w:r>
      </w:smartTag>
      <w:r w:rsidRPr="005E324A">
        <w:rPr>
          <w:rFonts w:eastAsiaTheme="minorEastAsia"/>
          <w:b/>
          <w:bCs/>
          <w:color w:val="000000"/>
          <w:sz w:val="24"/>
        </w:rPr>
        <w:t>基金累计份额净值增长率变动及其与同期业绩比较基准收益率变动的比较</w:t>
      </w:r>
    </w:p>
    <w:p w:rsidR="0042253F" w:rsidRPr="005E324A" w:rsidRDefault="0042253F" w:rsidP="003A4DA3">
      <w:pPr>
        <w:spacing w:line="360" w:lineRule="auto"/>
        <w:jc w:val="center"/>
        <w:rPr>
          <w:rFonts w:eastAsiaTheme="minorEastAsia"/>
          <w:sz w:val="24"/>
        </w:rPr>
      </w:pPr>
      <w:r w:rsidRPr="005E324A">
        <w:rPr>
          <w:rFonts w:eastAsiaTheme="minorEastAsia"/>
          <w:sz w:val="24"/>
        </w:rPr>
        <w:t>交银施罗德国证新能源指数分级证券投资基金</w:t>
      </w:r>
    </w:p>
    <w:p w:rsidR="0042253F" w:rsidRPr="005E324A" w:rsidRDefault="0042253F" w:rsidP="003A4DA3">
      <w:pPr>
        <w:pStyle w:val="a5"/>
        <w:snapToGrid w:val="0"/>
        <w:spacing w:line="360" w:lineRule="auto"/>
        <w:jc w:val="center"/>
        <w:rPr>
          <w:rFonts w:ascii="Times New Roman" w:eastAsiaTheme="minorEastAsia" w:hAnsi="Times New Roman"/>
          <w:color w:val="000000"/>
          <w:sz w:val="24"/>
          <w:szCs w:val="24"/>
        </w:rPr>
      </w:pPr>
      <w:r w:rsidRPr="005E324A">
        <w:rPr>
          <w:rFonts w:ascii="Times New Roman" w:eastAsiaTheme="minorEastAsia" w:hAnsi="Times New Roman"/>
          <w:color w:val="000000"/>
          <w:sz w:val="24"/>
          <w:szCs w:val="24"/>
        </w:rPr>
        <w:t>累计份额净值增长率与业绩比较基准收益率历史走势对比图</w:t>
      </w:r>
    </w:p>
    <w:p w:rsidR="006868CD" w:rsidRPr="005E324A" w:rsidRDefault="006868CD" w:rsidP="003A4DA3">
      <w:pPr>
        <w:spacing w:line="360" w:lineRule="auto"/>
        <w:jc w:val="center"/>
        <w:rPr>
          <w:rFonts w:eastAsiaTheme="minorEastAsia"/>
          <w:sz w:val="24"/>
        </w:rPr>
      </w:pPr>
      <w:r w:rsidRPr="005E324A">
        <w:rPr>
          <w:rFonts w:eastAsiaTheme="minorEastAsia"/>
          <w:color w:val="000000"/>
          <w:kern w:val="0"/>
          <w:sz w:val="24"/>
        </w:rPr>
        <w:t>（</w:t>
      </w:r>
      <w:r w:rsidR="001B64E7" w:rsidRPr="005E324A">
        <w:rPr>
          <w:rFonts w:eastAsiaTheme="minorEastAsia"/>
          <w:color w:val="000000"/>
          <w:kern w:val="0"/>
          <w:sz w:val="24"/>
        </w:rPr>
        <w:t>2015</w:t>
      </w:r>
      <w:r w:rsidR="001B64E7" w:rsidRPr="005E324A">
        <w:rPr>
          <w:rFonts w:eastAsiaTheme="minorEastAsia"/>
          <w:color w:val="000000"/>
          <w:kern w:val="0"/>
          <w:sz w:val="24"/>
        </w:rPr>
        <w:t>年</w:t>
      </w:r>
      <w:r w:rsidR="001B64E7" w:rsidRPr="005E324A">
        <w:rPr>
          <w:rFonts w:eastAsiaTheme="minorEastAsia"/>
          <w:color w:val="000000"/>
          <w:kern w:val="0"/>
          <w:sz w:val="24"/>
        </w:rPr>
        <w:t>3</w:t>
      </w:r>
      <w:r w:rsidR="001B64E7" w:rsidRPr="005E324A">
        <w:rPr>
          <w:rFonts w:eastAsiaTheme="minorEastAsia"/>
          <w:color w:val="000000"/>
          <w:kern w:val="0"/>
          <w:sz w:val="24"/>
        </w:rPr>
        <w:t>月</w:t>
      </w:r>
      <w:r w:rsidR="001B64E7" w:rsidRPr="005E324A">
        <w:rPr>
          <w:rFonts w:eastAsiaTheme="minorEastAsia"/>
          <w:color w:val="000000"/>
          <w:kern w:val="0"/>
          <w:sz w:val="24"/>
        </w:rPr>
        <w:t>26</w:t>
      </w:r>
      <w:r w:rsidR="001B64E7" w:rsidRPr="005E324A">
        <w:rPr>
          <w:rFonts w:eastAsiaTheme="minorEastAsia"/>
          <w:color w:val="000000"/>
          <w:kern w:val="0"/>
          <w:sz w:val="24"/>
        </w:rPr>
        <w:t>日</w:t>
      </w:r>
      <w:r w:rsidRPr="005E324A">
        <w:rPr>
          <w:rFonts w:eastAsiaTheme="minorEastAsia"/>
          <w:color w:val="000000"/>
          <w:kern w:val="0"/>
          <w:sz w:val="24"/>
        </w:rPr>
        <w:t>至</w:t>
      </w:r>
      <w:r w:rsidRPr="005E324A">
        <w:rPr>
          <w:rFonts w:eastAsiaTheme="minorEastAsia"/>
          <w:color w:val="000000"/>
          <w:kern w:val="0"/>
          <w:sz w:val="24"/>
        </w:rPr>
        <w:t>2015</w:t>
      </w:r>
      <w:r w:rsidRPr="005E324A">
        <w:rPr>
          <w:rFonts w:eastAsiaTheme="minorEastAsia"/>
          <w:color w:val="000000"/>
          <w:kern w:val="0"/>
          <w:sz w:val="24"/>
        </w:rPr>
        <w:t>年</w:t>
      </w:r>
      <w:r w:rsidRPr="005E324A">
        <w:rPr>
          <w:rFonts w:eastAsiaTheme="minorEastAsia"/>
          <w:color w:val="000000"/>
          <w:kern w:val="0"/>
          <w:sz w:val="24"/>
        </w:rPr>
        <w:t>12</w:t>
      </w:r>
      <w:r w:rsidRPr="005E324A">
        <w:rPr>
          <w:rFonts w:eastAsiaTheme="minorEastAsia"/>
          <w:color w:val="000000"/>
          <w:kern w:val="0"/>
          <w:sz w:val="24"/>
        </w:rPr>
        <w:t>月</w:t>
      </w:r>
      <w:r w:rsidRPr="005E324A">
        <w:rPr>
          <w:rFonts w:eastAsiaTheme="minorEastAsia"/>
          <w:color w:val="000000"/>
          <w:kern w:val="0"/>
          <w:sz w:val="24"/>
        </w:rPr>
        <w:t>31</w:t>
      </w:r>
      <w:r w:rsidRPr="005E324A">
        <w:rPr>
          <w:rFonts w:eastAsiaTheme="minorEastAsia"/>
          <w:color w:val="000000"/>
          <w:kern w:val="0"/>
          <w:sz w:val="24"/>
        </w:rPr>
        <w:t>日）</w:t>
      </w:r>
    </w:p>
    <w:p w:rsidR="0042253F" w:rsidRPr="005E324A" w:rsidRDefault="00E548E9" w:rsidP="0042253F">
      <w:pPr>
        <w:tabs>
          <w:tab w:val="left" w:pos="1800"/>
        </w:tabs>
        <w:spacing w:line="360" w:lineRule="auto"/>
        <w:jc w:val="center"/>
        <w:rPr>
          <w:rFonts w:eastAsiaTheme="minorEastAsia"/>
          <w:color w:val="000000"/>
          <w:sz w:val="24"/>
        </w:rPr>
      </w:pPr>
      <w:r w:rsidRPr="005E324A">
        <w:rPr>
          <w:rFonts w:eastAsiaTheme="minorEastAsia"/>
          <w:noProof/>
          <w:color w:val="000000"/>
          <w:sz w:val="24"/>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rsidR="0042253F" w:rsidRPr="005E324A" w:rsidRDefault="0042253F"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注：本基金基金合同生效日为</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3</w:t>
      </w:r>
      <w:r w:rsidRPr="005E324A">
        <w:rPr>
          <w:rFonts w:eastAsiaTheme="minorEastAsia"/>
          <w:color w:val="000000"/>
          <w:sz w:val="24"/>
        </w:rPr>
        <w:t>月</w:t>
      </w:r>
      <w:r w:rsidRPr="005E324A">
        <w:rPr>
          <w:rFonts w:eastAsiaTheme="minorEastAsia"/>
          <w:color w:val="000000"/>
          <w:sz w:val="24"/>
        </w:rPr>
        <w:t>26</w:t>
      </w:r>
      <w:r w:rsidRPr="005E324A">
        <w:rPr>
          <w:rFonts w:eastAsiaTheme="minorEastAsia"/>
          <w:color w:val="000000"/>
          <w:sz w:val="24"/>
        </w:rPr>
        <w:t>日，基金合同生效日至报告期期末，本基金运作时间未满一年。本基金建仓期为自基金合同生效日起的</w:t>
      </w:r>
      <w:r w:rsidRPr="005E324A">
        <w:rPr>
          <w:rFonts w:eastAsiaTheme="minorEastAsia"/>
          <w:color w:val="000000"/>
          <w:sz w:val="24"/>
        </w:rPr>
        <w:t>6</w:t>
      </w:r>
      <w:r w:rsidRPr="005E324A">
        <w:rPr>
          <w:rFonts w:eastAsiaTheme="minorEastAsia"/>
          <w:color w:val="000000"/>
          <w:sz w:val="24"/>
        </w:rPr>
        <w:t>个月。截至建仓期结束，本基金各项资产配置比例符合基金合同及招募说明书有关投资比例的约定。</w:t>
      </w:r>
    </w:p>
    <w:p w:rsidR="0042253F" w:rsidRPr="005E324A" w:rsidRDefault="0042253F" w:rsidP="0019563C">
      <w:pPr>
        <w:pStyle w:val="a5"/>
        <w:snapToGrid w:val="0"/>
        <w:spacing w:before="120" w:line="360" w:lineRule="auto"/>
        <w:jc w:val="center"/>
        <w:rPr>
          <w:rFonts w:ascii="Times New Roman" w:eastAsiaTheme="minorEastAsia" w:hAnsi="Times New Roman"/>
          <w:color w:val="000000"/>
          <w:sz w:val="24"/>
          <w:szCs w:val="24"/>
        </w:rPr>
      </w:pPr>
    </w:p>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 xml:space="preserve">§4  </w:t>
      </w:r>
      <w:r w:rsidRPr="005E324A">
        <w:rPr>
          <w:rFonts w:eastAsiaTheme="minorEastAsia"/>
          <w:color w:val="000000"/>
          <w:kern w:val="0"/>
          <w:sz w:val="24"/>
          <w:szCs w:val="24"/>
        </w:rPr>
        <w:t>管理人报告</w:t>
      </w: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4.1 </w:t>
      </w:r>
      <w:r w:rsidRPr="005E324A">
        <w:rPr>
          <w:rFonts w:eastAsiaTheme="minor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7622F6" w:rsidRPr="005E324A" w:rsidTr="00026AAE">
        <w:trPr>
          <w:cantSplit/>
        </w:trPr>
        <w:tc>
          <w:tcPr>
            <w:tcW w:w="952" w:type="dxa"/>
            <w:vMerge w:val="restart"/>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姓名</w:t>
            </w:r>
          </w:p>
        </w:tc>
        <w:tc>
          <w:tcPr>
            <w:tcW w:w="930" w:type="dxa"/>
            <w:vMerge w:val="restart"/>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职务</w:t>
            </w:r>
          </w:p>
        </w:tc>
        <w:tc>
          <w:tcPr>
            <w:tcW w:w="2519" w:type="dxa"/>
            <w:gridSpan w:val="2"/>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任本基金的基金经理期限</w:t>
            </w:r>
          </w:p>
        </w:tc>
        <w:tc>
          <w:tcPr>
            <w:tcW w:w="1254" w:type="dxa"/>
            <w:vMerge w:val="restart"/>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证券从业年限</w:t>
            </w:r>
          </w:p>
        </w:tc>
        <w:tc>
          <w:tcPr>
            <w:tcW w:w="3276" w:type="dxa"/>
            <w:vMerge w:val="restart"/>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说明</w:t>
            </w:r>
          </w:p>
        </w:tc>
      </w:tr>
      <w:tr w:rsidR="007622F6" w:rsidRPr="005E324A" w:rsidTr="00026AAE">
        <w:trPr>
          <w:cantSplit/>
        </w:trPr>
        <w:tc>
          <w:tcPr>
            <w:tcW w:w="952" w:type="dxa"/>
            <w:vMerge/>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p>
        </w:tc>
        <w:tc>
          <w:tcPr>
            <w:tcW w:w="930" w:type="dxa"/>
            <w:vMerge/>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p>
        </w:tc>
        <w:tc>
          <w:tcPr>
            <w:tcW w:w="1210" w:type="dxa"/>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任职日期</w:t>
            </w:r>
          </w:p>
        </w:tc>
        <w:tc>
          <w:tcPr>
            <w:tcW w:w="1309" w:type="dxa"/>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r w:rsidRPr="005E324A">
              <w:rPr>
                <w:rFonts w:eastAsiaTheme="minorEastAsia"/>
                <w:color w:val="000000"/>
                <w:kern w:val="0"/>
                <w:sz w:val="24"/>
              </w:rPr>
              <w:t>离任日期</w:t>
            </w:r>
          </w:p>
        </w:tc>
        <w:tc>
          <w:tcPr>
            <w:tcW w:w="1254" w:type="dxa"/>
            <w:vMerge/>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p>
        </w:tc>
        <w:tc>
          <w:tcPr>
            <w:tcW w:w="3276" w:type="dxa"/>
            <w:vMerge/>
            <w:vAlign w:val="center"/>
          </w:tcPr>
          <w:p w:rsidR="007622F6" w:rsidRPr="005E324A" w:rsidRDefault="007622F6" w:rsidP="007A6BEA">
            <w:pPr>
              <w:autoSpaceDE w:val="0"/>
              <w:autoSpaceDN w:val="0"/>
              <w:adjustRightInd w:val="0"/>
              <w:spacing w:before="29" w:line="288" w:lineRule="auto"/>
              <w:ind w:left="15"/>
              <w:jc w:val="center"/>
              <w:rPr>
                <w:rFonts w:eastAsiaTheme="minorEastAsia"/>
                <w:color w:val="000000"/>
                <w:kern w:val="0"/>
                <w:sz w:val="24"/>
              </w:rPr>
            </w:pPr>
          </w:p>
        </w:tc>
      </w:tr>
      <w:tr w:rsidR="00B14986">
        <w:tc>
          <w:tcPr>
            <w:tcW w:w="952" w:type="dxa"/>
            <w:vAlign w:val="center"/>
          </w:tcPr>
          <w:p w:rsidR="00B14986" w:rsidRDefault="00304CC2">
            <w:pPr>
              <w:jc w:val="center"/>
            </w:pPr>
            <w:r>
              <w:rPr>
                <w:rFonts w:eastAsiaTheme="minorEastAsia"/>
                <w:color w:val="000000"/>
                <w:sz w:val="24"/>
              </w:rPr>
              <w:t>蔡铮</w:t>
            </w:r>
          </w:p>
        </w:tc>
        <w:tc>
          <w:tcPr>
            <w:tcW w:w="930" w:type="dxa"/>
            <w:vAlign w:val="center"/>
          </w:tcPr>
          <w:p w:rsidR="00B14986" w:rsidRDefault="00304CC2">
            <w:pPr>
              <w:jc w:val="center"/>
            </w:pPr>
            <w:r>
              <w:rPr>
                <w:rFonts w:eastAsiaTheme="minorEastAsia"/>
                <w:color w:val="000000"/>
                <w:sz w:val="24"/>
              </w:rPr>
              <w:t>交银环球精选混合</w:t>
            </w:r>
            <w:r>
              <w:rPr>
                <w:rFonts w:eastAsiaTheme="minorEastAsia"/>
                <w:color w:val="000000"/>
                <w:sz w:val="24"/>
              </w:rPr>
              <w:t>(QDII)</w:t>
            </w:r>
            <w:r>
              <w:rPr>
                <w:rFonts w:eastAsiaTheme="minorEastAsia"/>
                <w:color w:val="000000"/>
                <w:sz w:val="24"/>
              </w:rPr>
              <w:t>、交银上证</w:t>
            </w:r>
            <w:r>
              <w:rPr>
                <w:rFonts w:eastAsiaTheme="minorEastAsia"/>
                <w:color w:val="000000"/>
                <w:sz w:val="24"/>
              </w:rPr>
              <w:t>180</w:t>
            </w:r>
            <w:r>
              <w:rPr>
                <w:rFonts w:eastAsiaTheme="minorEastAsia"/>
                <w:color w:val="000000"/>
                <w:sz w:val="24"/>
              </w:rPr>
              <w:t>公司治理</w:t>
            </w:r>
            <w:r>
              <w:rPr>
                <w:rFonts w:eastAsiaTheme="minorEastAsia"/>
                <w:color w:val="000000"/>
                <w:sz w:val="24"/>
              </w:rPr>
              <w:t>ETF</w:t>
            </w:r>
            <w:r>
              <w:rPr>
                <w:rFonts w:eastAsiaTheme="minorEastAsia"/>
                <w:color w:val="000000"/>
                <w:sz w:val="24"/>
              </w:rPr>
              <w:t>及其联接、交银深证</w:t>
            </w:r>
            <w:r>
              <w:rPr>
                <w:rFonts w:eastAsiaTheme="minorEastAsia"/>
                <w:color w:val="000000"/>
                <w:sz w:val="24"/>
              </w:rPr>
              <w:t>300</w:t>
            </w:r>
            <w:r>
              <w:rPr>
                <w:rFonts w:eastAsiaTheme="minorEastAsia"/>
                <w:color w:val="000000"/>
                <w:sz w:val="24"/>
              </w:rPr>
              <w:t>价值</w:t>
            </w:r>
            <w:r>
              <w:rPr>
                <w:rFonts w:eastAsiaTheme="minorEastAsia"/>
                <w:color w:val="000000"/>
                <w:sz w:val="24"/>
              </w:rPr>
              <w:t>ETF</w:t>
            </w:r>
            <w:r>
              <w:rPr>
                <w:rFonts w:eastAsiaTheme="minorEastAsia"/>
                <w:color w:val="000000"/>
                <w:sz w:val="24"/>
              </w:rPr>
              <w:t>及其联接、交银全球资源混合</w:t>
            </w:r>
            <w:r>
              <w:rPr>
                <w:rFonts w:eastAsiaTheme="minorEastAsia"/>
                <w:color w:val="000000"/>
                <w:sz w:val="24"/>
              </w:rPr>
              <w:t>(QDII)</w:t>
            </w:r>
            <w:r>
              <w:rPr>
                <w:rFonts w:eastAsiaTheme="minorEastAsia"/>
                <w:color w:val="000000"/>
                <w:sz w:val="24"/>
              </w:rPr>
              <w:t>、交银国证新能源指数分级、交银中证海外中国互联网指数（</w:t>
            </w:r>
            <w:r>
              <w:rPr>
                <w:rFonts w:eastAsiaTheme="minorEastAsia"/>
                <w:color w:val="000000"/>
                <w:sz w:val="24"/>
              </w:rPr>
              <w:t>QDII-LOF)</w:t>
            </w:r>
            <w:r>
              <w:rPr>
                <w:rFonts w:eastAsiaTheme="minorEastAsia"/>
                <w:color w:val="000000"/>
                <w:sz w:val="24"/>
              </w:rPr>
              <w:t>、交银中证互联网金融指数分级、交银中证环境治理指数分级的基金经理，公司量化投资部助理总经理</w:t>
            </w:r>
          </w:p>
        </w:tc>
        <w:tc>
          <w:tcPr>
            <w:tcW w:w="1210" w:type="dxa"/>
            <w:vAlign w:val="center"/>
          </w:tcPr>
          <w:p w:rsidR="00B14986" w:rsidRDefault="00304CC2">
            <w:pPr>
              <w:jc w:val="center"/>
            </w:pPr>
            <w:r>
              <w:rPr>
                <w:rFonts w:eastAsiaTheme="minorEastAsia"/>
                <w:color w:val="000000"/>
                <w:sz w:val="24"/>
              </w:rPr>
              <w:t>2015-03-26</w:t>
            </w:r>
          </w:p>
        </w:tc>
        <w:tc>
          <w:tcPr>
            <w:tcW w:w="1309" w:type="dxa"/>
            <w:vAlign w:val="center"/>
          </w:tcPr>
          <w:p w:rsidR="00B14986" w:rsidRDefault="00304CC2">
            <w:pPr>
              <w:jc w:val="center"/>
            </w:pPr>
            <w:r>
              <w:rPr>
                <w:rFonts w:eastAsiaTheme="minorEastAsia"/>
                <w:color w:val="000000"/>
                <w:sz w:val="24"/>
              </w:rPr>
              <w:t>-</w:t>
            </w:r>
          </w:p>
        </w:tc>
        <w:tc>
          <w:tcPr>
            <w:tcW w:w="1254" w:type="dxa"/>
            <w:vAlign w:val="center"/>
          </w:tcPr>
          <w:p w:rsidR="00B14986" w:rsidRDefault="00304CC2">
            <w:pPr>
              <w:jc w:val="center"/>
            </w:pPr>
            <w:r>
              <w:rPr>
                <w:rFonts w:eastAsiaTheme="minorEastAsia"/>
                <w:color w:val="000000"/>
                <w:sz w:val="24"/>
              </w:rPr>
              <w:t>6</w:t>
            </w:r>
            <w:r>
              <w:rPr>
                <w:rFonts w:eastAsiaTheme="minorEastAsia"/>
                <w:color w:val="000000"/>
                <w:sz w:val="24"/>
              </w:rPr>
              <w:t>年</w:t>
            </w:r>
          </w:p>
        </w:tc>
        <w:tc>
          <w:tcPr>
            <w:tcW w:w="3276" w:type="dxa"/>
            <w:vAlign w:val="center"/>
          </w:tcPr>
          <w:p w:rsidR="00B14986" w:rsidRDefault="00304CC2">
            <w:r>
              <w:rPr>
                <w:rFonts w:eastAsiaTheme="minorEastAsia"/>
                <w:color w:val="000000"/>
                <w:sz w:val="24"/>
              </w:rPr>
              <w:t>蔡铮先生，复旦大学电子工程硕士。历任瑞士银行香港分行分析员。</w:t>
            </w:r>
            <w:r>
              <w:rPr>
                <w:rFonts w:eastAsiaTheme="minorEastAsia"/>
                <w:color w:val="000000"/>
                <w:sz w:val="24"/>
              </w:rPr>
              <w:t>2009</w:t>
            </w:r>
            <w:r>
              <w:rPr>
                <w:rFonts w:eastAsiaTheme="minorEastAsia"/>
                <w:color w:val="000000"/>
                <w:sz w:val="24"/>
              </w:rPr>
              <w:t>年加入交银施罗德基金管理有限公司，历任投资研究部数量分析师、基金经理助理。</w:t>
            </w:r>
            <w:r>
              <w:rPr>
                <w:rFonts w:eastAsiaTheme="minorEastAsia"/>
                <w:color w:val="000000"/>
                <w:sz w:val="24"/>
              </w:rPr>
              <w:t>2012</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27</w:t>
            </w:r>
            <w:r>
              <w:rPr>
                <w:rFonts w:eastAsiaTheme="minorEastAsia"/>
                <w:color w:val="000000"/>
                <w:sz w:val="24"/>
              </w:rPr>
              <w:t>日至</w:t>
            </w:r>
            <w:r>
              <w:rPr>
                <w:rFonts w:eastAsiaTheme="minorEastAsia"/>
                <w:color w:val="000000"/>
                <w:sz w:val="24"/>
              </w:rPr>
              <w:t>2015</w:t>
            </w:r>
            <w:r>
              <w:rPr>
                <w:rFonts w:eastAsiaTheme="minorEastAsia"/>
                <w:color w:val="000000"/>
                <w:sz w:val="24"/>
              </w:rPr>
              <w:t>年</w:t>
            </w:r>
            <w:r>
              <w:rPr>
                <w:rFonts w:eastAsiaTheme="minorEastAsia"/>
                <w:color w:val="000000"/>
                <w:sz w:val="24"/>
              </w:rPr>
              <w:t>6</w:t>
            </w:r>
            <w:r>
              <w:rPr>
                <w:rFonts w:eastAsiaTheme="minorEastAsia"/>
                <w:color w:val="000000"/>
                <w:sz w:val="24"/>
              </w:rPr>
              <w:t>月</w:t>
            </w:r>
            <w:r>
              <w:rPr>
                <w:rFonts w:eastAsiaTheme="minorEastAsia"/>
                <w:color w:val="000000"/>
                <w:sz w:val="24"/>
              </w:rPr>
              <w:t>30</w:t>
            </w:r>
            <w:r>
              <w:rPr>
                <w:rFonts w:eastAsiaTheme="minorEastAsia"/>
                <w:color w:val="000000"/>
                <w:sz w:val="24"/>
              </w:rPr>
              <w:t>日担任交银施罗德沪深</w:t>
            </w:r>
            <w:r>
              <w:rPr>
                <w:rFonts w:eastAsiaTheme="minorEastAsia"/>
                <w:color w:val="000000"/>
                <w:sz w:val="24"/>
              </w:rPr>
              <w:t>300</w:t>
            </w:r>
            <w:r>
              <w:rPr>
                <w:rFonts w:eastAsiaTheme="minorEastAsia"/>
                <w:color w:val="000000"/>
                <w:sz w:val="24"/>
              </w:rPr>
              <w:t>行业分层等权重指数证券投资基金基金经理。</w:t>
            </w:r>
          </w:p>
        </w:tc>
      </w:tr>
    </w:tbl>
    <w:p w:rsidR="00220542" w:rsidRPr="005E324A" w:rsidRDefault="007622F6" w:rsidP="0019563C">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注：基金经理（或基金经理小组）期后变动（如有）敬请关注基金管理人发布的相关公告。</w:t>
      </w:r>
    </w:p>
    <w:p w:rsidR="00220542" w:rsidRPr="005E324A" w:rsidRDefault="00220542" w:rsidP="0019563C">
      <w:pPr>
        <w:autoSpaceDE w:val="0"/>
        <w:autoSpaceDN w:val="0"/>
        <w:adjustRightInd w:val="0"/>
        <w:spacing w:line="360" w:lineRule="auto"/>
        <w:jc w:val="left"/>
        <w:rPr>
          <w:rFonts w:eastAsiaTheme="minorEastAsia"/>
          <w:color w:val="000000"/>
          <w:kern w:val="0"/>
          <w:sz w:val="24"/>
        </w:rPr>
      </w:pP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4.2</w:t>
      </w:r>
      <w:r w:rsidR="00304CC2">
        <w:rPr>
          <w:rFonts w:eastAsiaTheme="minorEastAsia" w:hint="eastAsia"/>
          <w:b/>
          <w:color w:val="000000"/>
          <w:kern w:val="0"/>
          <w:sz w:val="24"/>
        </w:rPr>
        <w:t xml:space="preserve"> </w:t>
      </w:r>
      <w:r w:rsidR="00BA4BD3" w:rsidRPr="005E324A">
        <w:rPr>
          <w:rFonts w:eastAsiaTheme="minorEastAsia"/>
          <w:b/>
          <w:bCs/>
          <w:color w:val="000000"/>
          <w:sz w:val="24"/>
        </w:rPr>
        <w:t>管理人对报告期内本基金运作遵规守信情况的说明</w:t>
      </w:r>
    </w:p>
    <w:p w:rsidR="00220542" w:rsidRPr="005E324A" w:rsidRDefault="007622F6" w:rsidP="003A4DA3">
      <w:pPr>
        <w:spacing w:line="360" w:lineRule="auto"/>
        <w:ind w:firstLineChars="200" w:firstLine="480"/>
        <w:rPr>
          <w:rFonts w:eastAsiaTheme="minorEastAsia"/>
          <w:color w:val="000000"/>
          <w:kern w:val="0"/>
          <w:sz w:val="24"/>
        </w:rPr>
      </w:pPr>
      <w:r w:rsidRPr="005E324A">
        <w:rPr>
          <w:rFonts w:eastAsiaTheme="minorEastAsia"/>
          <w:color w:val="000000"/>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5E324A" w:rsidRDefault="00220542" w:rsidP="003A4DA3">
      <w:pPr>
        <w:autoSpaceDE w:val="0"/>
        <w:autoSpaceDN w:val="0"/>
        <w:adjustRightInd w:val="0"/>
        <w:spacing w:line="360" w:lineRule="auto"/>
        <w:jc w:val="left"/>
        <w:rPr>
          <w:rFonts w:eastAsiaTheme="minorEastAsia"/>
          <w:color w:val="000000"/>
          <w:kern w:val="0"/>
          <w:sz w:val="24"/>
        </w:rPr>
      </w:pP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4.3 </w:t>
      </w:r>
      <w:r w:rsidRPr="005E324A">
        <w:rPr>
          <w:rFonts w:eastAsiaTheme="minorEastAsia"/>
          <w:b/>
          <w:color w:val="000000"/>
          <w:kern w:val="0"/>
          <w:sz w:val="24"/>
        </w:rPr>
        <w:t>公平交易专项说明</w:t>
      </w:r>
    </w:p>
    <w:p w:rsidR="00EB0BF5" w:rsidRPr="005E324A" w:rsidRDefault="00EB0BF5" w:rsidP="003A4DA3">
      <w:pPr>
        <w:spacing w:line="360" w:lineRule="auto"/>
        <w:rPr>
          <w:rFonts w:eastAsiaTheme="minorEastAsia"/>
          <w:sz w:val="24"/>
        </w:rPr>
      </w:pPr>
      <w:smartTag w:uri="urn:schemas-microsoft-com:office:smarttags" w:element="chsdate">
        <w:smartTagPr>
          <w:attr w:name="Year" w:val="1899"/>
          <w:attr w:name="Month" w:val="12"/>
          <w:attr w:name="Day" w:val="30"/>
          <w:attr w:name="IsLunarDate" w:val="False"/>
          <w:attr w:name="IsROCDate" w:val="False"/>
        </w:smartTagPr>
        <w:r w:rsidRPr="005E324A">
          <w:rPr>
            <w:rFonts w:eastAsiaTheme="minorEastAsia"/>
            <w:sz w:val="24"/>
          </w:rPr>
          <w:t>4.3.1</w:t>
        </w:r>
      </w:smartTag>
      <w:r w:rsidRPr="005E324A">
        <w:rPr>
          <w:rFonts w:eastAsiaTheme="minorEastAsia"/>
          <w:sz w:val="24"/>
        </w:rPr>
        <w:t xml:space="preserve"> </w:t>
      </w:r>
      <w:r w:rsidRPr="005E324A">
        <w:rPr>
          <w:rFonts w:eastAsiaTheme="minorEastAsia"/>
          <w:sz w:val="24"/>
        </w:rPr>
        <w:t>公平交易制度的执行情况</w:t>
      </w:r>
    </w:p>
    <w:p w:rsidR="00B14986" w:rsidRDefault="00304CC2">
      <w:pPr>
        <w:spacing w:line="360" w:lineRule="auto"/>
        <w:ind w:firstLineChars="200" w:firstLine="480"/>
        <w:rPr>
          <w:rFonts w:eastAsiaTheme="minorEastAsia"/>
          <w:color w:val="000000"/>
          <w:kern w:val="0"/>
          <w:sz w:val="24"/>
        </w:rPr>
      </w:pPr>
      <w:r>
        <w:rPr>
          <w:rFonts w:eastAsiaTheme="minorEastAsia"/>
          <w:color w:val="000000"/>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14986" w:rsidRDefault="00304CC2">
      <w:pPr>
        <w:spacing w:line="360" w:lineRule="auto"/>
        <w:ind w:firstLineChars="200" w:firstLine="480"/>
        <w:rPr>
          <w:rFonts w:eastAsiaTheme="minorEastAsia"/>
          <w:color w:val="000000"/>
          <w:kern w:val="0"/>
          <w:sz w:val="24"/>
        </w:rPr>
      </w:pPr>
      <w:r>
        <w:rPr>
          <w:rFonts w:eastAsiaTheme="minorEastAsia"/>
          <w:color w:val="000000"/>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rFonts w:eastAsiaTheme="minorEastAsia"/>
          <w:color w:val="000000"/>
          <w:kern w:val="0"/>
          <w:sz w:val="24"/>
        </w:rPr>
        <w:t>“</w:t>
      </w:r>
      <w:r>
        <w:rPr>
          <w:rFonts w:eastAsiaTheme="minorEastAsia"/>
          <w:color w:val="000000"/>
          <w:kern w:val="0"/>
          <w:sz w:val="24"/>
        </w:rPr>
        <w:t>时间优先、价格优先、比例分配</w:t>
      </w:r>
      <w:r>
        <w:rPr>
          <w:rFonts w:eastAsiaTheme="minorEastAsia"/>
          <w:color w:val="000000"/>
          <w:kern w:val="0"/>
          <w:sz w:val="24"/>
        </w:rPr>
        <w:t>”</w:t>
      </w:r>
      <w:r>
        <w:rPr>
          <w:rFonts w:eastAsiaTheme="minorEastAsia"/>
          <w:color w:val="000000"/>
          <w:kern w:val="0"/>
          <w:sz w:val="24"/>
        </w:rPr>
        <w:t>的原则，全部通过交易系统进行比例分配；对于非集中竞价交易、以公司名义进行的场外交易，遵循</w:t>
      </w:r>
      <w:r>
        <w:rPr>
          <w:rFonts w:eastAsiaTheme="minorEastAsia"/>
          <w:color w:val="000000"/>
          <w:kern w:val="0"/>
          <w:sz w:val="24"/>
        </w:rPr>
        <w:t>“</w:t>
      </w:r>
      <w:r>
        <w:rPr>
          <w:rFonts w:eastAsiaTheme="minorEastAsia"/>
          <w:color w:val="000000"/>
          <w:kern w:val="0"/>
          <w:sz w:val="24"/>
        </w:rPr>
        <w:t>价格优先、比例分配</w:t>
      </w:r>
      <w:r>
        <w:rPr>
          <w:rFonts w:eastAsiaTheme="minorEastAsia"/>
          <w:color w:val="000000"/>
          <w:kern w:val="0"/>
          <w:sz w:val="24"/>
        </w:rPr>
        <w:t>”</w:t>
      </w:r>
      <w:r>
        <w:rPr>
          <w:rFonts w:eastAsiaTheme="minorEastAsia"/>
          <w:color w:val="000000"/>
          <w:kern w:val="0"/>
          <w:sz w:val="24"/>
        </w:rPr>
        <w:t>的原则按事前独立确定的投资方案对交易结果进行分配。</w:t>
      </w:r>
    </w:p>
    <w:p w:rsidR="00B14986" w:rsidRDefault="00304CC2">
      <w:pPr>
        <w:spacing w:line="360" w:lineRule="auto"/>
        <w:ind w:firstLineChars="200" w:firstLine="480"/>
        <w:rPr>
          <w:rFonts w:eastAsiaTheme="minorEastAsia"/>
          <w:color w:val="000000"/>
          <w:kern w:val="0"/>
          <w:sz w:val="24"/>
        </w:rPr>
      </w:pPr>
      <w:r>
        <w:rPr>
          <w:rFonts w:eastAsiaTheme="minorEastAsia"/>
          <w:color w:val="000000"/>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5E324A" w:rsidRDefault="007622F6" w:rsidP="003A4DA3">
      <w:pPr>
        <w:spacing w:line="360" w:lineRule="auto"/>
        <w:ind w:firstLineChars="200" w:firstLine="480"/>
        <w:rPr>
          <w:rFonts w:eastAsiaTheme="minorEastAsia"/>
          <w:color w:val="000000"/>
          <w:kern w:val="0"/>
          <w:sz w:val="24"/>
        </w:rPr>
      </w:pPr>
      <w:r w:rsidRPr="005E324A">
        <w:rPr>
          <w:rFonts w:eastAsiaTheme="minorEastAsia"/>
          <w:color w:val="000000"/>
          <w:kern w:val="0"/>
          <w:sz w:val="24"/>
        </w:rPr>
        <w:t>报告期内本公司严格执行公平交易制度，公平对待旗下各投资组合，未发现任何违反公平交易的行为。</w:t>
      </w:r>
    </w:p>
    <w:p w:rsidR="00EB0BF5" w:rsidRPr="005E324A" w:rsidRDefault="00EB0BF5" w:rsidP="003A4DA3">
      <w:pPr>
        <w:spacing w:line="360" w:lineRule="auto"/>
        <w:rPr>
          <w:rFonts w:eastAsiaTheme="minorEastAsia"/>
          <w:sz w:val="24"/>
        </w:rPr>
      </w:pPr>
      <w:r w:rsidRPr="005E324A">
        <w:rPr>
          <w:rFonts w:eastAsiaTheme="minorEastAsia"/>
          <w:sz w:val="24"/>
        </w:rPr>
        <w:t>4.3.</w:t>
      </w:r>
      <w:r w:rsidR="004542DD" w:rsidRPr="005E324A">
        <w:rPr>
          <w:rFonts w:eastAsiaTheme="minorEastAsia"/>
          <w:sz w:val="24"/>
        </w:rPr>
        <w:t>2</w:t>
      </w:r>
      <w:r w:rsidRPr="005E324A">
        <w:rPr>
          <w:rFonts w:eastAsiaTheme="minorEastAsia"/>
          <w:sz w:val="24"/>
        </w:rPr>
        <w:t xml:space="preserve"> </w:t>
      </w:r>
      <w:r w:rsidRPr="005E324A">
        <w:rPr>
          <w:rFonts w:eastAsiaTheme="minorEastAsia"/>
          <w:sz w:val="24"/>
        </w:rPr>
        <w:t>异常交易行为的专项说明</w:t>
      </w:r>
    </w:p>
    <w:p w:rsidR="00EB0BF5" w:rsidRPr="005E324A" w:rsidRDefault="007622F6" w:rsidP="003A4DA3">
      <w:pPr>
        <w:spacing w:line="360" w:lineRule="auto"/>
        <w:ind w:firstLineChars="200" w:firstLine="480"/>
        <w:rPr>
          <w:rFonts w:eastAsiaTheme="minorEastAsia"/>
          <w:color w:val="000000"/>
          <w:kern w:val="0"/>
          <w:sz w:val="24"/>
        </w:rPr>
      </w:pPr>
      <w:r w:rsidRPr="005E324A">
        <w:rPr>
          <w:rFonts w:eastAsiaTheme="minorEastAsia"/>
          <w:color w:val="000000"/>
          <w:kern w:val="0"/>
          <w:sz w:val="24"/>
        </w:rPr>
        <w:t>本基金于本报告期内不存在异常交易行为。本报告期内，本公司管理的所有投资组合参与的交易所公开竞价同日反向交易成交较少的单边交易量没有超过该证券当日总成交量</w:t>
      </w:r>
      <w:r w:rsidRPr="005E324A">
        <w:rPr>
          <w:rFonts w:eastAsiaTheme="minorEastAsia"/>
          <w:color w:val="000000"/>
          <w:kern w:val="0"/>
          <w:sz w:val="24"/>
        </w:rPr>
        <w:t>5%</w:t>
      </w:r>
      <w:r w:rsidRPr="005E324A">
        <w:rPr>
          <w:rFonts w:eastAsiaTheme="minorEastAsia"/>
          <w:color w:val="000000"/>
          <w:kern w:val="0"/>
          <w:sz w:val="24"/>
        </w:rPr>
        <w:t>的情形，本基金与本公司管理的其他投资组合在不同时间窗下（如日内、</w:t>
      </w:r>
      <w:r w:rsidRPr="005E324A">
        <w:rPr>
          <w:rFonts w:eastAsiaTheme="minorEastAsia"/>
          <w:color w:val="000000"/>
          <w:kern w:val="0"/>
          <w:sz w:val="24"/>
        </w:rPr>
        <w:t>3</w:t>
      </w:r>
      <w:r w:rsidRPr="005E324A">
        <w:rPr>
          <w:rFonts w:eastAsiaTheme="minorEastAsia"/>
          <w:color w:val="000000"/>
          <w:kern w:val="0"/>
          <w:sz w:val="24"/>
        </w:rPr>
        <w:t>日内、</w:t>
      </w:r>
      <w:r w:rsidRPr="005E324A">
        <w:rPr>
          <w:rFonts w:eastAsiaTheme="minorEastAsia"/>
          <w:color w:val="000000"/>
          <w:kern w:val="0"/>
          <w:sz w:val="24"/>
        </w:rPr>
        <w:t>5</w:t>
      </w:r>
      <w:r w:rsidRPr="005E324A">
        <w:rPr>
          <w:rFonts w:eastAsiaTheme="minorEastAsia"/>
          <w:color w:val="000000"/>
          <w:kern w:val="0"/>
          <w:sz w:val="24"/>
        </w:rPr>
        <w:t>日内）同向交易的交易价差未出现异常。</w:t>
      </w:r>
    </w:p>
    <w:p w:rsidR="00220542" w:rsidRPr="005E324A" w:rsidRDefault="00220542" w:rsidP="003A4DA3">
      <w:pPr>
        <w:spacing w:line="360" w:lineRule="auto"/>
        <w:ind w:firstLineChars="200" w:firstLine="480"/>
        <w:rPr>
          <w:rFonts w:eastAsiaTheme="minorEastAsia"/>
          <w:color w:val="000000"/>
          <w:sz w:val="24"/>
        </w:rPr>
      </w:pPr>
    </w:p>
    <w:p w:rsidR="00D33924" w:rsidRPr="005E324A" w:rsidRDefault="00D33924"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4.4 </w:t>
      </w:r>
      <w:r w:rsidRPr="005E324A">
        <w:rPr>
          <w:rFonts w:eastAsiaTheme="minorEastAsia"/>
          <w:b/>
          <w:color w:val="000000"/>
          <w:kern w:val="0"/>
          <w:sz w:val="24"/>
        </w:rPr>
        <w:t>报告期内基金的投资策略和</w:t>
      </w:r>
      <w:r w:rsidR="00EF03C6" w:rsidRPr="005E324A">
        <w:rPr>
          <w:rFonts w:eastAsiaTheme="minorEastAsia"/>
          <w:b/>
          <w:color w:val="000000"/>
          <w:kern w:val="0"/>
          <w:sz w:val="24"/>
        </w:rPr>
        <w:t>运作分析</w:t>
      </w:r>
    </w:p>
    <w:p w:rsidR="00B14986" w:rsidRDefault="00304CC2">
      <w:pPr>
        <w:spacing w:line="360" w:lineRule="auto"/>
        <w:ind w:firstLineChars="200" w:firstLine="480"/>
        <w:rPr>
          <w:rFonts w:eastAsiaTheme="minorEastAsia"/>
          <w:color w:val="000000"/>
          <w:kern w:val="0"/>
          <w:sz w:val="24"/>
        </w:rPr>
      </w:pPr>
      <w:r>
        <w:rPr>
          <w:rFonts w:eastAsiaTheme="minorEastAsia"/>
          <w:color w:val="000000"/>
          <w:kern w:val="0"/>
          <w:sz w:val="24"/>
        </w:rPr>
        <w:t>2015</w:t>
      </w:r>
      <w:r>
        <w:rPr>
          <w:rFonts w:eastAsiaTheme="minorEastAsia"/>
          <w:color w:val="000000"/>
          <w:kern w:val="0"/>
          <w:sz w:val="24"/>
        </w:rPr>
        <w:t>年第四季度，国内经济先行指标出现企稳，但经济增长和企业盈利下行压力依然较大。随着美联储加息，全球资产风险偏好暂获回升。货币政策延续宽松和国家对股市维稳意愿的加强进一步推动了资本市场的反弹行情。作为跟踪国证新能源指数的指数基金，在第四季度基金总体呈现出上涨走势。</w:t>
      </w:r>
    </w:p>
    <w:p w:rsidR="00D33924" w:rsidRDefault="007622F6" w:rsidP="003A4DA3">
      <w:pPr>
        <w:spacing w:line="360" w:lineRule="auto"/>
        <w:ind w:firstLineChars="200" w:firstLine="480"/>
        <w:rPr>
          <w:rFonts w:eastAsiaTheme="minorEastAsia"/>
          <w:color w:val="000000"/>
          <w:kern w:val="0"/>
          <w:sz w:val="24"/>
        </w:rPr>
      </w:pPr>
      <w:r w:rsidRPr="005E324A">
        <w:rPr>
          <w:rFonts w:eastAsiaTheme="minorEastAsia"/>
          <w:color w:val="000000"/>
          <w:kern w:val="0"/>
          <w:sz w:val="24"/>
        </w:rPr>
        <w:t>展望</w:t>
      </w:r>
      <w:r w:rsidRPr="005E324A">
        <w:rPr>
          <w:rFonts w:eastAsiaTheme="minorEastAsia"/>
          <w:color w:val="000000"/>
          <w:kern w:val="0"/>
          <w:sz w:val="24"/>
        </w:rPr>
        <w:t>2016</w:t>
      </w:r>
      <w:r w:rsidRPr="005E324A">
        <w:rPr>
          <w:rFonts w:eastAsiaTheme="minorEastAsia"/>
          <w:color w:val="000000"/>
          <w:kern w:val="0"/>
          <w:sz w:val="24"/>
        </w:rPr>
        <w:t>年第一季度，宽松的货币政策环境有望持续，一些大的改革措施有望落地，整个经济环境因此有望从明显下滑过渡到稳步寻底回升，因此我们有理由对未来市场保持谨慎乐观的态度。</w:t>
      </w:r>
    </w:p>
    <w:p w:rsidR="00414CF1" w:rsidRPr="005E324A" w:rsidRDefault="00414CF1" w:rsidP="003A4DA3">
      <w:pPr>
        <w:spacing w:line="360" w:lineRule="auto"/>
        <w:ind w:firstLineChars="200" w:firstLine="480"/>
        <w:rPr>
          <w:rFonts w:eastAsiaTheme="minorEastAsia"/>
          <w:color w:val="000000"/>
          <w:kern w:val="0"/>
          <w:sz w:val="24"/>
        </w:rPr>
      </w:pPr>
    </w:p>
    <w:p w:rsidR="00D33924" w:rsidRPr="005E324A" w:rsidRDefault="00EF03C6" w:rsidP="003A4DA3">
      <w:pPr>
        <w:spacing w:line="360" w:lineRule="auto"/>
        <w:rPr>
          <w:rFonts w:eastAsiaTheme="minorEastAsia"/>
          <w:b/>
          <w:sz w:val="24"/>
        </w:rPr>
      </w:pPr>
      <w:r w:rsidRPr="005E324A">
        <w:rPr>
          <w:rFonts w:eastAsiaTheme="minorEastAsia"/>
          <w:b/>
          <w:sz w:val="24"/>
        </w:rPr>
        <w:t>4.5</w:t>
      </w:r>
      <w:r w:rsidR="00D33924" w:rsidRPr="005E324A">
        <w:rPr>
          <w:rFonts w:eastAsiaTheme="minorEastAsia"/>
          <w:b/>
          <w:sz w:val="24"/>
        </w:rPr>
        <w:t>报告期内基金的业绩表现</w:t>
      </w:r>
    </w:p>
    <w:p w:rsidR="00D33924" w:rsidRPr="005E324A" w:rsidRDefault="007622F6" w:rsidP="003A4DA3">
      <w:pPr>
        <w:spacing w:line="360" w:lineRule="auto"/>
        <w:ind w:firstLineChars="200" w:firstLine="480"/>
        <w:rPr>
          <w:rFonts w:eastAsiaTheme="minorEastAsia"/>
          <w:color w:val="000000"/>
          <w:kern w:val="0"/>
          <w:sz w:val="24"/>
        </w:rPr>
      </w:pPr>
      <w:r w:rsidRPr="005E324A">
        <w:rPr>
          <w:rFonts w:eastAsiaTheme="minorEastAsia"/>
          <w:color w:val="000000"/>
          <w:kern w:val="0"/>
          <w:sz w:val="24"/>
        </w:rPr>
        <w:t>截至</w:t>
      </w:r>
      <w:r w:rsidRPr="005E324A">
        <w:rPr>
          <w:rFonts w:eastAsiaTheme="minorEastAsia"/>
          <w:color w:val="000000"/>
          <w:kern w:val="0"/>
          <w:sz w:val="24"/>
        </w:rPr>
        <w:t>2015</w:t>
      </w:r>
      <w:r w:rsidRPr="005E324A">
        <w:rPr>
          <w:rFonts w:eastAsiaTheme="minorEastAsia"/>
          <w:color w:val="000000"/>
          <w:kern w:val="0"/>
          <w:sz w:val="24"/>
        </w:rPr>
        <w:t>年</w:t>
      </w:r>
      <w:r w:rsidRPr="005E324A">
        <w:rPr>
          <w:rFonts w:eastAsiaTheme="minorEastAsia"/>
          <w:color w:val="000000"/>
          <w:kern w:val="0"/>
          <w:sz w:val="24"/>
        </w:rPr>
        <w:t>12</w:t>
      </w:r>
      <w:r w:rsidRPr="005E324A">
        <w:rPr>
          <w:rFonts w:eastAsiaTheme="minorEastAsia"/>
          <w:color w:val="000000"/>
          <w:kern w:val="0"/>
          <w:sz w:val="24"/>
        </w:rPr>
        <w:t>月</w:t>
      </w:r>
      <w:r w:rsidRPr="005E324A">
        <w:rPr>
          <w:rFonts w:eastAsiaTheme="minorEastAsia"/>
          <w:color w:val="000000"/>
          <w:kern w:val="0"/>
          <w:sz w:val="24"/>
        </w:rPr>
        <w:t>31</w:t>
      </w:r>
      <w:r w:rsidRPr="005E324A">
        <w:rPr>
          <w:rFonts w:eastAsiaTheme="minorEastAsia"/>
          <w:color w:val="000000"/>
          <w:kern w:val="0"/>
          <w:sz w:val="24"/>
        </w:rPr>
        <w:t>日，本基金份额净值为</w:t>
      </w:r>
      <w:r w:rsidRPr="005E324A">
        <w:rPr>
          <w:rFonts w:eastAsiaTheme="minorEastAsia"/>
          <w:color w:val="000000"/>
          <w:kern w:val="0"/>
          <w:sz w:val="24"/>
        </w:rPr>
        <w:t>1.000</w:t>
      </w:r>
      <w:r w:rsidRPr="005E324A">
        <w:rPr>
          <w:rFonts w:eastAsiaTheme="minorEastAsia"/>
          <w:color w:val="000000"/>
          <w:kern w:val="0"/>
          <w:sz w:val="24"/>
        </w:rPr>
        <w:t>元，本报告期份额净值增长率为</w:t>
      </w:r>
      <w:r w:rsidRPr="005E324A">
        <w:rPr>
          <w:rFonts w:eastAsiaTheme="minorEastAsia"/>
          <w:color w:val="000000"/>
          <w:kern w:val="0"/>
          <w:sz w:val="24"/>
        </w:rPr>
        <w:t>41.35%</w:t>
      </w:r>
      <w:r w:rsidRPr="005E324A">
        <w:rPr>
          <w:rFonts w:eastAsiaTheme="minorEastAsia"/>
          <w:color w:val="000000"/>
          <w:kern w:val="0"/>
          <w:sz w:val="24"/>
        </w:rPr>
        <w:t>，同期业绩比较基准增长率为</w:t>
      </w:r>
      <w:r w:rsidRPr="005E324A">
        <w:rPr>
          <w:rFonts w:eastAsiaTheme="minorEastAsia"/>
          <w:color w:val="000000"/>
          <w:kern w:val="0"/>
          <w:sz w:val="24"/>
        </w:rPr>
        <w:t>32.17%</w:t>
      </w:r>
    </w:p>
    <w:p w:rsidR="008E0E7C" w:rsidRPr="005E324A" w:rsidRDefault="008E0E7C" w:rsidP="003A4DA3">
      <w:pPr>
        <w:spacing w:line="360" w:lineRule="auto"/>
        <w:ind w:firstLineChars="200" w:firstLine="480"/>
        <w:rPr>
          <w:rFonts w:eastAsiaTheme="minorEastAsia"/>
          <w:color w:val="000000"/>
          <w:kern w:val="0"/>
          <w:sz w:val="24"/>
        </w:rPr>
      </w:pPr>
    </w:p>
    <w:p w:rsidR="0063382C" w:rsidRPr="005E324A" w:rsidRDefault="00F821AB" w:rsidP="0063382C">
      <w:pPr>
        <w:spacing w:line="360" w:lineRule="auto"/>
        <w:rPr>
          <w:rFonts w:eastAsiaTheme="minorEastAsia"/>
          <w:color w:val="000000"/>
          <w:sz w:val="24"/>
        </w:rPr>
      </w:pPr>
      <w:r w:rsidRPr="005E324A">
        <w:rPr>
          <w:rFonts w:eastAsiaTheme="minorEastAsia"/>
          <w:b/>
          <w:kern w:val="0"/>
          <w:sz w:val="24"/>
        </w:rPr>
        <w:t>4.6</w:t>
      </w:r>
      <w:r w:rsidR="0063382C" w:rsidRPr="005E324A">
        <w:rPr>
          <w:rFonts w:eastAsiaTheme="minorEastAsia"/>
          <w:b/>
          <w:kern w:val="0"/>
          <w:sz w:val="24"/>
        </w:rPr>
        <w:t>报告期内基金持有人数或基金资产净值预警说明</w:t>
      </w:r>
    </w:p>
    <w:p w:rsidR="0063382C" w:rsidRPr="005E324A" w:rsidRDefault="0063382C" w:rsidP="0063382C">
      <w:pPr>
        <w:spacing w:line="360" w:lineRule="auto"/>
        <w:ind w:firstLineChars="200" w:firstLine="480"/>
        <w:rPr>
          <w:rFonts w:eastAsiaTheme="minorEastAsia"/>
          <w:color w:val="000000"/>
          <w:kern w:val="0"/>
          <w:sz w:val="24"/>
        </w:rPr>
      </w:pPr>
      <w:r w:rsidRPr="005E324A">
        <w:rPr>
          <w:rFonts w:eastAsiaTheme="minorEastAsia"/>
          <w:color w:val="000000" w:themeColor="text1"/>
          <w:kern w:val="0"/>
          <w:sz w:val="24"/>
        </w:rPr>
        <w:t>本基金本报告期内无需预警说明。</w:t>
      </w:r>
    </w:p>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 xml:space="preserve">§5  </w:t>
      </w:r>
      <w:r w:rsidRPr="005E324A">
        <w:rPr>
          <w:rFonts w:eastAsiaTheme="minorEastAsia"/>
          <w:color w:val="000000"/>
          <w:kern w:val="0"/>
          <w:sz w:val="24"/>
          <w:szCs w:val="24"/>
        </w:rPr>
        <w:t>投资组合报告</w:t>
      </w: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5.1 </w:t>
      </w:r>
      <w:r w:rsidRPr="005E324A">
        <w:rPr>
          <w:rFonts w:eastAsiaTheme="minorEastAsia"/>
          <w:b/>
          <w:color w:val="000000"/>
          <w:kern w:val="0"/>
          <w:sz w:val="24"/>
        </w:rPr>
        <w:t>报告期末基金资产组合情况</w:t>
      </w:r>
    </w:p>
    <w:tbl>
      <w:tblPr>
        <w:tblStyle w:val="af7"/>
        <w:tblW w:w="8897" w:type="dxa"/>
        <w:jc w:val="center"/>
        <w:tblLayout w:type="fixed"/>
        <w:tblLook w:val="04A0" w:firstRow="1" w:lastRow="0" w:firstColumn="1" w:lastColumn="0" w:noHBand="0" w:noVBand="1"/>
      </w:tblPr>
      <w:tblGrid>
        <w:gridCol w:w="720"/>
        <w:gridCol w:w="3357"/>
        <w:gridCol w:w="2977"/>
        <w:gridCol w:w="1843"/>
      </w:tblGrid>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序号</w:t>
            </w:r>
          </w:p>
        </w:tc>
        <w:tc>
          <w:tcPr>
            <w:tcW w:w="3357"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项目</w:t>
            </w:r>
          </w:p>
        </w:tc>
        <w:tc>
          <w:tcPr>
            <w:tcW w:w="2977"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金额</w:t>
            </w:r>
            <w:r w:rsidRPr="005E324A">
              <w:rPr>
                <w:rFonts w:eastAsiaTheme="minorEastAsia"/>
                <w:color w:val="000000"/>
                <w:sz w:val="24"/>
              </w:rPr>
              <w:t>(</w:t>
            </w:r>
            <w:r w:rsidRPr="005E324A">
              <w:rPr>
                <w:rFonts w:eastAsiaTheme="minorEastAsia"/>
                <w:color w:val="000000"/>
                <w:sz w:val="24"/>
              </w:rPr>
              <w:t>元</w:t>
            </w: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占基金总资产的比例</w:t>
            </w: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1</w:t>
            </w: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权益投资</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1,028,549,082.64</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92.92</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其中：股票</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1,028,549,082.64</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92.92</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2</w:t>
            </w: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固定收益投资</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其中：债券</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5E324A" w:rsidRDefault="00804533" w:rsidP="00DD272F">
            <w:pPr>
              <w:autoSpaceDE w:val="0"/>
              <w:autoSpaceDN w:val="0"/>
              <w:adjustRightInd w:val="0"/>
              <w:spacing w:before="29" w:line="360" w:lineRule="auto"/>
              <w:ind w:left="17"/>
              <w:jc w:val="left"/>
              <w:rPr>
                <w:rFonts w:eastAsiaTheme="minorEastAsia"/>
                <w:color w:val="000000"/>
                <w:sz w:val="24"/>
              </w:rPr>
            </w:pPr>
            <w:r w:rsidRPr="005E324A">
              <w:rPr>
                <w:rFonts w:eastAsiaTheme="minorEastAsia"/>
                <w:color w:val="000000"/>
                <w:sz w:val="24"/>
              </w:rPr>
              <w:t>资产支持证券</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3</w:t>
            </w:r>
          </w:p>
        </w:tc>
        <w:tc>
          <w:tcPr>
            <w:tcW w:w="3357" w:type="dxa"/>
          </w:tcPr>
          <w:p w:rsidR="00804533" w:rsidRPr="005E324A" w:rsidRDefault="00804533" w:rsidP="00E210DA">
            <w:pPr>
              <w:autoSpaceDE w:val="0"/>
              <w:autoSpaceDN w:val="0"/>
              <w:adjustRightInd w:val="0"/>
              <w:spacing w:before="29" w:line="360" w:lineRule="auto"/>
              <w:ind w:left="17"/>
              <w:jc w:val="left"/>
              <w:rPr>
                <w:rFonts w:eastAsiaTheme="minorEastAsia"/>
                <w:color w:val="000000"/>
                <w:sz w:val="24"/>
              </w:rPr>
            </w:pPr>
            <w:r w:rsidRPr="005E324A">
              <w:rPr>
                <w:rFonts w:eastAsiaTheme="minorEastAsia"/>
                <w:color w:val="000000"/>
                <w:sz w:val="24"/>
              </w:rPr>
              <w:t>贵金属投资</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4</w:t>
            </w:r>
          </w:p>
        </w:tc>
        <w:tc>
          <w:tcPr>
            <w:tcW w:w="3357" w:type="dxa"/>
            <w:vAlign w:val="center"/>
          </w:tcPr>
          <w:p w:rsidR="00804533" w:rsidRPr="005E324A" w:rsidRDefault="00804533" w:rsidP="00DD272F">
            <w:pPr>
              <w:spacing w:before="29" w:line="360" w:lineRule="auto"/>
              <w:ind w:left="17"/>
              <w:jc w:val="left"/>
              <w:rPr>
                <w:rFonts w:eastAsiaTheme="minorEastAsia"/>
                <w:color w:val="000000"/>
                <w:sz w:val="24"/>
              </w:rPr>
            </w:pPr>
            <w:r w:rsidRPr="005E324A">
              <w:rPr>
                <w:rFonts w:eastAsiaTheme="minorEastAsia"/>
                <w:color w:val="000000"/>
                <w:sz w:val="24"/>
              </w:rPr>
              <w:t>金融衍生品投资</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5</w:t>
            </w: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买入返售金融资产</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其中：买断式回购的买入返售金融资产</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6</w:t>
            </w:r>
          </w:p>
        </w:tc>
        <w:tc>
          <w:tcPr>
            <w:tcW w:w="3357" w:type="dxa"/>
            <w:vAlign w:val="center"/>
          </w:tcPr>
          <w:p w:rsidR="00804533" w:rsidRPr="005E324A" w:rsidRDefault="00804533" w:rsidP="00DD272F">
            <w:pPr>
              <w:spacing w:before="29" w:line="360" w:lineRule="auto"/>
              <w:ind w:left="17"/>
              <w:jc w:val="left"/>
              <w:rPr>
                <w:rFonts w:eastAsiaTheme="minorEastAsia"/>
                <w:sz w:val="24"/>
              </w:rPr>
            </w:pPr>
            <w:r w:rsidRPr="005E324A">
              <w:rPr>
                <w:rFonts w:eastAsiaTheme="minorEastAsia"/>
                <w:color w:val="000000"/>
                <w:sz w:val="24"/>
              </w:rPr>
              <w:t>银行存款和结算备付金合计</w:t>
            </w:r>
          </w:p>
        </w:tc>
        <w:tc>
          <w:tcPr>
            <w:tcW w:w="2977"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70,839,428.01</w:t>
            </w:r>
          </w:p>
        </w:tc>
        <w:tc>
          <w:tcPr>
            <w:tcW w:w="1843" w:type="dxa"/>
            <w:vAlign w:val="center"/>
          </w:tcPr>
          <w:p w:rsidR="00804533" w:rsidRPr="005E324A" w:rsidRDefault="00804533" w:rsidP="00DD272F">
            <w:pPr>
              <w:spacing w:before="29" w:line="360" w:lineRule="auto"/>
              <w:ind w:left="17"/>
              <w:jc w:val="right"/>
              <w:rPr>
                <w:rFonts w:eastAsiaTheme="minorEastAsia"/>
                <w:color w:val="000000"/>
                <w:sz w:val="24"/>
              </w:rPr>
            </w:pPr>
            <w:r w:rsidRPr="005E324A">
              <w:rPr>
                <w:rFonts w:eastAsiaTheme="minorEastAsia"/>
                <w:color w:val="000000"/>
                <w:sz w:val="24"/>
              </w:rPr>
              <w:t>6.40</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7</w:t>
            </w:r>
          </w:p>
        </w:tc>
        <w:tc>
          <w:tcPr>
            <w:tcW w:w="3357" w:type="dxa"/>
            <w:vAlign w:val="center"/>
          </w:tcPr>
          <w:p w:rsidR="00804533" w:rsidRPr="005E324A" w:rsidRDefault="00804533" w:rsidP="00DD272F">
            <w:pPr>
              <w:jc w:val="left"/>
              <w:rPr>
                <w:rFonts w:eastAsiaTheme="minorEastAsia"/>
                <w:sz w:val="24"/>
              </w:rPr>
            </w:pPr>
            <w:r w:rsidRPr="005E324A">
              <w:rPr>
                <w:rFonts w:eastAsiaTheme="minorEastAsia"/>
                <w:color w:val="000000"/>
                <w:sz w:val="24"/>
              </w:rPr>
              <w:t>其他各项资产</w:t>
            </w:r>
          </w:p>
        </w:tc>
        <w:tc>
          <w:tcPr>
            <w:tcW w:w="2977" w:type="dxa"/>
            <w:vAlign w:val="center"/>
          </w:tcPr>
          <w:p w:rsidR="00804533" w:rsidRPr="005E324A" w:rsidRDefault="00804533" w:rsidP="00DD272F">
            <w:pPr>
              <w:jc w:val="right"/>
              <w:rPr>
                <w:rFonts w:eastAsiaTheme="minorEastAsia"/>
                <w:color w:val="000000"/>
                <w:sz w:val="24"/>
              </w:rPr>
            </w:pPr>
            <w:r w:rsidRPr="005E324A">
              <w:rPr>
                <w:rFonts w:eastAsiaTheme="minorEastAsia"/>
                <w:color w:val="000000"/>
                <w:sz w:val="24"/>
              </w:rPr>
              <w:t>7,541,671.95</w:t>
            </w:r>
          </w:p>
        </w:tc>
        <w:tc>
          <w:tcPr>
            <w:tcW w:w="1843" w:type="dxa"/>
            <w:vAlign w:val="center"/>
          </w:tcPr>
          <w:p w:rsidR="00804533" w:rsidRPr="005E324A" w:rsidRDefault="00804533" w:rsidP="00DD272F">
            <w:pPr>
              <w:jc w:val="right"/>
              <w:rPr>
                <w:rFonts w:eastAsiaTheme="minorEastAsia"/>
                <w:color w:val="000000"/>
                <w:sz w:val="24"/>
              </w:rPr>
            </w:pPr>
            <w:r w:rsidRPr="005E324A">
              <w:rPr>
                <w:rFonts w:eastAsiaTheme="minorEastAsia"/>
                <w:color w:val="000000"/>
                <w:sz w:val="24"/>
              </w:rPr>
              <w:t>0.68</w:t>
            </w:r>
          </w:p>
        </w:tc>
      </w:tr>
      <w:tr w:rsidR="00804533" w:rsidRPr="005E324A" w:rsidTr="00DD272F">
        <w:trPr>
          <w:jc w:val="center"/>
        </w:trPr>
        <w:tc>
          <w:tcPr>
            <w:tcW w:w="720" w:type="dxa"/>
            <w:vAlign w:val="center"/>
          </w:tcPr>
          <w:p w:rsidR="00804533" w:rsidRPr="005E324A" w:rsidRDefault="00804533" w:rsidP="00DD272F">
            <w:pPr>
              <w:spacing w:before="29" w:line="360" w:lineRule="auto"/>
              <w:ind w:left="17"/>
              <w:jc w:val="center"/>
              <w:rPr>
                <w:rFonts w:eastAsiaTheme="minorEastAsia"/>
                <w:color w:val="000000"/>
                <w:sz w:val="24"/>
              </w:rPr>
            </w:pPr>
            <w:r w:rsidRPr="005E324A">
              <w:rPr>
                <w:rFonts w:eastAsiaTheme="minorEastAsia"/>
                <w:color w:val="000000"/>
                <w:sz w:val="24"/>
              </w:rPr>
              <w:t>8</w:t>
            </w:r>
          </w:p>
        </w:tc>
        <w:tc>
          <w:tcPr>
            <w:tcW w:w="3357" w:type="dxa"/>
            <w:vAlign w:val="center"/>
          </w:tcPr>
          <w:p w:rsidR="00804533" w:rsidRPr="005E324A" w:rsidRDefault="00804533" w:rsidP="00DD272F">
            <w:pPr>
              <w:jc w:val="left"/>
              <w:rPr>
                <w:rFonts w:eastAsiaTheme="minorEastAsia"/>
                <w:sz w:val="24"/>
              </w:rPr>
            </w:pPr>
            <w:r w:rsidRPr="005E324A">
              <w:rPr>
                <w:rFonts w:eastAsiaTheme="minorEastAsia"/>
                <w:color w:val="000000"/>
                <w:sz w:val="24"/>
              </w:rPr>
              <w:t>合计</w:t>
            </w:r>
          </w:p>
        </w:tc>
        <w:tc>
          <w:tcPr>
            <w:tcW w:w="2977" w:type="dxa"/>
            <w:vAlign w:val="center"/>
          </w:tcPr>
          <w:p w:rsidR="00804533" w:rsidRPr="005E324A" w:rsidRDefault="00804533" w:rsidP="00DD272F">
            <w:pPr>
              <w:jc w:val="right"/>
              <w:rPr>
                <w:rFonts w:eastAsiaTheme="minorEastAsia"/>
                <w:color w:val="000000"/>
                <w:sz w:val="24"/>
              </w:rPr>
            </w:pPr>
            <w:r w:rsidRPr="005E324A">
              <w:rPr>
                <w:rFonts w:eastAsiaTheme="minorEastAsia"/>
                <w:color w:val="000000"/>
                <w:sz w:val="24"/>
              </w:rPr>
              <w:t>1,106,930,182.60</w:t>
            </w:r>
          </w:p>
        </w:tc>
        <w:tc>
          <w:tcPr>
            <w:tcW w:w="1843" w:type="dxa"/>
            <w:vAlign w:val="center"/>
          </w:tcPr>
          <w:p w:rsidR="00804533" w:rsidRPr="005E324A" w:rsidRDefault="00804533" w:rsidP="00DD272F">
            <w:pPr>
              <w:jc w:val="right"/>
              <w:rPr>
                <w:rFonts w:eastAsiaTheme="minorEastAsia"/>
                <w:color w:val="000000"/>
                <w:sz w:val="24"/>
              </w:rPr>
            </w:pPr>
            <w:r w:rsidRPr="005E324A">
              <w:rPr>
                <w:rFonts w:eastAsiaTheme="minorEastAsia"/>
                <w:color w:val="000000"/>
                <w:sz w:val="24"/>
              </w:rPr>
              <w:t>100.00</w:t>
            </w:r>
          </w:p>
        </w:tc>
      </w:tr>
    </w:tbl>
    <w:p w:rsidR="00220542" w:rsidRPr="005E324A" w:rsidRDefault="00220542" w:rsidP="0019563C">
      <w:pPr>
        <w:autoSpaceDE w:val="0"/>
        <w:autoSpaceDN w:val="0"/>
        <w:adjustRightInd w:val="0"/>
        <w:spacing w:line="360" w:lineRule="auto"/>
        <w:jc w:val="left"/>
        <w:rPr>
          <w:rFonts w:eastAsiaTheme="minorEastAsia"/>
          <w:color w:val="000000"/>
          <w:kern w:val="0"/>
          <w:sz w:val="24"/>
        </w:rPr>
      </w:pP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5.2 </w:t>
      </w:r>
      <w:r w:rsidRPr="005E324A">
        <w:rPr>
          <w:rFonts w:eastAsiaTheme="minorEastAsia"/>
          <w:b/>
          <w:color w:val="000000"/>
          <w:kern w:val="0"/>
          <w:sz w:val="24"/>
        </w:rPr>
        <w:t>报告期末按行业分类的股票投资组合</w:t>
      </w:r>
    </w:p>
    <w:p w:rsidR="004318F0" w:rsidRPr="005E324A" w:rsidRDefault="004318F0" w:rsidP="003A4DA3">
      <w:pPr>
        <w:autoSpaceDE w:val="0"/>
        <w:autoSpaceDN w:val="0"/>
        <w:adjustRightInd w:val="0"/>
        <w:spacing w:line="360" w:lineRule="auto"/>
        <w:jc w:val="left"/>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5E324A">
          <w:rPr>
            <w:rFonts w:eastAsiaTheme="minorEastAsia"/>
            <w:b/>
            <w:color w:val="000000"/>
            <w:kern w:val="0"/>
            <w:sz w:val="24"/>
          </w:rPr>
          <w:t>5.2.1</w:t>
        </w:r>
        <w:r w:rsidR="00656A06">
          <w:rPr>
            <w:rFonts w:eastAsiaTheme="minorEastAsia" w:hint="eastAsia"/>
            <w:b/>
            <w:color w:val="000000"/>
            <w:kern w:val="0"/>
            <w:sz w:val="24"/>
          </w:rPr>
          <w:t xml:space="preserve"> </w:t>
        </w:r>
      </w:smartTag>
      <w:r w:rsidRPr="005E324A">
        <w:rPr>
          <w:rFonts w:eastAsiaTheme="minorEastAsia"/>
          <w:b/>
          <w:color w:val="000000"/>
          <w:kern w:val="0"/>
          <w:sz w:val="24"/>
        </w:rPr>
        <w:t>积极投资按行业分类的股票投资组合</w:t>
      </w:r>
    </w:p>
    <w:p w:rsidR="00220542" w:rsidRPr="005E324A" w:rsidRDefault="007622F6" w:rsidP="0019563C">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本基金本报告期末未持有积极投资的股票。</w:t>
      </w:r>
    </w:p>
    <w:p w:rsidR="004318F0" w:rsidRPr="005E324A" w:rsidRDefault="004318F0" w:rsidP="003A4DA3">
      <w:pPr>
        <w:autoSpaceDE w:val="0"/>
        <w:autoSpaceDN w:val="0"/>
        <w:adjustRightInd w:val="0"/>
        <w:spacing w:line="360" w:lineRule="auto"/>
        <w:jc w:val="left"/>
        <w:rPr>
          <w:rFonts w:eastAsiaTheme="minorEastAsia"/>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5E324A">
          <w:rPr>
            <w:rFonts w:eastAsiaTheme="minorEastAsia"/>
            <w:b/>
            <w:color w:val="000000"/>
            <w:kern w:val="0"/>
            <w:sz w:val="24"/>
          </w:rPr>
          <w:t>5.2.2</w:t>
        </w:r>
        <w:r w:rsidR="00656A06">
          <w:rPr>
            <w:rFonts w:eastAsiaTheme="minorEastAsia" w:hint="eastAsia"/>
            <w:b/>
            <w:color w:val="000000"/>
            <w:kern w:val="0"/>
            <w:sz w:val="24"/>
          </w:rPr>
          <w:t xml:space="preserve"> </w:t>
        </w:r>
      </w:smartTag>
      <w:r w:rsidRPr="005E324A">
        <w:rPr>
          <w:rFonts w:eastAsiaTheme="minorEastAsia"/>
          <w:b/>
          <w:color w:val="000000"/>
          <w:kern w:val="0"/>
          <w:sz w:val="24"/>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EA5D6D" w:rsidRPr="005E324A" w:rsidTr="006B5B3E">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占基金资产净值比例（％）</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rsidR="00EA5D6D" w:rsidRPr="005E324A" w:rsidRDefault="00EA5D6D" w:rsidP="00465C86">
            <w:pPr>
              <w:autoSpaceDE w:val="0"/>
              <w:autoSpaceDN w:val="0"/>
              <w:adjustRightInd w:val="0"/>
              <w:spacing w:before="29" w:line="360" w:lineRule="auto"/>
              <w:ind w:left="15"/>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A5D6D" w:rsidRPr="005E324A" w:rsidRDefault="00EA5D6D" w:rsidP="00465C86">
            <w:pPr>
              <w:autoSpaceDE w:val="0"/>
              <w:autoSpaceDN w:val="0"/>
              <w:adjustRightInd w:val="0"/>
              <w:spacing w:before="29" w:line="360" w:lineRule="auto"/>
              <w:ind w:left="15"/>
              <w:jc w:val="right"/>
              <w:rPr>
                <w:rFonts w:eastAsiaTheme="minorEastAsia"/>
                <w:sz w:val="24"/>
              </w:rPr>
            </w:pPr>
            <w:r w:rsidRPr="005E324A">
              <w:rPr>
                <w:rFonts w:eastAsiaTheme="minorEastAsia"/>
                <w:sz w:val="24"/>
              </w:rPr>
              <w:t>-</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304CC2">
            <w:pPr>
              <w:jc w:val="right"/>
              <w:rPr>
                <w:rFonts w:eastAsiaTheme="minorEastAsia"/>
                <w:sz w:val="24"/>
              </w:rPr>
            </w:pPr>
            <w:r w:rsidRPr="005E324A">
              <w:rPr>
                <w:rFonts w:eastAsiaTheme="minorEastAsia"/>
                <w:sz w:val="24"/>
              </w:rPr>
              <w:t>33,436,135.83</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304CC2">
            <w:pPr>
              <w:jc w:val="right"/>
              <w:rPr>
                <w:rFonts w:eastAsiaTheme="minorEastAsia"/>
                <w:sz w:val="24"/>
              </w:rPr>
            </w:pPr>
            <w:r w:rsidRPr="005E324A">
              <w:rPr>
                <w:rFonts w:eastAsiaTheme="minorEastAsia"/>
                <w:sz w:val="24"/>
              </w:rPr>
              <w:t>3.08</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844,995,799.09</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77.77</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76,920,900.57</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7.08</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12,569,690.54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1.16</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19,743,051.06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1.82</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sz w:val="24"/>
              </w:rPr>
            </w:pPr>
            <w:r w:rsidRPr="005E324A">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sz w:val="24"/>
              </w:rPr>
            </w:pPr>
            <w:r w:rsidRPr="005E324A">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25,203,419.79</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2.32</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color w:val="000000"/>
                <w:sz w:val="24"/>
              </w:rPr>
            </w:pPr>
            <w:r w:rsidRPr="005E324A">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color w:val="000000"/>
                <w:sz w:val="24"/>
              </w:rPr>
            </w:pPr>
            <w:r w:rsidRPr="005E324A">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color w:val="000000"/>
                <w:sz w:val="24"/>
              </w:rPr>
            </w:pPr>
            <w:r w:rsidRPr="005E324A">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6B5B3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EA5D6D" w:rsidRPr="005E324A" w:rsidRDefault="00EA5D6D" w:rsidP="00465C86">
            <w:pPr>
              <w:adjustRightInd w:val="0"/>
              <w:snapToGrid w:val="0"/>
              <w:spacing w:line="400" w:lineRule="exact"/>
              <w:rPr>
                <w:rFonts w:eastAsiaTheme="minorEastAsia"/>
                <w:color w:val="000000"/>
                <w:sz w:val="24"/>
              </w:rPr>
            </w:pPr>
            <w:r w:rsidRPr="005E324A">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r w:rsidRPr="005E324A">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465C86">
            <w:pPr>
              <w:jc w:val="right"/>
              <w:rPr>
                <w:rFonts w:eastAsiaTheme="minorEastAsia"/>
                <w:sz w:val="24"/>
              </w:rPr>
            </w:pPr>
            <w:r w:rsidRPr="005E324A">
              <w:rPr>
                <w:rFonts w:eastAsiaTheme="minorEastAsia"/>
                <w:sz w:val="24"/>
              </w:rPr>
              <w:t>15,680,085.76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1.44</w:t>
            </w:r>
          </w:p>
        </w:tc>
      </w:tr>
      <w:tr w:rsidR="00EA5D6D" w:rsidRPr="005E324A" w:rsidTr="00304CC2">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EA5D6D" w:rsidRPr="005E324A" w:rsidRDefault="00EA5D6D" w:rsidP="00465C86">
            <w:pPr>
              <w:adjustRightInd w:val="0"/>
              <w:snapToGrid w:val="0"/>
              <w:spacing w:line="400" w:lineRule="exact"/>
              <w:jc w:val="center"/>
              <w:rPr>
                <w:rFonts w:eastAsiaTheme="minorEastAsia"/>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A5D6D" w:rsidRPr="005E324A" w:rsidRDefault="00EA5D6D" w:rsidP="00304CC2">
            <w:pPr>
              <w:adjustRightInd w:val="0"/>
              <w:snapToGrid w:val="0"/>
              <w:spacing w:line="400" w:lineRule="exact"/>
              <w:rPr>
                <w:rFonts w:eastAsiaTheme="minorEastAsia"/>
                <w:color w:val="000000"/>
                <w:sz w:val="24"/>
              </w:rPr>
            </w:pPr>
            <w:r w:rsidRPr="005E324A">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rsidR="00EA5D6D" w:rsidRPr="005E324A" w:rsidRDefault="00EA5D6D" w:rsidP="00F70112">
            <w:pPr>
              <w:jc w:val="right"/>
              <w:rPr>
                <w:rFonts w:eastAsiaTheme="minorEastAsia"/>
                <w:sz w:val="24"/>
              </w:rPr>
            </w:pPr>
            <w:r w:rsidRPr="005E324A">
              <w:rPr>
                <w:rFonts w:eastAsiaTheme="minorEastAsia"/>
                <w:sz w:val="24"/>
              </w:rPr>
              <w:t>1,028,549,082.64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EA5D6D" w:rsidRPr="005E324A" w:rsidRDefault="00EA5D6D" w:rsidP="00465C86">
            <w:pPr>
              <w:jc w:val="right"/>
              <w:rPr>
                <w:rFonts w:eastAsiaTheme="minorEastAsia"/>
                <w:sz w:val="24"/>
              </w:rPr>
            </w:pPr>
            <w:r w:rsidRPr="005E324A">
              <w:rPr>
                <w:rFonts w:eastAsiaTheme="minorEastAsia"/>
                <w:sz w:val="24"/>
              </w:rPr>
              <w:t>94.66</w:t>
            </w:r>
          </w:p>
        </w:tc>
      </w:tr>
    </w:tbl>
    <w:p w:rsidR="004318F0" w:rsidRPr="005E324A" w:rsidRDefault="004318F0" w:rsidP="0019563C">
      <w:pPr>
        <w:autoSpaceDE w:val="0"/>
        <w:autoSpaceDN w:val="0"/>
        <w:adjustRightInd w:val="0"/>
        <w:spacing w:line="360" w:lineRule="auto"/>
        <w:jc w:val="left"/>
        <w:rPr>
          <w:rFonts w:eastAsiaTheme="minorEastAsia"/>
          <w:color w:val="000000"/>
          <w:sz w:val="24"/>
        </w:rPr>
      </w:pP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5.3</w:t>
      </w:r>
      <w:r w:rsidR="00656A06">
        <w:rPr>
          <w:rFonts w:eastAsiaTheme="minorEastAsia" w:hint="eastAsia"/>
          <w:b/>
          <w:color w:val="000000"/>
          <w:kern w:val="0"/>
          <w:sz w:val="24"/>
        </w:rPr>
        <w:t xml:space="preserve"> </w:t>
      </w:r>
      <w:r w:rsidR="00EF03C6" w:rsidRPr="005E324A">
        <w:rPr>
          <w:rFonts w:eastAsiaTheme="minorEastAsia"/>
          <w:b/>
          <w:color w:val="000000"/>
          <w:kern w:val="0"/>
          <w:sz w:val="24"/>
        </w:rPr>
        <w:t>报告</w:t>
      </w:r>
      <w:r w:rsidR="006E346E" w:rsidRPr="005E324A">
        <w:rPr>
          <w:rFonts w:eastAsiaTheme="minorEastAsia"/>
          <w:b/>
          <w:color w:val="000000"/>
          <w:kern w:val="0"/>
          <w:sz w:val="24"/>
        </w:rPr>
        <w:t>期末按公允价值占基金资产净值比例大小排序的股票投资明细</w:t>
      </w:r>
    </w:p>
    <w:p w:rsidR="00C22C7D" w:rsidRPr="005E324A" w:rsidRDefault="000625A6" w:rsidP="003A4DA3">
      <w:pPr>
        <w:spacing w:line="360" w:lineRule="auto"/>
        <w:rPr>
          <w:rFonts w:eastAsiaTheme="minorEastAsia"/>
          <w:b/>
          <w:sz w:val="24"/>
        </w:rPr>
      </w:pPr>
      <w:smartTag w:uri="urn:schemas-microsoft-com:office:smarttags" w:element="chsdate">
        <w:smartTagPr>
          <w:attr w:name="Year" w:val="1899"/>
          <w:attr w:name="Month" w:val="12"/>
          <w:attr w:name="Day" w:val="30"/>
          <w:attr w:name="IsLunarDate" w:val="False"/>
          <w:attr w:name="IsROCDate" w:val="False"/>
        </w:smartTagPr>
        <w:r w:rsidRPr="005E324A">
          <w:rPr>
            <w:rFonts w:eastAsiaTheme="minorEastAsia"/>
            <w:b/>
            <w:color w:val="000000"/>
            <w:kern w:val="0"/>
            <w:sz w:val="24"/>
          </w:rPr>
          <w:t>5.3.1</w:t>
        </w:r>
        <w:r w:rsidR="00EF03C6" w:rsidRPr="005E324A">
          <w:rPr>
            <w:rFonts w:eastAsiaTheme="minorEastAsia"/>
            <w:b/>
            <w:color w:val="000000"/>
            <w:kern w:val="0"/>
            <w:sz w:val="24"/>
          </w:rPr>
          <w:t>报告</w:t>
        </w:r>
      </w:smartTag>
      <w:r w:rsidR="00C22C7D" w:rsidRPr="005E324A">
        <w:rPr>
          <w:rFonts w:eastAsiaTheme="minorEastAsia"/>
          <w:b/>
          <w:color w:val="000000"/>
          <w:kern w:val="0"/>
          <w:sz w:val="24"/>
        </w:rPr>
        <w:t>期末</w:t>
      </w:r>
      <w:r w:rsidR="00C22C7D" w:rsidRPr="005E324A">
        <w:rPr>
          <w:rFonts w:eastAsiaTheme="minorEastAsia"/>
          <w:b/>
          <w:sz w:val="24"/>
        </w:rPr>
        <w:t>指数投资按公允价值占基金资产净值比例大小排序的前</w:t>
      </w:r>
      <w:r w:rsidR="00AF5585" w:rsidRPr="005E324A">
        <w:rPr>
          <w:rFonts w:eastAsiaTheme="minorEastAsia"/>
          <w:b/>
          <w:sz w:val="24"/>
        </w:rPr>
        <w:t>十</w:t>
      </w:r>
      <w:r w:rsidR="00C22C7D" w:rsidRPr="005E324A">
        <w:rPr>
          <w:rFonts w:eastAsiaTheme="minorEastAsia"/>
          <w:b/>
          <w:sz w:val="24"/>
        </w:rPr>
        <w:t>名股票投资明细</w:t>
      </w:r>
    </w:p>
    <w:tbl>
      <w:tblPr>
        <w:tblStyle w:val="af7"/>
        <w:tblW w:w="0" w:type="auto"/>
        <w:tblLayout w:type="fixed"/>
        <w:tblLook w:val="04A0" w:firstRow="1" w:lastRow="0" w:firstColumn="1" w:lastColumn="0" w:noHBand="0" w:noVBand="1"/>
      </w:tblPr>
      <w:tblGrid>
        <w:gridCol w:w="817"/>
        <w:gridCol w:w="1276"/>
        <w:gridCol w:w="1701"/>
        <w:gridCol w:w="1276"/>
        <w:gridCol w:w="1842"/>
        <w:gridCol w:w="1616"/>
      </w:tblGrid>
      <w:tr w:rsidR="007622F6" w:rsidRPr="005E324A" w:rsidTr="007A6BEA">
        <w:tc>
          <w:tcPr>
            <w:tcW w:w="817" w:type="dxa"/>
            <w:vAlign w:val="center"/>
          </w:tcPr>
          <w:p w:rsidR="007622F6" w:rsidRPr="005E324A" w:rsidRDefault="007622F6" w:rsidP="007A6BEA">
            <w:pPr>
              <w:spacing w:before="29" w:line="360" w:lineRule="auto"/>
              <w:ind w:left="17"/>
              <w:jc w:val="center"/>
              <w:rPr>
                <w:rFonts w:eastAsiaTheme="minorEastAsia"/>
                <w:color w:val="000000"/>
                <w:sz w:val="24"/>
              </w:rPr>
            </w:pPr>
            <w:r w:rsidRPr="005E324A">
              <w:rPr>
                <w:rFonts w:eastAsiaTheme="minorEastAsia"/>
                <w:color w:val="000000"/>
                <w:sz w:val="24"/>
              </w:rPr>
              <w:t>序号</w:t>
            </w:r>
          </w:p>
        </w:tc>
        <w:tc>
          <w:tcPr>
            <w:tcW w:w="1276" w:type="dxa"/>
            <w:vAlign w:val="center"/>
          </w:tcPr>
          <w:p w:rsidR="007622F6" w:rsidRPr="005E324A" w:rsidRDefault="007622F6" w:rsidP="007A6BEA">
            <w:pPr>
              <w:spacing w:before="29" w:line="360" w:lineRule="auto"/>
              <w:ind w:left="17"/>
              <w:jc w:val="center"/>
              <w:rPr>
                <w:rFonts w:eastAsiaTheme="minorEastAsia"/>
                <w:color w:val="000000"/>
                <w:sz w:val="24"/>
              </w:rPr>
            </w:pPr>
            <w:r w:rsidRPr="005E324A">
              <w:rPr>
                <w:rFonts w:eastAsiaTheme="minorEastAsia"/>
                <w:color w:val="000000"/>
                <w:sz w:val="24"/>
              </w:rPr>
              <w:t>股票代码</w:t>
            </w:r>
          </w:p>
        </w:tc>
        <w:tc>
          <w:tcPr>
            <w:tcW w:w="1701" w:type="dxa"/>
            <w:vAlign w:val="center"/>
          </w:tcPr>
          <w:p w:rsidR="007622F6" w:rsidRPr="005E324A" w:rsidRDefault="007622F6" w:rsidP="007A6BEA">
            <w:pPr>
              <w:spacing w:before="29" w:line="360" w:lineRule="auto"/>
              <w:ind w:left="17"/>
              <w:jc w:val="center"/>
              <w:rPr>
                <w:rFonts w:eastAsiaTheme="minorEastAsia"/>
                <w:color w:val="000000"/>
                <w:sz w:val="24"/>
              </w:rPr>
            </w:pPr>
            <w:r w:rsidRPr="005E324A">
              <w:rPr>
                <w:rFonts w:eastAsiaTheme="minorEastAsia"/>
                <w:color w:val="000000"/>
                <w:sz w:val="24"/>
              </w:rPr>
              <w:t>股票名称</w:t>
            </w:r>
          </w:p>
        </w:tc>
        <w:tc>
          <w:tcPr>
            <w:tcW w:w="1276" w:type="dxa"/>
            <w:vAlign w:val="center"/>
          </w:tcPr>
          <w:p w:rsidR="007622F6" w:rsidRPr="005E324A" w:rsidRDefault="007622F6" w:rsidP="007A6BEA">
            <w:pPr>
              <w:spacing w:before="29" w:line="360" w:lineRule="auto"/>
              <w:ind w:left="17"/>
              <w:jc w:val="center"/>
              <w:rPr>
                <w:rFonts w:eastAsiaTheme="minorEastAsia"/>
                <w:color w:val="000000"/>
                <w:sz w:val="24"/>
              </w:rPr>
            </w:pPr>
            <w:r w:rsidRPr="005E324A">
              <w:rPr>
                <w:rFonts w:eastAsiaTheme="minorEastAsia"/>
                <w:color w:val="000000"/>
                <w:sz w:val="24"/>
              </w:rPr>
              <w:t>数量</w:t>
            </w:r>
            <w:r w:rsidRPr="005E324A">
              <w:rPr>
                <w:rFonts w:eastAsiaTheme="minorEastAsia"/>
                <w:color w:val="000000"/>
                <w:sz w:val="24"/>
              </w:rPr>
              <w:t>(</w:t>
            </w:r>
            <w:r w:rsidRPr="005E324A">
              <w:rPr>
                <w:rFonts w:eastAsiaTheme="minorEastAsia"/>
                <w:color w:val="000000"/>
                <w:sz w:val="24"/>
              </w:rPr>
              <w:t>股</w:t>
            </w:r>
            <w:r w:rsidRPr="005E324A">
              <w:rPr>
                <w:rFonts w:eastAsiaTheme="minorEastAsia"/>
                <w:color w:val="000000"/>
                <w:sz w:val="24"/>
              </w:rPr>
              <w:t>)</w:t>
            </w:r>
          </w:p>
        </w:tc>
        <w:tc>
          <w:tcPr>
            <w:tcW w:w="1842" w:type="dxa"/>
            <w:vAlign w:val="center"/>
          </w:tcPr>
          <w:p w:rsidR="007622F6" w:rsidRPr="005E324A" w:rsidRDefault="007622F6" w:rsidP="007A6BEA">
            <w:pPr>
              <w:autoSpaceDE w:val="0"/>
              <w:autoSpaceDN w:val="0"/>
              <w:adjustRightInd w:val="0"/>
              <w:spacing w:before="29" w:line="360" w:lineRule="auto"/>
              <w:ind w:left="17"/>
              <w:jc w:val="center"/>
              <w:rPr>
                <w:rFonts w:eastAsiaTheme="minorEastAsia"/>
                <w:color w:val="000000"/>
                <w:sz w:val="24"/>
              </w:rPr>
            </w:pPr>
            <w:r w:rsidRPr="005E324A">
              <w:rPr>
                <w:rFonts w:eastAsiaTheme="minorEastAsia"/>
                <w:color w:val="000000"/>
                <w:sz w:val="24"/>
              </w:rPr>
              <w:t>公允价值</w:t>
            </w:r>
            <w:r w:rsidRPr="005E324A">
              <w:rPr>
                <w:rFonts w:eastAsiaTheme="minorEastAsia"/>
                <w:color w:val="000000"/>
                <w:sz w:val="24"/>
              </w:rPr>
              <w:t>(</w:t>
            </w:r>
            <w:r w:rsidRPr="005E324A">
              <w:rPr>
                <w:rFonts w:eastAsiaTheme="minorEastAsia"/>
                <w:color w:val="000000"/>
                <w:sz w:val="24"/>
              </w:rPr>
              <w:t>元</w:t>
            </w:r>
            <w:r w:rsidRPr="005E324A">
              <w:rPr>
                <w:rFonts w:eastAsiaTheme="minorEastAsia"/>
                <w:color w:val="000000"/>
                <w:sz w:val="24"/>
              </w:rPr>
              <w:t>)</w:t>
            </w:r>
          </w:p>
        </w:tc>
        <w:tc>
          <w:tcPr>
            <w:tcW w:w="1616" w:type="dxa"/>
            <w:vAlign w:val="center"/>
          </w:tcPr>
          <w:p w:rsidR="007622F6" w:rsidRPr="005E324A" w:rsidRDefault="007622F6" w:rsidP="007A6BEA">
            <w:pPr>
              <w:spacing w:before="29" w:line="360" w:lineRule="auto"/>
              <w:ind w:left="17"/>
              <w:jc w:val="center"/>
              <w:rPr>
                <w:rFonts w:eastAsiaTheme="minorEastAsia"/>
                <w:color w:val="000000"/>
                <w:sz w:val="24"/>
              </w:rPr>
            </w:pPr>
            <w:r w:rsidRPr="005E324A">
              <w:rPr>
                <w:rFonts w:eastAsiaTheme="minorEastAsia"/>
                <w:color w:val="000000"/>
                <w:sz w:val="24"/>
              </w:rPr>
              <w:t>占基金资产净值比例</w:t>
            </w:r>
            <w:r w:rsidRPr="005E324A">
              <w:rPr>
                <w:rFonts w:eastAsiaTheme="minorEastAsia"/>
                <w:color w:val="000000"/>
                <w:sz w:val="24"/>
              </w:rPr>
              <w:t>(</w:t>
            </w:r>
            <w:r w:rsidRPr="005E324A">
              <w:rPr>
                <w:rFonts w:eastAsiaTheme="minorEastAsia"/>
                <w:color w:val="000000"/>
                <w:sz w:val="24"/>
              </w:rPr>
              <w:t>％</w:t>
            </w:r>
            <w:r w:rsidRPr="005E324A">
              <w:rPr>
                <w:rFonts w:eastAsiaTheme="minorEastAsia"/>
                <w:color w:val="000000"/>
                <w:sz w:val="24"/>
              </w:rPr>
              <w:t>)</w:t>
            </w:r>
          </w:p>
        </w:tc>
      </w:tr>
      <w:tr w:rsidR="00B14986">
        <w:tc>
          <w:tcPr>
            <w:tcW w:w="817" w:type="dxa"/>
            <w:vAlign w:val="center"/>
          </w:tcPr>
          <w:p w:rsidR="00B14986" w:rsidRDefault="00304CC2">
            <w:pPr>
              <w:jc w:val="center"/>
            </w:pPr>
            <w:r>
              <w:rPr>
                <w:rFonts w:eastAsiaTheme="minorEastAsia"/>
                <w:color w:val="000000"/>
                <w:sz w:val="24"/>
              </w:rPr>
              <w:t>1</w:t>
            </w:r>
          </w:p>
        </w:tc>
        <w:tc>
          <w:tcPr>
            <w:tcW w:w="1276" w:type="dxa"/>
            <w:vAlign w:val="center"/>
          </w:tcPr>
          <w:p w:rsidR="00B14986" w:rsidRDefault="00304CC2">
            <w:pPr>
              <w:jc w:val="center"/>
            </w:pPr>
            <w:r>
              <w:rPr>
                <w:rFonts w:eastAsiaTheme="minorEastAsia"/>
                <w:color w:val="000000"/>
                <w:sz w:val="24"/>
              </w:rPr>
              <w:t>300014</w:t>
            </w:r>
          </w:p>
        </w:tc>
        <w:tc>
          <w:tcPr>
            <w:tcW w:w="1701" w:type="dxa"/>
            <w:vAlign w:val="center"/>
          </w:tcPr>
          <w:p w:rsidR="00B14986" w:rsidRDefault="00304CC2">
            <w:pPr>
              <w:jc w:val="center"/>
            </w:pPr>
            <w:r>
              <w:rPr>
                <w:rFonts w:eastAsiaTheme="minorEastAsia"/>
                <w:color w:val="000000"/>
                <w:sz w:val="24"/>
              </w:rPr>
              <w:t>亿纬锂能</w:t>
            </w:r>
          </w:p>
        </w:tc>
        <w:tc>
          <w:tcPr>
            <w:tcW w:w="1276" w:type="dxa"/>
            <w:vAlign w:val="center"/>
          </w:tcPr>
          <w:p w:rsidR="00B14986" w:rsidRDefault="00304CC2">
            <w:pPr>
              <w:jc w:val="right"/>
            </w:pPr>
            <w:r>
              <w:rPr>
                <w:rFonts w:eastAsiaTheme="minorEastAsia"/>
                <w:color w:val="000000"/>
                <w:sz w:val="24"/>
              </w:rPr>
              <w:t>717,539</w:t>
            </w:r>
          </w:p>
        </w:tc>
        <w:tc>
          <w:tcPr>
            <w:tcW w:w="1842" w:type="dxa"/>
            <w:vAlign w:val="center"/>
          </w:tcPr>
          <w:p w:rsidR="00B14986" w:rsidRDefault="00304CC2">
            <w:pPr>
              <w:jc w:val="right"/>
            </w:pPr>
            <w:r>
              <w:rPr>
                <w:rFonts w:eastAsiaTheme="minorEastAsia"/>
                <w:color w:val="000000"/>
                <w:sz w:val="24"/>
              </w:rPr>
              <w:t>23,549,629.98</w:t>
            </w:r>
          </w:p>
        </w:tc>
        <w:tc>
          <w:tcPr>
            <w:tcW w:w="1616" w:type="dxa"/>
            <w:vAlign w:val="center"/>
          </w:tcPr>
          <w:p w:rsidR="00B14986" w:rsidRDefault="00304CC2">
            <w:pPr>
              <w:jc w:val="right"/>
            </w:pPr>
            <w:r>
              <w:rPr>
                <w:rFonts w:eastAsiaTheme="minorEastAsia"/>
                <w:color w:val="000000"/>
                <w:sz w:val="24"/>
              </w:rPr>
              <w:t>2.17</w:t>
            </w:r>
          </w:p>
        </w:tc>
      </w:tr>
      <w:tr w:rsidR="00B14986">
        <w:tc>
          <w:tcPr>
            <w:tcW w:w="817" w:type="dxa"/>
            <w:vAlign w:val="center"/>
          </w:tcPr>
          <w:p w:rsidR="00B14986" w:rsidRDefault="00304CC2">
            <w:pPr>
              <w:jc w:val="center"/>
            </w:pPr>
            <w:r>
              <w:rPr>
                <w:rFonts w:eastAsiaTheme="minorEastAsia"/>
                <w:color w:val="000000"/>
                <w:sz w:val="24"/>
              </w:rPr>
              <w:t>2</w:t>
            </w:r>
          </w:p>
        </w:tc>
        <w:tc>
          <w:tcPr>
            <w:tcW w:w="1276" w:type="dxa"/>
            <w:vAlign w:val="center"/>
          </w:tcPr>
          <w:p w:rsidR="00B14986" w:rsidRDefault="00304CC2">
            <w:pPr>
              <w:jc w:val="center"/>
            </w:pPr>
            <w:r>
              <w:rPr>
                <w:rFonts w:eastAsiaTheme="minorEastAsia"/>
                <w:color w:val="000000"/>
                <w:sz w:val="24"/>
              </w:rPr>
              <w:t>002070</w:t>
            </w:r>
          </w:p>
        </w:tc>
        <w:tc>
          <w:tcPr>
            <w:tcW w:w="1701" w:type="dxa"/>
            <w:vAlign w:val="center"/>
          </w:tcPr>
          <w:p w:rsidR="00B14986" w:rsidRDefault="00304CC2">
            <w:pPr>
              <w:jc w:val="center"/>
            </w:pPr>
            <w:r>
              <w:rPr>
                <w:rFonts w:eastAsiaTheme="minorEastAsia"/>
                <w:color w:val="000000"/>
                <w:sz w:val="24"/>
              </w:rPr>
              <w:t>众和股份</w:t>
            </w:r>
          </w:p>
        </w:tc>
        <w:tc>
          <w:tcPr>
            <w:tcW w:w="1276" w:type="dxa"/>
            <w:vAlign w:val="center"/>
          </w:tcPr>
          <w:p w:rsidR="00B14986" w:rsidRDefault="00304CC2">
            <w:pPr>
              <w:jc w:val="right"/>
            </w:pPr>
            <w:r>
              <w:rPr>
                <w:rFonts w:eastAsiaTheme="minorEastAsia"/>
                <w:color w:val="000000"/>
                <w:sz w:val="24"/>
              </w:rPr>
              <w:t>1,040,751</w:t>
            </w:r>
          </w:p>
        </w:tc>
        <w:tc>
          <w:tcPr>
            <w:tcW w:w="1842" w:type="dxa"/>
            <w:vAlign w:val="center"/>
          </w:tcPr>
          <w:p w:rsidR="00B14986" w:rsidRDefault="00304CC2">
            <w:pPr>
              <w:jc w:val="right"/>
            </w:pPr>
            <w:r>
              <w:rPr>
                <w:rFonts w:eastAsiaTheme="minorEastAsia"/>
                <w:color w:val="000000"/>
                <w:sz w:val="24"/>
              </w:rPr>
              <w:t>22,730,001.84</w:t>
            </w:r>
          </w:p>
        </w:tc>
        <w:tc>
          <w:tcPr>
            <w:tcW w:w="1616" w:type="dxa"/>
            <w:vAlign w:val="center"/>
          </w:tcPr>
          <w:p w:rsidR="00B14986" w:rsidRDefault="00304CC2">
            <w:pPr>
              <w:jc w:val="right"/>
            </w:pPr>
            <w:r>
              <w:rPr>
                <w:rFonts w:eastAsiaTheme="minorEastAsia"/>
                <w:color w:val="000000"/>
                <w:sz w:val="24"/>
              </w:rPr>
              <w:t>2.09</w:t>
            </w:r>
          </w:p>
        </w:tc>
      </w:tr>
      <w:tr w:rsidR="00B14986">
        <w:tc>
          <w:tcPr>
            <w:tcW w:w="817" w:type="dxa"/>
            <w:vAlign w:val="center"/>
          </w:tcPr>
          <w:p w:rsidR="00B14986" w:rsidRDefault="00304CC2">
            <w:pPr>
              <w:jc w:val="center"/>
            </w:pPr>
            <w:r>
              <w:rPr>
                <w:rFonts w:eastAsiaTheme="minorEastAsia"/>
                <w:color w:val="000000"/>
                <w:sz w:val="24"/>
              </w:rPr>
              <w:t>3</w:t>
            </w:r>
          </w:p>
        </w:tc>
        <w:tc>
          <w:tcPr>
            <w:tcW w:w="1276" w:type="dxa"/>
            <w:vAlign w:val="center"/>
          </w:tcPr>
          <w:p w:rsidR="00B14986" w:rsidRDefault="00304CC2">
            <w:pPr>
              <w:jc w:val="center"/>
            </w:pPr>
            <w:r>
              <w:rPr>
                <w:rFonts w:eastAsiaTheme="minorEastAsia"/>
                <w:color w:val="000000"/>
                <w:sz w:val="24"/>
              </w:rPr>
              <w:t>300207</w:t>
            </w:r>
          </w:p>
        </w:tc>
        <w:tc>
          <w:tcPr>
            <w:tcW w:w="1701" w:type="dxa"/>
            <w:vAlign w:val="center"/>
          </w:tcPr>
          <w:p w:rsidR="00B14986" w:rsidRDefault="00304CC2">
            <w:pPr>
              <w:jc w:val="center"/>
            </w:pPr>
            <w:r>
              <w:rPr>
                <w:rFonts w:eastAsiaTheme="minorEastAsia"/>
                <w:color w:val="000000"/>
                <w:sz w:val="24"/>
              </w:rPr>
              <w:t>欣旺达</w:t>
            </w:r>
          </w:p>
        </w:tc>
        <w:tc>
          <w:tcPr>
            <w:tcW w:w="1276" w:type="dxa"/>
            <w:vAlign w:val="center"/>
          </w:tcPr>
          <w:p w:rsidR="00B14986" w:rsidRDefault="00304CC2">
            <w:pPr>
              <w:jc w:val="right"/>
            </w:pPr>
            <w:r>
              <w:rPr>
                <w:rFonts w:eastAsiaTheme="minorEastAsia"/>
                <w:color w:val="000000"/>
                <w:sz w:val="24"/>
              </w:rPr>
              <w:t>762,478</w:t>
            </w:r>
          </w:p>
        </w:tc>
        <w:tc>
          <w:tcPr>
            <w:tcW w:w="1842" w:type="dxa"/>
            <w:vAlign w:val="center"/>
          </w:tcPr>
          <w:p w:rsidR="00B14986" w:rsidRDefault="00304CC2">
            <w:pPr>
              <w:jc w:val="right"/>
            </w:pPr>
            <w:r>
              <w:rPr>
                <w:rFonts w:eastAsiaTheme="minorEastAsia"/>
                <w:color w:val="000000"/>
                <w:sz w:val="24"/>
              </w:rPr>
              <w:t>21,425,631.80</w:t>
            </w:r>
          </w:p>
        </w:tc>
        <w:tc>
          <w:tcPr>
            <w:tcW w:w="1616" w:type="dxa"/>
            <w:vAlign w:val="center"/>
          </w:tcPr>
          <w:p w:rsidR="00B14986" w:rsidRDefault="00304CC2">
            <w:pPr>
              <w:jc w:val="right"/>
            </w:pPr>
            <w:r>
              <w:rPr>
                <w:rFonts w:eastAsiaTheme="minorEastAsia"/>
                <w:color w:val="000000"/>
                <w:sz w:val="24"/>
              </w:rPr>
              <w:t>1.97</w:t>
            </w:r>
          </w:p>
        </w:tc>
      </w:tr>
      <w:tr w:rsidR="00B14986">
        <w:tc>
          <w:tcPr>
            <w:tcW w:w="817" w:type="dxa"/>
            <w:vAlign w:val="center"/>
          </w:tcPr>
          <w:p w:rsidR="00B14986" w:rsidRDefault="00304CC2">
            <w:pPr>
              <w:jc w:val="center"/>
            </w:pPr>
            <w:r>
              <w:rPr>
                <w:rFonts w:eastAsiaTheme="minorEastAsia"/>
                <w:color w:val="000000"/>
                <w:sz w:val="24"/>
              </w:rPr>
              <w:t>4</w:t>
            </w:r>
          </w:p>
        </w:tc>
        <w:tc>
          <w:tcPr>
            <w:tcW w:w="1276" w:type="dxa"/>
            <w:vAlign w:val="center"/>
          </w:tcPr>
          <w:p w:rsidR="00B14986" w:rsidRDefault="00304CC2">
            <w:pPr>
              <w:jc w:val="center"/>
            </w:pPr>
            <w:r>
              <w:rPr>
                <w:rFonts w:eastAsiaTheme="minorEastAsia"/>
                <w:color w:val="000000"/>
                <w:sz w:val="24"/>
              </w:rPr>
              <w:t>000762</w:t>
            </w:r>
          </w:p>
        </w:tc>
        <w:tc>
          <w:tcPr>
            <w:tcW w:w="1701" w:type="dxa"/>
            <w:vAlign w:val="center"/>
          </w:tcPr>
          <w:p w:rsidR="00B14986" w:rsidRDefault="00304CC2">
            <w:pPr>
              <w:jc w:val="center"/>
            </w:pPr>
            <w:r>
              <w:rPr>
                <w:rFonts w:eastAsiaTheme="minorEastAsia"/>
                <w:color w:val="000000"/>
                <w:sz w:val="24"/>
              </w:rPr>
              <w:t>西藏矿业</w:t>
            </w:r>
          </w:p>
        </w:tc>
        <w:tc>
          <w:tcPr>
            <w:tcW w:w="1276" w:type="dxa"/>
            <w:vAlign w:val="center"/>
          </w:tcPr>
          <w:p w:rsidR="00B14986" w:rsidRDefault="00304CC2">
            <w:pPr>
              <w:jc w:val="right"/>
            </w:pPr>
            <w:r>
              <w:rPr>
                <w:rFonts w:eastAsiaTheme="minorEastAsia"/>
                <w:color w:val="000000"/>
                <w:sz w:val="24"/>
              </w:rPr>
              <w:t>775,073</w:t>
            </w:r>
          </w:p>
        </w:tc>
        <w:tc>
          <w:tcPr>
            <w:tcW w:w="1842" w:type="dxa"/>
            <w:vAlign w:val="center"/>
          </w:tcPr>
          <w:p w:rsidR="00B14986" w:rsidRDefault="00304CC2">
            <w:pPr>
              <w:jc w:val="right"/>
            </w:pPr>
            <w:r>
              <w:rPr>
                <w:rFonts w:eastAsiaTheme="minorEastAsia"/>
                <w:color w:val="000000"/>
                <w:sz w:val="24"/>
              </w:rPr>
              <w:t>20,384,419.90</w:t>
            </w:r>
          </w:p>
        </w:tc>
        <w:tc>
          <w:tcPr>
            <w:tcW w:w="1616" w:type="dxa"/>
            <w:vAlign w:val="center"/>
          </w:tcPr>
          <w:p w:rsidR="00B14986" w:rsidRDefault="00304CC2">
            <w:pPr>
              <w:jc w:val="right"/>
            </w:pPr>
            <w:r>
              <w:rPr>
                <w:rFonts w:eastAsiaTheme="minorEastAsia"/>
                <w:color w:val="000000"/>
                <w:sz w:val="24"/>
              </w:rPr>
              <w:t>1.88</w:t>
            </w:r>
          </w:p>
        </w:tc>
      </w:tr>
      <w:tr w:rsidR="00B14986">
        <w:tc>
          <w:tcPr>
            <w:tcW w:w="817" w:type="dxa"/>
            <w:vAlign w:val="center"/>
          </w:tcPr>
          <w:p w:rsidR="00B14986" w:rsidRDefault="00304CC2">
            <w:pPr>
              <w:jc w:val="center"/>
            </w:pPr>
            <w:r>
              <w:rPr>
                <w:rFonts w:eastAsiaTheme="minorEastAsia"/>
                <w:color w:val="000000"/>
                <w:sz w:val="24"/>
              </w:rPr>
              <w:t>5</w:t>
            </w:r>
          </w:p>
        </w:tc>
        <w:tc>
          <w:tcPr>
            <w:tcW w:w="1276" w:type="dxa"/>
            <w:vAlign w:val="center"/>
          </w:tcPr>
          <w:p w:rsidR="00B14986" w:rsidRDefault="00304CC2">
            <w:pPr>
              <w:jc w:val="center"/>
            </w:pPr>
            <w:r>
              <w:rPr>
                <w:rFonts w:eastAsiaTheme="minorEastAsia"/>
                <w:color w:val="000000"/>
                <w:sz w:val="24"/>
              </w:rPr>
              <w:t>600884</w:t>
            </w:r>
          </w:p>
        </w:tc>
        <w:tc>
          <w:tcPr>
            <w:tcW w:w="1701" w:type="dxa"/>
            <w:vAlign w:val="center"/>
          </w:tcPr>
          <w:p w:rsidR="00B14986" w:rsidRDefault="00304CC2">
            <w:pPr>
              <w:jc w:val="center"/>
            </w:pPr>
            <w:r>
              <w:rPr>
                <w:rFonts w:eastAsiaTheme="minorEastAsia"/>
                <w:color w:val="000000"/>
                <w:sz w:val="24"/>
              </w:rPr>
              <w:t>杉杉股份</w:t>
            </w:r>
          </w:p>
        </w:tc>
        <w:tc>
          <w:tcPr>
            <w:tcW w:w="1276" w:type="dxa"/>
            <w:vAlign w:val="center"/>
          </w:tcPr>
          <w:p w:rsidR="00B14986" w:rsidRDefault="00304CC2">
            <w:pPr>
              <w:jc w:val="right"/>
            </w:pPr>
            <w:r>
              <w:rPr>
                <w:rFonts w:eastAsiaTheme="minorEastAsia"/>
                <w:color w:val="000000"/>
                <w:sz w:val="24"/>
              </w:rPr>
              <w:t>516,806</w:t>
            </w:r>
          </w:p>
        </w:tc>
        <w:tc>
          <w:tcPr>
            <w:tcW w:w="1842" w:type="dxa"/>
            <w:vAlign w:val="center"/>
          </w:tcPr>
          <w:p w:rsidR="00B14986" w:rsidRDefault="00304CC2">
            <w:pPr>
              <w:jc w:val="right"/>
            </w:pPr>
            <w:r>
              <w:rPr>
                <w:rFonts w:eastAsiaTheme="minorEastAsia"/>
                <w:color w:val="000000"/>
                <w:sz w:val="24"/>
              </w:rPr>
              <w:t>20,279,467.44</w:t>
            </w:r>
          </w:p>
        </w:tc>
        <w:tc>
          <w:tcPr>
            <w:tcW w:w="1616" w:type="dxa"/>
            <w:vAlign w:val="center"/>
          </w:tcPr>
          <w:p w:rsidR="00B14986" w:rsidRDefault="00304CC2">
            <w:pPr>
              <w:jc w:val="right"/>
            </w:pPr>
            <w:r>
              <w:rPr>
                <w:rFonts w:eastAsiaTheme="minorEastAsia"/>
                <w:color w:val="000000"/>
                <w:sz w:val="24"/>
              </w:rPr>
              <w:t>1.87</w:t>
            </w:r>
          </w:p>
        </w:tc>
      </w:tr>
      <w:tr w:rsidR="00B14986">
        <w:tc>
          <w:tcPr>
            <w:tcW w:w="817" w:type="dxa"/>
            <w:vAlign w:val="center"/>
          </w:tcPr>
          <w:p w:rsidR="00B14986" w:rsidRDefault="00304CC2">
            <w:pPr>
              <w:jc w:val="center"/>
            </w:pPr>
            <w:r>
              <w:rPr>
                <w:rFonts w:eastAsiaTheme="minorEastAsia"/>
                <w:color w:val="000000"/>
                <w:sz w:val="24"/>
              </w:rPr>
              <w:t>6</w:t>
            </w:r>
          </w:p>
        </w:tc>
        <w:tc>
          <w:tcPr>
            <w:tcW w:w="1276" w:type="dxa"/>
            <w:vAlign w:val="center"/>
          </w:tcPr>
          <w:p w:rsidR="00B14986" w:rsidRDefault="00304CC2">
            <w:pPr>
              <w:jc w:val="center"/>
            </w:pPr>
            <w:r>
              <w:rPr>
                <w:rFonts w:eastAsiaTheme="minorEastAsia"/>
                <w:color w:val="000000"/>
                <w:sz w:val="24"/>
              </w:rPr>
              <w:t>002460</w:t>
            </w:r>
          </w:p>
        </w:tc>
        <w:tc>
          <w:tcPr>
            <w:tcW w:w="1701" w:type="dxa"/>
            <w:vAlign w:val="center"/>
          </w:tcPr>
          <w:p w:rsidR="00B14986" w:rsidRDefault="00304CC2">
            <w:pPr>
              <w:jc w:val="center"/>
            </w:pPr>
            <w:r>
              <w:rPr>
                <w:rFonts w:eastAsiaTheme="minorEastAsia"/>
                <w:color w:val="000000"/>
                <w:sz w:val="24"/>
              </w:rPr>
              <w:t>赣锋锂业</w:t>
            </w:r>
          </w:p>
        </w:tc>
        <w:tc>
          <w:tcPr>
            <w:tcW w:w="1276" w:type="dxa"/>
            <w:vAlign w:val="center"/>
          </w:tcPr>
          <w:p w:rsidR="00B14986" w:rsidRDefault="00304CC2">
            <w:pPr>
              <w:jc w:val="right"/>
            </w:pPr>
            <w:r>
              <w:rPr>
                <w:rFonts w:eastAsiaTheme="minorEastAsia"/>
                <w:color w:val="000000"/>
                <w:sz w:val="24"/>
              </w:rPr>
              <w:t>319,039</w:t>
            </w:r>
          </w:p>
        </w:tc>
        <w:tc>
          <w:tcPr>
            <w:tcW w:w="1842" w:type="dxa"/>
            <w:vAlign w:val="center"/>
          </w:tcPr>
          <w:p w:rsidR="00B14986" w:rsidRDefault="00304CC2">
            <w:pPr>
              <w:jc w:val="right"/>
            </w:pPr>
            <w:r>
              <w:rPr>
                <w:rFonts w:eastAsiaTheme="minorEastAsia"/>
                <w:color w:val="000000"/>
                <w:sz w:val="24"/>
              </w:rPr>
              <w:t>20,077,124.27</w:t>
            </w:r>
          </w:p>
        </w:tc>
        <w:tc>
          <w:tcPr>
            <w:tcW w:w="1616" w:type="dxa"/>
            <w:vAlign w:val="center"/>
          </w:tcPr>
          <w:p w:rsidR="00B14986" w:rsidRDefault="00304CC2">
            <w:pPr>
              <w:jc w:val="right"/>
            </w:pPr>
            <w:r>
              <w:rPr>
                <w:rFonts w:eastAsiaTheme="minorEastAsia"/>
                <w:color w:val="000000"/>
                <w:sz w:val="24"/>
              </w:rPr>
              <w:t>1.85</w:t>
            </w:r>
          </w:p>
        </w:tc>
      </w:tr>
      <w:tr w:rsidR="00B14986">
        <w:tc>
          <w:tcPr>
            <w:tcW w:w="817" w:type="dxa"/>
            <w:vAlign w:val="center"/>
          </w:tcPr>
          <w:p w:rsidR="00B14986" w:rsidRDefault="00304CC2">
            <w:pPr>
              <w:jc w:val="center"/>
            </w:pPr>
            <w:r>
              <w:rPr>
                <w:rFonts w:eastAsiaTheme="minorEastAsia"/>
                <w:color w:val="000000"/>
                <w:sz w:val="24"/>
              </w:rPr>
              <w:t>7</w:t>
            </w:r>
          </w:p>
        </w:tc>
        <w:tc>
          <w:tcPr>
            <w:tcW w:w="1276" w:type="dxa"/>
            <w:vAlign w:val="center"/>
          </w:tcPr>
          <w:p w:rsidR="00B14986" w:rsidRDefault="00304CC2">
            <w:pPr>
              <w:jc w:val="center"/>
            </w:pPr>
            <w:r>
              <w:rPr>
                <w:rFonts w:eastAsiaTheme="minorEastAsia"/>
                <w:color w:val="000000"/>
                <w:sz w:val="24"/>
              </w:rPr>
              <w:t>002176</w:t>
            </w:r>
          </w:p>
        </w:tc>
        <w:tc>
          <w:tcPr>
            <w:tcW w:w="1701" w:type="dxa"/>
            <w:vAlign w:val="center"/>
          </w:tcPr>
          <w:p w:rsidR="00B14986" w:rsidRDefault="00304CC2">
            <w:pPr>
              <w:jc w:val="center"/>
            </w:pPr>
            <w:r>
              <w:rPr>
                <w:rFonts w:eastAsiaTheme="minorEastAsia"/>
                <w:color w:val="000000"/>
                <w:sz w:val="24"/>
              </w:rPr>
              <w:t>江特电机</w:t>
            </w:r>
          </w:p>
        </w:tc>
        <w:tc>
          <w:tcPr>
            <w:tcW w:w="1276" w:type="dxa"/>
            <w:vAlign w:val="center"/>
          </w:tcPr>
          <w:p w:rsidR="00B14986" w:rsidRDefault="00304CC2">
            <w:pPr>
              <w:jc w:val="right"/>
            </w:pPr>
            <w:r>
              <w:rPr>
                <w:rFonts w:eastAsiaTheme="minorEastAsia"/>
                <w:color w:val="000000"/>
                <w:sz w:val="24"/>
              </w:rPr>
              <w:t>1,129,094</w:t>
            </w:r>
          </w:p>
        </w:tc>
        <w:tc>
          <w:tcPr>
            <w:tcW w:w="1842" w:type="dxa"/>
            <w:vAlign w:val="center"/>
          </w:tcPr>
          <w:p w:rsidR="00B14986" w:rsidRDefault="00304CC2">
            <w:pPr>
              <w:jc w:val="right"/>
            </w:pPr>
            <w:r>
              <w:rPr>
                <w:rFonts w:eastAsiaTheme="minorEastAsia"/>
                <w:color w:val="000000"/>
                <w:sz w:val="24"/>
              </w:rPr>
              <w:t>19,872,054.40</w:t>
            </w:r>
          </w:p>
        </w:tc>
        <w:tc>
          <w:tcPr>
            <w:tcW w:w="1616" w:type="dxa"/>
            <w:vAlign w:val="center"/>
          </w:tcPr>
          <w:p w:rsidR="00B14986" w:rsidRDefault="00304CC2">
            <w:pPr>
              <w:jc w:val="right"/>
            </w:pPr>
            <w:r>
              <w:rPr>
                <w:rFonts w:eastAsiaTheme="minorEastAsia"/>
                <w:color w:val="000000"/>
                <w:sz w:val="24"/>
              </w:rPr>
              <w:t>1.83</w:t>
            </w:r>
          </w:p>
        </w:tc>
      </w:tr>
      <w:tr w:rsidR="00B14986">
        <w:tc>
          <w:tcPr>
            <w:tcW w:w="817" w:type="dxa"/>
            <w:vAlign w:val="center"/>
          </w:tcPr>
          <w:p w:rsidR="00B14986" w:rsidRDefault="00304CC2">
            <w:pPr>
              <w:jc w:val="center"/>
            </w:pPr>
            <w:r>
              <w:rPr>
                <w:rFonts w:eastAsiaTheme="minorEastAsia"/>
                <w:color w:val="000000"/>
                <w:sz w:val="24"/>
              </w:rPr>
              <w:t>8</w:t>
            </w:r>
          </w:p>
        </w:tc>
        <w:tc>
          <w:tcPr>
            <w:tcW w:w="1276" w:type="dxa"/>
            <w:vAlign w:val="center"/>
          </w:tcPr>
          <w:p w:rsidR="00B14986" w:rsidRDefault="00304CC2">
            <w:pPr>
              <w:jc w:val="center"/>
            </w:pPr>
            <w:r>
              <w:rPr>
                <w:rFonts w:eastAsiaTheme="minorEastAsia"/>
                <w:color w:val="000000"/>
                <w:sz w:val="24"/>
              </w:rPr>
              <w:t>300004</w:t>
            </w:r>
          </w:p>
        </w:tc>
        <w:tc>
          <w:tcPr>
            <w:tcW w:w="1701" w:type="dxa"/>
            <w:vAlign w:val="center"/>
          </w:tcPr>
          <w:p w:rsidR="00B14986" w:rsidRDefault="00304CC2">
            <w:pPr>
              <w:jc w:val="center"/>
            </w:pPr>
            <w:r>
              <w:rPr>
                <w:rFonts w:eastAsiaTheme="minorEastAsia"/>
                <w:color w:val="000000"/>
                <w:sz w:val="24"/>
              </w:rPr>
              <w:t>南风股份</w:t>
            </w:r>
          </w:p>
        </w:tc>
        <w:tc>
          <w:tcPr>
            <w:tcW w:w="1276" w:type="dxa"/>
            <w:vAlign w:val="center"/>
          </w:tcPr>
          <w:p w:rsidR="00B14986" w:rsidRDefault="00304CC2">
            <w:pPr>
              <w:jc w:val="right"/>
            </w:pPr>
            <w:r>
              <w:rPr>
                <w:rFonts w:eastAsiaTheme="minorEastAsia"/>
                <w:color w:val="000000"/>
                <w:sz w:val="24"/>
              </w:rPr>
              <w:t>744,742</w:t>
            </w:r>
          </w:p>
        </w:tc>
        <w:tc>
          <w:tcPr>
            <w:tcW w:w="1842" w:type="dxa"/>
            <w:vAlign w:val="center"/>
          </w:tcPr>
          <w:p w:rsidR="00B14986" w:rsidRDefault="00304CC2">
            <w:pPr>
              <w:jc w:val="right"/>
            </w:pPr>
            <w:r>
              <w:rPr>
                <w:rFonts w:eastAsiaTheme="minorEastAsia"/>
                <w:color w:val="000000"/>
                <w:sz w:val="24"/>
              </w:rPr>
              <w:t>19,802,689.78</w:t>
            </w:r>
          </w:p>
        </w:tc>
        <w:tc>
          <w:tcPr>
            <w:tcW w:w="1616" w:type="dxa"/>
            <w:vAlign w:val="center"/>
          </w:tcPr>
          <w:p w:rsidR="00B14986" w:rsidRDefault="00304CC2">
            <w:pPr>
              <w:jc w:val="right"/>
            </w:pPr>
            <w:r>
              <w:rPr>
                <w:rFonts w:eastAsiaTheme="minorEastAsia"/>
                <w:color w:val="000000"/>
                <w:sz w:val="24"/>
              </w:rPr>
              <w:t>1.82</w:t>
            </w:r>
          </w:p>
        </w:tc>
      </w:tr>
      <w:tr w:rsidR="00B14986">
        <w:tc>
          <w:tcPr>
            <w:tcW w:w="817" w:type="dxa"/>
            <w:vAlign w:val="center"/>
          </w:tcPr>
          <w:p w:rsidR="00B14986" w:rsidRDefault="00304CC2">
            <w:pPr>
              <w:jc w:val="center"/>
            </w:pPr>
            <w:r>
              <w:rPr>
                <w:rFonts w:eastAsiaTheme="minorEastAsia"/>
                <w:color w:val="000000"/>
                <w:sz w:val="24"/>
              </w:rPr>
              <w:t>9</w:t>
            </w:r>
          </w:p>
        </w:tc>
        <w:tc>
          <w:tcPr>
            <w:tcW w:w="1276" w:type="dxa"/>
            <w:vAlign w:val="center"/>
          </w:tcPr>
          <w:p w:rsidR="00B14986" w:rsidRDefault="00304CC2">
            <w:pPr>
              <w:jc w:val="center"/>
            </w:pPr>
            <w:r>
              <w:rPr>
                <w:rFonts w:eastAsiaTheme="minorEastAsia"/>
                <w:color w:val="000000"/>
                <w:sz w:val="24"/>
              </w:rPr>
              <w:t>002091</w:t>
            </w:r>
          </w:p>
        </w:tc>
        <w:tc>
          <w:tcPr>
            <w:tcW w:w="1701" w:type="dxa"/>
            <w:vAlign w:val="center"/>
          </w:tcPr>
          <w:p w:rsidR="00B14986" w:rsidRDefault="00304CC2">
            <w:pPr>
              <w:jc w:val="center"/>
            </w:pPr>
            <w:r>
              <w:rPr>
                <w:rFonts w:eastAsiaTheme="minorEastAsia"/>
                <w:color w:val="000000"/>
                <w:sz w:val="24"/>
              </w:rPr>
              <w:t>江苏国泰</w:t>
            </w:r>
          </w:p>
        </w:tc>
        <w:tc>
          <w:tcPr>
            <w:tcW w:w="1276" w:type="dxa"/>
            <w:vAlign w:val="center"/>
          </w:tcPr>
          <w:p w:rsidR="00B14986" w:rsidRDefault="00304CC2">
            <w:pPr>
              <w:jc w:val="right"/>
            </w:pPr>
            <w:r>
              <w:rPr>
                <w:rFonts w:eastAsiaTheme="minorEastAsia"/>
                <w:color w:val="000000"/>
                <w:sz w:val="24"/>
              </w:rPr>
              <w:t>743,058</w:t>
            </w:r>
          </w:p>
        </w:tc>
        <w:tc>
          <w:tcPr>
            <w:tcW w:w="1842" w:type="dxa"/>
            <w:vAlign w:val="center"/>
          </w:tcPr>
          <w:p w:rsidR="00B14986" w:rsidRDefault="00304CC2">
            <w:pPr>
              <w:jc w:val="right"/>
            </w:pPr>
            <w:r>
              <w:rPr>
                <w:rFonts w:eastAsiaTheme="minorEastAsia"/>
                <w:color w:val="000000"/>
                <w:sz w:val="24"/>
              </w:rPr>
              <w:t>19,743,051.06</w:t>
            </w:r>
          </w:p>
        </w:tc>
        <w:tc>
          <w:tcPr>
            <w:tcW w:w="1616" w:type="dxa"/>
            <w:vAlign w:val="center"/>
          </w:tcPr>
          <w:p w:rsidR="00B14986" w:rsidRDefault="00304CC2">
            <w:pPr>
              <w:jc w:val="right"/>
            </w:pPr>
            <w:r>
              <w:rPr>
                <w:rFonts w:eastAsiaTheme="minorEastAsia"/>
                <w:color w:val="000000"/>
                <w:sz w:val="24"/>
              </w:rPr>
              <w:t>1.82</w:t>
            </w:r>
          </w:p>
        </w:tc>
      </w:tr>
      <w:tr w:rsidR="00B14986">
        <w:tc>
          <w:tcPr>
            <w:tcW w:w="817" w:type="dxa"/>
            <w:vAlign w:val="center"/>
          </w:tcPr>
          <w:p w:rsidR="00B14986" w:rsidRDefault="00304CC2">
            <w:pPr>
              <w:jc w:val="center"/>
            </w:pPr>
            <w:r>
              <w:rPr>
                <w:rFonts w:eastAsiaTheme="minorEastAsia"/>
                <w:color w:val="000000"/>
                <w:sz w:val="24"/>
              </w:rPr>
              <w:t>10</w:t>
            </w:r>
          </w:p>
        </w:tc>
        <w:tc>
          <w:tcPr>
            <w:tcW w:w="1276" w:type="dxa"/>
            <w:vAlign w:val="center"/>
          </w:tcPr>
          <w:p w:rsidR="00B14986" w:rsidRDefault="00304CC2">
            <w:pPr>
              <w:jc w:val="center"/>
            </w:pPr>
            <w:r>
              <w:rPr>
                <w:rFonts w:eastAsiaTheme="minorEastAsia"/>
                <w:color w:val="000000"/>
                <w:sz w:val="24"/>
              </w:rPr>
              <w:t>002466</w:t>
            </w:r>
          </w:p>
        </w:tc>
        <w:tc>
          <w:tcPr>
            <w:tcW w:w="1701" w:type="dxa"/>
            <w:vAlign w:val="center"/>
          </w:tcPr>
          <w:p w:rsidR="00B14986" w:rsidRDefault="00304CC2">
            <w:pPr>
              <w:jc w:val="center"/>
            </w:pPr>
            <w:r>
              <w:rPr>
                <w:rFonts w:eastAsiaTheme="minorEastAsia"/>
                <w:color w:val="000000"/>
                <w:sz w:val="24"/>
              </w:rPr>
              <w:t>天齐锂业</w:t>
            </w:r>
          </w:p>
        </w:tc>
        <w:tc>
          <w:tcPr>
            <w:tcW w:w="1276" w:type="dxa"/>
            <w:vAlign w:val="center"/>
          </w:tcPr>
          <w:p w:rsidR="00B14986" w:rsidRDefault="00304CC2">
            <w:pPr>
              <w:jc w:val="right"/>
            </w:pPr>
            <w:r>
              <w:rPr>
                <w:rFonts w:eastAsiaTheme="minorEastAsia"/>
                <w:color w:val="000000"/>
                <w:sz w:val="24"/>
              </w:rPr>
              <w:t>137,981</w:t>
            </w:r>
          </w:p>
        </w:tc>
        <w:tc>
          <w:tcPr>
            <w:tcW w:w="1842" w:type="dxa"/>
            <w:vAlign w:val="center"/>
          </w:tcPr>
          <w:p w:rsidR="00B14986" w:rsidRDefault="00304CC2">
            <w:pPr>
              <w:jc w:val="right"/>
            </w:pPr>
            <w:r>
              <w:rPr>
                <w:rFonts w:eastAsiaTheme="minorEastAsia"/>
                <w:color w:val="000000"/>
                <w:sz w:val="24"/>
              </w:rPr>
              <w:t>19,420,825.75</w:t>
            </w:r>
          </w:p>
        </w:tc>
        <w:tc>
          <w:tcPr>
            <w:tcW w:w="1616" w:type="dxa"/>
            <w:vAlign w:val="center"/>
          </w:tcPr>
          <w:p w:rsidR="00B14986" w:rsidRDefault="00304CC2">
            <w:pPr>
              <w:jc w:val="right"/>
            </w:pPr>
            <w:r>
              <w:rPr>
                <w:rFonts w:eastAsiaTheme="minorEastAsia"/>
                <w:color w:val="000000"/>
                <w:sz w:val="24"/>
              </w:rPr>
              <w:t>1.79</w:t>
            </w:r>
          </w:p>
        </w:tc>
      </w:tr>
    </w:tbl>
    <w:p w:rsidR="006F20EC" w:rsidRPr="005E324A" w:rsidRDefault="006F20EC" w:rsidP="006B10DA">
      <w:pPr>
        <w:autoSpaceDE w:val="0"/>
        <w:autoSpaceDN w:val="0"/>
        <w:adjustRightInd w:val="0"/>
        <w:spacing w:line="360" w:lineRule="auto"/>
        <w:jc w:val="left"/>
        <w:rPr>
          <w:rFonts w:eastAsiaTheme="minorEastAsia"/>
          <w:color w:val="000000"/>
          <w:sz w:val="24"/>
        </w:rPr>
      </w:pPr>
    </w:p>
    <w:p w:rsidR="000625A6" w:rsidRPr="005E324A" w:rsidRDefault="000625A6" w:rsidP="003A4DA3">
      <w:pPr>
        <w:spacing w:line="360" w:lineRule="auto"/>
        <w:rPr>
          <w:rFonts w:eastAsiaTheme="minorEastAsia"/>
          <w:b/>
          <w:sz w:val="24"/>
        </w:rPr>
      </w:pPr>
      <w:smartTag w:uri="urn:schemas-microsoft-com:office:smarttags" w:element="chsdate">
        <w:smartTagPr>
          <w:attr w:name="IsROCDate" w:val="False"/>
          <w:attr w:name="IsLunarDate" w:val="False"/>
          <w:attr w:name="Day" w:val="30"/>
          <w:attr w:name="Month" w:val="12"/>
          <w:attr w:name="Year" w:val="1899"/>
        </w:smartTagPr>
        <w:r w:rsidRPr="005E324A">
          <w:rPr>
            <w:rFonts w:eastAsiaTheme="minorEastAsia"/>
            <w:b/>
            <w:color w:val="000000"/>
            <w:kern w:val="0"/>
            <w:sz w:val="24"/>
          </w:rPr>
          <w:t>5.3.2</w:t>
        </w:r>
        <w:r w:rsidR="002E45F3" w:rsidRPr="005E324A">
          <w:rPr>
            <w:rFonts w:eastAsiaTheme="minorEastAsia"/>
            <w:b/>
            <w:color w:val="000000"/>
            <w:kern w:val="0"/>
            <w:sz w:val="24"/>
          </w:rPr>
          <w:t>报告</w:t>
        </w:r>
      </w:smartTag>
      <w:r w:rsidR="005D44E4" w:rsidRPr="005E324A">
        <w:rPr>
          <w:rFonts w:eastAsiaTheme="minorEastAsia"/>
          <w:b/>
          <w:color w:val="000000"/>
          <w:kern w:val="0"/>
          <w:sz w:val="24"/>
        </w:rPr>
        <w:t>期末</w:t>
      </w:r>
      <w:r w:rsidR="005D44E4" w:rsidRPr="005E324A">
        <w:rPr>
          <w:rFonts w:eastAsiaTheme="minorEastAsia"/>
          <w:b/>
          <w:sz w:val="24"/>
        </w:rPr>
        <w:t>积极</w:t>
      </w:r>
      <w:r w:rsidRPr="005E324A">
        <w:rPr>
          <w:rFonts w:eastAsiaTheme="minorEastAsia"/>
          <w:b/>
          <w:sz w:val="24"/>
        </w:rPr>
        <w:t>投资按公允价值占基金资产净值比例大小排序的前五名股票投资明细</w:t>
      </w:r>
    </w:p>
    <w:p w:rsidR="0066704D" w:rsidRPr="005E324A" w:rsidRDefault="007622F6"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本基金本报告期末未持有积极投资的股票。</w:t>
      </w:r>
    </w:p>
    <w:p w:rsidR="000625A6" w:rsidRPr="005E324A" w:rsidRDefault="000625A6" w:rsidP="0019563C">
      <w:pPr>
        <w:autoSpaceDE w:val="0"/>
        <w:autoSpaceDN w:val="0"/>
        <w:adjustRightInd w:val="0"/>
        <w:spacing w:line="360" w:lineRule="auto"/>
        <w:jc w:val="left"/>
        <w:rPr>
          <w:rFonts w:eastAsiaTheme="minorEastAsia"/>
          <w:color w:val="000000"/>
          <w:sz w:val="24"/>
        </w:rPr>
      </w:pPr>
    </w:p>
    <w:p w:rsidR="00220542" w:rsidRPr="005E324A" w:rsidRDefault="00220542" w:rsidP="003A4DA3">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5.4 </w:t>
      </w:r>
      <w:r w:rsidRPr="005E324A">
        <w:rPr>
          <w:rFonts w:eastAsiaTheme="minorEastAsia"/>
          <w:b/>
          <w:color w:val="000000"/>
          <w:kern w:val="0"/>
          <w:sz w:val="24"/>
        </w:rPr>
        <w:t>报告期末按债券品种分类的债券投资组合</w:t>
      </w:r>
    </w:p>
    <w:p w:rsidR="00220542" w:rsidRPr="005E324A" w:rsidRDefault="007622F6" w:rsidP="0019563C">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本基金本报告期末未持有债券。</w:t>
      </w:r>
    </w:p>
    <w:p w:rsidR="00220542" w:rsidRPr="005E324A" w:rsidRDefault="00220542" w:rsidP="0019563C">
      <w:pPr>
        <w:autoSpaceDE w:val="0"/>
        <w:autoSpaceDN w:val="0"/>
        <w:adjustRightInd w:val="0"/>
        <w:spacing w:line="360" w:lineRule="auto"/>
        <w:jc w:val="left"/>
        <w:rPr>
          <w:rFonts w:eastAsiaTheme="minorEastAsia"/>
          <w:color w:val="000000"/>
          <w:kern w:val="0"/>
          <w:sz w:val="24"/>
        </w:rPr>
      </w:pPr>
    </w:p>
    <w:p w:rsidR="00220542" w:rsidRPr="005E324A" w:rsidRDefault="00220542" w:rsidP="00576862">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 xml:space="preserve">5.5 </w:t>
      </w:r>
      <w:r w:rsidRPr="005E324A">
        <w:rPr>
          <w:rFonts w:eastAsiaTheme="minorEastAsia"/>
          <w:b/>
          <w:color w:val="000000"/>
          <w:kern w:val="0"/>
          <w:sz w:val="24"/>
        </w:rPr>
        <w:t>报告期末按公允价值占基金资产净值比例大小排</w:t>
      </w:r>
      <w:r w:rsidR="001C123E" w:rsidRPr="005E324A">
        <w:rPr>
          <w:rFonts w:eastAsiaTheme="minorEastAsia"/>
          <w:b/>
          <w:color w:val="000000"/>
          <w:kern w:val="0"/>
          <w:sz w:val="24"/>
        </w:rPr>
        <w:t>序</w:t>
      </w:r>
      <w:r w:rsidRPr="005E324A">
        <w:rPr>
          <w:rFonts w:eastAsiaTheme="minorEastAsia"/>
          <w:b/>
          <w:color w:val="000000"/>
          <w:kern w:val="0"/>
          <w:sz w:val="24"/>
        </w:rPr>
        <w:t>的前五名债券投资明细</w:t>
      </w:r>
    </w:p>
    <w:p w:rsidR="00220542" w:rsidRPr="005E324A" w:rsidRDefault="007A6BEA" w:rsidP="0019563C">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本基金本报告期末未持有债券。</w:t>
      </w:r>
    </w:p>
    <w:p w:rsidR="00220542" w:rsidRPr="005E324A" w:rsidRDefault="00220542" w:rsidP="0019563C">
      <w:pPr>
        <w:autoSpaceDE w:val="0"/>
        <w:autoSpaceDN w:val="0"/>
        <w:adjustRightInd w:val="0"/>
        <w:spacing w:line="360" w:lineRule="auto"/>
        <w:jc w:val="left"/>
        <w:rPr>
          <w:rFonts w:eastAsiaTheme="minorEastAsia"/>
          <w:color w:val="000000"/>
          <w:kern w:val="0"/>
          <w:sz w:val="24"/>
        </w:rPr>
      </w:pPr>
    </w:p>
    <w:p w:rsidR="00220542" w:rsidRPr="005E324A" w:rsidRDefault="00220542" w:rsidP="00576862">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5.6</w:t>
      </w:r>
      <w:r w:rsidRPr="005E324A">
        <w:rPr>
          <w:rFonts w:eastAsiaTheme="minorEastAsia"/>
          <w:b/>
          <w:color w:val="000000"/>
          <w:kern w:val="0"/>
          <w:sz w:val="24"/>
        </w:rPr>
        <w:t>报告期末按公允价值占基金资产净值比例大小排</w:t>
      </w:r>
      <w:r w:rsidR="001C123E" w:rsidRPr="005E324A">
        <w:rPr>
          <w:rFonts w:eastAsiaTheme="minorEastAsia"/>
          <w:b/>
          <w:color w:val="000000"/>
          <w:kern w:val="0"/>
          <w:sz w:val="24"/>
        </w:rPr>
        <w:t>序</w:t>
      </w:r>
      <w:r w:rsidRPr="005E324A">
        <w:rPr>
          <w:rFonts w:eastAsiaTheme="minorEastAsia"/>
          <w:b/>
          <w:color w:val="000000"/>
          <w:kern w:val="0"/>
          <w:sz w:val="24"/>
        </w:rPr>
        <w:t>的前十名资产支持证券投资明细</w:t>
      </w:r>
    </w:p>
    <w:p w:rsidR="00220542" w:rsidRPr="005E324A" w:rsidRDefault="007A6BEA"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本基金本报告期末未持有资产支持证券。</w:t>
      </w:r>
    </w:p>
    <w:p w:rsidR="00220542" w:rsidRPr="005E324A" w:rsidRDefault="00220542" w:rsidP="0019563C">
      <w:pPr>
        <w:autoSpaceDE w:val="0"/>
        <w:autoSpaceDN w:val="0"/>
        <w:adjustRightInd w:val="0"/>
        <w:spacing w:line="360" w:lineRule="auto"/>
        <w:jc w:val="left"/>
        <w:rPr>
          <w:rFonts w:eastAsiaTheme="minorEastAsia"/>
          <w:color w:val="000000"/>
          <w:kern w:val="0"/>
          <w:sz w:val="24"/>
        </w:rPr>
      </w:pPr>
    </w:p>
    <w:p w:rsidR="001C123E" w:rsidRPr="005E324A" w:rsidRDefault="001C123E" w:rsidP="001C123E">
      <w:pPr>
        <w:autoSpaceDE w:val="0"/>
        <w:autoSpaceDN w:val="0"/>
        <w:adjustRightInd w:val="0"/>
        <w:spacing w:line="360" w:lineRule="auto"/>
        <w:jc w:val="left"/>
        <w:rPr>
          <w:rFonts w:eastAsiaTheme="minorEastAsia"/>
          <w:b/>
          <w:bCs/>
          <w:color w:val="000000"/>
          <w:kern w:val="0"/>
          <w:sz w:val="24"/>
        </w:rPr>
      </w:pPr>
      <w:r w:rsidRPr="005E324A">
        <w:rPr>
          <w:rFonts w:eastAsiaTheme="minorEastAsia"/>
          <w:b/>
          <w:bCs/>
          <w:color w:val="000000"/>
          <w:kern w:val="0"/>
          <w:sz w:val="24"/>
        </w:rPr>
        <w:t xml:space="preserve">5.7 </w:t>
      </w:r>
      <w:r w:rsidRPr="005E324A">
        <w:rPr>
          <w:rFonts w:eastAsiaTheme="minorEastAsia"/>
          <w:b/>
          <w:bCs/>
          <w:color w:val="000000"/>
          <w:kern w:val="0"/>
          <w:sz w:val="24"/>
        </w:rPr>
        <w:t>报告期末按公允价值占基金资产净值比例大小排序的前五名贵金属投资明细</w:t>
      </w:r>
    </w:p>
    <w:p w:rsidR="001C123E" w:rsidRPr="005E324A" w:rsidRDefault="001C123E" w:rsidP="001C123E">
      <w:pPr>
        <w:widowControl/>
        <w:spacing w:line="360" w:lineRule="auto"/>
        <w:jc w:val="left"/>
        <w:rPr>
          <w:szCs w:val="21"/>
        </w:rPr>
      </w:pPr>
      <w:r w:rsidRPr="005E324A">
        <w:rPr>
          <w:szCs w:val="21"/>
        </w:rPr>
        <w:t>本基金本报告期末未持有贵金属。</w:t>
      </w:r>
    </w:p>
    <w:p w:rsidR="001C123E" w:rsidRPr="005E324A" w:rsidRDefault="001C123E" w:rsidP="0019563C">
      <w:pPr>
        <w:autoSpaceDE w:val="0"/>
        <w:autoSpaceDN w:val="0"/>
        <w:adjustRightInd w:val="0"/>
        <w:spacing w:line="360" w:lineRule="auto"/>
        <w:jc w:val="left"/>
        <w:rPr>
          <w:rFonts w:eastAsiaTheme="minorEastAsia"/>
          <w:color w:val="000000"/>
          <w:kern w:val="0"/>
          <w:sz w:val="24"/>
        </w:rPr>
      </w:pPr>
    </w:p>
    <w:p w:rsidR="00220542" w:rsidRPr="005E324A" w:rsidRDefault="001C123E" w:rsidP="00576862">
      <w:pPr>
        <w:autoSpaceDE w:val="0"/>
        <w:autoSpaceDN w:val="0"/>
        <w:adjustRightInd w:val="0"/>
        <w:spacing w:line="360" w:lineRule="auto"/>
        <w:jc w:val="left"/>
        <w:rPr>
          <w:rFonts w:eastAsiaTheme="minorEastAsia"/>
          <w:b/>
          <w:color w:val="000000"/>
          <w:kern w:val="0"/>
          <w:sz w:val="24"/>
        </w:rPr>
      </w:pPr>
      <w:r w:rsidRPr="005E324A">
        <w:rPr>
          <w:rFonts w:eastAsiaTheme="minorEastAsia"/>
          <w:b/>
          <w:bCs/>
          <w:color w:val="000000"/>
          <w:kern w:val="0"/>
          <w:sz w:val="24"/>
        </w:rPr>
        <w:t>5.8</w:t>
      </w:r>
      <w:r w:rsidR="00656A06">
        <w:rPr>
          <w:rFonts w:eastAsiaTheme="minorEastAsia" w:hint="eastAsia"/>
          <w:b/>
          <w:bCs/>
          <w:color w:val="000000"/>
          <w:kern w:val="0"/>
          <w:sz w:val="24"/>
        </w:rPr>
        <w:t xml:space="preserve"> </w:t>
      </w:r>
      <w:r w:rsidR="00D43EDF" w:rsidRPr="005E324A">
        <w:rPr>
          <w:rFonts w:eastAsiaTheme="minorEastAsia"/>
          <w:b/>
          <w:bCs/>
          <w:color w:val="000000"/>
          <w:sz w:val="24"/>
        </w:rPr>
        <w:t>报告期末按公允价值占基金资产净值比例大小排序</w:t>
      </w:r>
      <w:r w:rsidR="00220542" w:rsidRPr="005E324A">
        <w:rPr>
          <w:rFonts w:eastAsiaTheme="minorEastAsia"/>
          <w:b/>
          <w:bCs/>
          <w:color w:val="000000"/>
          <w:sz w:val="24"/>
        </w:rPr>
        <w:t>的前五名权证投资明细</w:t>
      </w:r>
    </w:p>
    <w:p w:rsidR="00220542" w:rsidRPr="005E324A" w:rsidRDefault="007A6BEA" w:rsidP="0019563C">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本基金本报告期末未持有权证。</w:t>
      </w:r>
    </w:p>
    <w:p w:rsidR="00695296" w:rsidRPr="005E324A" w:rsidRDefault="00695296" w:rsidP="0019563C">
      <w:pPr>
        <w:autoSpaceDE w:val="0"/>
        <w:autoSpaceDN w:val="0"/>
        <w:adjustRightInd w:val="0"/>
        <w:spacing w:line="360" w:lineRule="auto"/>
        <w:jc w:val="left"/>
        <w:rPr>
          <w:rFonts w:eastAsiaTheme="minorEastAsia"/>
          <w:color w:val="000000"/>
          <w:kern w:val="0"/>
          <w:sz w:val="24"/>
        </w:rPr>
      </w:pPr>
    </w:p>
    <w:p w:rsidR="00E57068" w:rsidRPr="005E324A" w:rsidRDefault="001C123E" w:rsidP="00E57068">
      <w:pPr>
        <w:adjustRightInd w:val="0"/>
        <w:snapToGrid w:val="0"/>
        <w:spacing w:line="360" w:lineRule="auto"/>
        <w:rPr>
          <w:rFonts w:eastAsiaTheme="minorEastAsia"/>
          <w:b/>
          <w:sz w:val="24"/>
        </w:rPr>
      </w:pPr>
      <w:r w:rsidRPr="005E324A">
        <w:rPr>
          <w:rFonts w:eastAsiaTheme="minorEastAsia"/>
          <w:b/>
          <w:bCs/>
          <w:color w:val="000000"/>
          <w:kern w:val="0"/>
          <w:sz w:val="24"/>
        </w:rPr>
        <w:t>5.9</w:t>
      </w:r>
      <w:r w:rsidR="00E57068" w:rsidRPr="005E324A">
        <w:rPr>
          <w:rFonts w:eastAsiaTheme="minorEastAsia"/>
          <w:b/>
          <w:sz w:val="24"/>
        </w:rPr>
        <w:t xml:space="preserve"> </w:t>
      </w:r>
      <w:r w:rsidR="00E57068" w:rsidRPr="005E324A">
        <w:rPr>
          <w:rFonts w:eastAsiaTheme="minorEastAsia"/>
          <w:b/>
          <w:sz w:val="24"/>
        </w:rPr>
        <w:t>报告期末本基金投资的股指期货交易情况说明</w:t>
      </w:r>
    </w:p>
    <w:p w:rsidR="00E57068" w:rsidRPr="005E324A" w:rsidRDefault="00E57068" w:rsidP="00E57068">
      <w:pPr>
        <w:autoSpaceDE w:val="0"/>
        <w:autoSpaceDN w:val="0"/>
        <w:adjustRightInd w:val="0"/>
        <w:spacing w:line="360" w:lineRule="auto"/>
        <w:jc w:val="left"/>
        <w:rPr>
          <w:rFonts w:eastAsiaTheme="minorEastAsia"/>
          <w:sz w:val="24"/>
        </w:rPr>
      </w:pPr>
      <w:r w:rsidRPr="005E324A">
        <w:rPr>
          <w:rFonts w:eastAsiaTheme="minorEastAsia"/>
          <w:sz w:val="24"/>
        </w:rPr>
        <w:t>本基金本报告期末未持有股指期货。</w:t>
      </w:r>
    </w:p>
    <w:p w:rsidR="00E57068" w:rsidRPr="005E324A" w:rsidRDefault="00E57068" w:rsidP="0019563C">
      <w:pPr>
        <w:autoSpaceDE w:val="0"/>
        <w:autoSpaceDN w:val="0"/>
        <w:adjustRightInd w:val="0"/>
        <w:spacing w:line="360" w:lineRule="auto"/>
        <w:jc w:val="left"/>
        <w:rPr>
          <w:rFonts w:eastAsiaTheme="minorEastAsia"/>
          <w:color w:val="000000"/>
          <w:kern w:val="0"/>
          <w:sz w:val="24"/>
        </w:rPr>
      </w:pPr>
    </w:p>
    <w:p w:rsidR="005E0C14" w:rsidRPr="005E324A" w:rsidRDefault="00E31EC2" w:rsidP="00576862">
      <w:pPr>
        <w:adjustRightInd w:val="0"/>
        <w:snapToGrid w:val="0"/>
        <w:spacing w:line="360" w:lineRule="auto"/>
        <w:rPr>
          <w:rFonts w:eastAsiaTheme="minorEastAsia"/>
          <w:b/>
          <w:sz w:val="24"/>
        </w:rPr>
      </w:pPr>
      <w:r w:rsidRPr="005E324A">
        <w:rPr>
          <w:rFonts w:eastAsiaTheme="minorEastAsia"/>
          <w:b/>
          <w:sz w:val="24"/>
        </w:rPr>
        <w:t>5</w:t>
      </w:r>
      <w:r w:rsidR="005E0C14" w:rsidRPr="005E324A">
        <w:rPr>
          <w:rFonts w:eastAsiaTheme="minorEastAsia"/>
          <w:b/>
          <w:sz w:val="24"/>
        </w:rPr>
        <w:t>.</w:t>
      </w:r>
      <w:r w:rsidRPr="005E324A">
        <w:rPr>
          <w:rFonts w:eastAsiaTheme="minorEastAsia"/>
          <w:b/>
          <w:sz w:val="24"/>
        </w:rPr>
        <w:t>10</w:t>
      </w:r>
      <w:r w:rsidR="005E0C14" w:rsidRPr="005E324A">
        <w:rPr>
          <w:rFonts w:eastAsiaTheme="minorEastAsia"/>
          <w:b/>
          <w:sz w:val="24"/>
        </w:rPr>
        <w:t>报告期末本基金投资的国债期货交易情况说明</w:t>
      </w:r>
    </w:p>
    <w:p w:rsidR="005E0C14" w:rsidRDefault="005E0C14"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本基金本报告期末未持有国债期货。</w:t>
      </w:r>
    </w:p>
    <w:p w:rsidR="00304CC2" w:rsidRPr="00304CC2" w:rsidRDefault="00304CC2" w:rsidP="006B10DA">
      <w:pPr>
        <w:autoSpaceDE w:val="0"/>
        <w:autoSpaceDN w:val="0"/>
        <w:adjustRightInd w:val="0"/>
        <w:spacing w:line="360" w:lineRule="auto"/>
        <w:jc w:val="left"/>
        <w:rPr>
          <w:rFonts w:eastAsiaTheme="minorEastAsia"/>
          <w:color w:val="000000"/>
          <w:sz w:val="24"/>
        </w:rPr>
      </w:pPr>
    </w:p>
    <w:p w:rsidR="00220542" w:rsidRPr="005E324A" w:rsidRDefault="001C123E" w:rsidP="00576862">
      <w:pPr>
        <w:autoSpaceDE w:val="0"/>
        <w:autoSpaceDN w:val="0"/>
        <w:adjustRightInd w:val="0"/>
        <w:spacing w:line="360" w:lineRule="auto"/>
        <w:jc w:val="left"/>
        <w:rPr>
          <w:rFonts w:eastAsiaTheme="minorEastAsia"/>
          <w:b/>
          <w:color w:val="000000"/>
          <w:kern w:val="0"/>
          <w:sz w:val="24"/>
        </w:rPr>
      </w:pPr>
      <w:r w:rsidRPr="005E324A">
        <w:rPr>
          <w:rFonts w:eastAsiaTheme="minorEastAsia"/>
          <w:b/>
          <w:color w:val="000000"/>
          <w:kern w:val="0"/>
          <w:sz w:val="24"/>
        </w:rPr>
        <w:t>5</w:t>
      </w:r>
      <w:r w:rsidR="001F218E" w:rsidRPr="005E324A">
        <w:rPr>
          <w:rFonts w:eastAsiaTheme="minorEastAsia"/>
          <w:b/>
          <w:color w:val="000000"/>
          <w:kern w:val="0"/>
          <w:sz w:val="24"/>
        </w:rPr>
        <w:t>.</w:t>
      </w:r>
      <w:r w:rsidRPr="005E324A">
        <w:rPr>
          <w:rFonts w:eastAsiaTheme="minorEastAsia"/>
          <w:b/>
          <w:color w:val="000000"/>
          <w:kern w:val="0"/>
          <w:sz w:val="24"/>
        </w:rPr>
        <w:t>11</w:t>
      </w:r>
      <w:r w:rsidR="00220542" w:rsidRPr="005E324A">
        <w:rPr>
          <w:rFonts w:eastAsiaTheme="minorEastAsia"/>
          <w:b/>
          <w:color w:val="000000"/>
          <w:kern w:val="0"/>
          <w:sz w:val="24"/>
        </w:rPr>
        <w:t xml:space="preserve"> </w:t>
      </w:r>
      <w:r w:rsidR="00220542" w:rsidRPr="005E324A">
        <w:rPr>
          <w:rFonts w:eastAsiaTheme="minorEastAsia"/>
          <w:b/>
          <w:color w:val="000000"/>
          <w:kern w:val="0"/>
          <w:sz w:val="24"/>
        </w:rPr>
        <w:t>投资组合报告附注</w:t>
      </w:r>
    </w:p>
    <w:p w:rsidR="00220542" w:rsidRPr="005E324A" w:rsidRDefault="001C123E" w:rsidP="00576862">
      <w:pPr>
        <w:spacing w:line="360" w:lineRule="auto"/>
        <w:rPr>
          <w:rFonts w:eastAsiaTheme="minorEastAsia"/>
          <w:color w:val="000000"/>
          <w:kern w:val="0"/>
          <w:sz w:val="24"/>
        </w:rPr>
      </w:pPr>
      <w:r w:rsidRPr="005E324A">
        <w:rPr>
          <w:rFonts w:eastAsiaTheme="minorEastAsia"/>
          <w:bCs/>
          <w:color w:val="000000"/>
          <w:kern w:val="0"/>
          <w:sz w:val="24"/>
        </w:rPr>
        <w:t>5.11.1</w:t>
      </w:r>
      <w:r w:rsidR="007A6BEA" w:rsidRPr="005E324A">
        <w:rPr>
          <w:rFonts w:eastAsiaTheme="minorEastAsia"/>
          <w:color w:val="000000"/>
          <w:kern w:val="0"/>
          <w:sz w:val="24"/>
        </w:rPr>
        <w:t>报告期内本基金投资的前十名证券的发行主体除南风股份（证券代码：</w:t>
      </w:r>
      <w:r w:rsidR="007A6BEA" w:rsidRPr="005E324A">
        <w:rPr>
          <w:rFonts w:eastAsiaTheme="minorEastAsia"/>
          <w:color w:val="000000"/>
          <w:kern w:val="0"/>
          <w:sz w:val="24"/>
        </w:rPr>
        <w:t>300004</w:t>
      </w:r>
      <w:r w:rsidR="007A6BEA" w:rsidRPr="005E324A">
        <w:rPr>
          <w:rFonts w:eastAsiaTheme="minorEastAsia"/>
          <w:color w:val="000000"/>
          <w:kern w:val="0"/>
          <w:sz w:val="24"/>
        </w:rPr>
        <w:t>）外，未出现被监管部门立案调查，或在报告编制日前一年内受到公开谴责、处罚的情形。</w:t>
      </w:r>
    </w:p>
    <w:p w:rsidR="00B14986" w:rsidRDefault="00304CC2">
      <w:pPr>
        <w:spacing w:line="360" w:lineRule="auto"/>
        <w:rPr>
          <w:rFonts w:eastAsiaTheme="minorEastAsia"/>
          <w:color w:val="000000"/>
          <w:kern w:val="0"/>
          <w:sz w:val="24"/>
        </w:rPr>
      </w:pPr>
      <w:r>
        <w:rPr>
          <w:rFonts w:eastAsiaTheme="minorEastAsia"/>
          <w:color w:val="000000"/>
          <w:kern w:val="0"/>
          <w:sz w:val="24"/>
        </w:rPr>
        <w:t>报告期内本基金投资的前十名证券之一南风股份（证券代码：</w:t>
      </w:r>
      <w:r>
        <w:rPr>
          <w:rFonts w:eastAsiaTheme="minorEastAsia"/>
          <w:color w:val="000000"/>
          <w:kern w:val="0"/>
          <w:sz w:val="24"/>
        </w:rPr>
        <w:t>300004</w:t>
      </w:r>
      <w:r>
        <w:rPr>
          <w:rFonts w:eastAsiaTheme="minorEastAsia"/>
          <w:color w:val="000000"/>
          <w:kern w:val="0"/>
          <w:sz w:val="24"/>
        </w:rPr>
        <w:t>）于</w:t>
      </w:r>
      <w:r>
        <w:rPr>
          <w:rFonts w:eastAsiaTheme="minorEastAsia"/>
          <w:color w:val="000000"/>
          <w:kern w:val="0"/>
          <w:sz w:val="24"/>
        </w:rPr>
        <w:t>2015</w:t>
      </w:r>
      <w:r>
        <w:rPr>
          <w:rFonts w:eastAsiaTheme="minorEastAsia"/>
          <w:color w:val="000000"/>
          <w:kern w:val="0"/>
          <w:sz w:val="24"/>
        </w:rPr>
        <w:t>年</w:t>
      </w:r>
      <w:r>
        <w:rPr>
          <w:rFonts w:eastAsiaTheme="minorEastAsia"/>
          <w:color w:val="000000"/>
          <w:kern w:val="0"/>
          <w:sz w:val="24"/>
        </w:rPr>
        <w:t>2</w:t>
      </w:r>
      <w:r>
        <w:rPr>
          <w:rFonts w:eastAsiaTheme="minorEastAsia"/>
          <w:color w:val="000000"/>
          <w:kern w:val="0"/>
          <w:sz w:val="24"/>
        </w:rPr>
        <w:t>月</w:t>
      </w:r>
      <w:r>
        <w:rPr>
          <w:rFonts w:eastAsiaTheme="minorEastAsia"/>
          <w:color w:val="000000"/>
          <w:kern w:val="0"/>
          <w:sz w:val="24"/>
        </w:rPr>
        <w:t>13</w:t>
      </w:r>
      <w:r>
        <w:rPr>
          <w:rFonts w:eastAsiaTheme="minorEastAsia"/>
          <w:color w:val="000000"/>
          <w:kern w:val="0"/>
          <w:sz w:val="24"/>
        </w:rPr>
        <w:t>日公告，公司因违反《民用核安全设备监督管理条例》于近日收到国家核安全局《核安全行政处罚决定书》。据此，国家核安全局责令公司停止民用核安全设备设计、制造活动，限期</w:t>
      </w:r>
      <w:r>
        <w:rPr>
          <w:rFonts w:eastAsiaTheme="minorEastAsia"/>
          <w:color w:val="000000"/>
          <w:kern w:val="0"/>
          <w:sz w:val="24"/>
        </w:rPr>
        <w:t xml:space="preserve">6 </w:t>
      </w:r>
      <w:r>
        <w:rPr>
          <w:rFonts w:eastAsiaTheme="minorEastAsia"/>
          <w:color w:val="000000"/>
          <w:kern w:val="0"/>
          <w:sz w:val="24"/>
        </w:rPr>
        <w:t>个月进行整改，并处</w:t>
      </w:r>
      <w:r>
        <w:rPr>
          <w:rFonts w:eastAsiaTheme="minorEastAsia"/>
          <w:color w:val="000000"/>
          <w:kern w:val="0"/>
          <w:sz w:val="24"/>
        </w:rPr>
        <w:t>50</w:t>
      </w:r>
      <w:r>
        <w:rPr>
          <w:rFonts w:eastAsiaTheme="minorEastAsia"/>
          <w:color w:val="000000"/>
          <w:kern w:val="0"/>
          <w:sz w:val="24"/>
        </w:rPr>
        <w:t>万元罚款。</w:t>
      </w:r>
    </w:p>
    <w:p w:rsidR="00B14986" w:rsidRDefault="00304CC2">
      <w:pPr>
        <w:spacing w:line="360" w:lineRule="auto"/>
        <w:rPr>
          <w:rFonts w:eastAsiaTheme="minorEastAsia"/>
          <w:color w:val="000000"/>
          <w:kern w:val="0"/>
          <w:sz w:val="24"/>
        </w:rPr>
      </w:pPr>
      <w:r>
        <w:rPr>
          <w:rFonts w:eastAsiaTheme="minorEastAsia"/>
          <w:color w:val="000000"/>
          <w:kern w:val="0"/>
          <w:sz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rsidR="00220542" w:rsidRPr="005E324A" w:rsidRDefault="001C123E" w:rsidP="00576862">
      <w:pPr>
        <w:spacing w:line="360" w:lineRule="auto"/>
        <w:rPr>
          <w:rFonts w:eastAsiaTheme="minorEastAsia"/>
          <w:color w:val="000000"/>
          <w:kern w:val="0"/>
          <w:sz w:val="24"/>
        </w:rPr>
      </w:pPr>
      <w:r w:rsidRPr="005E324A">
        <w:rPr>
          <w:rFonts w:eastAsiaTheme="minorEastAsia"/>
          <w:bCs/>
          <w:color w:val="000000"/>
          <w:kern w:val="0"/>
          <w:sz w:val="24"/>
        </w:rPr>
        <w:t>5.11.2</w:t>
      </w:r>
      <w:r w:rsidR="007A6BEA" w:rsidRPr="005E324A">
        <w:rPr>
          <w:rFonts w:eastAsiaTheme="minorEastAsia"/>
          <w:color w:val="000000"/>
          <w:kern w:val="0"/>
          <w:sz w:val="24"/>
        </w:rPr>
        <w:t>本基金投资的前十名股票中，没有超出基金合同规定的备选股票库之外的股票。</w:t>
      </w:r>
    </w:p>
    <w:p w:rsidR="00220542" w:rsidRPr="005E324A" w:rsidRDefault="001C123E" w:rsidP="00576862">
      <w:pPr>
        <w:autoSpaceDE w:val="0"/>
        <w:autoSpaceDN w:val="0"/>
        <w:adjustRightInd w:val="0"/>
        <w:spacing w:line="360" w:lineRule="auto"/>
        <w:jc w:val="left"/>
        <w:rPr>
          <w:rFonts w:eastAsiaTheme="minorEastAsia"/>
          <w:b/>
          <w:color w:val="000000"/>
          <w:kern w:val="0"/>
          <w:sz w:val="24"/>
        </w:rPr>
      </w:pPr>
      <w:r w:rsidRPr="005E324A">
        <w:rPr>
          <w:rFonts w:eastAsiaTheme="minorEastAsia"/>
          <w:b/>
          <w:bCs/>
          <w:color w:val="000000"/>
          <w:kern w:val="0"/>
          <w:sz w:val="24"/>
        </w:rPr>
        <w:t>5.11.3</w:t>
      </w:r>
      <w:r w:rsidR="00656A06">
        <w:rPr>
          <w:rFonts w:eastAsiaTheme="minorEastAsia" w:hint="eastAsia"/>
          <w:b/>
          <w:bCs/>
          <w:color w:val="000000"/>
          <w:kern w:val="0"/>
          <w:sz w:val="24"/>
        </w:rPr>
        <w:t xml:space="preserve"> </w:t>
      </w:r>
      <w:r w:rsidR="00220542" w:rsidRPr="005E324A">
        <w:rPr>
          <w:rFonts w:eastAsiaTheme="minorEastAsia"/>
          <w:b/>
          <w:color w:val="000000"/>
          <w:kern w:val="0"/>
          <w:sz w:val="24"/>
        </w:rPr>
        <w:t>其他</w:t>
      </w:r>
      <w:r w:rsidR="00AD25F6" w:rsidRPr="005E324A">
        <w:rPr>
          <w:rFonts w:eastAsiaTheme="minorEastAsia"/>
          <w:b/>
          <w:color w:val="000000"/>
          <w:kern w:val="0"/>
          <w:sz w:val="24"/>
        </w:rPr>
        <w:t>各项</w:t>
      </w:r>
      <w:r w:rsidR="00220542" w:rsidRPr="005E324A">
        <w:rPr>
          <w:rFonts w:eastAsiaTheme="minorEastAsia"/>
          <w:b/>
          <w:color w:val="000000"/>
          <w:kern w:val="0"/>
          <w:sz w:val="24"/>
        </w:rPr>
        <w:t>资产构成</w:t>
      </w:r>
    </w:p>
    <w:tbl>
      <w:tblPr>
        <w:tblStyle w:val="af7"/>
        <w:tblW w:w="0" w:type="auto"/>
        <w:tblLayout w:type="fixed"/>
        <w:tblLook w:val="04A0" w:firstRow="1" w:lastRow="0" w:firstColumn="1" w:lastColumn="0" w:noHBand="0" w:noVBand="1"/>
      </w:tblPr>
      <w:tblGrid>
        <w:gridCol w:w="959"/>
        <w:gridCol w:w="2761"/>
        <w:gridCol w:w="4808"/>
      </w:tblGrid>
      <w:tr w:rsidR="00F46DF9" w:rsidRPr="005E324A" w:rsidTr="00691D14">
        <w:tc>
          <w:tcPr>
            <w:tcW w:w="959" w:type="dxa"/>
          </w:tcPr>
          <w:p w:rsidR="00F46DF9" w:rsidRPr="005E324A" w:rsidRDefault="00F46DF9" w:rsidP="00723EC0">
            <w:pPr>
              <w:autoSpaceDE w:val="0"/>
              <w:autoSpaceDN w:val="0"/>
              <w:adjustRightInd w:val="0"/>
              <w:spacing w:line="360" w:lineRule="auto"/>
              <w:jc w:val="center"/>
              <w:rPr>
                <w:rFonts w:eastAsiaTheme="minorEastAsia"/>
                <w:color w:val="000000"/>
                <w:sz w:val="24"/>
              </w:rPr>
            </w:pPr>
            <w:r w:rsidRPr="005E324A">
              <w:rPr>
                <w:rFonts w:eastAsiaTheme="minorEastAsia"/>
                <w:color w:val="000000"/>
                <w:sz w:val="24"/>
              </w:rPr>
              <w:t>序号</w:t>
            </w:r>
          </w:p>
        </w:tc>
        <w:tc>
          <w:tcPr>
            <w:tcW w:w="2761" w:type="dxa"/>
          </w:tcPr>
          <w:p w:rsidR="00F46DF9" w:rsidRPr="005E324A" w:rsidRDefault="00F46DF9" w:rsidP="00723EC0">
            <w:pPr>
              <w:autoSpaceDE w:val="0"/>
              <w:autoSpaceDN w:val="0"/>
              <w:adjustRightInd w:val="0"/>
              <w:spacing w:line="360" w:lineRule="auto"/>
              <w:jc w:val="center"/>
              <w:rPr>
                <w:rFonts w:eastAsiaTheme="minorEastAsia"/>
                <w:color w:val="000000"/>
                <w:sz w:val="24"/>
              </w:rPr>
            </w:pPr>
            <w:r w:rsidRPr="005E324A">
              <w:rPr>
                <w:rFonts w:eastAsiaTheme="minorEastAsia"/>
                <w:color w:val="000000"/>
                <w:sz w:val="24"/>
              </w:rPr>
              <w:t>名称</w:t>
            </w:r>
          </w:p>
        </w:tc>
        <w:tc>
          <w:tcPr>
            <w:tcW w:w="4808" w:type="dxa"/>
          </w:tcPr>
          <w:p w:rsidR="00F46DF9" w:rsidRPr="005E324A" w:rsidRDefault="00F46DF9" w:rsidP="00723EC0">
            <w:pPr>
              <w:autoSpaceDE w:val="0"/>
              <w:autoSpaceDN w:val="0"/>
              <w:adjustRightInd w:val="0"/>
              <w:spacing w:line="360" w:lineRule="auto"/>
              <w:jc w:val="center"/>
              <w:rPr>
                <w:rFonts w:eastAsiaTheme="minorEastAsia"/>
                <w:color w:val="000000"/>
                <w:sz w:val="24"/>
              </w:rPr>
            </w:pPr>
            <w:r w:rsidRPr="005E324A">
              <w:rPr>
                <w:rFonts w:eastAsiaTheme="minorEastAsia"/>
                <w:color w:val="000000"/>
                <w:sz w:val="24"/>
              </w:rPr>
              <w:t>金额（元）</w:t>
            </w:r>
          </w:p>
        </w:tc>
      </w:tr>
      <w:tr w:rsidR="00F46DF9" w:rsidRPr="005E324A" w:rsidTr="00691D14">
        <w:tc>
          <w:tcPr>
            <w:tcW w:w="959" w:type="dxa"/>
            <w:vAlign w:val="center"/>
          </w:tcPr>
          <w:p w:rsidR="00F46DF9" w:rsidRPr="005E324A" w:rsidRDefault="00F46DF9" w:rsidP="00465C86">
            <w:pPr>
              <w:autoSpaceDE w:val="0"/>
              <w:autoSpaceDN w:val="0"/>
              <w:adjustRightInd w:val="0"/>
              <w:spacing w:before="29" w:line="360" w:lineRule="auto"/>
              <w:ind w:left="15"/>
              <w:jc w:val="center"/>
              <w:rPr>
                <w:rFonts w:eastAsiaTheme="minorEastAsia"/>
                <w:color w:val="000000"/>
                <w:kern w:val="0"/>
                <w:sz w:val="24"/>
              </w:rPr>
            </w:pPr>
            <w:r w:rsidRPr="005E324A">
              <w:rPr>
                <w:rFonts w:eastAsiaTheme="minorEastAsia"/>
                <w:color w:val="000000"/>
                <w:sz w:val="24"/>
              </w:rPr>
              <w:t>1</w:t>
            </w:r>
          </w:p>
        </w:tc>
        <w:tc>
          <w:tcPr>
            <w:tcW w:w="2761" w:type="dxa"/>
            <w:vAlign w:val="center"/>
          </w:tcPr>
          <w:p w:rsidR="00F46DF9" w:rsidRPr="005E324A" w:rsidRDefault="00F46DF9"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存出保证金</w:t>
            </w:r>
          </w:p>
        </w:tc>
        <w:tc>
          <w:tcPr>
            <w:tcW w:w="4808" w:type="dxa"/>
            <w:vAlign w:val="center"/>
          </w:tcPr>
          <w:p w:rsidR="00F46DF9" w:rsidRPr="005E324A" w:rsidRDefault="00F46DF9"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758,483.86</w:t>
            </w:r>
          </w:p>
        </w:tc>
      </w:tr>
      <w:tr w:rsidR="00F46DF9" w:rsidRPr="005E324A" w:rsidTr="00691D14">
        <w:tc>
          <w:tcPr>
            <w:tcW w:w="959" w:type="dxa"/>
            <w:vAlign w:val="center"/>
          </w:tcPr>
          <w:p w:rsidR="00F46DF9" w:rsidRPr="005E324A" w:rsidRDefault="00F46DF9"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2</w:t>
            </w:r>
          </w:p>
        </w:tc>
        <w:tc>
          <w:tcPr>
            <w:tcW w:w="2761" w:type="dxa"/>
            <w:vAlign w:val="center"/>
          </w:tcPr>
          <w:p w:rsidR="00F46DF9" w:rsidRPr="005E324A" w:rsidRDefault="00F46DF9"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应收证券清算款</w:t>
            </w:r>
          </w:p>
        </w:tc>
        <w:tc>
          <w:tcPr>
            <w:tcW w:w="4808" w:type="dxa"/>
            <w:vAlign w:val="center"/>
          </w:tcPr>
          <w:p w:rsidR="00F46DF9" w:rsidRPr="005E324A" w:rsidRDefault="00F46DF9"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5,381,392.50</w:t>
            </w:r>
          </w:p>
        </w:tc>
      </w:tr>
      <w:tr w:rsidR="00F46DF9" w:rsidRPr="005E324A" w:rsidTr="00691D14">
        <w:tc>
          <w:tcPr>
            <w:tcW w:w="959" w:type="dxa"/>
            <w:vAlign w:val="center"/>
          </w:tcPr>
          <w:p w:rsidR="00F46DF9" w:rsidRPr="005E324A" w:rsidRDefault="00F46DF9"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3</w:t>
            </w:r>
          </w:p>
        </w:tc>
        <w:tc>
          <w:tcPr>
            <w:tcW w:w="2761" w:type="dxa"/>
            <w:vAlign w:val="center"/>
          </w:tcPr>
          <w:p w:rsidR="00F46DF9" w:rsidRPr="005E324A" w:rsidRDefault="00F46DF9"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应收股利</w:t>
            </w:r>
          </w:p>
        </w:tc>
        <w:tc>
          <w:tcPr>
            <w:tcW w:w="4808" w:type="dxa"/>
            <w:vAlign w:val="center"/>
          </w:tcPr>
          <w:p w:rsidR="00F46DF9" w:rsidRPr="005E324A" w:rsidRDefault="00F46DF9"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F46DF9" w:rsidRPr="005E324A" w:rsidTr="00691D14">
        <w:tc>
          <w:tcPr>
            <w:tcW w:w="959" w:type="dxa"/>
            <w:vAlign w:val="center"/>
          </w:tcPr>
          <w:p w:rsidR="00F46DF9" w:rsidRPr="005E324A" w:rsidRDefault="00F46DF9"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4</w:t>
            </w:r>
          </w:p>
        </w:tc>
        <w:tc>
          <w:tcPr>
            <w:tcW w:w="2761" w:type="dxa"/>
            <w:vAlign w:val="center"/>
          </w:tcPr>
          <w:p w:rsidR="00F46DF9" w:rsidRPr="005E324A" w:rsidRDefault="00F46DF9"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应收利息</w:t>
            </w:r>
          </w:p>
        </w:tc>
        <w:tc>
          <w:tcPr>
            <w:tcW w:w="4808" w:type="dxa"/>
            <w:vAlign w:val="center"/>
          </w:tcPr>
          <w:p w:rsidR="00F46DF9" w:rsidRPr="005E324A" w:rsidRDefault="00F46DF9"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17,576.29</w:t>
            </w:r>
          </w:p>
        </w:tc>
      </w:tr>
      <w:tr w:rsidR="00F46DF9" w:rsidRPr="005E324A" w:rsidTr="00691D14">
        <w:tc>
          <w:tcPr>
            <w:tcW w:w="959" w:type="dxa"/>
            <w:vAlign w:val="center"/>
          </w:tcPr>
          <w:p w:rsidR="00F46DF9" w:rsidRPr="005E324A" w:rsidRDefault="00F46DF9"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5</w:t>
            </w:r>
          </w:p>
        </w:tc>
        <w:tc>
          <w:tcPr>
            <w:tcW w:w="2761" w:type="dxa"/>
            <w:vAlign w:val="center"/>
          </w:tcPr>
          <w:p w:rsidR="00F46DF9" w:rsidRPr="005E324A" w:rsidRDefault="00F46DF9"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应收申购款</w:t>
            </w:r>
          </w:p>
        </w:tc>
        <w:tc>
          <w:tcPr>
            <w:tcW w:w="4808" w:type="dxa"/>
            <w:vAlign w:val="center"/>
          </w:tcPr>
          <w:p w:rsidR="00F46DF9" w:rsidRPr="005E324A" w:rsidRDefault="00F46DF9"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1,384,219.30</w:t>
            </w:r>
          </w:p>
        </w:tc>
      </w:tr>
      <w:tr w:rsidR="00F46DF9" w:rsidRPr="005E324A" w:rsidTr="00691D14">
        <w:tc>
          <w:tcPr>
            <w:tcW w:w="959" w:type="dxa"/>
            <w:vAlign w:val="center"/>
          </w:tcPr>
          <w:p w:rsidR="00F46DF9" w:rsidRPr="005E324A" w:rsidRDefault="00F46DF9"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6</w:t>
            </w:r>
          </w:p>
        </w:tc>
        <w:tc>
          <w:tcPr>
            <w:tcW w:w="2761" w:type="dxa"/>
            <w:vAlign w:val="center"/>
          </w:tcPr>
          <w:p w:rsidR="00F46DF9" w:rsidRPr="005E324A" w:rsidRDefault="00F46DF9"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其他应收款</w:t>
            </w:r>
          </w:p>
        </w:tc>
        <w:tc>
          <w:tcPr>
            <w:tcW w:w="4808" w:type="dxa"/>
            <w:vAlign w:val="center"/>
          </w:tcPr>
          <w:p w:rsidR="00F46DF9" w:rsidRPr="005E324A" w:rsidRDefault="00F46DF9"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952F4F" w:rsidRPr="005E324A" w:rsidTr="00465C86">
        <w:tc>
          <w:tcPr>
            <w:tcW w:w="959" w:type="dxa"/>
          </w:tcPr>
          <w:p w:rsidR="00952F4F" w:rsidRPr="005E324A" w:rsidRDefault="00952F4F" w:rsidP="00952F4F">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7</w:t>
            </w:r>
          </w:p>
        </w:tc>
        <w:tc>
          <w:tcPr>
            <w:tcW w:w="2761" w:type="dxa"/>
          </w:tcPr>
          <w:p w:rsidR="00952F4F" w:rsidRPr="005E324A" w:rsidRDefault="00952F4F" w:rsidP="00952F4F">
            <w:pPr>
              <w:autoSpaceDE w:val="0"/>
              <w:autoSpaceDN w:val="0"/>
              <w:adjustRightInd w:val="0"/>
              <w:spacing w:before="29" w:line="360" w:lineRule="auto"/>
              <w:ind w:leftChars="50" w:left="105"/>
              <w:rPr>
                <w:rFonts w:eastAsiaTheme="minorEastAsia"/>
                <w:color w:val="000000"/>
                <w:sz w:val="24"/>
              </w:rPr>
            </w:pPr>
            <w:r w:rsidRPr="005E324A">
              <w:rPr>
                <w:rFonts w:eastAsiaTheme="minorEastAsia"/>
                <w:color w:val="000000"/>
                <w:sz w:val="24"/>
              </w:rPr>
              <w:t>待摊费用</w:t>
            </w:r>
          </w:p>
        </w:tc>
        <w:tc>
          <w:tcPr>
            <w:tcW w:w="4808" w:type="dxa"/>
            <w:vAlign w:val="center"/>
          </w:tcPr>
          <w:p w:rsidR="00952F4F" w:rsidRPr="005E324A" w:rsidRDefault="00952F4F" w:rsidP="00952F4F">
            <w:pPr>
              <w:autoSpaceDE w:val="0"/>
              <w:autoSpaceDN w:val="0"/>
              <w:adjustRightInd w:val="0"/>
              <w:spacing w:before="29" w:line="360" w:lineRule="auto"/>
              <w:ind w:left="15"/>
              <w:jc w:val="right"/>
              <w:rPr>
                <w:rFonts w:eastAsiaTheme="minorEastAsia"/>
                <w:color w:val="000000"/>
                <w:sz w:val="24"/>
              </w:rPr>
            </w:pPr>
            <w:r w:rsidRPr="005E324A">
              <w:rPr>
                <w:rFonts w:eastAsiaTheme="minorEastAsia"/>
                <w:color w:val="000000"/>
                <w:sz w:val="24"/>
              </w:rPr>
              <w:t>-</w:t>
            </w:r>
          </w:p>
        </w:tc>
      </w:tr>
      <w:tr w:rsidR="00952F4F" w:rsidRPr="005E324A" w:rsidTr="00691D14">
        <w:tc>
          <w:tcPr>
            <w:tcW w:w="959" w:type="dxa"/>
            <w:vAlign w:val="center"/>
          </w:tcPr>
          <w:p w:rsidR="00952F4F" w:rsidRPr="005E324A" w:rsidRDefault="00952F4F"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8</w:t>
            </w:r>
          </w:p>
        </w:tc>
        <w:tc>
          <w:tcPr>
            <w:tcW w:w="2761" w:type="dxa"/>
            <w:vAlign w:val="center"/>
          </w:tcPr>
          <w:p w:rsidR="00952F4F" w:rsidRPr="005E324A" w:rsidRDefault="00952F4F"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其他</w:t>
            </w:r>
          </w:p>
        </w:tc>
        <w:tc>
          <w:tcPr>
            <w:tcW w:w="4808" w:type="dxa"/>
            <w:vAlign w:val="center"/>
          </w:tcPr>
          <w:p w:rsidR="00952F4F" w:rsidRPr="005E324A" w:rsidRDefault="00952F4F"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w:t>
            </w:r>
          </w:p>
        </w:tc>
      </w:tr>
      <w:tr w:rsidR="00952F4F" w:rsidRPr="005E324A" w:rsidTr="00691D14">
        <w:tc>
          <w:tcPr>
            <w:tcW w:w="959" w:type="dxa"/>
            <w:vAlign w:val="center"/>
          </w:tcPr>
          <w:p w:rsidR="00952F4F" w:rsidRPr="005E324A" w:rsidRDefault="00952F4F" w:rsidP="00465C86">
            <w:pPr>
              <w:autoSpaceDE w:val="0"/>
              <w:autoSpaceDN w:val="0"/>
              <w:adjustRightInd w:val="0"/>
              <w:spacing w:before="29" w:line="360" w:lineRule="auto"/>
              <w:ind w:left="15"/>
              <w:jc w:val="center"/>
              <w:rPr>
                <w:rFonts w:eastAsiaTheme="minorEastAsia"/>
                <w:color w:val="000000"/>
                <w:sz w:val="24"/>
              </w:rPr>
            </w:pPr>
            <w:r w:rsidRPr="005E324A">
              <w:rPr>
                <w:rFonts w:eastAsiaTheme="minorEastAsia"/>
                <w:color w:val="000000"/>
                <w:sz w:val="24"/>
              </w:rPr>
              <w:t>9</w:t>
            </w:r>
          </w:p>
        </w:tc>
        <w:tc>
          <w:tcPr>
            <w:tcW w:w="2761" w:type="dxa"/>
            <w:vAlign w:val="center"/>
          </w:tcPr>
          <w:p w:rsidR="00952F4F" w:rsidRPr="005E324A" w:rsidRDefault="00952F4F" w:rsidP="00465C86">
            <w:pPr>
              <w:autoSpaceDE w:val="0"/>
              <w:autoSpaceDN w:val="0"/>
              <w:adjustRightInd w:val="0"/>
              <w:spacing w:before="29" w:line="360" w:lineRule="auto"/>
              <w:ind w:left="15"/>
              <w:jc w:val="left"/>
              <w:rPr>
                <w:rFonts w:eastAsiaTheme="minorEastAsia"/>
                <w:color w:val="000000"/>
                <w:kern w:val="0"/>
                <w:sz w:val="24"/>
              </w:rPr>
            </w:pPr>
            <w:r w:rsidRPr="005E324A">
              <w:rPr>
                <w:rFonts w:eastAsiaTheme="minorEastAsia"/>
                <w:color w:val="000000"/>
                <w:kern w:val="0"/>
                <w:sz w:val="24"/>
              </w:rPr>
              <w:t>合计</w:t>
            </w:r>
          </w:p>
        </w:tc>
        <w:tc>
          <w:tcPr>
            <w:tcW w:w="4808" w:type="dxa"/>
            <w:vAlign w:val="center"/>
          </w:tcPr>
          <w:p w:rsidR="00952F4F" w:rsidRPr="005E324A" w:rsidRDefault="00952F4F" w:rsidP="00465C86">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7,541,671.95</w:t>
            </w:r>
          </w:p>
        </w:tc>
      </w:tr>
    </w:tbl>
    <w:p w:rsidR="00220542" w:rsidRPr="005E324A" w:rsidRDefault="001C123E" w:rsidP="00576862">
      <w:pPr>
        <w:autoSpaceDE w:val="0"/>
        <w:autoSpaceDN w:val="0"/>
        <w:adjustRightInd w:val="0"/>
        <w:spacing w:line="360" w:lineRule="auto"/>
        <w:jc w:val="left"/>
        <w:rPr>
          <w:rFonts w:eastAsiaTheme="minorEastAsia"/>
          <w:b/>
          <w:color w:val="000000"/>
          <w:kern w:val="0"/>
          <w:sz w:val="24"/>
        </w:rPr>
      </w:pPr>
      <w:r w:rsidRPr="005E324A">
        <w:rPr>
          <w:rFonts w:eastAsiaTheme="minorEastAsia"/>
          <w:b/>
          <w:bCs/>
          <w:color w:val="000000"/>
          <w:kern w:val="0"/>
          <w:sz w:val="24"/>
        </w:rPr>
        <w:t>5.11.4</w:t>
      </w:r>
      <w:r w:rsidR="00774535">
        <w:rPr>
          <w:rFonts w:eastAsiaTheme="minorEastAsia" w:hint="eastAsia"/>
          <w:b/>
          <w:bCs/>
          <w:color w:val="000000"/>
          <w:kern w:val="0"/>
          <w:sz w:val="24"/>
        </w:rPr>
        <w:t xml:space="preserve"> </w:t>
      </w:r>
      <w:r w:rsidR="00220542" w:rsidRPr="005E324A">
        <w:rPr>
          <w:rFonts w:eastAsiaTheme="minorEastAsia"/>
          <w:b/>
          <w:color w:val="000000"/>
          <w:kern w:val="0"/>
          <w:sz w:val="24"/>
        </w:rPr>
        <w:t>报告期末持有的处于转股期的可转换债券明细</w:t>
      </w:r>
    </w:p>
    <w:p w:rsidR="00220542" w:rsidRDefault="007A6BEA"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本基金本报告期末未持有处于转股期的可转换债券。</w:t>
      </w:r>
    </w:p>
    <w:p w:rsidR="00304CC2" w:rsidRPr="005E324A" w:rsidRDefault="00304CC2" w:rsidP="006B10DA">
      <w:pPr>
        <w:autoSpaceDE w:val="0"/>
        <w:autoSpaceDN w:val="0"/>
        <w:adjustRightInd w:val="0"/>
        <w:spacing w:line="360" w:lineRule="auto"/>
        <w:jc w:val="left"/>
        <w:rPr>
          <w:rFonts w:eastAsiaTheme="minorEastAsia"/>
          <w:color w:val="000000"/>
          <w:sz w:val="24"/>
        </w:rPr>
      </w:pPr>
    </w:p>
    <w:p w:rsidR="005D44E4" w:rsidRPr="005E324A" w:rsidRDefault="001C123E" w:rsidP="00576862">
      <w:pPr>
        <w:spacing w:line="360" w:lineRule="auto"/>
        <w:rPr>
          <w:rFonts w:eastAsiaTheme="minorEastAsia"/>
          <w:b/>
          <w:sz w:val="24"/>
        </w:rPr>
      </w:pPr>
      <w:r w:rsidRPr="005E324A">
        <w:rPr>
          <w:rFonts w:eastAsiaTheme="minorEastAsia"/>
          <w:b/>
          <w:bCs/>
          <w:color w:val="000000"/>
          <w:kern w:val="0"/>
          <w:sz w:val="24"/>
        </w:rPr>
        <w:t>5.11.5</w:t>
      </w:r>
      <w:r w:rsidR="00774535">
        <w:rPr>
          <w:rFonts w:eastAsiaTheme="minorEastAsia" w:hint="eastAsia"/>
          <w:b/>
          <w:bCs/>
          <w:color w:val="000000"/>
          <w:kern w:val="0"/>
          <w:sz w:val="24"/>
        </w:rPr>
        <w:t xml:space="preserve"> </w:t>
      </w:r>
      <w:r w:rsidR="00EE53E7" w:rsidRPr="005E324A">
        <w:rPr>
          <w:rFonts w:eastAsiaTheme="minorEastAsia"/>
          <w:b/>
          <w:bCs/>
          <w:color w:val="000000"/>
          <w:kern w:val="0"/>
          <w:sz w:val="24"/>
        </w:rPr>
        <w:t>报告</w:t>
      </w:r>
      <w:r w:rsidR="00EE53E7" w:rsidRPr="005E324A">
        <w:rPr>
          <w:rFonts w:eastAsiaTheme="minorEastAsia"/>
          <w:b/>
          <w:sz w:val="24"/>
        </w:rPr>
        <w:t>期末投资的</w:t>
      </w:r>
      <w:r w:rsidR="00055190" w:rsidRPr="005E324A">
        <w:rPr>
          <w:rFonts w:eastAsiaTheme="minorEastAsia"/>
          <w:b/>
          <w:sz w:val="24"/>
        </w:rPr>
        <w:t>股票中存在流通受限情况的说明</w:t>
      </w:r>
    </w:p>
    <w:p w:rsidR="00634900" w:rsidRPr="005E324A" w:rsidRDefault="001C123E" w:rsidP="00576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
          <w:kern w:val="0"/>
          <w:sz w:val="24"/>
        </w:rPr>
      </w:pPr>
      <w:r w:rsidRPr="005E324A">
        <w:rPr>
          <w:rFonts w:eastAsiaTheme="minorEastAsia"/>
          <w:b/>
          <w:bCs/>
          <w:color w:val="000000"/>
          <w:kern w:val="0"/>
          <w:sz w:val="24"/>
        </w:rPr>
        <w:t>5.11.5.1</w:t>
      </w:r>
      <w:r w:rsidR="00774535">
        <w:rPr>
          <w:rFonts w:eastAsiaTheme="minorEastAsia" w:hint="eastAsia"/>
          <w:b/>
          <w:bCs/>
          <w:color w:val="000000"/>
          <w:kern w:val="0"/>
          <w:sz w:val="24"/>
        </w:rPr>
        <w:t xml:space="preserve"> </w:t>
      </w:r>
      <w:r w:rsidR="00EE53E7" w:rsidRPr="005E324A">
        <w:rPr>
          <w:rFonts w:eastAsiaTheme="minorEastAsia"/>
          <w:b/>
          <w:bCs/>
          <w:color w:val="000000"/>
          <w:kern w:val="0"/>
          <w:sz w:val="24"/>
        </w:rPr>
        <w:t>报告</w:t>
      </w:r>
      <w:r w:rsidR="00634900" w:rsidRPr="005E324A">
        <w:rPr>
          <w:b/>
          <w:kern w:val="0"/>
          <w:sz w:val="24"/>
        </w:rPr>
        <w:t>期末指数投资前十名股票中存在流通受限情况的说明</w:t>
      </w:r>
    </w:p>
    <w:p w:rsidR="005D44E4" w:rsidRDefault="007A6BEA" w:rsidP="00576862">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本基金本报告期末前十名股票中不存在流通受限情况。</w:t>
      </w:r>
    </w:p>
    <w:p w:rsidR="00304CC2" w:rsidRPr="005E324A" w:rsidRDefault="00304CC2" w:rsidP="00576862">
      <w:pPr>
        <w:autoSpaceDE w:val="0"/>
        <w:autoSpaceDN w:val="0"/>
        <w:adjustRightInd w:val="0"/>
        <w:spacing w:line="360" w:lineRule="auto"/>
        <w:jc w:val="left"/>
        <w:rPr>
          <w:rFonts w:eastAsiaTheme="minorEastAsia"/>
          <w:color w:val="000000"/>
          <w:sz w:val="24"/>
        </w:rPr>
      </w:pPr>
    </w:p>
    <w:p w:rsidR="005D44E4" w:rsidRPr="005E324A" w:rsidRDefault="001C123E" w:rsidP="00576862">
      <w:pPr>
        <w:spacing w:line="360" w:lineRule="auto"/>
        <w:rPr>
          <w:rFonts w:eastAsiaTheme="minorEastAsia"/>
          <w:b/>
          <w:sz w:val="24"/>
        </w:rPr>
      </w:pPr>
      <w:r w:rsidRPr="005E324A">
        <w:rPr>
          <w:rFonts w:eastAsiaTheme="minorEastAsia"/>
          <w:b/>
          <w:bCs/>
          <w:color w:val="000000"/>
          <w:kern w:val="0"/>
          <w:sz w:val="24"/>
        </w:rPr>
        <w:t>5.11.5.2</w:t>
      </w:r>
      <w:r w:rsidR="00774535">
        <w:rPr>
          <w:rFonts w:eastAsiaTheme="minorEastAsia" w:hint="eastAsia"/>
          <w:b/>
          <w:bCs/>
          <w:color w:val="000000"/>
          <w:kern w:val="0"/>
          <w:sz w:val="24"/>
        </w:rPr>
        <w:t xml:space="preserve"> </w:t>
      </w:r>
      <w:r w:rsidR="006B7BC0" w:rsidRPr="005E324A">
        <w:rPr>
          <w:rFonts w:eastAsiaTheme="minorEastAsia"/>
          <w:b/>
          <w:bCs/>
          <w:color w:val="000000"/>
          <w:kern w:val="0"/>
          <w:sz w:val="24"/>
        </w:rPr>
        <w:t>报告</w:t>
      </w:r>
      <w:r w:rsidR="005D44E4" w:rsidRPr="005E324A">
        <w:rPr>
          <w:rFonts w:eastAsiaTheme="minorEastAsia"/>
          <w:b/>
          <w:sz w:val="24"/>
        </w:rPr>
        <w:t>期末积极投资前五名股票中存在流通受限情况的说明</w:t>
      </w:r>
    </w:p>
    <w:p w:rsidR="005D44E4" w:rsidRPr="005E324A" w:rsidRDefault="007A6BEA" w:rsidP="00576862">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本基金本报告期末未持有积极投资的股票。</w:t>
      </w:r>
    </w:p>
    <w:p w:rsidR="000627CD" w:rsidRPr="005E324A" w:rsidRDefault="000627CD" w:rsidP="00576862">
      <w:pPr>
        <w:spacing w:line="360" w:lineRule="auto"/>
        <w:rPr>
          <w:rFonts w:eastAsiaTheme="minorEastAsia"/>
          <w:bCs/>
          <w:color w:val="000000"/>
          <w:sz w:val="24"/>
        </w:rPr>
      </w:pPr>
    </w:p>
    <w:p w:rsidR="00220542" w:rsidRPr="005E324A" w:rsidRDefault="001C123E" w:rsidP="00576862">
      <w:pPr>
        <w:spacing w:line="360" w:lineRule="auto"/>
        <w:rPr>
          <w:rFonts w:eastAsiaTheme="minorEastAsia"/>
          <w:b/>
          <w:color w:val="000000"/>
          <w:sz w:val="24"/>
        </w:rPr>
      </w:pPr>
      <w:r w:rsidRPr="005E324A">
        <w:rPr>
          <w:rFonts w:eastAsiaTheme="minorEastAsia"/>
          <w:b/>
          <w:bCs/>
          <w:color w:val="000000"/>
          <w:kern w:val="0"/>
          <w:sz w:val="24"/>
        </w:rPr>
        <w:t>5.11.6</w:t>
      </w:r>
      <w:r w:rsidR="006B5B3E" w:rsidRPr="005E324A">
        <w:rPr>
          <w:rFonts w:eastAsiaTheme="minorEastAsia"/>
          <w:b/>
          <w:bCs/>
          <w:color w:val="000000"/>
          <w:kern w:val="0"/>
          <w:sz w:val="24"/>
        </w:rPr>
        <w:t>投资组合报告附注的其他文字描述部分</w:t>
      </w:r>
    </w:p>
    <w:p w:rsidR="00220542" w:rsidRPr="005E324A" w:rsidRDefault="007A6BEA" w:rsidP="00304CC2">
      <w:pPr>
        <w:spacing w:line="360" w:lineRule="auto"/>
        <w:rPr>
          <w:rFonts w:eastAsiaTheme="minorEastAsia"/>
          <w:color w:val="000000"/>
          <w:sz w:val="24"/>
        </w:rPr>
      </w:pPr>
      <w:r w:rsidRPr="005E324A">
        <w:rPr>
          <w:rFonts w:eastAsiaTheme="minorEastAsia"/>
          <w:color w:val="000000"/>
          <w:kern w:val="0"/>
          <w:sz w:val="24"/>
        </w:rPr>
        <w:t>由于四舍五入的原因，分项之和与合计项之间可能存在尾差。</w:t>
      </w:r>
    </w:p>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w:t>
      </w:r>
      <w:r w:rsidR="007F523A" w:rsidRPr="005E324A">
        <w:rPr>
          <w:rFonts w:eastAsiaTheme="minorEastAsia"/>
          <w:color w:val="000000"/>
          <w:kern w:val="0"/>
          <w:sz w:val="24"/>
          <w:szCs w:val="24"/>
        </w:rPr>
        <w:t>6</w:t>
      </w:r>
      <w:r w:rsidRPr="005E324A">
        <w:rPr>
          <w:rFonts w:eastAsiaTheme="minorEastAsia"/>
          <w:color w:val="000000"/>
          <w:kern w:val="0"/>
          <w:sz w:val="24"/>
          <w:szCs w:val="24"/>
        </w:rPr>
        <w:t xml:space="preserve">  </w:t>
      </w:r>
      <w:r w:rsidRPr="005E324A">
        <w:rPr>
          <w:rFonts w:eastAsiaTheme="minorEastAsia"/>
          <w:color w:val="000000"/>
          <w:kern w:val="0"/>
          <w:sz w:val="24"/>
          <w:szCs w:val="24"/>
        </w:rPr>
        <w:t>开放式基金份额变动</w:t>
      </w:r>
    </w:p>
    <w:p w:rsidR="00220542" w:rsidRPr="005E324A" w:rsidRDefault="00220542" w:rsidP="0019563C">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745829" w:rsidRPr="005E324A"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745829" w:rsidRPr="005E324A" w:rsidRDefault="00745829" w:rsidP="007A6BEA">
            <w:pPr>
              <w:autoSpaceDE w:val="0"/>
              <w:autoSpaceDN w:val="0"/>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745829" w:rsidRPr="005E324A" w:rsidRDefault="00745829" w:rsidP="005B14F0">
            <w:pPr>
              <w:autoSpaceDE w:val="0"/>
              <w:autoSpaceDN w:val="0"/>
              <w:adjustRightInd w:val="0"/>
              <w:spacing w:before="29" w:line="360" w:lineRule="auto"/>
              <w:ind w:left="17"/>
              <w:jc w:val="right"/>
              <w:rPr>
                <w:rFonts w:eastAsiaTheme="minorEastAsia"/>
                <w:sz w:val="24"/>
              </w:rPr>
            </w:pPr>
            <w:r w:rsidRPr="005E324A">
              <w:rPr>
                <w:rFonts w:eastAsiaTheme="minorEastAsia"/>
                <w:sz w:val="24"/>
              </w:rPr>
              <w:t>交银新能</w:t>
            </w:r>
          </w:p>
        </w:tc>
        <w:tc>
          <w:tcPr>
            <w:tcW w:w="2410" w:type="dxa"/>
            <w:tcBorders>
              <w:top w:val="single" w:sz="8" w:space="0" w:color="000000"/>
              <w:left w:val="single" w:sz="8" w:space="0" w:color="000000"/>
              <w:bottom w:val="single" w:sz="8" w:space="0" w:color="000000"/>
              <w:right w:val="single" w:sz="8" w:space="0" w:color="000000"/>
            </w:tcBorders>
            <w:vAlign w:val="center"/>
          </w:tcPr>
          <w:p w:rsidR="00745829" w:rsidRPr="005E324A" w:rsidRDefault="00745829" w:rsidP="007A6BEA">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新能源</w:t>
            </w:r>
            <w:r w:rsidRPr="005E324A">
              <w:rPr>
                <w:rFonts w:eastAsiaTheme="minorEastAsia"/>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745829" w:rsidRPr="005E324A" w:rsidRDefault="00745829" w:rsidP="00183C9E">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新能源</w:t>
            </w:r>
            <w:r w:rsidRPr="005E324A">
              <w:rPr>
                <w:rFonts w:eastAsiaTheme="minorEastAsia"/>
                <w:sz w:val="24"/>
              </w:rPr>
              <w:t>B</w:t>
            </w:r>
          </w:p>
        </w:tc>
      </w:tr>
      <w:tr w:rsidR="00491ABD" w:rsidRPr="005E324A"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本报告期期初基金份额总额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545,166,867.25</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465C86">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76,547,530.00</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183C9E">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76,547,530.00</w:t>
            </w:r>
          </w:p>
        </w:tc>
      </w:tr>
      <w:tr w:rsidR="00491ABD" w:rsidRPr="005E324A"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F006CC" w:rsidP="007A6BEA">
            <w:pPr>
              <w:autoSpaceDE w:val="0"/>
              <w:autoSpaceDN w:val="0"/>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本报告期</w:t>
            </w:r>
            <w:r w:rsidR="004A040B" w:rsidRPr="005E324A">
              <w:rPr>
                <w:rFonts w:eastAsiaTheme="minorEastAsia"/>
                <w:color w:val="000000"/>
                <w:kern w:val="0"/>
                <w:sz w:val="24"/>
              </w:rPr>
              <w:t>期间</w:t>
            </w:r>
            <w:r w:rsidR="00491ABD" w:rsidRPr="005E324A">
              <w:rPr>
                <w:rFonts w:eastAsiaTheme="minorEastAsia"/>
                <w:color w:val="000000"/>
                <w:kern w:val="0"/>
                <w:sz w:val="24"/>
              </w:rPr>
              <w:t>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299,259,557.20</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465C86">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183C9E">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w:t>
            </w:r>
          </w:p>
        </w:tc>
      </w:tr>
      <w:tr w:rsidR="00491ABD" w:rsidRPr="005E324A"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减：</w:t>
            </w:r>
            <w:r w:rsidR="00F006CC" w:rsidRPr="005E324A">
              <w:rPr>
                <w:rFonts w:eastAsiaTheme="minorEastAsia"/>
                <w:color w:val="000000"/>
                <w:kern w:val="0"/>
                <w:sz w:val="24"/>
              </w:rPr>
              <w:t>本报告期</w:t>
            </w:r>
            <w:r w:rsidR="004A040B" w:rsidRPr="005E324A">
              <w:rPr>
                <w:rFonts w:eastAsiaTheme="minorEastAsia"/>
                <w:color w:val="000000"/>
                <w:kern w:val="0"/>
                <w:sz w:val="24"/>
              </w:rPr>
              <w:t>期间</w:t>
            </w:r>
            <w:r w:rsidRPr="005E324A">
              <w:rPr>
                <w:rFonts w:eastAsiaTheme="minorEastAsia"/>
                <w:color w:val="000000"/>
                <w:kern w:val="0"/>
                <w:sz w:val="24"/>
              </w:rPr>
              <w:t>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261,229,817.98</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465C86">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183C9E">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w:t>
            </w:r>
          </w:p>
        </w:tc>
      </w:tr>
      <w:tr w:rsidR="00491ABD" w:rsidRPr="005E324A"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F006CC" w:rsidP="007A6BEA">
            <w:pPr>
              <w:autoSpaceDE w:val="0"/>
              <w:autoSpaceDN w:val="0"/>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本报告期</w:t>
            </w:r>
            <w:r w:rsidR="004A040B" w:rsidRPr="005E324A">
              <w:rPr>
                <w:rFonts w:eastAsiaTheme="minorEastAsia"/>
                <w:color w:val="000000"/>
                <w:kern w:val="0"/>
                <w:sz w:val="24"/>
              </w:rPr>
              <w:t>期间</w:t>
            </w:r>
            <w:r w:rsidR="00491ABD" w:rsidRPr="005E324A">
              <w:rPr>
                <w:rFonts w:eastAsiaTheme="minorEastAsia"/>
                <w:color w:val="000000"/>
                <w:kern w:val="0"/>
                <w:sz w:val="24"/>
              </w:rPr>
              <w:t>基金拆分变动份额</w:t>
            </w:r>
            <w:r w:rsidR="008B1197" w:rsidRPr="008B1197">
              <w:rPr>
                <w:rFonts w:eastAsiaTheme="minorEastAsia" w:hint="eastAsia"/>
                <w:color w:val="000000"/>
                <w:kern w:val="0"/>
                <w:sz w:val="24"/>
              </w:rPr>
              <w:t>（份额减少以“</w:t>
            </w:r>
            <w:r w:rsidR="008B1197" w:rsidRPr="008B1197">
              <w:rPr>
                <w:rFonts w:eastAsiaTheme="minorEastAsia"/>
                <w:color w:val="000000"/>
                <w:kern w:val="0"/>
                <w:sz w:val="24"/>
              </w:rPr>
              <w:t>-</w:t>
            </w:r>
            <w:r w:rsidR="008B1197" w:rsidRPr="008B1197">
              <w:rPr>
                <w:rFonts w:eastAsiaTheme="minorEastAsia" w:hint="eastAsia"/>
                <w:color w:val="000000"/>
                <w:kern w:val="0"/>
                <w:sz w:val="24"/>
              </w:rPr>
              <w:t>”填列）</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226,558,266.97</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465C86">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62,054,740.00</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183C9E">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62,054,740.00</w:t>
            </w:r>
          </w:p>
        </w:tc>
      </w:tr>
      <w:tr w:rsidR="00491ABD" w:rsidRPr="005E324A"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left"/>
              <w:rPr>
                <w:rFonts w:eastAsiaTheme="minorEastAsia"/>
                <w:color w:val="000000"/>
                <w:kern w:val="0"/>
                <w:sz w:val="24"/>
              </w:rPr>
            </w:pPr>
            <w:r w:rsidRPr="005E324A">
              <w:rPr>
                <w:rFonts w:eastAsiaTheme="minorEastAsia"/>
                <w:color w:val="000000"/>
                <w:kern w:val="0"/>
                <w:sz w:val="24"/>
              </w:rPr>
              <w:t>本报告期期末基金份额总额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7A6BEA">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809,754,873.44</w:t>
            </w:r>
          </w:p>
        </w:tc>
        <w:tc>
          <w:tcPr>
            <w:tcW w:w="2410"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465C86">
            <w:pPr>
              <w:autoSpaceDE w:val="0"/>
              <w:autoSpaceDN w:val="0"/>
              <w:adjustRightInd w:val="0"/>
              <w:spacing w:before="29" w:line="360" w:lineRule="auto"/>
              <w:ind w:left="17"/>
              <w:jc w:val="right"/>
              <w:rPr>
                <w:rFonts w:eastAsiaTheme="minorEastAsia"/>
                <w:color w:val="000000"/>
                <w:sz w:val="24"/>
              </w:rPr>
            </w:pPr>
            <w:r w:rsidRPr="005E324A">
              <w:rPr>
                <w:rFonts w:eastAsiaTheme="minorEastAsia"/>
                <w:color w:val="000000"/>
                <w:sz w:val="24"/>
              </w:rPr>
              <w:t>138,602,270.00</w:t>
            </w:r>
          </w:p>
        </w:tc>
        <w:tc>
          <w:tcPr>
            <w:tcW w:w="2126" w:type="dxa"/>
            <w:tcBorders>
              <w:top w:val="single" w:sz="8" w:space="0" w:color="000000"/>
              <w:left w:val="single" w:sz="8" w:space="0" w:color="000000"/>
              <w:bottom w:val="single" w:sz="8" w:space="0" w:color="000000"/>
              <w:right w:val="single" w:sz="8" w:space="0" w:color="000000"/>
            </w:tcBorders>
            <w:vAlign w:val="center"/>
          </w:tcPr>
          <w:p w:rsidR="00491ABD" w:rsidRPr="005E324A" w:rsidRDefault="00491ABD" w:rsidP="00183C9E">
            <w:pPr>
              <w:autoSpaceDE w:val="0"/>
              <w:autoSpaceDN w:val="0"/>
              <w:adjustRightInd w:val="0"/>
              <w:spacing w:before="29" w:line="360" w:lineRule="auto"/>
              <w:ind w:left="17"/>
              <w:jc w:val="right"/>
              <w:rPr>
                <w:rFonts w:eastAsiaTheme="minorEastAsia"/>
                <w:color w:val="000000"/>
                <w:sz w:val="24"/>
              </w:rPr>
            </w:pPr>
            <w:r w:rsidRPr="005E324A">
              <w:rPr>
                <w:rFonts w:eastAsiaTheme="minorEastAsia"/>
                <w:sz w:val="24"/>
              </w:rPr>
              <w:t>138,602,270.00</w:t>
            </w:r>
          </w:p>
        </w:tc>
      </w:tr>
    </w:tbl>
    <w:p w:rsidR="00220542" w:rsidRPr="005E324A" w:rsidRDefault="007A6BEA" w:rsidP="006B10DA">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注：拆分变动份额为本基金三级份额之间的配对转换份额及基金折算后调整份额。</w:t>
      </w:r>
    </w:p>
    <w:p w:rsidR="003D4E5A" w:rsidRPr="005E324A" w:rsidRDefault="003D4E5A" w:rsidP="00304CC2">
      <w:pPr>
        <w:pStyle w:val="1"/>
        <w:tabs>
          <w:tab w:val="center" w:pos="4156"/>
          <w:tab w:val="right" w:pos="8312"/>
        </w:tabs>
        <w:spacing w:beforeLines="100" w:before="312" w:afterLines="100" w:after="312" w:line="360" w:lineRule="auto"/>
        <w:jc w:val="center"/>
        <w:rPr>
          <w:sz w:val="24"/>
          <w:szCs w:val="24"/>
        </w:rPr>
      </w:pPr>
      <w:r w:rsidRPr="005E324A">
        <w:rPr>
          <w:rFonts w:eastAsiaTheme="minorEastAsia"/>
          <w:color w:val="000000"/>
          <w:kern w:val="0"/>
          <w:sz w:val="24"/>
          <w:szCs w:val="24"/>
        </w:rPr>
        <w:t xml:space="preserve">§7  </w:t>
      </w:r>
      <w:r w:rsidRPr="005E324A">
        <w:rPr>
          <w:sz w:val="24"/>
          <w:szCs w:val="24"/>
        </w:rPr>
        <w:t>基金管理人运用固有资金投资本基金情况</w:t>
      </w:r>
    </w:p>
    <w:p w:rsidR="003D4E5A" w:rsidRPr="005E324A" w:rsidRDefault="003D4E5A" w:rsidP="003D4E5A">
      <w:pPr>
        <w:spacing w:line="360" w:lineRule="auto"/>
        <w:jc w:val="left"/>
        <w:rPr>
          <w:sz w:val="24"/>
        </w:rPr>
      </w:pPr>
      <w:r w:rsidRPr="005E324A">
        <w:rPr>
          <w:b/>
          <w:sz w:val="24"/>
        </w:rPr>
        <w:t xml:space="preserve">7.1 </w:t>
      </w:r>
      <w:r w:rsidRPr="005E324A">
        <w:rPr>
          <w:b/>
          <w:sz w:val="24"/>
        </w:rPr>
        <w:t>基金管理人持有本基金份额变动情况</w:t>
      </w:r>
    </w:p>
    <w:p w:rsidR="003D4E5A" w:rsidRPr="005E324A" w:rsidRDefault="003D4E5A" w:rsidP="003D4E5A">
      <w:pPr>
        <w:autoSpaceDE w:val="0"/>
        <w:autoSpaceDN w:val="0"/>
        <w:adjustRightInd w:val="0"/>
        <w:spacing w:before="29" w:line="360" w:lineRule="auto"/>
        <w:ind w:left="15"/>
        <w:jc w:val="right"/>
        <w:rPr>
          <w:rFonts w:eastAsiaTheme="minorEastAsia"/>
          <w:color w:val="000000"/>
          <w:kern w:val="0"/>
          <w:sz w:val="24"/>
        </w:rPr>
      </w:pPr>
      <w:r w:rsidRPr="005E324A">
        <w:rPr>
          <w:rFonts w:eastAsiaTheme="minorEastAsia"/>
          <w:color w:val="000000"/>
          <w:kern w:val="0"/>
          <w:sz w:val="24"/>
        </w:rPr>
        <w:t>单位：份</w:t>
      </w:r>
    </w:p>
    <w:tbl>
      <w:tblPr>
        <w:tblW w:w="8415" w:type="dxa"/>
        <w:tblInd w:w="108" w:type="dxa"/>
        <w:tblLayout w:type="fixed"/>
        <w:tblLook w:val="04A0" w:firstRow="1" w:lastRow="0" w:firstColumn="1" w:lastColumn="0" w:noHBand="0" w:noVBand="1"/>
      </w:tblPr>
      <w:tblGrid>
        <w:gridCol w:w="5037"/>
        <w:gridCol w:w="3378"/>
      </w:tblGrid>
      <w:tr w:rsidR="003D4E5A" w:rsidRPr="005E324A" w:rsidTr="003D4E5A">
        <w:tc>
          <w:tcPr>
            <w:tcW w:w="504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pStyle w:val="ad"/>
              <w:adjustRightInd w:val="0"/>
              <w:snapToGrid w:val="0"/>
              <w:spacing w:line="360" w:lineRule="exact"/>
              <w:rPr>
                <w:rFonts w:eastAsia="方正仿宋简体"/>
                <w:color w:val="000000"/>
                <w:szCs w:val="24"/>
              </w:rPr>
            </w:pPr>
            <w:r w:rsidRPr="005E324A">
              <w:rPr>
                <w:color w:val="000000"/>
                <w:szCs w:val="24"/>
              </w:rPr>
              <w:t>报告期期初管理人持有的本基金份额</w:t>
            </w:r>
          </w:p>
        </w:tc>
        <w:tc>
          <w:tcPr>
            <w:tcW w:w="338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jc w:val="right"/>
              <w:rPr>
                <w:rFonts w:eastAsiaTheme="minorEastAsia"/>
                <w:sz w:val="24"/>
              </w:rPr>
            </w:pPr>
            <w:r w:rsidRPr="005E324A">
              <w:rPr>
                <w:rFonts w:eastAsiaTheme="minorEastAsia"/>
                <w:color w:val="000000"/>
                <w:sz w:val="24"/>
              </w:rPr>
              <w:t>13,528,183.54</w:t>
            </w:r>
          </w:p>
        </w:tc>
      </w:tr>
      <w:tr w:rsidR="003D4E5A" w:rsidRPr="005E324A" w:rsidTr="003D4E5A">
        <w:tc>
          <w:tcPr>
            <w:tcW w:w="504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adjustRightInd w:val="0"/>
              <w:snapToGrid w:val="0"/>
              <w:spacing w:line="360" w:lineRule="exact"/>
              <w:rPr>
                <w:color w:val="000000"/>
                <w:sz w:val="24"/>
              </w:rPr>
            </w:pPr>
            <w:r w:rsidRPr="005E324A">
              <w:rPr>
                <w:rFonts w:eastAsiaTheme="minorEastAsia"/>
                <w:color w:val="000000"/>
                <w:kern w:val="0"/>
                <w:sz w:val="24"/>
              </w:rPr>
              <w:t>本报告期</w:t>
            </w:r>
            <w:r w:rsidR="00C14D56" w:rsidRPr="005E324A">
              <w:rPr>
                <w:rFonts w:eastAsiaTheme="minorEastAsia"/>
                <w:color w:val="000000"/>
                <w:kern w:val="0"/>
                <w:sz w:val="24"/>
              </w:rPr>
              <w:t>期间</w:t>
            </w:r>
            <w:r w:rsidRPr="005E324A">
              <w:rPr>
                <w:color w:val="000000"/>
                <w:sz w:val="24"/>
              </w:rPr>
              <w:t>买入</w:t>
            </w:r>
            <w:r w:rsidRPr="005E324A">
              <w:rPr>
                <w:color w:val="000000"/>
                <w:sz w:val="24"/>
              </w:rPr>
              <w:t>/</w:t>
            </w:r>
            <w:r w:rsidRPr="005E324A">
              <w:rPr>
                <w:color w:val="000000"/>
                <w:sz w:val="24"/>
              </w:rPr>
              <w:t>申购总份额</w:t>
            </w:r>
          </w:p>
        </w:tc>
        <w:tc>
          <w:tcPr>
            <w:tcW w:w="338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jc w:val="right"/>
              <w:rPr>
                <w:rFonts w:eastAsiaTheme="minorEastAsia"/>
                <w:color w:val="000000"/>
                <w:kern w:val="0"/>
                <w:sz w:val="24"/>
              </w:rPr>
            </w:pPr>
            <w:r w:rsidRPr="005E324A">
              <w:rPr>
                <w:rFonts w:eastAsiaTheme="minorEastAsia"/>
                <w:color w:val="000000"/>
                <w:sz w:val="24"/>
              </w:rPr>
              <w:t>6,824,410.34</w:t>
            </w:r>
          </w:p>
        </w:tc>
      </w:tr>
      <w:tr w:rsidR="003D4E5A" w:rsidRPr="005E324A" w:rsidTr="003D4E5A">
        <w:tc>
          <w:tcPr>
            <w:tcW w:w="504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adjustRightInd w:val="0"/>
              <w:snapToGrid w:val="0"/>
              <w:spacing w:line="360" w:lineRule="exact"/>
              <w:rPr>
                <w:color w:val="000000"/>
                <w:sz w:val="24"/>
              </w:rPr>
            </w:pPr>
            <w:r w:rsidRPr="005E324A">
              <w:rPr>
                <w:rFonts w:eastAsiaTheme="minorEastAsia"/>
                <w:color w:val="000000"/>
                <w:kern w:val="0"/>
                <w:sz w:val="24"/>
              </w:rPr>
              <w:t>本报告期</w:t>
            </w:r>
            <w:r w:rsidR="00C14D56" w:rsidRPr="005E324A">
              <w:rPr>
                <w:rFonts w:eastAsiaTheme="minorEastAsia"/>
                <w:color w:val="000000"/>
                <w:kern w:val="0"/>
                <w:sz w:val="24"/>
              </w:rPr>
              <w:t>期间</w:t>
            </w:r>
            <w:r w:rsidRPr="005E324A">
              <w:rPr>
                <w:color w:val="000000"/>
                <w:sz w:val="24"/>
              </w:rPr>
              <w:t>卖出</w:t>
            </w:r>
            <w:r w:rsidRPr="005E324A">
              <w:rPr>
                <w:color w:val="000000"/>
                <w:sz w:val="24"/>
              </w:rPr>
              <w:t>/</w:t>
            </w:r>
            <w:r w:rsidRPr="005E324A">
              <w:rPr>
                <w:color w:val="000000"/>
                <w:sz w:val="24"/>
              </w:rPr>
              <w:t>赎回总份额</w:t>
            </w:r>
          </w:p>
        </w:tc>
        <w:tc>
          <w:tcPr>
            <w:tcW w:w="338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jc w:val="right"/>
              <w:rPr>
                <w:rFonts w:eastAsiaTheme="minorEastAsia"/>
                <w:color w:val="000000"/>
                <w:kern w:val="0"/>
                <w:sz w:val="24"/>
              </w:rPr>
            </w:pPr>
            <w:r w:rsidRPr="005E324A">
              <w:rPr>
                <w:rFonts w:eastAsiaTheme="minorEastAsia"/>
                <w:color w:val="000000"/>
                <w:sz w:val="24"/>
              </w:rPr>
              <w:t>-</w:t>
            </w:r>
          </w:p>
        </w:tc>
      </w:tr>
      <w:tr w:rsidR="003D4E5A" w:rsidRPr="005E324A" w:rsidTr="003D4E5A">
        <w:tc>
          <w:tcPr>
            <w:tcW w:w="504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adjustRightInd w:val="0"/>
              <w:snapToGrid w:val="0"/>
              <w:spacing w:line="360" w:lineRule="exact"/>
              <w:rPr>
                <w:color w:val="000000"/>
                <w:sz w:val="24"/>
              </w:rPr>
            </w:pPr>
            <w:r w:rsidRPr="005E324A">
              <w:rPr>
                <w:color w:val="000000"/>
                <w:sz w:val="24"/>
              </w:rPr>
              <w:t>报告期期末管理人持有的本基金份额</w:t>
            </w:r>
          </w:p>
        </w:tc>
        <w:tc>
          <w:tcPr>
            <w:tcW w:w="338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jc w:val="right"/>
              <w:rPr>
                <w:rFonts w:eastAsiaTheme="minorEastAsia"/>
                <w:sz w:val="24"/>
              </w:rPr>
            </w:pPr>
            <w:r w:rsidRPr="005E324A">
              <w:rPr>
                <w:rFonts w:eastAsiaTheme="minorEastAsia"/>
                <w:color w:val="000000"/>
                <w:sz w:val="24"/>
              </w:rPr>
              <w:t>20,352,593.88</w:t>
            </w:r>
          </w:p>
        </w:tc>
      </w:tr>
      <w:tr w:rsidR="003D4E5A" w:rsidRPr="005E324A" w:rsidTr="003D4E5A">
        <w:tc>
          <w:tcPr>
            <w:tcW w:w="504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adjustRightInd w:val="0"/>
              <w:snapToGrid w:val="0"/>
              <w:spacing w:line="360" w:lineRule="exact"/>
              <w:rPr>
                <w:color w:val="000000"/>
                <w:sz w:val="24"/>
              </w:rPr>
            </w:pPr>
            <w:r w:rsidRPr="005E324A">
              <w:rPr>
                <w:color w:val="000000"/>
                <w:sz w:val="24"/>
              </w:rPr>
              <w:t>报告期期末持有的本基金份额占基金总份额比例（</w:t>
            </w:r>
            <w:r w:rsidRPr="005E324A">
              <w:rPr>
                <w:color w:val="000000"/>
                <w:sz w:val="24"/>
              </w:rPr>
              <w:t>%</w:t>
            </w:r>
            <w:r w:rsidRPr="005E324A">
              <w:rPr>
                <w:color w:val="000000"/>
                <w:sz w:val="24"/>
              </w:rPr>
              <w:t>）</w:t>
            </w:r>
          </w:p>
        </w:tc>
        <w:tc>
          <w:tcPr>
            <w:tcW w:w="3380" w:type="dxa"/>
            <w:tcBorders>
              <w:top w:val="single" w:sz="8" w:space="0" w:color="000000"/>
              <w:left w:val="single" w:sz="8" w:space="0" w:color="000000"/>
              <w:bottom w:val="single" w:sz="8" w:space="0" w:color="000000"/>
              <w:right w:val="single" w:sz="8" w:space="0" w:color="000000"/>
            </w:tcBorders>
            <w:vAlign w:val="center"/>
            <w:hideMark/>
          </w:tcPr>
          <w:p w:rsidR="003D4E5A" w:rsidRPr="005E324A" w:rsidRDefault="003D4E5A">
            <w:pPr>
              <w:jc w:val="right"/>
              <w:rPr>
                <w:rFonts w:eastAsiaTheme="minorEastAsia"/>
                <w:color w:val="000000"/>
                <w:kern w:val="0"/>
                <w:sz w:val="24"/>
              </w:rPr>
            </w:pPr>
            <w:r w:rsidRPr="005E324A">
              <w:rPr>
                <w:rFonts w:eastAsiaTheme="minorEastAsia"/>
                <w:color w:val="000000"/>
                <w:sz w:val="24"/>
              </w:rPr>
              <w:t>1.87</w:t>
            </w:r>
          </w:p>
        </w:tc>
      </w:tr>
    </w:tbl>
    <w:p w:rsidR="003D4E5A" w:rsidRPr="005E324A" w:rsidRDefault="003D4E5A" w:rsidP="003D4E5A">
      <w:pPr>
        <w:autoSpaceDE w:val="0"/>
        <w:autoSpaceDN w:val="0"/>
        <w:adjustRightInd w:val="0"/>
        <w:spacing w:line="360" w:lineRule="auto"/>
        <w:jc w:val="left"/>
        <w:rPr>
          <w:rFonts w:eastAsiaTheme="minorEastAsia"/>
          <w:kern w:val="0"/>
          <w:sz w:val="24"/>
        </w:rPr>
      </w:pPr>
    </w:p>
    <w:p w:rsidR="003D4E5A" w:rsidRPr="005E324A" w:rsidRDefault="003D4E5A" w:rsidP="003D4E5A">
      <w:pPr>
        <w:spacing w:line="360" w:lineRule="auto"/>
        <w:jc w:val="left"/>
        <w:rPr>
          <w:sz w:val="24"/>
        </w:rPr>
      </w:pPr>
      <w:r w:rsidRPr="005E324A">
        <w:rPr>
          <w:b/>
          <w:sz w:val="24"/>
        </w:rPr>
        <w:t xml:space="preserve">7.2 </w:t>
      </w:r>
      <w:r w:rsidRPr="005E324A">
        <w:rPr>
          <w:b/>
          <w:sz w:val="24"/>
        </w:rPr>
        <w:t>基金管理人运用固有资金投资本基金交易明细</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850"/>
        <w:gridCol w:w="1369"/>
        <w:gridCol w:w="1700"/>
        <w:gridCol w:w="1841"/>
        <w:gridCol w:w="1396"/>
      </w:tblGrid>
      <w:tr w:rsidR="003D4E5A" w:rsidRPr="005E324A" w:rsidTr="003D4E5A">
        <w:trPr>
          <w:trHeight w:val="340"/>
          <w:jc w:val="center"/>
        </w:trPr>
        <w:tc>
          <w:tcPr>
            <w:tcW w:w="1070" w:type="dxa"/>
            <w:tcBorders>
              <w:top w:val="single" w:sz="4" w:space="0" w:color="auto"/>
              <w:left w:val="single" w:sz="4" w:space="0" w:color="auto"/>
              <w:bottom w:val="single" w:sz="4" w:space="0" w:color="auto"/>
              <w:right w:val="single" w:sz="4" w:space="0" w:color="auto"/>
            </w:tcBorders>
            <w:vAlign w:val="center"/>
            <w:hideMark/>
          </w:tcPr>
          <w:p w:rsidR="003D4E5A" w:rsidRPr="005E324A" w:rsidRDefault="003D4E5A">
            <w:pPr>
              <w:pStyle w:val="ad"/>
              <w:adjustRightInd w:val="0"/>
              <w:snapToGrid w:val="0"/>
              <w:spacing w:line="360" w:lineRule="exact"/>
              <w:jc w:val="center"/>
              <w:rPr>
                <w:color w:val="000000"/>
                <w:kern w:val="0"/>
                <w:szCs w:val="24"/>
              </w:rPr>
            </w:pPr>
            <w:r w:rsidRPr="005E324A">
              <w:rPr>
                <w:color w:val="000000"/>
                <w:kern w:val="0"/>
                <w:szCs w:val="24"/>
              </w:rPr>
              <w:t>序号</w:t>
            </w:r>
          </w:p>
        </w:tc>
        <w:tc>
          <w:tcPr>
            <w:tcW w:w="1851" w:type="dxa"/>
            <w:tcBorders>
              <w:top w:val="single" w:sz="4" w:space="0" w:color="auto"/>
              <w:left w:val="single" w:sz="4" w:space="0" w:color="auto"/>
              <w:bottom w:val="single" w:sz="4" w:space="0" w:color="auto"/>
              <w:right w:val="single" w:sz="4" w:space="0" w:color="auto"/>
            </w:tcBorders>
            <w:hideMark/>
          </w:tcPr>
          <w:p w:rsidR="003D4E5A" w:rsidRPr="005E324A" w:rsidRDefault="003D4E5A">
            <w:pPr>
              <w:adjustRightInd w:val="0"/>
              <w:snapToGrid w:val="0"/>
              <w:spacing w:line="360" w:lineRule="exact"/>
              <w:jc w:val="center"/>
              <w:rPr>
                <w:color w:val="000000"/>
                <w:kern w:val="0"/>
                <w:sz w:val="24"/>
              </w:rPr>
            </w:pPr>
            <w:r w:rsidRPr="005E324A">
              <w:rPr>
                <w:color w:val="000000"/>
                <w:kern w:val="0"/>
                <w:sz w:val="24"/>
              </w:rPr>
              <w:t>交易方式</w:t>
            </w:r>
          </w:p>
        </w:tc>
        <w:tc>
          <w:tcPr>
            <w:tcW w:w="1370" w:type="dxa"/>
            <w:tcBorders>
              <w:top w:val="single" w:sz="4" w:space="0" w:color="auto"/>
              <w:left w:val="single" w:sz="4" w:space="0" w:color="auto"/>
              <w:bottom w:val="single" w:sz="4" w:space="0" w:color="auto"/>
              <w:right w:val="single" w:sz="4" w:space="0" w:color="auto"/>
            </w:tcBorders>
            <w:hideMark/>
          </w:tcPr>
          <w:p w:rsidR="003D4E5A" w:rsidRPr="005E324A" w:rsidRDefault="003D4E5A">
            <w:pPr>
              <w:adjustRightInd w:val="0"/>
              <w:snapToGrid w:val="0"/>
              <w:spacing w:line="360" w:lineRule="exact"/>
              <w:rPr>
                <w:color w:val="000000"/>
                <w:kern w:val="0"/>
                <w:sz w:val="24"/>
              </w:rPr>
            </w:pPr>
            <w:r w:rsidRPr="005E324A">
              <w:rPr>
                <w:color w:val="000000"/>
                <w:kern w:val="0"/>
                <w:sz w:val="24"/>
              </w:rPr>
              <w:t>交易日期</w:t>
            </w:r>
          </w:p>
        </w:tc>
        <w:tc>
          <w:tcPr>
            <w:tcW w:w="1701" w:type="dxa"/>
            <w:tcBorders>
              <w:top w:val="single" w:sz="4" w:space="0" w:color="auto"/>
              <w:left w:val="single" w:sz="4" w:space="0" w:color="auto"/>
              <w:bottom w:val="single" w:sz="4" w:space="0" w:color="auto"/>
              <w:right w:val="single" w:sz="4" w:space="0" w:color="auto"/>
            </w:tcBorders>
            <w:hideMark/>
          </w:tcPr>
          <w:p w:rsidR="003D4E5A" w:rsidRPr="005E324A" w:rsidRDefault="003D4E5A">
            <w:pPr>
              <w:adjustRightInd w:val="0"/>
              <w:snapToGrid w:val="0"/>
              <w:spacing w:line="360" w:lineRule="exact"/>
              <w:jc w:val="center"/>
              <w:rPr>
                <w:color w:val="000000"/>
                <w:kern w:val="0"/>
                <w:sz w:val="24"/>
              </w:rPr>
            </w:pPr>
            <w:r w:rsidRPr="005E324A">
              <w:rPr>
                <w:color w:val="000000"/>
                <w:kern w:val="0"/>
                <w:sz w:val="24"/>
              </w:rPr>
              <w:t>交易份额（份）</w:t>
            </w:r>
          </w:p>
        </w:tc>
        <w:tc>
          <w:tcPr>
            <w:tcW w:w="1842" w:type="dxa"/>
            <w:tcBorders>
              <w:top w:val="single" w:sz="4" w:space="0" w:color="auto"/>
              <w:left w:val="single" w:sz="4" w:space="0" w:color="auto"/>
              <w:bottom w:val="single" w:sz="4" w:space="0" w:color="auto"/>
              <w:right w:val="single" w:sz="4" w:space="0" w:color="auto"/>
            </w:tcBorders>
            <w:hideMark/>
          </w:tcPr>
          <w:p w:rsidR="003D4E5A" w:rsidRPr="005E324A" w:rsidRDefault="003D4E5A">
            <w:pPr>
              <w:adjustRightInd w:val="0"/>
              <w:snapToGrid w:val="0"/>
              <w:spacing w:line="360" w:lineRule="exact"/>
              <w:jc w:val="center"/>
              <w:rPr>
                <w:color w:val="000000"/>
                <w:kern w:val="0"/>
                <w:sz w:val="24"/>
              </w:rPr>
            </w:pPr>
            <w:r w:rsidRPr="005E324A">
              <w:rPr>
                <w:color w:val="000000"/>
                <w:kern w:val="0"/>
                <w:sz w:val="24"/>
              </w:rPr>
              <w:t>交易金额（元）</w:t>
            </w:r>
          </w:p>
        </w:tc>
        <w:tc>
          <w:tcPr>
            <w:tcW w:w="1397" w:type="dxa"/>
            <w:tcBorders>
              <w:top w:val="single" w:sz="4" w:space="0" w:color="auto"/>
              <w:left w:val="single" w:sz="4" w:space="0" w:color="auto"/>
              <w:bottom w:val="single" w:sz="4" w:space="0" w:color="auto"/>
              <w:right w:val="single" w:sz="4" w:space="0" w:color="auto"/>
            </w:tcBorders>
            <w:vAlign w:val="center"/>
            <w:hideMark/>
          </w:tcPr>
          <w:p w:rsidR="003D4E5A" w:rsidRPr="005E324A" w:rsidRDefault="003D4E5A">
            <w:pPr>
              <w:adjustRightInd w:val="0"/>
              <w:snapToGrid w:val="0"/>
              <w:spacing w:line="360" w:lineRule="exact"/>
              <w:jc w:val="center"/>
              <w:rPr>
                <w:color w:val="000000"/>
                <w:kern w:val="0"/>
                <w:sz w:val="24"/>
              </w:rPr>
            </w:pPr>
            <w:r w:rsidRPr="005E324A">
              <w:rPr>
                <w:color w:val="000000"/>
                <w:kern w:val="0"/>
                <w:sz w:val="24"/>
              </w:rPr>
              <w:t>适用费率</w:t>
            </w:r>
          </w:p>
        </w:tc>
      </w:tr>
      <w:tr w:rsidR="00B14986">
        <w:trPr>
          <w:jc w:val="center"/>
        </w:trPr>
        <w:tc>
          <w:tcPr>
            <w:tcW w:w="1069" w:type="dxa"/>
            <w:vAlign w:val="center"/>
          </w:tcPr>
          <w:p w:rsidR="00B14986" w:rsidRDefault="00304CC2">
            <w:pPr>
              <w:jc w:val="center"/>
            </w:pPr>
            <w:r>
              <w:rPr>
                <w:rFonts w:eastAsiaTheme="minorEastAsia"/>
                <w:color w:val="000000"/>
                <w:sz w:val="24"/>
              </w:rPr>
              <w:t>1</w:t>
            </w:r>
          </w:p>
        </w:tc>
        <w:tc>
          <w:tcPr>
            <w:tcW w:w="1850" w:type="dxa"/>
            <w:vAlign w:val="center"/>
          </w:tcPr>
          <w:p w:rsidR="00B14986" w:rsidRDefault="00304CC2">
            <w:pPr>
              <w:jc w:val="center"/>
            </w:pPr>
            <w:r>
              <w:rPr>
                <w:rFonts w:eastAsiaTheme="minorEastAsia"/>
                <w:color w:val="000000"/>
                <w:sz w:val="24"/>
              </w:rPr>
              <w:t>份额折算调增</w:t>
            </w:r>
          </w:p>
        </w:tc>
        <w:tc>
          <w:tcPr>
            <w:tcW w:w="1369" w:type="dxa"/>
            <w:vAlign w:val="center"/>
          </w:tcPr>
          <w:p w:rsidR="00B14986" w:rsidRDefault="00304CC2">
            <w:pPr>
              <w:jc w:val="center"/>
            </w:pPr>
            <w:r>
              <w:rPr>
                <w:rFonts w:eastAsiaTheme="minorEastAsia"/>
                <w:color w:val="000000"/>
                <w:sz w:val="24"/>
              </w:rPr>
              <w:t>2015-12-21</w:t>
            </w:r>
          </w:p>
        </w:tc>
        <w:tc>
          <w:tcPr>
            <w:tcW w:w="1700" w:type="dxa"/>
            <w:vAlign w:val="center"/>
          </w:tcPr>
          <w:p w:rsidR="00B14986" w:rsidRDefault="00304CC2">
            <w:pPr>
              <w:jc w:val="right"/>
            </w:pPr>
            <w:r>
              <w:rPr>
                <w:rFonts w:eastAsiaTheme="minorEastAsia"/>
                <w:color w:val="000000"/>
                <w:sz w:val="24"/>
              </w:rPr>
              <w:t>6,824,410.34</w:t>
            </w:r>
          </w:p>
        </w:tc>
        <w:tc>
          <w:tcPr>
            <w:tcW w:w="1841" w:type="dxa"/>
            <w:vAlign w:val="center"/>
          </w:tcPr>
          <w:p w:rsidR="00B14986" w:rsidRDefault="00304CC2">
            <w:pPr>
              <w:jc w:val="right"/>
            </w:pPr>
            <w:r>
              <w:rPr>
                <w:rFonts w:eastAsiaTheme="minorEastAsia"/>
                <w:color w:val="000000"/>
                <w:sz w:val="24"/>
              </w:rPr>
              <w:t>-</w:t>
            </w:r>
          </w:p>
        </w:tc>
        <w:tc>
          <w:tcPr>
            <w:tcW w:w="1396" w:type="dxa"/>
            <w:vAlign w:val="center"/>
          </w:tcPr>
          <w:p w:rsidR="00B14986" w:rsidRDefault="00304CC2">
            <w:pPr>
              <w:jc w:val="center"/>
            </w:pPr>
            <w:r>
              <w:rPr>
                <w:rFonts w:eastAsiaTheme="minorEastAsia"/>
                <w:color w:val="000000"/>
                <w:sz w:val="24"/>
              </w:rPr>
              <w:t>-</w:t>
            </w:r>
          </w:p>
        </w:tc>
      </w:tr>
      <w:tr w:rsidR="003D4E5A" w:rsidRPr="005E324A" w:rsidTr="003D4E5A">
        <w:trPr>
          <w:trHeight w:val="340"/>
          <w:jc w:val="center"/>
        </w:trPr>
        <w:tc>
          <w:tcPr>
            <w:tcW w:w="1070" w:type="dxa"/>
            <w:tcBorders>
              <w:top w:val="single" w:sz="4" w:space="0" w:color="auto"/>
              <w:left w:val="single" w:sz="4" w:space="0" w:color="auto"/>
              <w:bottom w:val="single" w:sz="4" w:space="0" w:color="auto"/>
              <w:right w:val="single" w:sz="4" w:space="0" w:color="auto"/>
            </w:tcBorders>
            <w:vAlign w:val="center"/>
            <w:hideMark/>
          </w:tcPr>
          <w:p w:rsidR="003D4E5A" w:rsidRPr="005E324A" w:rsidRDefault="003D4E5A">
            <w:pPr>
              <w:pStyle w:val="ad"/>
              <w:adjustRightInd w:val="0"/>
              <w:snapToGrid w:val="0"/>
              <w:spacing w:line="360" w:lineRule="exact"/>
              <w:jc w:val="center"/>
              <w:rPr>
                <w:color w:val="000000"/>
                <w:kern w:val="0"/>
                <w:szCs w:val="24"/>
              </w:rPr>
            </w:pPr>
            <w:r w:rsidRPr="005E324A">
              <w:rPr>
                <w:color w:val="000000"/>
                <w:kern w:val="0"/>
                <w:szCs w:val="24"/>
              </w:rPr>
              <w:t>合计</w:t>
            </w:r>
          </w:p>
        </w:tc>
        <w:tc>
          <w:tcPr>
            <w:tcW w:w="1851" w:type="dxa"/>
            <w:tcBorders>
              <w:top w:val="single" w:sz="4" w:space="0" w:color="auto"/>
              <w:left w:val="single" w:sz="4" w:space="0" w:color="auto"/>
              <w:bottom w:val="single" w:sz="4" w:space="0" w:color="auto"/>
              <w:right w:val="single" w:sz="4" w:space="0" w:color="auto"/>
            </w:tcBorders>
          </w:tcPr>
          <w:p w:rsidR="003D4E5A" w:rsidRPr="005E324A" w:rsidRDefault="003D4E5A">
            <w:pPr>
              <w:adjustRightInd w:val="0"/>
              <w:snapToGrid w:val="0"/>
              <w:spacing w:line="360" w:lineRule="exact"/>
              <w:jc w:val="right"/>
              <w:rPr>
                <w:color w:val="0000FF"/>
                <w:kern w:val="0"/>
                <w:sz w:val="18"/>
              </w:rPr>
            </w:pPr>
          </w:p>
        </w:tc>
        <w:tc>
          <w:tcPr>
            <w:tcW w:w="1370" w:type="dxa"/>
            <w:tcBorders>
              <w:top w:val="single" w:sz="4" w:space="0" w:color="auto"/>
              <w:left w:val="single" w:sz="4" w:space="0" w:color="auto"/>
              <w:bottom w:val="single" w:sz="4" w:space="0" w:color="auto"/>
              <w:right w:val="single" w:sz="4" w:space="0" w:color="auto"/>
            </w:tcBorders>
          </w:tcPr>
          <w:p w:rsidR="003D4E5A" w:rsidRPr="005E324A" w:rsidRDefault="003D4E5A">
            <w:pPr>
              <w:adjustRightInd w:val="0"/>
              <w:snapToGrid w:val="0"/>
              <w:spacing w:line="360" w:lineRule="exact"/>
              <w:jc w:val="right"/>
              <w:rPr>
                <w:color w:val="0000FF"/>
                <w:kern w:val="0"/>
                <w:sz w:val="18"/>
              </w:rPr>
            </w:pPr>
          </w:p>
        </w:tc>
        <w:tc>
          <w:tcPr>
            <w:tcW w:w="1701" w:type="dxa"/>
            <w:tcBorders>
              <w:top w:val="single" w:sz="4" w:space="0" w:color="auto"/>
              <w:left w:val="single" w:sz="4" w:space="0" w:color="auto"/>
              <w:bottom w:val="single" w:sz="4" w:space="0" w:color="auto"/>
              <w:right w:val="single" w:sz="4" w:space="0" w:color="auto"/>
            </w:tcBorders>
            <w:hideMark/>
          </w:tcPr>
          <w:p w:rsidR="003D4E5A" w:rsidRPr="005E324A" w:rsidRDefault="003D4E5A">
            <w:pPr>
              <w:adjustRightInd w:val="0"/>
              <w:snapToGrid w:val="0"/>
              <w:spacing w:line="360" w:lineRule="exact"/>
              <w:jc w:val="right"/>
              <w:rPr>
                <w:rFonts w:eastAsiaTheme="minorEastAsia"/>
                <w:color w:val="000000"/>
                <w:sz w:val="24"/>
              </w:rPr>
            </w:pPr>
            <w:r w:rsidRPr="005E324A">
              <w:rPr>
                <w:rFonts w:eastAsiaTheme="minorEastAsia"/>
                <w:color w:val="000000"/>
                <w:sz w:val="24"/>
              </w:rPr>
              <w:t>6,824,410.34</w:t>
            </w:r>
          </w:p>
        </w:tc>
        <w:tc>
          <w:tcPr>
            <w:tcW w:w="1842" w:type="dxa"/>
            <w:tcBorders>
              <w:top w:val="single" w:sz="4" w:space="0" w:color="auto"/>
              <w:left w:val="single" w:sz="4" w:space="0" w:color="auto"/>
              <w:bottom w:val="single" w:sz="4" w:space="0" w:color="auto"/>
              <w:right w:val="single" w:sz="4" w:space="0" w:color="auto"/>
            </w:tcBorders>
            <w:hideMark/>
          </w:tcPr>
          <w:p w:rsidR="003D4E5A" w:rsidRPr="005E324A" w:rsidRDefault="003D4E5A">
            <w:pPr>
              <w:adjustRightInd w:val="0"/>
              <w:snapToGrid w:val="0"/>
              <w:spacing w:line="360" w:lineRule="exact"/>
              <w:jc w:val="right"/>
              <w:rPr>
                <w:rFonts w:eastAsiaTheme="minorEastAsia"/>
                <w:color w:val="000000"/>
                <w:sz w:val="24"/>
              </w:rPr>
            </w:pPr>
            <w:r w:rsidRPr="005E324A">
              <w:rPr>
                <w:rFonts w:eastAsiaTheme="minorEastAsia"/>
                <w:color w:val="000000"/>
                <w:sz w:val="24"/>
              </w:rPr>
              <w:t>-</w:t>
            </w:r>
          </w:p>
        </w:tc>
        <w:tc>
          <w:tcPr>
            <w:tcW w:w="1397" w:type="dxa"/>
            <w:tcBorders>
              <w:top w:val="single" w:sz="4" w:space="0" w:color="auto"/>
              <w:left w:val="single" w:sz="4" w:space="0" w:color="auto"/>
              <w:bottom w:val="single" w:sz="4" w:space="0" w:color="auto"/>
              <w:right w:val="single" w:sz="4" w:space="0" w:color="auto"/>
            </w:tcBorders>
            <w:vAlign w:val="center"/>
          </w:tcPr>
          <w:p w:rsidR="003D4E5A" w:rsidRPr="005E324A" w:rsidRDefault="003D4E5A">
            <w:pPr>
              <w:adjustRightInd w:val="0"/>
              <w:snapToGrid w:val="0"/>
              <w:spacing w:line="360" w:lineRule="exact"/>
              <w:jc w:val="right"/>
              <w:rPr>
                <w:color w:val="0000FF"/>
                <w:kern w:val="0"/>
                <w:sz w:val="18"/>
              </w:rPr>
            </w:pPr>
          </w:p>
        </w:tc>
      </w:tr>
    </w:tbl>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w:t>
      </w:r>
      <w:r w:rsidR="004A3F71" w:rsidRPr="005E324A">
        <w:rPr>
          <w:rFonts w:eastAsiaTheme="minorEastAsia"/>
          <w:color w:val="000000"/>
          <w:kern w:val="0"/>
          <w:sz w:val="24"/>
          <w:szCs w:val="24"/>
        </w:rPr>
        <w:t>8</w:t>
      </w:r>
      <w:r w:rsidRPr="005E324A">
        <w:rPr>
          <w:rFonts w:eastAsiaTheme="minorEastAsia"/>
          <w:color w:val="000000"/>
          <w:kern w:val="0"/>
          <w:sz w:val="24"/>
          <w:szCs w:val="24"/>
        </w:rPr>
        <w:t xml:space="preserve">  </w:t>
      </w:r>
      <w:r w:rsidRPr="005E324A">
        <w:rPr>
          <w:rFonts w:eastAsiaTheme="minorEastAsia"/>
          <w:color w:val="000000"/>
          <w:kern w:val="0"/>
          <w:sz w:val="24"/>
          <w:szCs w:val="24"/>
        </w:rPr>
        <w:t>影响投资者决策的其他重要信息</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根据本基金基金合同中关于不定期份额折算的相关规定，当交银新能源份额的基金份额净值大于或等于</w:t>
      </w:r>
      <w:r>
        <w:rPr>
          <w:rFonts w:eastAsiaTheme="minorEastAsia"/>
          <w:color w:val="000000"/>
          <w:sz w:val="24"/>
        </w:rPr>
        <w:t>1.500</w:t>
      </w:r>
      <w:r>
        <w:rPr>
          <w:rFonts w:eastAsiaTheme="minorEastAsia"/>
          <w:color w:val="000000"/>
          <w:sz w:val="24"/>
        </w:rPr>
        <w:t>元时，本基金将进行不定期份额折算。截至</w:t>
      </w:r>
      <w:r>
        <w:rPr>
          <w:rFonts w:eastAsiaTheme="minorEastAsia"/>
          <w:color w:val="000000"/>
          <w:sz w:val="24"/>
        </w:rPr>
        <w:t>2015</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17</w:t>
      </w:r>
      <w:r>
        <w:rPr>
          <w:rFonts w:eastAsiaTheme="minorEastAsia"/>
          <w:color w:val="000000"/>
          <w:sz w:val="24"/>
        </w:rPr>
        <w:t>日，交银新能源份额的基金份额净值为</w:t>
      </w:r>
      <w:r>
        <w:rPr>
          <w:rFonts w:eastAsiaTheme="minorEastAsia"/>
          <w:color w:val="000000"/>
          <w:sz w:val="24"/>
        </w:rPr>
        <w:t>1.511</w:t>
      </w:r>
      <w:r>
        <w:rPr>
          <w:rFonts w:eastAsiaTheme="minorEastAsia"/>
          <w:color w:val="000000"/>
          <w:sz w:val="24"/>
        </w:rPr>
        <w:t>元，达到基金合同规定的不定期份额折算条件。根据本基金基金合同以及深圳证券交易所、中国证券登记结算有限责任公司的相关业务规定，本基金管理人以</w:t>
      </w:r>
      <w:r>
        <w:rPr>
          <w:rFonts w:eastAsiaTheme="minorEastAsia"/>
          <w:color w:val="000000"/>
          <w:sz w:val="24"/>
        </w:rPr>
        <w:t>2015</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18</w:t>
      </w:r>
      <w:r>
        <w:rPr>
          <w:rFonts w:eastAsiaTheme="minorEastAsia"/>
          <w:color w:val="000000"/>
          <w:sz w:val="24"/>
        </w:rPr>
        <w:t>日为不定期份额折算基准日办理了不定期份额折算业务，相关事宜详情请见本基金管理人于</w:t>
      </w:r>
      <w:r>
        <w:rPr>
          <w:rFonts w:eastAsiaTheme="minorEastAsia"/>
          <w:color w:val="000000"/>
          <w:sz w:val="24"/>
        </w:rPr>
        <w:t>2015</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18</w:t>
      </w:r>
      <w:r>
        <w:rPr>
          <w:rFonts w:eastAsiaTheme="minorEastAsia"/>
          <w:color w:val="000000"/>
          <w:sz w:val="24"/>
        </w:rPr>
        <w:t>日、</w:t>
      </w:r>
      <w:r>
        <w:rPr>
          <w:rFonts w:eastAsiaTheme="minorEastAsia"/>
          <w:color w:val="000000"/>
          <w:sz w:val="24"/>
        </w:rPr>
        <w:t>12</w:t>
      </w:r>
      <w:r>
        <w:rPr>
          <w:rFonts w:eastAsiaTheme="minorEastAsia"/>
          <w:color w:val="000000"/>
          <w:sz w:val="24"/>
        </w:rPr>
        <w:t>月</w:t>
      </w:r>
      <w:r>
        <w:rPr>
          <w:rFonts w:eastAsiaTheme="minorEastAsia"/>
          <w:color w:val="000000"/>
          <w:sz w:val="24"/>
        </w:rPr>
        <w:t>21</w:t>
      </w:r>
      <w:r>
        <w:rPr>
          <w:rFonts w:eastAsiaTheme="minorEastAsia"/>
          <w:color w:val="000000"/>
          <w:sz w:val="24"/>
        </w:rPr>
        <w:t>日、</w:t>
      </w:r>
      <w:r>
        <w:rPr>
          <w:rFonts w:eastAsiaTheme="minorEastAsia"/>
          <w:color w:val="000000"/>
          <w:sz w:val="24"/>
        </w:rPr>
        <w:t>12</w:t>
      </w:r>
      <w:r>
        <w:rPr>
          <w:rFonts w:eastAsiaTheme="minorEastAsia"/>
          <w:color w:val="000000"/>
          <w:sz w:val="24"/>
        </w:rPr>
        <w:t>月</w:t>
      </w:r>
      <w:r>
        <w:rPr>
          <w:rFonts w:eastAsiaTheme="minorEastAsia"/>
          <w:color w:val="000000"/>
          <w:sz w:val="24"/>
        </w:rPr>
        <w:t>22</w:t>
      </w:r>
      <w:r>
        <w:rPr>
          <w:rFonts w:eastAsiaTheme="minorEastAsia"/>
          <w:color w:val="000000"/>
          <w:sz w:val="24"/>
        </w:rPr>
        <w:t>日发布的系列公告。</w:t>
      </w:r>
    </w:p>
    <w:p w:rsidR="00220542" w:rsidRPr="005E324A" w:rsidRDefault="007A6BEA" w:rsidP="00B306AA">
      <w:pPr>
        <w:spacing w:line="360" w:lineRule="auto"/>
        <w:ind w:firstLineChars="200" w:firstLine="480"/>
        <w:rPr>
          <w:rFonts w:eastAsiaTheme="minorEastAsia"/>
          <w:color w:val="000000"/>
          <w:sz w:val="24"/>
        </w:rPr>
      </w:pPr>
      <w:r w:rsidRPr="005E324A">
        <w:rPr>
          <w:rFonts w:eastAsiaTheme="minorEastAsia"/>
          <w:color w:val="000000"/>
          <w:sz w:val="24"/>
        </w:rPr>
        <w:t>2.</w:t>
      </w:r>
      <w:r w:rsidRPr="005E324A">
        <w:rPr>
          <w:rFonts w:eastAsiaTheme="minorEastAsia"/>
          <w:color w:val="000000"/>
          <w:sz w:val="24"/>
        </w:rPr>
        <w:t>根据本基金基金合同中关于定期份额折算的相关规定，由于本基金以</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12</w:t>
      </w:r>
      <w:r w:rsidRPr="005E324A">
        <w:rPr>
          <w:rFonts w:eastAsiaTheme="minorEastAsia"/>
          <w:color w:val="000000"/>
          <w:sz w:val="24"/>
        </w:rPr>
        <w:t>月</w:t>
      </w:r>
      <w:r w:rsidRPr="005E324A">
        <w:rPr>
          <w:rFonts w:eastAsiaTheme="minorEastAsia"/>
          <w:color w:val="000000"/>
          <w:sz w:val="24"/>
        </w:rPr>
        <w:t>18</w:t>
      </w:r>
      <w:r w:rsidRPr="005E324A">
        <w:rPr>
          <w:rFonts w:eastAsiaTheme="minorEastAsia"/>
          <w:color w:val="000000"/>
          <w:sz w:val="24"/>
        </w:rPr>
        <w:t>日为不定期份额折算基准日办理了不定期份额折算业务，距</w:t>
      </w:r>
      <w:r w:rsidRPr="005E324A">
        <w:rPr>
          <w:rFonts w:eastAsiaTheme="minorEastAsia"/>
          <w:color w:val="000000"/>
          <w:sz w:val="24"/>
        </w:rPr>
        <w:t>2016</w:t>
      </w:r>
      <w:r w:rsidRPr="005E324A">
        <w:rPr>
          <w:rFonts w:eastAsiaTheme="minorEastAsia"/>
          <w:color w:val="000000"/>
          <w:sz w:val="24"/>
        </w:rPr>
        <w:t>年的第一个工作日（即</w:t>
      </w:r>
      <w:r w:rsidRPr="005E324A">
        <w:rPr>
          <w:rFonts w:eastAsiaTheme="minorEastAsia"/>
          <w:color w:val="000000"/>
          <w:sz w:val="24"/>
        </w:rPr>
        <w:t>2016</w:t>
      </w:r>
      <w:r w:rsidRPr="005E324A">
        <w:rPr>
          <w:rFonts w:eastAsiaTheme="minorEastAsia"/>
          <w:color w:val="000000"/>
          <w:sz w:val="24"/>
        </w:rPr>
        <w:t>年</w:t>
      </w:r>
      <w:r w:rsidRPr="005E324A">
        <w:rPr>
          <w:rFonts w:eastAsiaTheme="minorEastAsia"/>
          <w:color w:val="000000"/>
          <w:sz w:val="24"/>
        </w:rPr>
        <w:t>1</w:t>
      </w:r>
      <w:r w:rsidRPr="005E324A">
        <w:rPr>
          <w:rFonts w:eastAsiaTheme="minorEastAsia"/>
          <w:color w:val="000000"/>
          <w:sz w:val="24"/>
        </w:rPr>
        <w:t>月</w:t>
      </w:r>
      <w:r w:rsidRPr="005E324A">
        <w:rPr>
          <w:rFonts w:eastAsiaTheme="minorEastAsia"/>
          <w:color w:val="000000"/>
          <w:sz w:val="24"/>
        </w:rPr>
        <w:t>4</w:t>
      </w:r>
      <w:r w:rsidRPr="005E324A">
        <w:rPr>
          <w:rFonts w:eastAsiaTheme="minorEastAsia"/>
          <w:color w:val="000000"/>
          <w:sz w:val="24"/>
        </w:rPr>
        <w:t>日）不足</w:t>
      </w:r>
      <w:r w:rsidRPr="005E324A">
        <w:rPr>
          <w:rFonts w:eastAsiaTheme="minorEastAsia"/>
          <w:color w:val="000000"/>
          <w:sz w:val="24"/>
        </w:rPr>
        <w:t>3</w:t>
      </w:r>
      <w:r w:rsidRPr="005E324A">
        <w:rPr>
          <w:rFonts w:eastAsiaTheme="minorEastAsia"/>
          <w:color w:val="000000"/>
          <w:sz w:val="24"/>
        </w:rPr>
        <w:t>个月，因此，本基金决定于</w:t>
      </w:r>
      <w:r w:rsidRPr="005E324A">
        <w:rPr>
          <w:rFonts w:eastAsiaTheme="minorEastAsia"/>
          <w:color w:val="000000"/>
          <w:sz w:val="24"/>
        </w:rPr>
        <w:t>2016</w:t>
      </w:r>
      <w:r w:rsidRPr="005E324A">
        <w:rPr>
          <w:rFonts w:eastAsiaTheme="minorEastAsia"/>
          <w:color w:val="000000"/>
          <w:sz w:val="24"/>
        </w:rPr>
        <w:t>年的第一个工作日不进行定期份额折算，交银新能源</w:t>
      </w:r>
      <w:r w:rsidRPr="005E324A">
        <w:rPr>
          <w:rFonts w:eastAsiaTheme="minorEastAsia"/>
          <w:color w:val="000000"/>
          <w:sz w:val="24"/>
        </w:rPr>
        <w:t>A</w:t>
      </w:r>
      <w:r w:rsidRPr="005E324A">
        <w:rPr>
          <w:rFonts w:eastAsiaTheme="minorEastAsia"/>
          <w:color w:val="000000"/>
          <w:sz w:val="24"/>
        </w:rPr>
        <w:t>份额的约定年基准收益率亦相应不予调整，仍沿用</w:t>
      </w:r>
      <w:r w:rsidRPr="005E324A">
        <w:rPr>
          <w:rFonts w:eastAsiaTheme="minorEastAsia"/>
          <w:color w:val="000000"/>
          <w:sz w:val="24"/>
        </w:rPr>
        <w:t>2015</w:t>
      </w:r>
      <w:r w:rsidRPr="005E324A">
        <w:rPr>
          <w:rFonts w:eastAsiaTheme="minorEastAsia"/>
          <w:color w:val="000000"/>
          <w:sz w:val="24"/>
        </w:rPr>
        <w:t>年的约定年基准收益率，即基金合同生效日（</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3</w:t>
      </w:r>
      <w:r w:rsidRPr="005E324A">
        <w:rPr>
          <w:rFonts w:eastAsiaTheme="minorEastAsia"/>
          <w:color w:val="000000"/>
          <w:sz w:val="24"/>
        </w:rPr>
        <w:t>月</w:t>
      </w:r>
      <w:r w:rsidRPr="005E324A">
        <w:rPr>
          <w:rFonts w:eastAsiaTheme="minorEastAsia"/>
          <w:color w:val="000000"/>
          <w:sz w:val="24"/>
        </w:rPr>
        <w:t>26</w:t>
      </w:r>
      <w:r w:rsidRPr="005E324A">
        <w:rPr>
          <w:rFonts w:eastAsiaTheme="minorEastAsia"/>
          <w:color w:val="000000"/>
          <w:sz w:val="24"/>
        </w:rPr>
        <w:t>日）中国人民银行公布的金融机构人民币一年期存款基准利率（税后）</w:t>
      </w:r>
      <w:r w:rsidRPr="005E324A">
        <w:rPr>
          <w:rFonts w:eastAsiaTheme="minorEastAsia"/>
          <w:color w:val="000000"/>
          <w:sz w:val="24"/>
        </w:rPr>
        <w:t>+3%</w:t>
      </w:r>
      <w:r w:rsidRPr="005E324A">
        <w:rPr>
          <w:rFonts w:eastAsiaTheme="minorEastAsia"/>
          <w:color w:val="000000"/>
          <w:sz w:val="24"/>
        </w:rPr>
        <w:t>，相关事宜详情请见本基金管理人于</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12</w:t>
      </w:r>
      <w:r w:rsidRPr="005E324A">
        <w:rPr>
          <w:rFonts w:eastAsiaTheme="minorEastAsia"/>
          <w:color w:val="000000"/>
          <w:sz w:val="24"/>
        </w:rPr>
        <w:t>月</w:t>
      </w:r>
      <w:r w:rsidRPr="005E324A">
        <w:rPr>
          <w:rFonts w:eastAsiaTheme="minorEastAsia"/>
          <w:color w:val="000000"/>
          <w:sz w:val="24"/>
        </w:rPr>
        <w:t>28</w:t>
      </w:r>
      <w:r w:rsidRPr="005E324A">
        <w:rPr>
          <w:rFonts w:eastAsiaTheme="minorEastAsia"/>
          <w:color w:val="000000"/>
          <w:sz w:val="24"/>
        </w:rPr>
        <w:t>日发布的《交银施罗德基金管理有限公司关于交银施罗德国证新能源指数分级证券投资基金不进行定期份额折算的提示性公告》。</w:t>
      </w:r>
    </w:p>
    <w:p w:rsidR="00220542" w:rsidRPr="005E324A" w:rsidRDefault="00220542" w:rsidP="00304CC2">
      <w:pPr>
        <w:pStyle w:val="1"/>
        <w:spacing w:beforeLines="100" w:before="312" w:afterLines="100" w:after="312" w:line="360" w:lineRule="auto"/>
        <w:jc w:val="center"/>
        <w:rPr>
          <w:rFonts w:eastAsiaTheme="minorEastAsia"/>
          <w:color w:val="000000"/>
          <w:kern w:val="0"/>
          <w:sz w:val="24"/>
          <w:szCs w:val="24"/>
        </w:rPr>
      </w:pPr>
      <w:r w:rsidRPr="005E324A">
        <w:rPr>
          <w:rFonts w:eastAsiaTheme="minorEastAsia"/>
          <w:color w:val="000000"/>
          <w:kern w:val="0"/>
          <w:sz w:val="24"/>
          <w:szCs w:val="24"/>
        </w:rPr>
        <w:t>§</w:t>
      </w:r>
      <w:r w:rsidR="00CC0994" w:rsidRPr="005E324A">
        <w:rPr>
          <w:rFonts w:eastAsiaTheme="minorEastAsia"/>
          <w:color w:val="000000"/>
          <w:kern w:val="0"/>
          <w:sz w:val="24"/>
          <w:szCs w:val="24"/>
        </w:rPr>
        <w:t>9</w:t>
      </w:r>
      <w:r w:rsidRPr="005E324A">
        <w:rPr>
          <w:rFonts w:eastAsiaTheme="minorEastAsia"/>
          <w:color w:val="000000"/>
          <w:kern w:val="0"/>
          <w:sz w:val="24"/>
          <w:szCs w:val="24"/>
        </w:rPr>
        <w:t xml:space="preserve">  </w:t>
      </w:r>
      <w:r w:rsidRPr="005E324A">
        <w:rPr>
          <w:rFonts w:eastAsiaTheme="minorEastAsia"/>
          <w:color w:val="000000"/>
          <w:kern w:val="0"/>
          <w:sz w:val="24"/>
          <w:szCs w:val="24"/>
        </w:rPr>
        <w:t>备查文件目录</w:t>
      </w:r>
    </w:p>
    <w:p w:rsidR="00220542" w:rsidRPr="005E324A" w:rsidRDefault="00CC0994" w:rsidP="001078B6">
      <w:pPr>
        <w:spacing w:line="360" w:lineRule="auto"/>
        <w:rPr>
          <w:rFonts w:eastAsiaTheme="minorEastAsia"/>
          <w:b/>
          <w:color w:val="000000"/>
          <w:kern w:val="0"/>
          <w:sz w:val="24"/>
        </w:rPr>
      </w:pPr>
      <w:r w:rsidRPr="005E324A">
        <w:rPr>
          <w:rFonts w:eastAsiaTheme="minorEastAsia"/>
          <w:b/>
          <w:color w:val="000000"/>
          <w:sz w:val="24"/>
        </w:rPr>
        <w:t>9</w:t>
      </w:r>
      <w:r w:rsidR="004A3F71" w:rsidRPr="005E324A">
        <w:rPr>
          <w:rFonts w:eastAsiaTheme="minorEastAsia"/>
          <w:b/>
          <w:color w:val="000000"/>
          <w:sz w:val="24"/>
        </w:rPr>
        <w:t>.1</w:t>
      </w:r>
      <w:r w:rsidR="00220542" w:rsidRPr="005E324A">
        <w:rPr>
          <w:rFonts w:eastAsiaTheme="minorEastAsia"/>
          <w:b/>
          <w:color w:val="000000"/>
          <w:sz w:val="24"/>
        </w:rPr>
        <w:t xml:space="preserve"> </w:t>
      </w:r>
      <w:r w:rsidR="00220542" w:rsidRPr="005E324A">
        <w:rPr>
          <w:rFonts w:eastAsiaTheme="minorEastAsia"/>
          <w:b/>
          <w:color w:val="000000"/>
          <w:sz w:val="24"/>
        </w:rPr>
        <w:t>备查文件目录</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、中国证监会准予交银施罗德国证新能源指数分级证券投资基金募集注册的文件；</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、《交银施罗德国证新能源指数分级证券投资基金基金合同》；</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、《交银施罗德国证新能源指数分级证券投资基金招募说明书》；</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、《交银施罗德国证新能源指数分级证券投资基金托管协议》；</w:t>
      </w:r>
      <w:r>
        <w:rPr>
          <w:rFonts w:eastAsiaTheme="minorEastAsia"/>
          <w:color w:val="000000"/>
          <w:sz w:val="24"/>
        </w:rPr>
        <w:t xml:space="preserve"> </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、关于申请募集注册交银施罗德国证新能源指数分级证券投资基金的法律意见书；</w:t>
      </w:r>
    </w:p>
    <w:p w:rsidR="00220542" w:rsidRPr="005E324A" w:rsidRDefault="007A6BEA" w:rsidP="001078B6">
      <w:pPr>
        <w:spacing w:line="360" w:lineRule="auto"/>
        <w:ind w:firstLineChars="200" w:firstLine="480"/>
        <w:rPr>
          <w:rFonts w:eastAsiaTheme="minorEastAsia"/>
          <w:color w:val="000000"/>
          <w:sz w:val="24"/>
        </w:rPr>
      </w:pPr>
      <w:r w:rsidRPr="005E324A">
        <w:rPr>
          <w:rFonts w:eastAsiaTheme="minorEastAsia"/>
          <w:color w:val="000000"/>
          <w:sz w:val="24"/>
        </w:rPr>
        <w:t>8</w:t>
      </w:r>
      <w:r w:rsidRPr="005E324A">
        <w:rPr>
          <w:rFonts w:eastAsiaTheme="minorEastAsia"/>
          <w:color w:val="000000"/>
          <w:sz w:val="24"/>
        </w:rPr>
        <w:t>、报告期内交银施罗德国证新能源指数分级证券投资基金在指定报刊上各项公告的原稿。</w:t>
      </w:r>
    </w:p>
    <w:p w:rsidR="00220542" w:rsidRPr="005E324A" w:rsidRDefault="00220542" w:rsidP="001078B6">
      <w:pPr>
        <w:spacing w:line="360" w:lineRule="auto"/>
        <w:ind w:firstLineChars="200" w:firstLine="480"/>
        <w:rPr>
          <w:rFonts w:eastAsiaTheme="minorEastAsia"/>
          <w:color w:val="000000"/>
          <w:sz w:val="24"/>
        </w:rPr>
      </w:pPr>
    </w:p>
    <w:p w:rsidR="00220542" w:rsidRPr="005E324A" w:rsidRDefault="004A3F71" w:rsidP="001078B6">
      <w:pPr>
        <w:spacing w:line="360" w:lineRule="auto"/>
        <w:rPr>
          <w:rFonts w:eastAsiaTheme="minorEastAsia"/>
          <w:b/>
          <w:color w:val="000000"/>
          <w:sz w:val="24"/>
        </w:rPr>
      </w:pPr>
      <w:r w:rsidRPr="005E324A">
        <w:rPr>
          <w:rFonts w:eastAsiaTheme="minorEastAsia"/>
          <w:b/>
          <w:color w:val="000000"/>
          <w:sz w:val="24"/>
        </w:rPr>
        <w:t>9.2</w:t>
      </w:r>
      <w:r w:rsidR="00220542" w:rsidRPr="005E324A">
        <w:rPr>
          <w:rFonts w:eastAsiaTheme="minorEastAsia"/>
          <w:b/>
          <w:color w:val="000000"/>
          <w:sz w:val="24"/>
        </w:rPr>
        <w:t xml:space="preserve"> </w:t>
      </w:r>
      <w:r w:rsidR="00220542" w:rsidRPr="005E324A">
        <w:rPr>
          <w:rFonts w:eastAsiaTheme="minorEastAsia"/>
          <w:b/>
          <w:color w:val="000000"/>
          <w:sz w:val="24"/>
        </w:rPr>
        <w:t>存放地点</w:t>
      </w:r>
    </w:p>
    <w:p w:rsidR="00220542" w:rsidRPr="005E324A" w:rsidRDefault="007A6BEA" w:rsidP="001078B6">
      <w:pPr>
        <w:spacing w:line="360" w:lineRule="auto"/>
        <w:ind w:firstLineChars="200" w:firstLine="480"/>
        <w:rPr>
          <w:rFonts w:eastAsiaTheme="minorEastAsia"/>
          <w:color w:val="000000"/>
          <w:sz w:val="24"/>
        </w:rPr>
      </w:pPr>
      <w:r w:rsidRPr="005E324A">
        <w:rPr>
          <w:rFonts w:eastAsiaTheme="minorEastAsia"/>
          <w:color w:val="000000"/>
          <w:sz w:val="24"/>
        </w:rPr>
        <w:t>备查文件存放于基金管理人的办公场所。</w:t>
      </w:r>
    </w:p>
    <w:p w:rsidR="00220542" w:rsidRPr="005E324A" w:rsidRDefault="00220542" w:rsidP="001078B6">
      <w:pPr>
        <w:spacing w:line="360" w:lineRule="auto"/>
        <w:ind w:firstLineChars="200" w:firstLine="480"/>
        <w:rPr>
          <w:rFonts w:eastAsiaTheme="minorEastAsia"/>
          <w:color w:val="000000"/>
          <w:sz w:val="24"/>
        </w:rPr>
      </w:pPr>
    </w:p>
    <w:p w:rsidR="00220542" w:rsidRPr="005E324A" w:rsidRDefault="004A3F71" w:rsidP="001078B6">
      <w:pPr>
        <w:spacing w:line="360" w:lineRule="auto"/>
        <w:rPr>
          <w:rFonts w:eastAsiaTheme="minorEastAsia"/>
          <w:b/>
          <w:color w:val="000000"/>
          <w:sz w:val="24"/>
        </w:rPr>
      </w:pPr>
      <w:r w:rsidRPr="005E324A">
        <w:rPr>
          <w:rFonts w:eastAsiaTheme="minorEastAsia"/>
          <w:b/>
          <w:color w:val="000000"/>
          <w:sz w:val="24"/>
        </w:rPr>
        <w:t>9.3</w:t>
      </w:r>
      <w:r w:rsidR="00220542" w:rsidRPr="005E324A">
        <w:rPr>
          <w:rFonts w:eastAsiaTheme="minorEastAsia"/>
          <w:b/>
          <w:color w:val="000000"/>
          <w:sz w:val="24"/>
        </w:rPr>
        <w:t xml:space="preserve"> </w:t>
      </w:r>
      <w:r w:rsidR="00220542" w:rsidRPr="005E324A">
        <w:rPr>
          <w:rFonts w:eastAsiaTheme="minorEastAsia"/>
          <w:b/>
          <w:color w:val="000000"/>
          <w:sz w:val="24"/>
        </w:rPr>
        <w:t>查阅方式</w:t>
      </w:r>
    </w:p>
    <w:p w:rsidR="00B14986" w:rsidRDefault="00304CC2">
      <w:pPr>
        <w:spacing w:line="360"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B1B32" w:rsidRPr="00066BC3" w:rsidRDefault="007A6BEA" w:rsidP="00066BC3">
      <w:pPr>
        <w:spacing w:line="360" w:lineRule="auto"/>
        <w:ind w:firstLineChars="200" w:firstLine="480"/>
        <w:rPr>
          <w:rFonts w:eastAsiaTheme="minorEastAsia"/>
          <w:color w:val="000000"/>
          <w:sz w:val="24"/>
        </w:rPr>
      </w:pPr>
      <w:r w:rsidRPr="005E324A">
        <w:rPr>
          <w:rFonts w:eastAsiaTheme="minorEastAsia"/>
          <w:color w:val="000000"/>
          <w:sz w:val="24"/>
        </w:rPr>
        <w:t>投资者对本报告书如有疑问，可咨询本基金管理人交银施罗德基金管理有限公司。本公司客户服务中心电话：</w:t>
      </w:r>
      <w:r w:rsidRPr="005E324A">
        <w:rPr>
          <w:rFonts w:eastAsiaTheme="minorEastAsia"/>
          <w:color w:val="000000"/>
          <w:sz w:val="24"/>
        </w:rPr>
        <w:t>400-700-5000</w:t>
      </w:r>
      <w:r w:rsidRPr="005E324A">
        <w:rPr>
          <w:rFonts w:eastAsiaTheme="minorEastAsia"/>
          <w:color w:val="000000"/>
          <w:sz w:val="24"/>
        </w:rPr>
        <w:t>（免长途话费），</w:t>
      </w:r>
      <w:r w:rsidRPr="005E324A">
        <w:rPr>
          <w:rFonts w:eastAsiaTheme="minorEastAsia"/>
          <w:color w:val="000000"/>
          <w:sz w:val="24"/>
        </w:rPr>
        <w:t>021-61055000</w:t>
      </w:r>
      <w:r w:rsidRPr="005E324A">
        <w:rPr>
          <w:rFonts w:eastAsiaTheme="minorEastAsia"/>
          <w:color w:val="000000"/>
          <w:sz w:val="24"/>
        </w:rPr>
        <w:t>，电子邮件：</w:t>
      </w:r>
      <w:r w:rsidRPr="005E324A">
        <w:rPr>
          <w:rFonts w:eastAsiaTheme="minorEastAsia"/>
          <w:color w:val="000000"/>
          <w:sz w:val="24"/>
        </w:rPr>
        <w:t>services@jysld.com</w:t>
      </w:r>
      <w:r w:rsidRPr="005E324A">
        <w:rPr>
          <w:rFonts w:eastAsiaTheme="minorEastAsia"/>
          <w:color w:val="000000"/>
          <w:sz w:val="24"/>
        </w:rPr>
        <w:t>。</w:t>
      </w:r>
    </w:p>
    <w:sectPr w:rsidR="009B1B32" w:rsidRPr="00066BC3"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D81" w:rsidRDefault="00154D81">
      <w:r>
        <w:separator/>
      </w:r>
    </w:p>
  </w:endnote>
  <w:endnote w:type="continuationSeparator" w:id="0">
    <w:p w:rsidR="00154D81" w:rsidRDefault="0015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00"/>
    <w:family w:val="auto"/>
    <w:pitch w:val="default"/>
  </w:font>
  <w:font w:name="方正仿宋简体">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Pr="001D0DB0" w:rsidRDefault="003A4DA3" w:rsidP="00230A66">
    <w:pPr>
      <w:pStyle w:val="a6"/>
      <w:jc w:val="center"/>
    </w:pPr>
    <w:r>
      <w:rPr>
        <w:rFonts w:hint="eastAsia"/>
        <w:kern w:val="0"/>
        <w:szCs w:val="21"/>
      </w:rPr>
      <w:t>第</w:t>
    </w:r>
    <w:r w:rsidR="00B14986">
      <w:rPr>
        <w:kern w:val="0"/>
        <w:szCs w:val="21"/>
      </w:rPr>
      <w:fldChar w:fldCharType="begin"/>
    </w:r>
    <w:r>
      <w:rPr>
        <w:kern w:val="0"/>
        <w:szCs w:val="21"/>
      </w:rPr>
      <w:instrText xml:space="preserve"> PAGE </w:instrText>
    </w:r>
    <w:r w:rsidR="00B14986">
      <w:rPr>
        <w:kern w:val="0"/>
        <w:szCs w:val="21"/>
      </w:rPr>
      <w:fldChar w:fldCharType="separate"/>
    </w:r>
    <w:r w:rsidR="00621526">
      <w:rPr>
        <w:noProof/>
        <w:kern w:val="0"/>
        <w:szCs w:val="21"/>
      </w:rPr>
      <w:t>1</w:t>
    </w:r>
    <w:r w:rsidR="00B14986">
      <w:rPr>
        <w:kern w:val="0"/>
        <w:szCs w:val="21"/>
      </w:rPr>
      <w:fldChar w:fldCharType="end"/>
    </w:r>
    <w:r>
      <w:rPr>
        <w:rFonts w:hint="eastAsia"/>
        <w:kern w:val="0"/>
        <w:szCs w:val="21"/>
      </w:rPr>
      <w:t>页共</w:t>
    </w:r>
    <w:r w:rsidR="00B14986">
      <w:rPr>
        <w:kern w:val="0"/>
        <w:szCs w:val="21"/>
      </w:rPr>
      <w:fldChar w:fldCharType="begin"/>
    </w:r>
    <w:r>
      <w:rPr>
        <w:kern w:val="0"/>
        <w:szCs w:val="21"/>
      </w:rPr>
      <w:instrText xml:space="preserve"> NUMPAGES </w:instrText>
    </w:r>
    <w:r w:rsidR="00B14986">
      <w:rPr>
        <w:kern w:val="0"/>
        <w:szCs w:val="21"/>
      </w:rPr>
      <w:fldChar w:fldCharType="separate"/>
    </w:r>
    <w:r w:rsidR="00621526">
      <w:rPr>
        <w:noProof/>
        <w:kern w:val="0"/>
        <w:szCs w:val="21"/>
      </w:rPr>
      <w:t>15</w:t>
    </w:r>
    <w:r w:rsidR="00B14986">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Default="00B14986">
    <w:pPr>
      <w:pStyle w:val="a6"/>
      <w:framePr w:wrap="around" w:vAnchor="text" w:hAnchor="margin" w:xAlign="center" w:y="1"/>
      <w:rPr>
        <w:rStyle w:val="a7"/>
      </w:rPr>
    </w:pPr>
    <w:r>
      <w:rPr>
        <w:rStyle w:val="a7"/>
      </w:rPr>
      <w:fldChar w:fldCharType="begin"/>
    </w:r>
    <w:r w:rsidR="003A4DA3">
      <w:rPr>
        <w:rStyle w:val="a7"/>
      </w:rPr>
      <w:instrText xml:space="preserve">PAGE  </w:instrText>
    </w:r>
    <w:r>
      <w:rPr>
        <w:rStyle w:val="a7"/>
      </w:rPr>
      <w:fldChar w:fldCharType="end"/>
    </w:r>
  </w:p>
  <w:p w:rsidR="003A4DA3" w:rsidRDefault="003A4DA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Default="00B14986">
    <w:pPr>
      <w:pStyle w:val="a6"/>
      <w:framePr w:wrap="around" w:vAnchor="text" w:hAnchor="margin" w:xAlign="center" w:y="1"/>
      <w:rPr>
        <w:rStyle w:val="a7"/>
      </w:rPr>
    </w:pPr>
    <w:r>
      <w:rPr>
        <w:rStyle w:val="a7"/>
      </w:rPr>
      <w:fldChar w:fldCharType="begin"/>
    </w:r>
    <w:r w:rsidR="003A4DA3">
      <w:rPr>
        <w:rStyle w:val="a7"/>
      </w:rPr>
      <w:instrText xml:space="preserve">PAGE  </w:instrText>
    </w:r>
    <w:r>
      <w:rPr>
        <w:rStyle w:val="a7"/>
      </w:rPr>
      <w:fldChar w:fldCharType="separate"/>
    </w:r>
    <w:r w:rsidR="00621526">
      <w:rPr>
        <w:rStyle w:val="a7"/>
        <w:noProof/>
      </w:rPr>
      <w:t>3</w:t>
    </w:r>
    <w:r>
      <w:rPr>
        <w:rStyle w:val="a7"/>
      </w:rPr>
      <w:fldChar w:fldCharType="end"/>
    </w:r>
  </w:p>
  <w:p w:rsidR="003A4DA3" w:rsidRDefault="003A4D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D81" w:rsidRDefault="00154D81">
      <w:r>
        <w:separator/>
      </w:r>
    </w:p>
  </w:footnote>
  <w:footnote w:type="continuationSeparator" w:id="0">
    <w:p w:rsidR="00154D81" w:rsidRDefault="00154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A3" w:rsidRDefault="00D55B61" w:rsidP="00FB572A">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-340360</wp:posOffset>
          </wp:positionV>
          <wp:extent cx="2085340" cy="457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340"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116E"/>
    <w:rsid w:val="0000403B"/>
    <w:rsid w:val="00005911"/>
    <w:rsid w:val="00010A83"/>
    <w:rsid w:val="00010A8E"/>
    <w:rsid w:val="00010AC3"/>
    <w:rsid w:val="00010CC6"/>
    <w:rsid w:val="00011EB5"/>
    <w:rsid w:val="0001280C"/>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1F39"/>
    <w:rsid w:val="00055190"/>
    <w:rsid w:val="00055AF1"/>
    <w:rsid w:val="00056A75"/>
    <w:rsid w:val="00057DD3"/>
    <w:rsid w:val="000625A6"/>
    <w:rsid w:val="000627CD"/>
    <w:rsid w:val="00062BCE"/>
    <w:rsid w:val="00064AE3"/>
    <w:rsid w:val="00066524"/>
    <w:rsid w:val="00066BC3"/>
    <w:rsid w:val="00070CD1"/>
    <w:rsid w:val="0007171B"/>
    <w:rsid w:val="00074E9F"/>
    <w:rsid w:val="00081D05"/>
    <w:rsid w:val="00085449"/>
    <w:rsid w:val="00087CF7"/>
    <w:rsid w:val="00090B0F"/>
    <w:rsid w:val="00091214"/>
    <w:rsid w:val="00094876"/>
    <w:rsid w:val="00095912"/>
    <w:rsid w:val="00095CE0"/>
    <w:rsid w:val="00096933"/>
    <w:rsid w:val="00097230"/>
    <w:rsid w:val="0009778D"/>
    <w:rsid w:val="000A457E"/>
    <w:rsid w:val="000A53FD"/>
    <w:rsid w:val="000A549A"/>
    <w:rsid w:val="000A72F2"/>
    <w:rsid w:val="000B0C56"/>
    <w:rsid w:val="000B3E43"/>
    <w:rsid w:val="000B5208"/>
    <w:rsid w:val="000B5974"/>
    <w:rsid w:val="000B5CC0"/>
    <w:rsid w:val="000C1723"/>
    <w:rsid w:val="000C1B20"/>
    <w:rsid w:val="000C4107"/>
    <w:rsid w:val="000C45E7"/>
    <w:rsid w:val="000C57A8"/>
    <w:rsid w:val="000D0149"/>
    <w:rsid w:val="000D01F4"/>
    <w:rsid w:val="000D0D4E"/>
    <w:rsid w:val="000D1519"/>
    <w:rsid w:val="000E4456"/>
    <w:rsid w:val="000F175F"/>
    <w:rsid w:val="000F17D1"/>
    <w:rsid w:val="000F60FF"/>
    <w:rsid w:val="000F635F"/>
    <w:rsid w:val="000F6C61"/>
    <w:rsid w:val="001008A1"/>
    <w:rsid w:val="00100C12"/>
    <w:rsid w:val="00102E56"/>
    <w:rsid w:val="001049B6"/>
    <w:rsid w:val="001051C6"/>
    <w:rsid w:val="001078B6"/>
    <w:rsid w:val="0011177A"/>
    <w:rsid w:val="00116E31"/>
    <w:rsid w:val="00120BED"/>
    <w:rsid w:val="0012304E"/>
    <w:rsid w:val="001248EF"/>
    <w:rsid w:val="001257C7"/>
    <w:rsid w:val="00126DDF"/>
    <w:rsid w:val="001270BF"/>
    <w:rsid w:val="00127BAC"/>
    <w:rsid w:val="00134868"/>
    <w:rsid w:val="001366D4"/>
    <w:rsid w:val="00142A56"/>
    <w:rsid w:val="00144DF5"/>
    <w:rsid w:val="00145A97"/>
    <w:rsid w:val="00146485"/>
    <w:rsid w:val="00147338"/>
    <w:rsid w:val="001506B4"/>
    <w:rsid w:val="00150A6E"/>
    <w:rsid w:val="00150AD6"/>
    <w:rsid w:val="00153B40"/>
    <w:rsid w:val="00154ADA"/>
    <w:rsid w:val="00154D81"/>
    <w:rsid w:val="0015531A"/>
    <w:rsid w:val="001600E8"/>
    <w:rsid w:val="00161BBC"/>
    <w:rsid w:val="00163B27"/>
    <w:rsid w:val="00165317"/>
    <w:rsid w:val="00170F80"/>
    <w:rsid w:val="00171BAD"/>
    <w:rsid w:val="001744B4"/>
    <w:rsid w:val="001756A1"/>
    <w:rsid w:val="001761EE"/>
    <w:rsid w:val="0017638D"/>
    <w:rsid w:val="00176EAA"/>
    <w:rsid w:val="0017725A"/>
    <w:rsid w:val="00177C4B"/>
    <w:rsid w:val="00182EF3"/>
    <w:rsid w:val="00182F00"/>
    <w:rsid w:val="0018325A"/>
    <w:rsid w:val="00183C9E"/>
    <w:rsid w:val="00184556"/>
    <w:rsid w:val="00186199"/>
    <w:rsid w:val="001928F7"/>
    <w:rsid w:val="00194537"/>
    <w:rsid w:val="0019563C"/>
    <w:rsid w:val="001A21A9"/>
    <w:rsid w:val="001A363B"/>
    <w:rsid w:val="001A59D8"/>
    <w:rsid w:val="001A5FA6"/>
    <w:rsid w:val="001B2F0C"/>
    <w:rsid w:val="001B64E7"/>
    <w:rsid w:val="001C123E"/>
    <w:rsid w:val="001C37F6"/>
    <w:rsid w:val="001C6288"/>
    <w:rsid w:val="001C7DE9"/>
    <w:rsid w:val="001D0F6A"/>
    <w:rsid w:val="001D21BC"/>
    <w:rsid w:val="001D2FA5"/>
    <w:rsid w:val="001D35E0"/>
    <w:rsid w:val="001D5045"/>
    <w:rsid w:val="001D5A44"/>
    <w:rsid w:val="001D724B"/>
    <w:rsid w:val="001E11D3"/>
    <w:rsid w:val="001E2A6A"/>
    <w:rsid w:val="001E3DC2"/>
    <w:rsid w:val="001E56FF"/>
    <w:rsid w:val="001E5C6B"/>
    <w:rsid w:val="001E6E4D"/>
    <w:rsid w:val="001F03E1"/>
    <w:rsid w:val="001F218E"/>
    <w:rsid w:val="001F3CC6"/>
    <w:rsid w:val="001F40BA"/>
    <w:rsid w:val="001F4530"/>
    <w:rsid w:val="002010DE"/>
    <w:rsid w:val="00202968"/>
    <w:rsid w:val="00202C32"/>
    <w:rsid w:val="00203AEF"/>
    <w:rsid w:val="00210344"/>
    <w:rsid w:val="00211A26"/>
    <w:rsid w:val="002125F7"/>
    <w:rsid w:val="00213171"/>
    <w:rsid w:val="00214463"/>
    <w:rsid w:val="002146DA"/>
    <w:rsid w:val="00214756"/>
    <w:rsid w:val="00215CF2"/>
    <w:rsid w:val="00215E33"/>
    <w:rsid w:val="00220542"/>
    <w:rsid w:val="00220684"/>
    <w:rsid w:val="00221174"/>
    <w:rsid w:val="00225ADC"/>
    <w:rsid w:val="00230732"/>
    <w:rsid w:val="00230A66"/>
    <w:rsid w:val="00230EC2"/>
    <w:rsid w:val="002359EB"/>
    <w:rsid w:val="002363AB"/>
    <w:rsid w:val="0024172D"/>
    <w:rsid w:val="0024260D"/>
    <w:rsid w:val="00243E40"/>
    <w:rsid w:val="00245012"/>
    <w:rsid w:val="0024504E"/>
    <w:rsid w:val="0024651F"/>
    <w:rsid w:val="00250BE3"/>
    <w:rsid w:val="00251290"/>
    <w:rsid w:val="0025158D"/>
    <w:rsid w:val="00251D17"/>
    <w:rsid w:val="0025281A"/>
    <w:rsid w:val="00253D3C"/>
    <w:rsid w:val="0025435F"/>
    <w:rsid w:val="00255292"/>
    <w:rsid w:val="00260200"/>
    <w:rsid w:val="00263563"/>
    <w:rsid w:val="002648D8"/>
    <w:rsid w:val="00270548"/>
    <w:rsid w:val="00272E0C"/>
    <w:rsid w:val="00273F86"/>
    <w:rsid w:val="002752B0"/>
    <w:rsid w:val="002774F0"/>
    <w:rsid w:val="0028459B"/>
    <w:rsid w:val="00284C5F"/>
    <w:rsid w:val="002873F0"/>
    <w:rsid w:val="00292198"/>
    <w:rsid w:val="002964F9"/>
    <w:rsid w:val="002A1F14"/>
    <w:rsid w:val="002A2678"/>
    <w:rsid w:val="002A2E01"/>
    <w:rsid w:val="002A398F"/>
    <w:rsid w:val="002A44F9"/>
    <w:rsid w:val="002A5C6B"/>
    <w:rsid w:val="002A5D31"/>
    <w:rsid w:val="002A714F"/>
    <w:rsid w:val="002B1851"/>
    <w:rsid w:val="002B27FF"/>
    <w:rsid w:val="002B4429"/>
    <w:rsid w:val="002B6793"/>
    <w:rsid w:val="002C1726"/>
    <w:rsid w:val="002C1DF3"/>
    <w:rsid w:val="002C21A6"/>
    <w:rsid w:val="002C26D5"/>
    <w:rsid w:val="002C5777"/>
    <w:rsid w:val="002D1791"/>
    <w:rsid w:val="002D32E3"/>
    <w:rsid w:val="002E0FEB"/>
    <w:rsid w:val="002E1EBA"/>
    <w:rsid w:val="002E45F3"/>
    <w:rsid w:val="002E7966"/>
    <w:rsid w:val="002F0F79"/>
    <w:rsid w:val="002F280E"/>
    <w:rsid w:val="002F3709"/>
    <w:rsid w:val="002F3A6C"/>
    <w:rsid w:val="002F4296"/>
    <w:rsid w:val="00300951"/>
    <w:rsid w:val="003023C9"/>
    <w:rsid w:val="00302CA8"/>
    <w:rsid w:val="00302DE9"/>
    <w:rsid w:val="003041B1"/>
    <w:rsid w:val="00304CC2"/>
    <w:rsid w:val="00305084"/>
    <w:rsid w:val="00307735"/>
    <w:rsid w:val="003204E9"/>
    <w:rsid w:val="00320DDA"/>
    <w:rsid w:val="00321E8C"/>
    <w:rsid w:val="00322A65"/>
    <w:rsid w:val="00322A86"/>
    <w:rsid w:val="00323AE8"/>
    <w:rsid w:val="00324548"/>
    <w:rsid w:val="003251F4"/>
    <w:rsid w:val="003303E3"/>
    <w:rsid w:val="00331FA4"/>
    <w:rsid w:val="003329EA"/>
    <w:rsid w:val="003407A5"/>
    <w:rsid w:val="00341188"/>
    <w:rsid w:val="0034147B"/>
    <w:rsid w:val="00350238"/>
    <w:rsid w:val="0035109C"/>
    <w:rsid w:val="00351F0A"/>
    <w:rsid w:val="003522AA"/>
    <w:rsid w:val="0035432B"/>
    <w:rsid w:val="00357EB5"/>
    <w:rsid w:val="00361E7E"/>
    <w:rsid w:val="00370AA4"/>
    <w:rsid w:val="003713CA"/>
    <w:rsid w:val="00371FF4"/>
    <w:rsid w:val="00373015"/>
    <w:rsid w:val="00377520"/>
    <w:rsid w:val="00380D36"/>
    <w:rsid w:val="003822D3"/>
    <w:rsid w:val="0038409E"/>
    <w:rsid w:val="00386630"/>
    <w:rsid w:val="00390522"/>
    <w:rsid w:val="00390B25"/>
    <w:rsid w:val="00390C86"/>
    <w:rsid w:val="00397156"/>
    <w:rsid w:val="00397960"/>
    <w:rsid w:val="003A0A5A"/>
    <w:rsid w:val="003A12DE"/>
    <w:rsid w:val="003A3BC4"/>
    <w:rsid w:val="003A458A"/>
    <w:rsid w:val="003A4DA3"/>
    <w:rsid w:val="003B07C8"/>
    <w:rsid w:val="003B2082"/>
    <w:rsid w:val="003B2A2E"/>
    <w:rsid w:val="003B2F13"/>
    <w:rsid w:val="003B405E"/>
    <w:rsid w:val="003B57D3"/>
    <w:rsid w:val="003C1F58"/>
    <w:rsid w:val="003C792F"/>
    <w:rsid w:val="003D124B"/>
    <w:rsid w:val="003D18F3"/>
    <w:rsid w:val="003D4E5A"/>
    <w:rsid w:val="003D5951"/>
    <w:rsid w:val="003D78B5"/>
    <w:rsid w:val="003E1062"/>
    <w:rsid w:val="003E244F"/>
    <w:rsid w:val="003E3AE8"/>
    <w:rsid w:val="003E5D05"/>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4CF1"/>
    <w:rsid w:val="00416C10"/>
    <w:rsid w:val="004217C8"/>
    <w:rsid w:val="004222C8"/>
    <w:rsid w:val="0042253F"/>
    <w:rsid w:val="00424EF3"/>
    <w:rsid w:val="004268BB"/>
    <w:rsid w:val="00431047"/>
    <w:rsid w:val="004318F0"/>
    <w:rsid w:val="00431B86"/>
    <w:rsid w:val="00431BC5"/>
    <w:rsid w:val="004408EC"/>
    <w:rsid w:val="00441B38"/>
    <w:rsid w:val="00441D14"/>
    <w:rsid w:val="00441E6A"/>
    <w:rsid w:val="00443C8F"/>
    <w:rsid w:val="00452481"/>
    <w:rsid w:val="004542DD"/>
    <w:rsid w:val="00454C9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ABD"/>
    <w:rsid w:val="0049297D"/>
    <w:rsid w:val="004929F2"/>
    <w:rsid w:val="00495A03"/>
    <w:rsid w:val="00497079"/>
    <w:rsid w:val="004A040B"/>
    <w:rsid w:val="004A1BBA"/>
    <w:rsid w:val="004A3E3C"/>
    <w:rsid w:val="004A3F71"/>
    <w:rsid w:val="004B0E6D"/>
    <w:rsid w:val="004B16E8"/>
    <w:rsid w:val="004B2326"/>
    <w:rsid w:val="004B6250"/>
    <w:rsid w:val="004B76B1"/>
    <w:rsid w:val="004C0057"/>
    <w:rsid w:val="004C0541"/>
    <w:rsid w:val="004C2C46"/>
    <w:rsid w:val="004C7235"/>
    <w:rsid w:val="004C7955"/>
    <w:rsid w:val="004D047F"/>
    <w:rsid w:val="004D3D96"/>
    <w:rsid w:val="004D650F"/>
    <w:rsid w:val="004E2133"/>
    <w:rsid w:val="004E32E2"/>
    <w:rsid w:val="004E5AB9"/>
    <w:rsid w:val="004E60FB"/>
    <w:rsid w:val="004F779C"/>
    <w:rsid w:val="004F7846"/>
    <w:rsid w:val="005000D4"/>
    <w:rsid w:val="005015FA"/>
    <w:rsid w:val="00505411"/>
    <w:rsid w:val="00510CAF"/>
    <w:rsid w:val="005128C5"/>
    <w:rsid w:val="00514754"/>
    <w:rsid w:val="0051478B"/>
    <w:rsid w:val="0051566A"/>
    <w:rsid w:val="00515D7B"/>
    <w:rsid w:val="005166E9"/>
    <w:rsid w:val="0052009E"/>
    <w:rsid w:val="00523C1F"/>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7057"/>
    <w:rsid w:val="00597D8B"/>
    <w:rsid w:val="005A1C30"/>
    <w:rsid w:val="005A229D"/>
    <w:rsid w:val="005A3295"/>
    <w:rsid w:val="005A46FF"/>
    <w:rsid w:val="005A5AE2"/>
    <w:rsid w:val="005B011E"/>
    <w:rsid w:val="005B14F0"/>
    <w:rsid w:val="005B2E84"/>
    <w:rsid w:val="005B7B0E"/>
    <w:rsid w:val="005C526E"/>
    <w:rsid w:val="005C5409"/>
    <w:rsid w:val="005C69AC"/>
    <w:rsid w:val="005C6DCF"/>
    <w:rsid w:val="005C722E"/>
    <w:rsid w:val="005D01A4"/>
    <w:rsid w:val="005D14DE"/>
    <w:rsid w:val="005D44E4"/>
    <w:rsid w:val="005D45B3"/>
    <w:rsid w:val="005D4CEB"/>
    <w:rsid w:val="005E0C14"/>
    <w:rsid w:val="005E1D51"/>
    <w:rsid w:val="005E324A"/>
    <w:rsid w:val="005E7140"/>
    <w:rsid w:val="005F04E6"/>
    <w:rsid w:val="005F43B9"/>
    <w:rsid w:val="005F621F"/>
    <w:rsid w:val="005F68CB"/>
    <w:rsid w:val="005F6A4A"/>
    <w:rsid w:val="006033E3"/>
    <w:rsid w:val="0061321C"/>
    <w:rsid w:val="006159E5"/>
    <w:rsid w:val="00620DB0"/>
    <w:rsid w:val="00621526"/>
    <w:rsid w:val="0062386E"/>
    <w:rsid w:val="00623D9A"/>
    <w:rsid w:val="00623F01"/>
    <w:rsid w:val="006242FB"/>
    <w:rsid w:val="00626E2D"/>
    <w:rsid w:val="00627D94"/>
    <w:rsid w:val="00630B42"/>
    <w:rsid w:val="0063382C"/>
    <w:rsid w:val="00634900"/>
    <w:rsid w:val="00637BA7"/>
    <w:rsid w:val="00642072"/>
    <w:rsid w:val="006440ED"/>
    <w:rsid w:val="00645293"/>
    <w:rsid w:val="00651B78"/>
    <w:rsid w:val="00652263"/>
    <w:rsid w:val="00652881"/>
    <w:rsid w:val="00656A06"/>
    <w:rsid w:val="00657CAF"/>
    <w:rsid w:val="00661974"/>
    <w:rsid w:val="00662F58"/>
    <w:rsid w:val="00664551"/>
    <w:rsid w:val="0066704D"/>
    <w:rsid w:val="006676A0"/>
    <w:rsid w:val="006706B6"/>
    <w:rsid w:val="00670857"/>
    <w:rsid w:val="00671124"/>
    <w:rsid w:val="006727B0"/>
    <w:rsid w:val="0067307E"/>
    <w:rsid w:val="006848C1"/>
    <w:rsid w:val="006868CD"/>
    <w:rsid w:val="00687AD5"/>
    <w:rsid w:val="00691D14"/>
    <w:rsid w:val="00693A72"/>
    <w:rsid w:val="00695251"/>
    <w:rsid w:val="00695296"/>
    <w:rsid w:val="00695ADE"/>
    <w:rsid w:val="00695C0D"/>
    <w:rsid w:val="00696356"/>
    <w:rsid w:val="006A72C6"/>
    <w:rsid w:val="006B02DA"/>
    <w:rsid w:val="006B10DA"/>
    <w:rsid w:val="006B2065"/>
    <w:rsid w:val="006B3940"/>
    <w:rsid w:val="006B5B3E"/>
    <w:rsid w:val="006B7BC0"/>
    <w:rsid w:val="006C168D"/>
    <w:rsid w:val="006C642C"/>
    <w:rsid w:val="006C6FC6"/>
    <w:rsid w:val="006D0E4F"/>
    <w:rsid w:val="006D676F"/>
    <w:rsid w:val="006D7693"/>
    <w:rsid w:val="006E063E"/>
    <w:rsid w:val="006E231B"/>
    <w:rsid w:val="006E346E"/>
    <w:rsid w:val="006E34B7"/>
    <w:rsid w:val="006F103E"/>
    <w:rsid w:val="006F20EC"/>
    <w:rsid w:val="006F4CD8"/>
    <w:rsid w:val="006F53D9"/>
    <w:rsid w:val="007004DC"/>
    <w:rsid w:val="007027B6"/>
    <w:rsid w:val="00703E8A"/>
    <w:rsid w:val="00707FB8"/>
    <w:rsid w:val="0071006D"/>
    <w:rsid w:val="00711522"/>
    <w:rsid w:val="007124FE"/>
    <w:rsid w:val="00713186"/>
    <w:rsid w:val="00713757"/>
    <w:rsid w:val="00716F79"/>
    <w:rsid w:val="00717772"/>
    <w:rsid w:val="00721AF1"/>
    <w:rsid w:val="0072280F"/>
    <w:rsid w:val="00722B5E"/>
    <w:rsid w:val="00723EC0"/>
    <w:rsid w:val="0072708F"/>
    <w:rsid w:val="00727C6C"/>
    <w:rsid w:val="0073150B"/>
    <w:rsid w:val="00732D1D"/>
    <w:rsid w:val="00736034"/>
    <w:rsid w:val="0073681C"/>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4535"/>
    <w:rsid w:val="007756ED"/>
    <w:rsid w:val="007870FC"/>
    <w:rsid w:val="0078729B"/>
    <w:rsid w:val="00787CD0"/>
    <w:rsid w:val="00791053"/>
    <w:rsid w:val="00791A3A"/>
    <w:rsid w:val="00794196"/>
    <w:rsid w:val="007951F3"/>
    <w:rsid w:val="0079671E"/>
    <w:rsid w:val="00797637"/>
    <w:rsid w:val="007A3680"/>
    <w:rsid w:val="007A59B8"/>
    <w:rsid w:val="007A6BEA"/>
    <w:rsid w:val="007B2862"/>
    <w:rsid w:val="007B662A"/>
    <w:rsid w:val="007C6049"/>
    <w:rsid w:val="007C7E22"/>
    <w:rsid w:val="007D1C16"/>
    <w:rsid w:val="007D28C9"/>
    <w:rsid w:val="007D3CC8"/>
    <w:rsid w:val="007D62F9"/>
    <w:rsid w:val="007D63A4"/>
    <w:rsid w:val="007E008D"/>
    <w:rsid w:val="007E1AA2"/>
    <w:rsid w:val="007E1AD0"/>
    <w:rsid w:val="007E312F"/>
    <w:rsid w:val="007E4C1F"/>
    <w:rsid w:val="007E57CD"/>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74D4"/>
    <w:rsid w:val="00820FE6"/>
    <w:rsid w:val="00821985"/>
    <w:rsid w:val="00821A66"/>
    <w:rsid w:val="00822476"/>
    <w:rsid w:val="00822882"/>
    <w:rsid w:val="00824200"/>
    <w:rsid w:val="00825D22"/>
    <w:rsid w:val="00825F68"/>
    <w:rsid w:val="00827CB9"/>
    <w:rsid w:val="008305BF"/>
    <w:rsid w:val="00832748"/>
    <w:rsid w:val="00835408"/>
    <w:rsid w:val="008359DA"/>
    <w:rsid w:val="00836D2A"/>
    <w:rsid w:val="00837CEF"/>
    <w:rsid w:val="00840035"/>
    <w:rsid w:val="00840220"/>
    <w:rsid w:val="00840677"/>
    <w:rsid w:val="008428A9"/>
    <w:rsid w:val="00844112"/>
    <w:rsid w:val="008456C9"/>
    <w:rsid w:val="0084611D"/>
    <w:rsid w:val="00850C62"/>
    <w:rsid w:val="00854463"/>
    <w:rsid w:val="00863011"/>
    <w:rsid w:val="0086312D"/>
    <w:rsid w:val="00863392"/>
    <w:rsid w:val="00865075"/>
    <w:rsid w:val="0086734C"/>
    <w:rsid w:val="0086748F"/>
    <w:rsid w:val="00872CE4"/>
    <w:rsid w:val="00874F4B"/>
    <w:rsid w:val="0087539B"/>
    <w:rsid w:val="00877B62"/>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97"/>
    <w:rsid w:val="008B11E0"/>
    <w:rsid w:val="008B1773"/>
    <w:rsid w:val="008B1823"/>
    <w:rsid w:val="008B65CD"/>
    <w:rsid w:val="008B6E16"/>
    <w:rsid w:val="008B7110"/>
    <w:rsid w:val="008C2029"/>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2477"/>
    <w:rsid w:val="00900DD1"/>
    <w:rsid w:val="009010F0"/>
    <w:rsid w:val="00901162"/>
    <w:rsid w:val="0090223A"/>
    <w:rsid w:val="009028E2"/>
    <w:rsid w:val="009055EC"/>
    <w:rsid w:val="009100C0"/>
    <w:rsid w:val="0091247B"/>
    <w:rsid w:val="0091320A"/>
    <w:rsid w:val="00914EAB"/>
    <w:rsid w:val="00922D49"/>
    <w:rsid w:val="009259CF"/>
    <w:rsid w:val="00925E37"/>
    <w:rsid w:val="00925EDD"/>
    <w:rsid w:val="00927D0E"/>
    <w:rsid w:val="009309DA"/>
    <w:rsid w:val="00936688"/>
    <w:rsid w:val="00937CFA"/>
    <w:rsid w:val="009406B3"/>
    <w:rsid w:val="00945CF5"/>
    <w:rsid w:val="009500A1"/>
    <w:rsid w:val="0095037E"/>
    <w:rsid w:val="00952AAD"/>
    <w:rsid w:val="00952F4F"/>
    <w:rsid w:val="00954567"/>
    <w:rsid w:val="009547A9"/>
    <w:rsid w:val="00957466"/>
    <w:rsid w:val="0096260B"/>
    <w:rsid w:val="00963F05"/>
    <w:rsid w:val="00965469"/>
    <w:rsid w:val="009664D5"/>
    <w:rsid w:val="00970C69"/>
    <w:rsid w:val="00971F1C"/>
    <w:rsid w:val="0097211D"/>
    <w:rsid w:val="00972E10"/>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628"/>
    <w:rsid w:val="009D1EA4"/>
    <w:rsid w:val="009D27AA"/>
    <w:rsid w:val="009D2D8B"/>
    <w:rsid w:val="009D38BA"/>
    <w:rsid w:val="009D4991"/>
    <w:rsid w:val="009D5BB5"/>
    <w:rsid w:val="009D696D"/>
    <w:rsid w:val="009D6ED2"/>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4AE3"/>
    <w:rsid w:val="00A16675"/>
    <w:rsid w:val="00A22CD6"/>
    <w:rsid w:val="00A234EC"/>
    <w:rsid w:val="00A2417A"/>
    <w:rsid w:val="00A2610D"/>
    <w:rsid w:val="00A26668"/>
    <w:rsid w:val="00A27804"/>
    <w:rsid w:val="00A36822"/>
    <w:rsid w:val="00A36AB5"/>
    <w:rsid w:val="00A37A23"/>
    <w:rsid w:val="00A411D1"/>
    <w:rsid w:val="00A43389"/>
    <w:rsid w:val="00A43E71"/>
    <w:rsid w:val="00A45753"/>
    <w:rsid w:val="00A47B15"/>
    <w:rsid w:val="00A52F84"/>
    <w:rsid w:val="00A5533F"/>
    <w:rsid w:val="00A56B05"/>
    <w:rsid w:val="00A57678"/>
    <w:rsid w:val="00A60E2F"/>
    <w:rsid w:val="00A63284"/>
    <w:rsid w:val="00A64CB8"/>
    <w:rsid w:val="00A67018"/>
    <w:rsid w:val="00A672F3"/>
    <w:rsid w:val="00A673DC"/>
    <w:rsid w:val="00A7076E"/>
    <w:rsid w:val="00A709BE"/>
    <w:rsid w:val="00A7162E"/>
    <w:rsid w:val="00A7195A"/>
    <w:rsid w:val="00A72D71"/>
    <w:rsid w:val="00A75705"/>
    <w:rsid w:val="00A77C69"/>
    <w:rsid w:val="00A83953"/>
    <w:rsid w:val="00A83A77"/>
    <w:rsid w:val="00A85AF5"/>
    <w:rsid w:val="00A903B6"/>
    <w:rsid w:val="00A90F4F"/>
    <w:rsid w:val="00A92E44"/>
    <w:rsid w:val="00A9418A"/>
    <w:rsid w:val="00A947AA"/>
    <w:rsid w:val="00AA1B53"/>
    <w:rsid w:val="00AA3556"/>
    <w:rsid w:val="00AA35FD"/>
    <w:rsid w:val="00AA3DB7"/>
    <w:rsid w:val="00AB0340"/>
    <w:rsid w:val="00AB3012"/>
    <w:rsid w:val="00AB321C"/>
    <w:rsid w:val="00AB3450"/>
    <w:rsid w:val="00AB5B99"/>
    <w:rsid w:val="00AB688F"/>
    <w:rsid w:val="00AB75EA"/>
    <w:rsid w:val="00AB7AA2"/>
    <w:rsid w:val="00AC4BC1"/>
    <w:rsid w:val="00AD04BD"/>
    <w:rsid w:val="00AD1C72"/>
    <w:rsid w:val="00AD25F6"/>
    <w:rsid w:val="00AD7214"/>
    <w:rsid w:val="00AE1066"/>
    <w:rsid w:val="00AE4518"/>
    <w:rsid w:val="00AE5D7F"/>
    <w:rsid w:val="00AE79F0"/>
    <w:rsid w:val="00AF3350"/>
    <w:rsid w:val="00AF4305"/>
    <w:rsid w:val="00AF5585"/>
    <w:rsid w:val="00AF6EC1"/>
    <w:rsid w:val="00B00331"/>
    <w:rsid w:val="00B01A80"/>
    <w:rsid w:val="00B07C27"/>
    <w:rsid w:val="00B10017"/>
    <w:rsid w:val="00B10DE1"/>
    <w:rsid w:val="00B10FF8"/>
    <w:rsid w:val="00B11A5B"/>
    <w:rsid w:val="00B14986"/>
    <w:rsid w:val="00B203C4"/>
    <w:rsid w:val="00B20A27"/>
    <w:rsid w:val="00B22E81"/>
    <w:rsid w:val="00B23996"/>
    <w:rsid w:val="00B23CB2"/>
    <w:rsid w:val="00B24946"/>
    <w:rsid w:val="00B2561A"/>
    <w:rsid w:val="00B25A64"/>
    <w:rsid w:val="00B25CAD"/>
    <w:rsid w:val="00B306AA"/>
    <w:rsid w:val="00B32AB3"/>
    <w:rsid w:val="00B34E7C"/>
    <w:rsid w:val="00B368EA"/>
    <w:rsid w:val="00B37EEF"/>
    <w:rsid w:val="00B424F8"/>
    <w:rsid w:val="00B46E00"/>
    <w:rsid w:val="00B54370"/>
    <w:rsid w:val="00B55185"/>
    <w:rsid w:val="00B61923"/>
    <w:rsid w:val="00B621D6"/>
    <w:rsid w:val="00B63EF5"/>
    <w:rsid w:val="00B65D6F"/>
    <w:rsid w:val="00B67C23"/>
    <w:rsid w:val="00B70DC7"/>
    <w:rsid w:val="00B715FD"/>
    <w:rsid w:val="00B73042"/>
    <w:rsid w:val="00B74BB9"/>
    <w:rsid w:val="00B75283"/>
    <w:rsid w:val="00B75735"/>
    <w:rsid w:val="00B77142"/>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EB4"/>
    <w:rsid w:val="00BD5C65"/>
    <w:rsid w:val="00BD71EE"/>
    <w:rsid w:val="00BE6018"/>
    <w:rsid w:val="00BF1F57"/>
    <w:rsid w:val="00BF4086"/>
    <w:rsid w:val="00BF426C"/>
    <w:rsid w:val="00BF58D0"/>
    <w:rsid w:val="00BF7D6A"/>
    <w:rsid w:val="00C013E1"/>
    <w:rsid w:val="00C01611"/>
    <w:rsid w:val="00C02D59"/>
    <w:rsid w:val="00C030B6"/>
    <w:rsid w:val="00C03284"/>
    <w:rsid w:val="00C050D7"/>
    <w:rsid w:val="00C05B5F"/>
    <w:rsid w:val="00C06911"/>
    <w:rsid w:val="00C104CC"/>
    <w:rsid w:val="00C12898"/>
    <w:rsid w:val="00C136F5"/>
    <w:rsid w:val="00C14D56"/>
    <w:rsid w:val="00C152FE"/>
    <w:rsid w:val="00C16739"/>
    <w:rsid w:val="00C22C7D"/>
    <w:rsid w:val="00C22CCE"/>
    <w:rsid w:val="00C231D6"/>
    <w:rsid w:val="00C23BA2"/>
    <w:rsid w:val="00C272C4"/>
    <w:rsid w:val="00C31C12"/>
    <w:rsid w:val="00C32AF2"/>
    <w:rsid w:val="00C331A9"/>
    <w:rsid w:val="00C33204"/>
    <w:rsid w:val="00C338EB"/>
    <w:rsid w:val="00C3465D"/>
    <w:rsid w:val="00C35643"/>
    <w:rsid w:val="00C379E9"/>
    <w:rsid w:val="00C4274D"/>
    <w:rsid w:val="00C439FB"/>
    <w:rsid w:val="00C43F23"/>
    <w:rsid w:val="00C50011"/>
    <w:rsid w:val="00C52CA1"/>
    <w:rsid w:val="00C645E6"/>
    <w:rsid w:val="00C64D82"/>
    <w:rsid w:val="00C64FBC"/>
    <w:rsid w:val="00C65A83"/>
    <w:rsid w:val="00C724F2"/>
    <w:rsid w:val="00C72C6F"/>
    <w:rsid w:val="00C75057"/>
    <w:rsid w:val="00C80F23"/>
    <w:rsid w:val="00C81151"/>
    <w:rsid w:val="00C81EFA"/>
    <w:rsid w:val="00C82CC6"/>
    <w:rsid w:val="00C850A3"/>
    <w:rsid w:val="00C85C32"/>
    <w:rsid w:val="00C87568"/>
    <w:rsid w:val="00C90DB6"/>
    <w:rsid w:val="00C9394F"/>
    <w:rsid w:val="00C93B1A"/>
    <w:rsid w:val="00C96A3F"/>
    <w:rsid w:val="00C96F5F"/>
    <w:rsid w:val="00CA5927"/>
    <w:rsid w:val="00CA79EC"/>
    <w:rsid w:val="00CB39C2"/>
    <w:rsid w:val="00CB4664"/>
    <w:rsid w:val="00CB4C8C"/>
    <w:rsid w:val="00CB6782"/>
    <w:rsid w:val="00CC080A"/>
    <w:rsid w:val="00CC0994"/>
    <w:rsid w:val="00CD0AAD"/>
    <w:rsid w:val="00CD6177"/>
    <w:rsid w:val="00CE182E"/>
    <w:rsid w:val="00CE2DE4"/>
    <w:rsid w:val="00CE2E79"/>
    <w:rsid w:val="00CE5277"/>
    <w:rsid w:val="00CE6358"/>
    <w:rsid w:val="00CF2D54"/>
    <w:rsid w:val="00CF592C"/>
    <w:rsid w:val="00CF6AD7"/>
    <w:rsid w:val="00CF7B8C"/>
    <w:rsid w:val="00D03538"/>
    <w:rsid w:val="00D049B8"/>
    <w:rsid w:val="00D0516C"/>
    <w:rsid w:val="00D05EE7"/>
    <w:rsid w:val="00D068D0"/>
    <w:rsid w:val="00D078D1"/>
    <w:rsid w:val="00D129A8"/>
    <w:rsid w:val="00D12FB9"/>
    <w:rsid w:val="00D13FE2"/>
    <w:rsid w:val="00D200BD"/>
    <w:rsid w:val="00D22399"/>
    <w:rsid w:val="00D33751"/>
    <w:rsid w:val="00D33924"/>
    <w:rsid w:val="00D34559"/>
    <w:rsid w:val="00D36F6E"/>
    <w:rsid w:val="00D3705B"/>
    <w:rsid w:val="00D37343"/>
    <w:rsid w:val="00D4205E"/>
    <w:rsid w:val="00D43EDF"/>
    <w:rsid w:val="00D45DB6"/>
    <w:rsid w:val="00D5574C"/>
    <w:rsid w:val="00D55B61"/>
    <w:rsid w:val="00D604CE"/>
    <w:rsid w:val="00D61982"/>
    <w:rsid w:val="00D6267A"/>
    <w:rsid w:val="00D67D12"/>
    <w:rsid w:val="00D7585A"/>
    <w:rsid w:val="00D77B06"/>
    <w:rsid w:val="00D80618"/>
    <w:rsid w:val="00D82494"/>
    <w:rsid w:val="00D84A4B"/>
    <w:rsid w:val="00D92168"/>
    <w:rsid w:val="00D940B5"/>
    <w:rsid w:val="00D95CB0"/>
    <w:rsid w:val="00D977C0"/>
    <w:rsid w:val="00DA00A3"/>
    <w:rsid w:val="00DA13F3"/>
    <w:rsid w:val="00DA23C3"/>
    <w:rsid w:val="00DA2DE3"/>
    <w:rsid w:val="00DA7146"/>
    <w:rsid w:val="00DA716A"/>
    <w:rsid w:val="00DB1F4F"/>
    <w:rsid w:val="00DB37EE"/>
    <w:rsid w:val="00DB4450"/>
    <w:rsid w:val="00DB7B69"/>
    <w:rsid w:val="00DC234A"/>
    <w:rsid w:val="00DC27AD"/>
    <w:rsid w:val="00DC41E4"/>
    <w:rsid w:val="00DC5116"/>
    <w:rsid w:val="00DC7C77"/>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738C"/>
    <w:rsid w:val="00E210DA"/>
    <w:rsid w:val="00E22D28"/>
    <w:rsid w:val="00E230E3"/>
    <w:rsid w:val="00E27A14"/>
    <w:rsid w:val="00E30EDF"/>
    <w:rsid w:val="00E30F3C"/>
    <w:rsid w:val="00E31EC2"/>
    <w:rsid w:val="00E31FBA"/>
    <w:rsid w:val="00E34042"/>
    <w:rsid w:val="00E34CDF"/>
    <w:rsid w:val="00E36AAE"/>
    <w:rsid w:val="00E41773"/>
    <w:rsid w:val="00E428DD"/>
    <w:rsid w:val="00E477F6"/>
    <w:rsid w:val="00E50841"/>
    <w:rsid w:val="00E513F6"/>
    <w:rsid w:val="00E52F3B"/>
    <w:rsid w:val="00E53A45"/>
    <w:rsid w:val="00E53D94"/>
    <w:rsid w:val="00E53DEA"/>
    <w:rsid w:val="00E548E9"/>
    <w:rsid w:val="00E553CC"/>
    <w:rsid w:val="00E55667"/>
    <w:rsid w:val="00E57068"/>
    <w:rsid w:val="00E616DB"/>
    <w:rsid w:val="00E627A4"/>
    <w:rsid w:val="00E630ED"/>
    <w:rsid w:val="00E722B7"/>
    <w:rsid w:val="00E74EC5"/>
    <w:rsid w:val="00E75FDC"/>
    <w:rsid w:val="00E76B86"/>
    <w:rsid w:val="00E8342F"/>
    <w:rsid w:val="00E847A7"/>
    <w:rsid w:val="00E85F25"/>
    <w:rsid w:val="00E86E79"/>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26F3"/>
    <w:rsid w:val="00EE4874"/>
    <w:rsid w:val="00EE53E7"/>
    <w:rsid w:val="00EE79A6"/>
    <w:rsid w:val="00EF03C6"/>
    <w:rsid w:val="00EF6111"/>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23BD"/>
    <w:rsid w:val="00F432FF"/>
    <w:rsid w:val="00F43D24"/>
    <w:rsid w:val="00F46DF9"/>
    <w:rsid w:val="00F4715C"/>
    <w:rsid w:val="00F54869"/>
    <w:rsid w:val="00F556B2"/>
    <w:rsid w:val="00F5754B"/>
    <w:rsid w:val="00F576DE"/>
    <w:rsid w:val="00F63BF7"/>
    <w:rsid w:val="00F65617"/>
    <w:rsid w:val="00F65D71"/>
    <w:rsid w:val="00F70112"/>
    <w:rsid w:val="00F710BE"/>
    <w:rsid w:val="00F723B1"/>
    <w:rsid w:val="00F736D2"/>
    <w:rsid w:val="00F7564C"/>
    <w:rsid w:val="00F76220"/>
    <w:rsid w:val="00F769BE"/>
    <w:rsid w:val="00F81C33"/>
    <w:rsid w:val="00F821AB"/>
    <w:rsid w:val="00F82A1D"/>
    <w:rsid w:val="00F82E6B"/>
    <w:rsid w:val="00F91F6D"/>
    <w:rsid w:val="00F966DC"/>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B60BE"/>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3"/>
    <o:shapelayout v:ext="edit">
      <o:idmap v:ext="edit" data="1"/>
    </o:shapelayout>
  </w:shapeDefaults>
  <w:decimalSymbol w:val="."/>
  <w:listSeparator w:val=","/>
  <w15:docId w15:val="{CFF2FA07-2754-412F-8907-A03BD801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FD1E02"/>
    <w:pPr>
      <w:keepNext/>
      <w:keepLines/>
      <w:spacing w:before="340" w:after="330" w:line="578" w:lineRule="auto"/>
      <w:outlineLvl w:val="0"/>
    </w:pPr>
    <w:rPr>
      <w:b/>
      <w:bCs/>
      <w:kern w:val="44"/>
      <w:sz w:val="44"/>
      <w:szCs w:val="44"/>
    </w:rPr>
  </w:style>
  <w:style w:type="paragraph" w:styleId="2">
    <w:name w:val="heading 2"/>
    <w:basedOn w:val="a"/>
    <w:next w:val="a0"/>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12898"/>
    <w:pPr>
      <w:ind w:firstLineChars="200" w:firstLine="420"/>
    </w:pPr>
  </w:style>
  <w:style w:type="paragraph" w:styleId="a4">
    <w:name w:val="Body Text Indent"/>
    <w:basedOn w:val="a"/>
    <w:rsid w:val="00C1289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C12898"/>
    <w:rPr>
      <w:rFonts w:ascii="宋体" w:hAnsi="Courier New"/>
      <w:szCs w:val="21"/>
    </w:rPr>
  </w:style>
  <w:style w:type="paragraph" w:styleId="20">
    <w:name w:val="Body Text Indent 2"/>
    <w:basedOn w:val="a"/>
    <w:rsid w:val="00C12898"/>
    <w:pPr>
      <w:spacing w:line="560" w:lineRule="exact"/>
      <w:ind w:firstLineChars="200" w:firstLine="480"/>
    </w:pPr>
    <w:rPr>
      <w:rFonts w:ascii="宋体" w:hAnsi="宋体"/>
      <w:color w:val="FF0000"/>
      <w:sz w:val="24"/>
    </w:rPr>
  </w:style>
  <w:style w:type="paragraph" w:styleId="a6">
    <w:name w:val="footer"/>
    <w:basedOn w:val="a"/>
    <w:rsid w:val="00C12898"/>
    <w:pPr>
      <w:tabs>
        <w:tab w:val="center" w:pos="4153"/>
        <w:tab w:val="right" w:pos="8306"/>
      </w:tabs>
      <w:snapToGrid w:val="0"/>
      <w:jc w:val="left"/>
    </w:pPr>
    <w:rPr>
      <w:sz w:val="18"/>
      <w:szCs w:val="18"/>
    </w:rPr>
  </w:style>
  <w:style w:type="character" w:styleId="a7">
    <w:name w:val="page number"/>
    <w:basedOn w:val="a1"/>
    <w:rsid w:val="00C12898"/>
  </w:style>
  <w:style w:type="character" w:styleId="a8">
    <w:name w:val="Hyperlink"/>
    <w:basedOn w:val="a1"/>
    <w:rsid w:val="00C12898"/>
    <w:rPr>
      <w:color w:val="0000FF"/>
      <w:u w:val="single"/>
    </w:rPr>
  </w:style>
  <w:style w:type="paragraph" w:styleId="3">
    <w:name w:val="Body Text Indent 3"/>
    <w:basedOn w:val="a"/>
    <w:rsid w:val="00C12898"/>
    <w:pPr>
      <w:spacing w:line="560" w:lineRule="exact"/>
      <w:ind w:firstLineChars="200" w:firstLine="420"/>
    </w:pPr>
    <w:rPr>
      <w:rFonts w:ascii="Arial" w:hAnsi="Arial" w:cs="Arial"/>
      <w:color w:val="FF0000"/>
    </w:rPr>
  </w:style>
  <w:style w:type="paragraph" w:styleId="a9">
    <w:name w:val="header"/>
    <w:basedOn w:val="a"/>
    <w:link w:val="Char0"/>
    <w:uiPriority w:val="99"/>
    <w:rsid w:val="00C12898"/>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C12898"/>
    <w:rPr>
      <w:color w:val="800080"/>
      <w:u w:val="single"/>
    </w:rPr>
  </w:style>
  <w:style w:type="paragraph" w:styleId="ab">
    <w:name w:val="List"/>
    <w:basedOn w:val="ac"/>
    <w:rsid w:val="00C12898"/>
    <w:pPr>
      <w:spacing w:after="220" w:line="220" w:lineRule="atLeast"/>
      <w:ind w:left="1440" w:hanging="360"/>
    </w:pPr>
    <w:rPr>
      <w:szCs w:val="20"/>
    </w:rPr>
  </w:style>
  <w:style w:type="paragraph" w:styleId="ac">
    <w:name w:val="Body Text"/>
    <w:basedOn w:val="a"/>
    <w:rsid w:val="00C12898"/>
    <w:pPr>
      <w:spacing w:after="120"/>
    </w:pPr>
  </w:style>
  <w:style w:type="paragraph" w:styleId="ad">
    <w:name w:val="Date"/>
    <w:basedOn w:val="a"/>
    <w:next w:val="a"/>
    <w:link w:val="Char1"/>
    <w:rsid w:val="00C12898"/>
    <w:rPr>
      <w:sz w:val="24"/>
      <w:szCs w:val="20"/>
    </w:rPr>
  </w:style>
  <w:style w:type="character" w:customStyle="1" w:styleId="c1">
    <w:name w:val="c1"/>
    <w:basedOn w:val="a1"/>
    <w:rsid w:val="00C12898"/>
    <w:rPr>
      <w:color w:val="000000"/>
      <w:sz w:val="18"/>
      <w:szCs w:val="18"/>
    </w:rPr>
  </w:style>
  <w:style w:type="paragraph" w:styleId="10">
    <w:name w:val="index 1"/>
    <w:basedOn w:val="a"/>
    <w:next w:val="a"/>
    <w:autoRedefine/>
    <w:semiHidden/>
    <w:rsid w:val="00C12898"/>
    <w:pPr>
      <w:jc w:val="right"/>
    </w:pPr>
    <w:rPr>
      <w:color w:val="008000"/>
    </w:rPr>
  </w:style>
  <w:style w:type="paragraph" w:customStyle="1" w:styleId="font5">
    <w:name w:val="font5"/>
    <w:basedOn w:val="a"/>
    <w:rsid w:val="00C1289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C12898"/>
    <w:rPr>
      <w:sz w:val="18"/>
      <w:szCs w:val="18"/>
    </w:rPr>
  </w:style>
  <w:style w:type="character" w:styleId="af">
    <w:name w:val="annotation reference"/>
    <w:basedOn w:val="a1"/>
    <w:semiHidden/>
    <w:rsid w:val="00C12898"/>
    <w:rPr>
      <w:sz w:val="21"/>
      <w:szCs w:val="21"/>
    </w:rPr>
  </w:style>
  <w:style w:type="paragraph" w:styleId="af0">
    <w:name w:val="annotation text"/>
    <w:basedOn w:val="a"/>
    <w:semiHidden/>
    <w:rsid w:val="00C12898"/>
    <w:pPr>
      <w:jc w:val="left"/>
    </w:pPr>
  </w:style>
  <w:style w:type="paragraph" w:styleId="af1">
    <w:name w:val="annotation subject"/>
    <w:basedOn w:val="af0"/>
    <w:next w:val="af0"/>
    <w:semiHidden/>
    <w:rsid w:val="00C12898"/>
    <w:rPr>
      <w:b/>
      <w:bCs/>
    </w:rPr>
  </w:style>
  <w:style w:type="paragraph" w:customStyle="1" w:styleId="Char2">
    <w:name w:val="Char"/>
    <w:basedOn w:val="a"/>
    <w:rsid w:val="00C12898"/>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42253F"/>
    <w:rPr>
      <w:rFonts w:ascii="宋体" w:hAnsi="Courier New"/>
      <w:kern w:val="2"/>
      <w:sz w:val="21"/>
      <w:szCs w:val="21"/>
    </w:rPr>
  </w:style>
  <w:style w:type="paragraph" w:customStyle="1" w:styleId="Default">
    <w:name w:val="Default"/>
    <w:rsid w:val="00695296"/>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FB572A"/>
    <w:rPr>
      <w:kern w:val="2"/>
      <w:sz w:val="18"/>
      <w:szCs w:val="18"/>
    </w:rPr>
  </w:style>
  <w:style w:type="character" w:customStyle="1" w:styleId="1Char">
    <w:name w:val="标题 1 Char"/>
    <w:basedOn w:val="a1"/>
    <w:link w:val="1"/>
    <w:rsid w:val="00FD1E02"/>
    <w:rPr>
      <w:b/>
      <w:bCs/>
      <w:kern w:val="44"/>
      <w:sz w:val="44"/>
      <w:szCs w:val="44"/>
    </w:rPr>
  </w:style>
  <w:style w:type="paragraph" w:styleId="HTML">
    <w:name w:val="HTML Preformatted"/>
    <w:basedOn w:val="a"/>
    <w:link w:val="HTMLChar"/>
    <w:uiPriority w:val="99"/>
    <w:unhideWhenUsed/>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34900"/>
    <w:rPr>
      <w:rFonts w:ascii="宋体" w:hAnsi="宋体" w:cs="宋体"/>
      <w:sz w:val="24"/>
      <w:szCs w:val="24"/>
    </w:rPr>
  </w:style>
  <w:style w:type="character" w:customStyle="1" w:styleId="Char1">
    <w:name w:val="日期 Char"/>
    <w:basedOn w:val="a1"/>
    <w:link w:val="ad"/>
    <w:rsid w:val="00F27C38"/>
    <w:rPr>
      <w:kern w:val="2"/>
      <w:sz w:val="24"/>
    </w:rPr>
  </w:style>
  <w:style w:type="character" w:styleId="af8">
    <w:name w:val="Strong"/>
    <w:basedOn w:val="a1"/>
    <w:uiPriority w:val="22"/>
    <w:qFormat/>
    <w:rsid w:val="00C42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7698193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81725568">
      <w:bodyDiv w:val="1"/>
      <w:marLeft w:val="0"/>
      <w:marRight w:val="0"/>
      <w:marTop w:val="0"/>
      <w:marBottom w:val="0"/>
      <w:divBdr>
        <w:top w:val="none" w:sz="0" w:space="0" w:color="auto"/>
        <w:left w:val="none" w:sz="0" w:space="0" w:color="auto"/>
        <w:bottom w:val="none" w:sz="0" w:space="0" w:color="auto"/>
        <w:right w:val="none" w:sz="0" w:space="0" w:color="auto"/>
      </w:divBdr>
    </w:div>
    <w:div w:id="1649044647">
      <w:bodyDiv w:val="1"/>
      <w:marLeft w:val="0"/>
      <w:marRight w:val="0"/>
      <w:marTop w:val="0"/>
      <w:marBottom w:val="0"/>
      <w:divBdr>
        <w:top w:val="none" w:sz="0" w:space="0" w:color="auto"/>
        <w:left w:val="none" w:sz="0" w:space="0" w:color="auto"/>
        <w:bottom w:val="none" w:sz="0" w:space="0" w:color="auto"/>
        <w:right w:val="none" w:sz="0" w:space="0" w:color="auto"/>
      </w:divBdr>
    </w:div>
    <w:div w:id="1970474325">
      <w:bodyDiv w:val="1"/>
      <w:marLeft w:val="0"/>
      <w:marRight w:val="0"/>
      <w:marTop w:val="0"/>
      <w:marBottom w:val="0"/>
      <w:divBdr>
        <w:top w:val="none" w:sz="0" w:space="0" w:color="auto"/>
        <w:left w:val="none" w:sz="0" w:space="0" w:color="auto"/>
        <w:bottom w:val="none" w:sz="0" w:space="0" w:color="auto"/>
        <w:right w:val="none" w:sz="0" w:space="0" w:color="auto"/>
      </w:divBdr>
    </w:div>
    <w:div w:id="21201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15</Pages>
  <Words>1212</Words>
  <Characters>6913</Characters>
  <Application>Microsoft Office Word</Application>
  <DocSecurity>0</DocSecurity>
  <Lines>57</Lines>
  <Paragraphs>16</Paragraphs>
  <ScaleCrop>false</ScaleCrop>
  <Company>TRT. Ltd. Co.</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162</cp:revision>
  <cp:lastPrinted>2007-07-19T00:46:00Z</cp:lastPrinted>
  <dcterms:created xsi:type="dcterms:W3CDTF">2012-11-28T02:28:00Z</dcterms:created>
  <dcterms:modified xsi:type="dcterms:W3CDTF">2016-01-19T09:50:00Z</dcterms:modified>
</cp:coreProperties>
</file>