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9F31AC">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9F31AC">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2,960,195,381.39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2,891,916,662.47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68,278,718.92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9F31AC">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24,761,105.32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990,076.78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51,031,726.05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1,839,811.51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3,083,437,700.57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72,024,356.10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1.055</w:t>
            </w:r>
          </w:p>
        </w:tc>
      </w:tr>
    </w:tbl>
    <w:p w:rsidR="00EB1FED" w:rsidRDefault="009F31A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B1FED">
        <w:trPr>
          <w:jc w:val="center"/>
        </w:trPr>
        <w:tc>
          <w:tcPr>
            <w:tcW w:w="1266" w:type="dxa"/>
            <w:vAlign w:val="center"/>
          </w:tcPr>
          <w:p w:rsidR="00EB1FED" w:rsidRDefault="009F31AC">
            <w:pPr>
              <w:jc w:val="left"/>
            </w:pPr>
            <w:r>
              <w:rPr>
                <w:color w:val="000000"/>
                <w:sz w:val="24"/>
              </w:rPr>
              <w:t>过去三个月</w:t>
            </w:r>
          </w:p>
        </w:tc>
        <w:tc>
          <w:tcPr>
            <w:tcW w:w="1267" w:type="dxa"/>
            <w:vAlign w:val="center"/>
          </w:tcPr>
          <w:p w:rsidR="00EB1FED" w:rsidRDefault="009F31AC">
            <w:pPr>
              <w:jc w:val="center"/>
            </w:pPr>
            <w:r>
              <w:rPr>
                <w:color w:val="000000"/>
                <w:sz w:val="24"/>
              </w:rPr>
              <w:t>2.30%</w:t>
            </w:r>
          </w:p>
        </w:tc>
        <w:tc>
          <w:tcPr>
            <w:tcW w:w="1267" w:type="dxa"/>
            <w:vAlign w:val="center"/>
          </w:tcPr>
          <w:p w:rsidR="00EB1FED" w:rsidRDefault="009F31AC">
            <w:pPr>
              <w:jc w:val="center"/>
            </w:pPr>
            <w:r>
              <w:rPr>
                <w:color w:val="000000"/>
                <w:sz w:val="24"/>
              </w:rPr>
              <w:t>0.08%</w:t>
            </w:r>
          </w:p>
        </w:tc>
        <w:tc>
          <w:tcPr>
            <w:tcW w:w="1267" w:type="dxa"/>
            <w:vAlign w:val="center"/>
          </w:tcPr>
          <w:p w:rsidR="00EB1FED" w:rsidRDefault="009F31AC">
            <w:pPr>
              <w:jc w:val="center"/>
            </w:pPr>
            <w:r>
              <w:rPr>
                <w:color w:val="000000"/>
                <w:sz w:val="24"/>
              </w:rPr>
              <w:t>1.81%</w:t>
            </w:r>
          </w:p>
        </w:tc>
        <w:tc>
          <w:tcPr>
            <w:tcW w:w="1267" w:type="dxa"/>
            <w:vAlign w:val="center"/>
          </w:tcPr>
          <w:p w:rsidR="00EB1FED" w:rsidRDefault="009F31AC">
            <w:pPr>
              <w:jc w:val="center"/>
            </w:pPr>
            <w:r>
              <w:rPr>
                <w:color w:val="000000"/>
                <w:sz w:val="24"/>
              </w:rPr>
              <w:t>0.08%</w:t>
            </w:r>
          </w:p>
        </w:tc>
        <w:tc>
          <w:tcPr>
            <w:tcW w:w="1267" w:type="dxa"/>
            <w:vAlign w:val="center"/>
          </w:tcPr>
          <w:p w:rsidR="00EB1FED" w:rsidRDefault="009F31AC">
            <w:pPr>
              <w:jc w:val="center"/>
            </w:pPr>
            <w:r>
              <w:rPr>
                <w:color w:val="000000"/>
                <w:sz w:val="24"/>
              </w:rPr>
              <w:t>0.49%</w:t>
            </w:r>
          </w:p>
        </w:tc>
        <w:tc>
          <w:tcPr>
            <w:tcW w:w="1267" w:type="dxa"/>
            <w:vAlign w:val="center"/>
          </w:tcPr>
          <w:p w:rsidR="00EB1FED" w:rsidRDefault="009F31AC">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B1FED">
        <w:trPr>
          <w:jc w:val="center"/>
        </w:trPr>
        <w:tc>
          <w:tcPr>
            <w:tcW w:w="1266" w:type="dxa"/>
            <w:vAlign w:val="center"/>
          </w:tcPr>
          <w:p w:rsidR="00EB1FED" w:rsidRDefault="009F31AC">
            <w:pPr>
              <w:jc w:val="left"/>
            </w:pPr>
            <w:r>
              <w:rPr>
                <w:color w:val="000000"/>
                <w:sz w:val="24"/>
              </w:rPr>
              <w:t>过去三个月</w:t>
            </w:r>
          </w:p>
        </w:tc>
        <w:tc>
          <w:tcPr>
            <w:tcW w:w="1267" w:type="dxa"/>
            <w:vAlign w:val="center"/>
          </w:tcPr>
          <w:p w:rsidR="00EB1FED" w:rsidRDefault="009F31AC">
            <w:pPr>
              <w:jc w:val="center"/>
            </w:pPr>
            <w:r>
              <w:rPr>
                <w:color w:val="000000"/>
                <w:sz w:val="24"/>
              </w:rPr>
              <w:t>2.22%</w:t>
            </w:r>
          </w:p>
        </w:tc>
        <w:tc>
          <w:tcPr>
            <w:tcW w:w="1267" w:type="dxa"/>
            <w:vAlign w:val="center"/>
          </w:tcPr>
          <w:p w:rsidR="00EB1FED" w:rsidRDefault="009F31AC">
            <w:pPr>
              <w:jc w:val="center"/>
            </w:pPr>
            <w:r>
              <w:rPr>
                <w:color w:val="000000"/>
                <w:sz w:val="24"/>
              </w:rPr>
              <w:t>0.08%</w:t>
            </w:r>
          </w:p>
        </w:tc>
        <w:tc>
          <w:tcPr>
            <w:tcW w:w="1267" w:type="dxa"/>
            <w:vAlign w:val="center"/>
          </w:tcPr>
          <w:p w:rsidR="00EB1FED" w:rsidRDefault="009F31AC">
            <w:pPr>
              <w:jc w:val="center"/>
            </w:pPr>
            <w:r>
              <w:rPr>
                <w:color w:val="000000"/>
                <w:sz w:val="24"/>
              </w:rPr>
              <w:t>1.81%</w:t>
            </w:r>
          </w:p>
        </w:tc>
        <w:tc>
          <w:tcPr>
            <w:tcW w:w="1267" w:type="dxa"/>
            <w:vAlign w:val="center"/>
          </w:tcPr>
          <w:p w:rsidR="00EB1FED" w:rsidRDefault="009F31AC">
            <w:pPr>
              <w:jc w:val="center"/>
            </w:pPr>
            <w:r>
              <w:rPr>
                <w:color w:val="000000"/>
                <w:sz w:val="24"/>
              </w:rPr>
              <w:t>0.08%</w:t>
            </w:r>
          </w:p>
        </w:tc>
        <w:tc>
          <w:tcPr>
            <w:tcW w:w="1267" w:type="dxa"/>
            <w:vAlign w:val="center"/>
          </w:tcPr>
          <w:p w:rsidR="00EB1FED" w:rsidRDefault="009F31AC">
            <w:pPr>
              <w:jc w:val="center"/>
            </w:pPr>
            <w:r>
              <w:rPr>
                <w:color w:val="000000"/>
                <w:sz w:val="24"/>
              </w:rPr>
              <w:t>0.41%</w:t>
            </w:r>
          </w:p>
        </w:tc>
        <w:tc>
          <w:tcPr>
            <w:tcW w:w="1267" w:type="dxa"/>
            <w:vAlign w:val="center"/>
          </w:tcPr>
          <w:p w:rsidR="00EB1FED" w:rsidRDefault="009F31AC">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9F31AC">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B1FED">
        <w:trPr>
          <w:jc w:val="center"/>
        </w:trPr>
        <w:tc>
          <w:tcPr>
            <w:tcW w:w="946" w:type="dxa"/>
            <w:vAlign w:val="center"/>
          </w:tcPr>
          <w:p w:rsidR="00EB1FED" w:rsidRDefault="009F31AC">
            <w:pPr>
              <w:jc w:val="center"/>
            </w:pPr>
            <w:r>
              <w:rPr>
                <w:color w:val="000000"/>
                <w:sz w:val="24"/>
              </w:rPr>
              <w:t>孙超</w:t>
            </w:r>
          </w:p>
        </w:tc>
        <w:tc>
          <w:tcPr>
            <w:tcW w:w="924" w:type="dxa"/>
            <w:vAlign w:val="center"/>
          </w:tcPr>
          <w:p w:rsidR="00EB1FED" w:rsidRDefault="009F31AC">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202" w:type="dxa"/>
            <w:vAlign w:val="center"/>
          </w:tcPr>
          <w:p w:rsidR="00EB1FED" w:rsidRDefault="009F31AC">
            <w:pPr>
              <w:jc w:val="center"/>
            </w:pPr>
            <w:r>
              <w:rPr>
                <w:color w:val="000000"/>
                <w:sz w:val="24"/>
              </w:rPr>
              <w:t>2014-08-26</w:t>
            </w:r>
          </w:p>
        </w:tc>
        <w:tc>
          <w:tcPr>
            <w:tcW w:w="1300" w:type="dxa"/>
            <w:vAlign w:val="center"/>
          </w:tcPr>
          <w:p w:rsidR="00EB1FED" w:rsidRDefault="009F31AC" w:rsidP="00E70986">
            <w:pPr>
              <w:jc w:val="center"/>
            </w:pPr>
            <w:r>
              <w:rPr>
                <w:color w:val="000000"/>
                <w:sz w:val="24"/>
              </w:rPr>
              <w:t>2015-11-</w:t>
            </w:r>
            <w:r w:rsidR="00E70986">
              <w:rPr>
                <w:color w:val="000000"/>
                <w:sz w:val="24"/>
              </w:rPr>
              <w:t>18</w:t>
            </w:r>
          </w:p>
        </w:tc>
        <w:tc>
          <w:tcPr>
            <w:tcW w:w="1245" w:type="dxa"/>
            <w:vAlign w:val="center"/>
          </w:tcPr>
          <w:p w:rsidR="00EB1FED" w:rsidRDefault="009F31AC">
            <w:pPr>
              <w:jc w:val="center"/>
            </w:pPr>
            <w:r>
              <w:rPr>
                <w:color w:val="000000"/>
                <w:sz w:val="24"/>
              </w:rPr>
              <w:t>4</w:t>
            </w:r>
            <w:r>
              <w:rPr>
                <w:color w:val="000000"/>
                <w:sz w:val="24"/>
              </w:rPr>
              <w:t>年</w:t>
            </w:r>
          </w:p>
        </w:tc>
        <w:tc>
          <w:tcPr>
            <w:tcW w:w="3251" w:type="dxa"/>
            <w:vAlign w:val="center"/>
          </w:tcPr>
          <w:p w:rsidR="00EB1FED" w:rsidRDefault="009F31A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E70986">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E70986">
              <w:rPr>
                <w:color w:val="000000"/>
                <w:sz w:val="24"/>
              </w:rPr>
              <w:t>17</w:t>
            </w:r>
            <w:r>
              <w:rPr>
                <w:color w:val="000000"/>
                <w:sz w:val="24"/>
              </w:rPr>
              <w:t>日担任交银施罗德双轮动债券型证券投资基金基金经理。</w:t>
            </w:r>
          </w:p>
        </w:tc>
      </w:tr>
      <w:tr w:rsidR="00EB1FED">
        <w:trPr>
          <w:jc w:val="center"/>
        </w:trPr>
        <w:tc>
          <w:tcPr>
            <w:tcW w:w="946" w:type="dxa"/>
            <w:vAlign w:val="center"/>
          </w:tcPr>
          <w:p w:rsidR="00EB1FED" w:rsidRDefault="009F31AC">
            <w:pPr>
              <w:jc w:val="center"/>
            </w:pPr>
            <w:r>
              <w:rPr>
                <w:color w:val="000000"/>
                <w:sz w:val="24"/>
              </w:rPr>
              <w:t>唐赟</w:t>
            </w:r>
          </w:p>
        </w:tc>
        <w:tc>
          <w:tcPr>
            <w:tcW w:w="924" w:type="dxa"/>
            <w:vAlign w:val="center"/>
          </w:tcPr>
          <w:p w:rsidR="00EB1FED" w:rsidRDefault="009F31AC">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EB1FED" w:rsidRDefault="009F31AC">
            <w:pPr>
              <w:jc w:val="center"/>
            </w:pPr>
            <w:r>
              <w:rPr>
                <w:color w:val="000000"/>
                <w:sz w:val="24"/>
              </w:rPr>
              <w:t>2015-08-04</w:t>
            </w:r>
          </w:p>
        </w:tc>
        <w:tc>
          <w:tcPr>
            <w:tcW w:w="1300" w:type="dxa"/>
            <w:vAlign w:val="center"/>
          </w:tcPr>
          <w:p w:rsidR="00EB1FED" w:rsidRDefault="009F31AC">
            <w:pPr>
              <w:jc w:val="center"/>
            </w:pPr>
            <w:r>
              <w:rPr>
                <w:color w:val="000000"/>
                <w:sz w:val="24"/>
              </w:rPr>
              <w:t>-</w:t>
            </w:r>
          </w:p>
        </w:tc>
        <w:tc>
          <w:tcPr>
            <w:tcW w:w="1245" w:type="dxa"/>
            <w:vAlign w:val="center"/>
          </w:tcPr>
          <w:p w:rsidR="00EB1FED" w:rsidRDefault="009F31AC">
            <w:pPr>
              <w:jc w:val="center"/>
            </w:pPr>
            <w:r>
              <w:rPr>
                <w:color w:val="000000"/>
                <w:sz w:val="24"/>
              </w:rPr>
              <w:t>3</w:t>
            </w:r>
            <w:r>
              <w:rPr>
                <w:color w:val="000000"/>
                <w:sz w:val="24"/>
              </w:rPr>
              <w:t>年</w:t>
            </w:r>
          </w:p>
        </w:tc>
        <w:tc>
          <w:tcPr>
            <w:tcW w:w="3251" w:type="dxa"/>
            <w:vAlign w:val="center"/>
          </w:tcPr>
          <w:p w:rsidR="00EB1FED" w:rsidRDefault="009F31AC">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B1FED" w:rsidRDefault="009F31A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1FED" w:rsidRDefault="009F31A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1FED" w:rsidRDefault="009F31A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EB1FED" w:rsidRDefault="009F31AC">
      <w:pPr>
        <w:spacing w:before="29" w:line="288" w:lineRule="auto"/>
        <w:ind w:firstLineChars="200" w:firstLine="480"/>
        <w:rPr>
          <w:color w:val="000000"/>
          <w:sz w:val="24"/>
        </w:rPr>
      </w:pPr>
      <w:r>
        <w:rPr>
          <w:color w:val="000000"/>
          <w:sz w:val="24"/>
        </w:rPr>
        <w:t>本报告期内，债券市场虽在</w:t>
      </w:r>
      <w:r>
        <w:rPr>
          <w:color w:val="000000"/>
          <w:sz w:val="24"/>
        </w:rPr>
        <w:t>11</w:t>
      </w:r>
      <w:r>
        <w:rPr>
          <w:color w:val="000000"/>
          <w:sz w:val="24"/>
        </w:rPr>
        <w:t>月受到</w:t>
      </w:r>
      <w:r>
        <w:rPr>
          <w:color w:val="000000"/>
          <w:sz w:val="24"/>
        </w:rPr>
        <w:t>IPO</w:t>
      </w:r>
      <w:r>
        <w:rPr>
          <w:color w:val="000000"/>
          <w:sz w:val="24"/>
        </w:rPr>
        <w:t>重启的冲击有一定幅度的上行，但由于对人民币汇率担忧情绪的缓解、货币政策维持宽松、资产欠配环境持续存在等原因，收益率整体上仍然下行。股票市场在</w:t>
      </w:r>
      <w:r>
        <w:rPr>
          <w:color w:val="000000"/>
          <w:sz w:val="24"/>
        </w:rPr>
        <w:t>10</w:t>
      </w:r>
      <w:r>
        <w:rPr>
          <w:color w:val="000000"/>
          <w:sz w:val="24"/>
        </w:rPr>
        <w:t>月明显反弹，进入</w:t>
      </w:r>
      <w:r>
        <w:rPr>
          <w:color w:val="000000"/>
          <w:sz w:val="24"/>
        </w:rPr>
        <w:t>11</w:t>
      </w:r>
      <w:r>
        <w:rPr>
          <w:color w:val="000000"/>
          <w:sz w:val="24"/>
        </w:rPr>
        <w:t>月中后则呈现横盘震荡的格局。</w:t>
      </w:r>
    </w:p>
    <w:p w:rsidR="00EB1FED" w:rsidRDefault="009F31AC">
      <w:pPr>
        <w:spacing w:before="29" w:line="288" w:lineRule="auto"/>
        <w:ind w:firstLineChars="200" w:firstLine="480"/>
        <w:rPr>
          <w:color w:val="000000"/>
          <w:sz w:val="24"/>
        </w:rPr>
      </w:pPr>
      <w:r>
        <w:rPr>
          <w:color w:val="000000"/>
          <w:sz w:val="24"/>
        </w:rPr>
        <w:t>本报告期内，本基金在</w:t>
      </w:r>
      <w:r>
        <w:rPr>
          <w:color w:val="000000"/>
          <w:sz w:val="24"/>
        </w:rPr>
        <w:t>10</w:t>
      </w:r>
      <w:r>
        <w:rPr>
          <w:color w:val="000000"/>
          <w:sz w:val="24"/>
        </w:rPr>
        <w:t>月底降低了组合的久期，一定程度上避免了</w:t>
      </w:r>
      <w:r>
        <w:rPr>
          <w:color w:val="000000"/>
          <w:sz w:val="24"/>
        </w:rPr>
        <w:t>11</w:t>
      </w:r>
      <w:r>
        <w:rPr>
          <w:color w:val="000000"/>
          <w:sz w:val="24"/>
        </w:rPr>
        <w:t>月债券收益率反弹带来的债券资产的净值回撤，并在</w:t>
      </w:r>
      <w:r>
        <w:rPr>
          <w:color w:val="000000"/>
          <w:sz w:val="24"/>
        </w:rPr>
        <w:t>11</w:t>
      </w:r>
      <w:r>
        <w:rPr>
          <w:color w:val="000000"/>
          <w:sz w:val="24"/>
        </w:rPr>
        <w:t>月底</w:t>
      </w:r>
      <w:r>
        <w:rPr>
          <w:color w:val="000000"/>
          <w:sz w:val="24"/>
        </w:rPr>
        <w:t>12</w:t>
      </w:r>
      <w:r>
        <w:rPr>
          <w:color w:val="000000"/>
          <w:sz w:val="24"/>
        </w:rPr>
        <w:t>月初加回了一定仓位，参与了</w:t>
      </w:r>
      <w:r>
        <w:rPr>
          <w:color w:val="000000"/>
          <w:sz w:val="24"/>
        </w:rPr>
        <w:t>12</w:t>
      </w:r>
      <w:r>
        <w:rPr>
          <w:color w:val="000000"/>
          <w:sz w:val="24"/>
        </w:rPr>
        <w:t>月债券收益率的下行。权益资产方面，本基金在</w:t>
      </w:r>
      <w:r>
        <w:rPr>
          <w:color w:val="000000"/>
          <w:sz w:val="24"/>
        </w:rPr>
        <w:t>10</w:t>
      </w:r>
      <w:r>
        <w:rPr>
          <w:color w:val="000000"/>
          <w:sz w:val="24"/>
        </w:rPr>
        <w:t>月至</w:t>
      </w:r>
      <w:r>
        <w:rPr>
          <w:color w:val="000000"/>
          <w:sz w:val="24"/>
        </w:rPr>
        <w:t>11</w:t>
      </w:r>
      <w:r>
        <w:rPr>
          <w:color w:val="000000"/>
          <w:sz w:val="24"/>
        </w:rPr>
        <w:t>月初高配股票资产，充分参与了股票市场的反弹。</w:t>
      </w:r>
      <w:r>
        <w:rPr>
          <w:color w:val="000000"/>
          <w:sz w:val="24"/>
        </w:rPr>
        <w:t>11</w:t>
      </w:r>
      <w:r>
        <w:rPr>
          <w:color w:val="000000"/>
          <w:sz w:val="24"/>
        </w:rPr>
        <w:t>月中市场进入震荡后，则降低股票仓位至中、低配置，以控制回撤。</w:t>
      </w:r>
    </w:p>
    <w:p w:rsidR="00EB1FED" w:rsidRDefault="009F31AC">
      <w:pPr>
        <w:spacing w:before="29" w:line="288" w:lineRule="auto"/>
        <w:ind w:firstLineChars="200" w:firstLine="480"/>
        <w:rPr>
          <w:color w:val="000000"/>
          <w:sz w:val="24"/>
        </w:rPr>
      </w:pPr>
      <w:r>
        <w:rPr>
          <w:color w:val="000000"/>
          <w:sz w:val="24"/>
        </w:rPr>
        <w:t>展望</w:t>
      </w:r>
      <w:r>
        <w:rPr>
          <w:color w:val="000000"/>
          <w:sz w:val="24"/>
        </w:rPr>
        <w:t>2016</w:t>
      </w:r>
      <w:r>
        <w:rPr>
          <w:color w:val="000000"/>
          <w:sz w:val="24"/>
        </w:rPr>
        <w:t>年一季度，预计债券市场资金配置需求依然强烈，股票市场可能处于震荡行情，高收益资产稀缺，在各大类资产中债券仍然有一定配置价值，但较</w:t>
      </w:r>
      <w:r>
        <w:rPr>
          <w:color w:val="000000"/>
          <w:sz w:val="24"/>
        </w:rPr>
        <w:t>2015</w:t>
      </w:r>
      <w:r>
        <w:rPr>
          <w:color w:val="000000"/>
          <w:sz w:val="24"/>
        </w:rPr>
        <w:t>年下半年可能有所降低。最新的经济数据显示基本面依然疲弱，通胀仍然维持低位，且一季度通常市场配置力度都较大，这都有利于中长期利率下行。但是经过</w:t>
      </w:r>
      <w:r>
        <w:rPr>
          <w:color w:val="000000"/>
          <w:sz w:val="24"/>
        </w:rPr>
        <w:t>2015</w:t>
      </w:r>
      <w:r>
        <w:rPr>
          <w:color w:val="000000"/>
          <w:sz w:val="24"/>
        </w:rPr>
        <w:t>年四季度收益率的快速下行，目前长期限债券收益率和短端资金价格之间的利差已压缩至很窄的水平，债券收益率已充分反应了短端资金价格进一步下调预期。目前货币政策一定程度受到汇率、资本流出压力的限制，货币政策能否在短期内引导资金价格进一步下行难言确定。在资金价格进一步下调以前，债券收益率可能出现一定程度的震荡。同时我们关注</w:t>
      </w:r>
      <w:r>
        <w:rPr>
          <w:color w:val="000000"/>
          <w:sz w:val="24"/>
        </w:rPr>
        <w:t>2016</w:t>
      </w:r>
      <w:r>
        <w:rPr>
          <w:color w:val="000000"/>
          <w:sz w:val="24"/>
        </w:rPr>
        <w:t>年政府稳增长力度超出预期、资本流出压力进一步加大等潜在的风险因素。另外，随着</w:t>
      </w:r>
      <w:r>
        <w:rPr>
          <w:color w:val="000000"/>
          <w:sz w:val="24"/>
        </w:rPr>
        <w:t>“</w:t>
      </w:r>
      <w:r>
        <w:rPr>
          <w:color w:val="000000"/>
          <w:sz w:val="24"/>
        </w:rPr>
        <w:t>刚兑</w:t>
      </w:r>
      <w:r>
        <w:rPr>
          <w:color w:val="000000"/>
          <w:sz w:val="24"/>
        </w:rPr>
        <w:t>”</w:t>
      </w:r>
      <w:r>
        <w:rPr>
          <w:color w:val="000000"/>
          <w:sz w:val="24"/>
        </w:rPr>
        <w:t>的不断打破，债券市场的信用风险不断加大，能否有效规避潜在的信用风险，将对债券组合的收益产生较为重大的影响。</w:t>
      </w:r>
    </w:p>
    <w:p w:rsidR="00952A72" w:rsidRPr="007F52FA" w:rsidRDefault="00323F25" w:rsidP="007C14DF">
      <w:pPr>
        <w:spacing w:before="29" w:line="288" w:lineRule="auto"/>
        <w:ind w:firstLineChars="200" w:firstLine="480"/>
        <w:rPr>
          <w:color w:val="000000"/>
          <w:sz w:val="24"/>
        </w:rPr>
      </w:pPr>
      <w:r w:rsidRPr="007F52FA">
        <w:rPr>
          <w:color w:val="000000"/>
          <w:sz w:val="24"/>
        </w:rPr>
        <w:t>对于权益资产，我们认为目前流动性较为泛滥，而能够满足收益率要求的资产相对欠缺，即所谓</w:t>
      </w:r>
      <w:r w:rsidRPr="007F52FA">
        <w:rPr>
          <w:color w:val="000000"/>
          <w:sz w:val="24"/>
        </w:rPr>
        <w:t>“</w:t>
      </w:r>
      <w:r w:rsidRPr="007F52FA">
        <w:rPr>
          <w:color w:val="000000"/>
          <w:sz w:val="24"/>
        </w:rPr>
        <w:t>资产荒</w:t>
      </w:r>
      <w:r w:rsidRPr="007F52FA">
        <w:rPr>
          <w:color w:val="000000"/>
          <w:sz w:val="24"/>
        </w:rPr>
        <w:t>”</w:t>
      </w:r>
      <w:r w:rsidRPr="007F52FA">
        <w:rPr>
          <w:color w:val="000000"/>
          <w:sz w:val="24"/>
        </w:rPr>
        <w:t>的格局仍将延续。在债券资产能够提供的回报率已经大幅下降的背景下，机构及个人或都倾向于提高风险偏好，增配权益类资产，以增强收益。因此从大类资产配置的角度看，</w:t>
      </w:r>
      <w:r w:rsidRPr="007F52FA">
        <w:rPr>
          <w:color w:val="000000"/>
          <w:sz w:val="24"/>
        </w:rPr>
        <w:t>2016</w:t>
      </w:r>
      <w:r w:rsidRPr="007F52FA">
        <w:rPr>
          <w:color w:val="000000"/>
          <w:sz w:val="24"/>
        </w:rPr>
        <w:t>年的权益类市场仍值得期待。但经历过今年的股灾之后，监管对市场过度加杠杆的行为必将严加限制。因此资金配置的速度预计无法复制</w:t>
      </w:r>
      <w:r w:rsidRPr="007F52FA">
        <w:rPr>
          <w:color w:val="000000"/>
          <w:sz w:val="24"/>
        </w:rPr>
        <w:t>2015</w:t>
      </w:r>
      <w:r w:rsidRPr="007F52FA">
        <w:rPr>
          <w:color w:val="000000"/>
          <w:sz w:val="24"/>
        </w:rPr>
        <w:t>年上半年时的情形，权益类市场更可能呈现震荡、慢牛的格局。作为债券型基金，更需要注重控制市场震荡带来的回撤风险。转债市场短期内将面临巨量供给，目前刚性配置维持转债较高估值及绝对价格的情况可能会有所改变。本基金预计将在一季度择机加大权益类资产配置，以参与潜在的春季行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1.066</w:t>
      </w:r>
      <w:r w:rsidRPr="007F52FA">
        <w:rPr>
          <w:color w:val="000000"/>
          <w:sz w:val="24"/>
        </w:rPr>
        <w:t>元，本报告期份额净值增长率为</w:t>
      </w:r>
      <w:r w:rsidRPr="007F52FA">
        <w:rPr>
          <w:color w:val="000000"/>
          <w:sz w:val="24"/>
        </w:rPr>
        <w:t>2.30%</w:t>
      </w:r>
      <w:r w:rsidRPr="007F52FA">
        <w:rPr>
          <w:color w:val="000000"/>
          <w:sz w:val="24"/>
        </w:rPr>
        <w:t>，同期业绩比较基准增长率为</w:t>
      </w:r>
      <w:r w:rsidRPr="007F52FA">
        <w:rPr>
          <w:color w:val="000000"/>
          <w:sz w:val="24"/>
        </w:rPr>
        <w:t>1.81%</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1.055</w:t>
      </w:r>
      <w:r w:rsidRPr="007F52FA">
        <w:rPr>
          <w:color w:val="000000"/>
          <w:sz w:val="24"/>
        </w:rPr>
        <w:t>元，本报告期份额净值增长率为</w:t>
      </w:r>
      <w:r w:rsidRPr="007F52FA">
        <w:rPr>
          <w:color w:val="000000"/>
          <w:sz w:val="24"/>
        </w:rPr>
        <w:t>2.22%</w:t>
      </w:r>
      <w:r w:rsidRPr="007F52FA">
        <w:rPr>
          <w:color w:val="000000"/>
          <w:sz w:val="24"/>
        </w:rPr>
        <w:t>，同期业绩比较基准增长率为</w:t>
      </w:r>
      <w:r w:rsidRPr="007F52FA">
        <w:rPr>
          <w:color w:val="000000"/>
          <w:sz w:val="24"/>
        </w:rPr>
        <w:t>1.81%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9F31AC">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3,614,506,926.00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3,351,307,926.00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263,199,000.00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7.12</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4,944,461.18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77,390,065.93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3,696,841,453.11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80,984,000.00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629,900,746.00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629,900,746.00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1,760,149,180.00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241,005,000.00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639,269,000.00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20.26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3,351,307,926.00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B1FED">
        <w:trPr>
          <w:jc w:val="center"/>
        </w:trPr>
        <w:tc>
          <w:tcPr>
            <w:tcW w:w="1075" w:type="dxa"/>
            <w:vAlign w:val="center"/>
          </w:tcPr>
          <w:p w:rsidR="00EB1FED" w:rsidRDefault="009F31AC">
            <w:pPr>
              <w:jc w:val="center"/>
            </w:pPr>
            <w:r>
              <w:rPr>
                <w:color w:val="000000"/>
                <w:sz w:val="24"/>
              </w:rPr>
              <w:t>1</w:t>
            </w:r>
          </w:p>
        </w:tc>
        <w:tc>
          <w:tcPr>
            <w:tcW w:w="1533" w:type="dxa"/>
            <w:vAlign w:val="center"/>
          </w:tcPr>
          <w:p w:rsidR="00EB1FED" w:rsidRDefault="009F31AC">
            <w:pPr>
              <w:jc w:val="center"/>
            </w:pPr>
            <w:r>
              <w:rPr>
                <w:color w:val="000000"/>
                <w:sz w:val="24"/>
              </w:rPr>
              <w:t>150210</w:t>
            </w:r>
          </w:p>
        </w:tc>
        <w:tc>
          <w:tcPr>
            <w:tcW w:w="1533" w:type="dxa"/>
            <w:vAlign w:val="center"/>
          </w:tcPr>
          <w:p w:rsidR="00EB1FED" w:rsidRDefault="009F31AC">
            <w:pPr>
              <w:jc w:val="center"/>
            </w:pPr>
            <w:r>
              <w:rPr>
                <w:color w:val="000000"/>
                <w:sz w:val="24"/>
              </w:rPr>
              <w:t>15</w:t>
            </w:r>
            <w:r>
              <w:rPr>
                <w:color w:val="000000"/>
                <w:sz w:val="24"/>
              </w:rPr>
              <w:t>国开</w:t>
            </w:r>
            <w:r>
              <w:rPr>
                <w:color w:val="000000"/>
                <w:sz w:val="24"/>
              </w:rPr>
              <w:t>10</w:t>
            </w:r>
          </w:p>
        </w:tc>
        <w:tc>
          <w:tcPr>
            <w:tcW w:w="1394" w:type="dxa"/>
            <w:vAlign w:val="center"/>
          </w:tcPr>
          <w:p w:rsidR="00EB1FED" w:rsidRDefault="009F31AC">
            <w:pPr>
              <w:jc w:val="right"/>
            </w:pPr>
            <w:r>
              <w:rPr>
                <w:color w:val="000000"/>
                <w:sz w:val="24"/>
              </w:rPr>
              <w:t>2,900,000</w:t>
            </w:r>
          </w:p>
        </w:tc>
        <w:tc>
          <w:tcPr>
            <w:tcW w:w="1944" w:type="dxa"/>
            <w:vAlign w:val="center"/>
          </w:tcPr>
          <w:p w:rsidR="00EB1FED" w:rsidRDefault="009F31AC">
            <w:pPr>
              <w:jc w:val="right"/>
            </w:pPr>
            <w:r>
              <w:rPr>
                <w:color w:val="000000"/>
                <w:sz w:val="24"/>
              </w:rPr>
              <w:t>314,244,000.00</w:t>
            </w:r>
          </w:p>
        </w:tc>
        <w:tc>
          <w:tcPr>
            <w:tcW w:w="1389" w:type="dxa"/>
            <w:vAlign w:val="center"/>
          </w:tcPr>
          <w:p w:rsidR="00EB1FED" w:rsidRDefault="009F31AC">
            <w:pPr>
              <w:jc w:val="right"/>
            </w:pPr>
            <w:r>
              <w:rPr>
                <w:color w:val="000000"/>
                <w:sz w:val="24"/>
              </w:rPr>
              <w:t>9.96</w:t>
            </w:r>
          </w:p>
        </w:tc>
      </w:tr>
      <w:tr w:rsidR="00EB1FED">
        <w:trPr>
          <w:jc w:val="center"/>
        </w:trPr>
        <w:tc>
          <w:tcPr>
            <w:tcW w:w="1075" w:type="dxa"/>
            <w:vAlign w:val="center"/>
          </w:tcPr>
          <w:p w:rsidR="00EB1FED" w:rsidRDefault="009F31AC">
            <w:pPr>
              <w:jc w:val="center"/>
            </w:pPr>
            <w:r>
              <w:rPr>
                <w:color w:val="000000"/>
                <w:sz w:val="24"/>
              </w:rPr>
              <w:t>2</w:t>
            </w:r>
          </w:p>
        </w:tc>
        <w:tc>
          <w:tcPr>
            <w:tcW w:w="1533" w:type="dxa"/>
            <w:vAlign w:val="center"/>
          </w:tcPr>
          <w:p w:rsidR="00EB1FED" w:rsidRDefault="009F31AC">
            <w:pPr>
              <w:jc w:val="center"/>
            </w:pPr>
            <w:r>
              <w:rPr>
                <w:color w:val="000000"/>
                <w:sz w:val="24"/>
              </w:rPr>
              <w:t>1380137</w:t>
            </w:r>
          </w:p>
        </w:tc>
        <w:tc>
          <w:tcPr>
            <w:tcW w:w="1533" w:type="dxa"/>
            <w:vAlign w:val="center"/>
          </w:tcPr>
          <w:p w:rsidR="00EB1FED" w:rsidRDefault="009F31AC">
            <w:pPr>
              <w:jc w:val="center"/>
            </w:pPr>
            <w:r>
              <w:rPr>
                <w:color w:val="000000"/>
                <w:sz w:val="24"/>
              </w:rPr>
              <w:t>13</w:t>
            </w:r>
            <w:r>
              <w:rPr>
                <w:color w:val="000000"/>
                <w:sz w:val="24"/>
              </w:rPr>
              <w:t>武地产债</w:t>
            </w:r>
          </w:p>
        </w:tc>
        <w:tc>
          <w:tcPr>
            <w:tcW w:w="1394" w:type="dxa"/>
            <w:vAlign w:val="center"/>
          </w:tcPr>
          <w:p w:rsidR="00EB1FED" w:rsidRDefault="009F31AC">
            <w:pPr>
              <w:jc w:val="right"/>
            </w:pPr>
            <w:r>
              <w:rPr>
                <w:color w:val="000000"/>
                <w:sz w:val="24"/>
              </w:rPr>
              <w:t>1,500,000</w:t>
            </w:r>
          </w:p>
        </w:tc>
        <w:tc>
          <w:tcPr>
            <w:tcW w:w="1944" w:type="dxa"/>
            <w:vAlign w:val="center"/>
          </w:tcPr>
          <w:p w:rsidR="00EB1FED" w:rsidRDefault="009F31AC">
            <w:pPr>
              <w:jc w:val="right"/>
            </w:pPr>
            <w:r>
              <w:rPr>
                <w:color w:val="000000"/>
                <w:sz w:val="24"/>
              </w:rPr>
              <w:t>156,960,000.00</w:t>
            </w:r>
          </w:p>
        </w:tc>
        <w:tc>
          <w:tcPr>
            <w:tcW w:w="1389" w:type="dxa"/>
            <w:vAlign w:val="center"/>
          </w:tcPr>
          <w:p w:rsidR="00EB1FED" w:rsidRDefault="009F31AC">
            <w:pPr>
              <w:jc w:val="right"/>
            </w:pPr>
            <w:r>
              <w:rPr>
                <w:color w:val="000000"/>
                <w:sz w:val="24"/>
              </w:rPr>
              <w:t>4.97</w:t>
            </w:r>
          </w:p>
        </w:tc>
      </w:tr>
      <w:tr w:rsidR="00EB1FED">
        <w:trPr>
          <w:jc w:val="center"/>
        </w:trPr>
        <w:tc>
          <w:tcPr>
            <w:tcW w:w="1075" w:type="dxa"/>
            <w:vAlign w:val="center"/>
          </w:tcPr>
          <w:p w:rsidR="00EB1FED" w:rsidRDefault="009F31AC">
            <w:pPr>
              <w:jc w:val="center"/>
            </w:pPr>
            <w:r>
              <w:rPr>
                <w:color w:val="000000"/>
                <w:sz w:val="24"/>
              </w:rPr>
              <w:t>3</w:t>
            </w:r>
          </w:p>
        </w:tc>
        <w:tc>
          <w:tcPr>
            <w:tcW w:w="1533" w:type="dxa"/>
            <w:vAlign w:val="center"/>
          </w:tcPr>
          <w:p w:rsidR="00EB1FED" w:rsidRDefault="009F31AC">
            <w:pPr>
              <w:jc w:val="center"/>
            </w:pPr>
            <w:r>
              <w:rPr>
                <w:color w:val="000000"/>
                <w:sz w:val="24"/>
              </w:rPr>
              <w:t>1380185</w:t>
            </w:r>
          </w:p>
        </w:tc>
        <w:tc>
          <w:tcPr>
            <w:tcW w:w="1533" w:type="dxa"/>
            <w:vAlign w:val="center"/>
          </w:tcPr>
          <w:p w:rsidR="00EB1FED" w:rsidRDefault="009F31AC">
            <w:pPr>
              <w:jc w:val="center"/>
            </w:pPr>
            <w:r>
              <w:rPr>
                <w:color w:val="000000"/>
                <w:sz w:val="24"/>
              </w:rPr>
              <w:t>13</w:t>
            </w:r>
            <w:r>
              <w:rPr>
                <w:color w:val="000000"/>
                <w:sz w:val="24"/>
              </w:rPr>
              <w:t>鞍山城投债</w:t>
            </w:r>
          </w:p>
        </w:tc>
        <w:tc>
          <w:tcPr>
            <w:tcW w:w="1394" w:type="dxa"/>
            <w:vAlign w:val="center"/>
          </w:tcPr>
          <w:p w:rsidR="00EB1FED" w:rsidRDefault="009F31AC">
            <w:pPr>
              <w:jc w:val="right"/>
            </w:pPr>
            <w:r>
              <w:rPr>
                <w:color w:val="000000"/>
                <w:sz w:val="24"/>
              </w:rPr>
              <w:t>1,400,000</w:t>
            </w:r>
          </w:p>
        </w:tc>
        <w:tc>
          <w:tcPr>
            <w:tcW w:w="1944" w:type="dxa"/>
            <w:vAlign w:val="center"/>
          </w:tcPr>
          <w:p w:rsidR="00EB1FED" w:rsidRDefault="009F31AC">
            <w:pPr>
              <w:jc w:val="right"/>
            </w:pPr>
            <w:r>
              <w:rPr>
                <w:color w:val="000000"/>
                <w:sz w:val="24"/>
              </w:rPr>
              <w:t>149,380,000.00</w:t>
            </w:r>
          </w:p>
        </w:tc>
        <w:tc>
          <w:tcPr>
            <w:tcW w:w="1389" w:type="dxa"/>
            <w:vAlign w:val="center"/>
          </w:tcPr>
          <w:p w:rsidR="00EB1FED" w:rsidRDefault="009F31AC">
            <w:pPr>
              <w:jc w:val="right"/>
            </w:pPr>
            <w:r>
              <w:rPr>
                <w:color w:val="000000"/>
                <w:sz w:val="24"/>
              </w:rPr>
              <w:t>4.73</w:t>
            </w:r>
          </w:p>
        </w:tc>
      </w:tr>
      <w:tr w:rsidR="00EB1FED">
        <w:trPr>
          <w:jc w:val="center"/>
        </w:trPr>
        <w:tc>
          <w:tcPr>
            <w:tcW w:w="1075" w:type="dxa"/>
            <w:vAlign w:val="center"/>
          </w:tcPr>
          <w:p w:rsidR="00EB1FED" w:rsidRDefault="009F31AC">
            <w:pPr>
              <w:jc w:val="center"/>
            </w:pPr>
            <w:r>
              <w:rPr>
                <w:color w:val="000000"/>
                <w:sz w:val="24"/>
              </w:rPr>
              <w:t>4</w:t>
            </w:r>
          </w:p>
        </w:tc>
        <w:tc>
          <w:tcPr>
            <w:tcW w:w="1533" w:type="dxa"/>
            <w:vAlign w:val="center"/>
          </w:tcPr>
          <w:p w:rsidR="00EB1FED" w:rsidRDefault="009F31AC">
            <w:pPr>
              <w:jc w:val="center"/>
            </w:pPr>
            <w:r>
              <w:rPr>
                <w:color w:val="000000"/>
                <w:sz w:val="24"/>
              </w:rPr>
              <w:t>1480138</w:t>
            </w:r>
          </w:p>
        </w:tc>
        <w:tc>
          <w:tcPr>
            <w:tcW w:w="1533" w:type="dxa"/>
            <w:vAlign w:val="center"/>
          </w:tcPr>
          <w:p w:rsidR="00EB1FED" w:rsidRDefault="009F31AC">
            <w:pPr>
              <w:jc w:val="center"/>
            </w:pPr>
            <w:r>
              <w:rPr>
                <w:color w:val="000000"/>
                <w:sz w:val="24"/>
              </w:rPr>
              <w:t>14</w:t>
            </w:r>
            <w:r>
              <w:rPr>
                <w:color w:val="000000"/>
                <w:sz w:val="24"/>
              </w:rPr>
              <w:t>津环城债</w:t>
            </w:r>
          </w:p>
        </w:tc>
        <w:tc>
          <w:tcPr>
            <w:tcW w:w="1394" w:type="dxa"/>
            <w:vAlign w:val="center"/>
          </w:tcPr>
          <w:p w:rsidR="00EB1FED" w:rsidRDefault="009F31AC">
            <w:pPr>
              <w:jc w:val="right"/>
            </w:pPr>
            <w:r>
              <w:rPr>
                <w:color w:val="000000"/>
                <w:sz w:val="24"/>
              </w:rPr>
              <w:t>1,300,000</w:t>
            </w:r>
          </w:p>
        </w:tc>
        <w:tc>
          <w:tcPr>
            <w:tcW w:w="1944" w:type="dxa"/>
            <w:vAlign w:val="center"/>
          </w:tcPr>
          <w:p w:rsidR="00EB1FED" w:rsidRDefault="009F31AC">
            <w:pPr>
              <w:jc w:val="right"/>
            </w:pPr>
            <w:r>
              <w:rPr>
                <w:color w:val="000000"/>
                <w:sz w:val="24"/>
              </w:rPr>
              <w:t>144,183,000.00</w:t>
            </w:r>
          </w:p>
        </w:tc>
        <w:tc>
          <w:tcPr>
            <w:tcW w:w="1389" w:type="dxa"/>
            <w:vAlign w:val="center"/>
          </w:tcPr>
          <w:p w:rsidR="00EB1FED" w:rsidRDefault="009F31AC">
            <w:pPr>
              <w:jc w:val="right"/>
            </w:pPr>
            <w:r>
              <w:rPr>
                <w:color w:val="000000"/>
                <w:sz w:val="24"/>
              </w:rPr>
              <w:t>4.57</w:t>
            </w:r>
          </w:p>
        </w:tc>
      </w:tr>
      <w:tr w:rsidR="00EB1FED">
        <w:trPr>
          <w:jc w:val="center"/>
        </w:trPr>
        <w:tc>
          <w:tcPr>
            <w:tcW w:w="1075" w:type="dxa"/>
            <w:vAlign w:val="center"/>
          </w:tcPr>
          <w:p w:rsidR="00EB1FED" w:rsidRDefault="009F31AC">
            <w:pPr>
              <w:jc w:val="center"/>
            </w:pPr>
            <w:r>
              <w:rPr>
                <w:color w:val="000000"/>
                <w:sz w:val="24"/>
              </w:rPr>
              <w:t>5</w:t>
            </w:r>
          </w:p>
        </w:tc>
        <w:tc>
          <w:tcPr>
            <w:tcW w:w="1533" w:type="dxa"/>
            <w:vAlign w:val="center"/>
          </w:tcPr>
          <w:p w:rsidR="00EB1FED" w:rsidRDefault="009F31AC">
            <w:pPr>
              <w:jc w:val="center"/>
            </w:pPr>
            <w:r>
              <w:rPr>
                <w:color w:val="000000"/>
                <w:sz w:val="24"/>
              </w:rPr>
              <w:t>150416</w:t>
            </w:r>
          </w:p>
        </w:tc>
        <w:tc>
          <w:tcPr>
            <w:tcW w:w="1533" w:type="dxa"/>
            <w:vAlign w:val="center"/>
          </w:tcPr>
          <w:p w:rsidR="00EB1FED" w:rsidRDefault="009F31AC">
            <w:pPr>
              <w:jc w:val="center"/>
            </w:pPr>
            <w:r>
              <w:rPr>
                <w:color w:val="000000"/>
                <w:sz w:val="24"/>
              </w:rPr>
              <w:t>15</w:t>
            </w:r>
            <w:r>
              <w:rPr>
                <w:color w:val="000000"/>
                <w:sz w:val="24"/>
              </w:rPr>
              <w:t>农发</w:t>
            </w:r>
            <w:r>
              <w:rPr>
                <w:color w:val="000000"/>
                <w:sz w:val="24"/>
              </w:rPr>
              <w:t>16</w:t>
            </w:r>
          </w:p>
        </w:tc>
        <w:tc>
          <w:tcPr>
            <w:tcW w:w="1394" w:type="dxa"/>
            <w:vAlign w:val="center"/>
          </w:tcPr>
          <w:p w:rsidR="00EB1FED" w:rsidRDefault="009F31AC">
            <w:pPr>
              <w:jc w:val="right"/>
            </w:pPr>
            <w:r>
              <w:rPr>
                <w:color w:val="000000"/>
                <w:sz w:val="24"/>
              </w:rPr>
              <w:t>1,400,000</w:t>
            </w:r>
          </w:p>
        </w:tc>
        <w:tc>
          <w:tcPr>
            <w:tcW w:w="1944" w:type="dxa"/>
            <w:vAlign w:val="center"/>
          </w:tcPr>
          <w:p w:rsidR="00EB1FED" w:rsidRDefault="009F31AC">
            <w:pPr>
              <w:jc w:val="right"/>
            </w:pPr>
            <w:r>
              <w:rPr>
                <w:color w:val="000000"/>
                <w:sz w:val="24"/>
              </w:rPr>
              <w:t>140,322,000.00</w:t>
            </w:r>
          </w:p>
        </w:tc>
        <w:tc>
          <w:tcPr>
            <w:tcW w:w="1389" w:type="dxa"/>
            <w:vAlign w:val="center"/>
          </w:tcPr>
          <w:p w:rsidR="00EB1FED" w:rsidRDefault="009F31AC">
            <w:pPr>
              <w:jc w:val="right"/>
            </w:pPr>
            <w:r>
              <w:rPr>
                <w:color w:val="000000"/>
                <w:sz w:val="24"/>
              </w:rPr>
              <w:t>4.45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31"/>
        <w:gridCol w:w="1429"/>
        <w:gridCol w:w="1534"/>
        <w:gridCol w:w="1448"/>
        <w:gridCol w:w="1716"/>
        <w:gridCol w:w="141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B1FED">
        <w:trPr>
          <w:jc w:val="center"/>
        </w:trPr>
        <w:tc>
          <w:tcPr>
            <w:tcW w:w="0" w:type="auto"/>
            <w:vAlign w:val="center"/>
          </w:tcPr>
          <w:p w:rsidR="00EB1FED" w:rsidRDefault="009F31AC">
            <w:pPr>
              <w:jc w:val="center"/>
            </w:pPr>
            <w:r>
              <w:rPr>
                <w:color w:val="000000"/>
                <w:sz w:val="24"/>
              </w:rPr>
              <w:t>1</w:t>
            </w:r>
          </w:p>
        </w:tc>
        <w:tc>
          <w:tcPr>
            <w:tcW w:w="0" w:type="auto"/>
            <w:vAlign w:val="center"/>
          </w:tcPr>
          <w:p w:rsidR="00EB1FED" w:rsidRDefault="009F31AC">
            <w:pPr>
              <w:jc w:val="center"/>
            </w:pPr>
            <w:r>
              <w:rPr>
                <w:color w:val="000000"/>
                <w:sz w:val="24"/>
              </w:rPr>
              <w:t>1589279</w:t>
            </w:r>
          </w:p>
        </w:tc>
        <w:tc>
          <w:tcPr>
            <w:tcW w:w="0" w:type="auto"/>
            <w:vAlign w:val="center"/>
          </w:tcPr>
          <w:p w:rsidR="00EB1FED" w:rsidRDefault="009F31AC">
            <w:pPr>
              <w:jc w:val="center"/>
            </w:pPr>
            <w:r>
              <w:rPr>
                <w:color w:val="000000"/>
                <w:sz w:val="24"/>
              </w:rPr>
              <w:t>15</w:t>
            </w:r>
            <w:r>
              <w:rPr>
                <w:color w:val="000000"/>
                <w:sz w:val="24"/>
              </w:rPr>
              <w:t>开元</w:t>
            </w:r>
            <w:r>
              <w:rPr>
                <w:color w:val="000000"/>
                <w:sz w:val="24"/>
              </w:rPr>
              <w:t>8</w:t>
            </w:r>
            <w:r>
              <w:rPr>
                <w:color w:val="000000"/>
                <w:sz w:val="24"/>
              </w:rPr>
              <w:t>优先</w:t>
            </w:r>
          </w:p>
        </w:tc>
        <w:tc>
          <w:tcPr>
            <w:tcW w:w="0" w:type="auto"/>
            <w:vAlign w:val="center"/>
          </w:tcPr>
          <w:p w:rsidR="00EB1FED" w:rsidRDefault="009F31AC">
            <w:pPr>
              <w:jc w:val="right"/>
            </w:pPr>
            <w:r>
              <w:rPr>
                <w:color w:val="000000"/>
                <w:sz w:val="24"/>
              </w:rPr>
              <w:t>1,700,000</w:t>
            </w:r>
          </w:p>
        </w:tc>
        <w:tc>
          <w:tcPr>
            <w:tcW w:w="0" w:type="auto"/>
            <w:vAlign w:val="center"/>
          </w:tcPr>
          <w:p w:rsidR="00EB1FED" w:rsidRDefault="009F31AC">
            <w:pPr>
              <w:jc w:val="right"/>
            </w:pPr>
            <w:r>
              <w:rPr>
                <w:color w:val="000000"/>
                <w:sz w:val="24"/>
              </w:rPr>
              <w:t>169,813,000.00</w:t>
            </w:r>
          </w:p>
        </w:tc>
        <w:tc>
          <w:tcPr>
            <w:tcW w:w="0" w:type="auto"/>
            <w:vAlign w:val="center"/>
          </w:tcPr>
          <w:p w:rsidR="00EB1FED" w:rsidRDefault="009F31AC">
            <w:pPr>
              <w:jc w:val="right"/>
            </w:pPr>
            <w:r>
              <w:rPr>
                <w:color w:val="000000"/>
                <w:sz w:val="24"/>
              </w:rPr>
              <w:t>5.38</w:t>
            </w:r>
          </w:p>
        </w:tc>
      </w:tr>
      <w:tr w:rsidR="00EB1FED">
        <w:trPr>
          <w:jc w:val="center"/>
        </w:trPr>
        <w:tc>
          <w:tcPr>
            <w:tcW w:w="0" w:type="auto"/>
            <w:vAlign w:val="center"/>
          </w:tcPr>
          <w:p w:rsidR="00EB1FED" w:rsidRDefault="009F31AC">
            <w:pPr>
              <w:jc w:val="center"/>
            </w:pPr>
            <w:r>
              <w:rPr>
                <w:color w:val="000000"/>
                <w:sz w:val="24"/>
              </w:rPr>
              <w:t>2</w:t>
            </w:r>
          </w:p>
        </w:tc>
        <w:tc>
          <w:tcPr>
            <w:tcW w:w="0" w:type="auto"/>
            <w:vAlign w:val="center"/>
          </w:tcPr>
          <w:p w:rsidR="00EB1FED" w:rsidRDefault="009F31AC">
            <w:pPr>
              <w:jc w:val="center"/>
            </w:pPr>
            <w:r>
              <w:rPr>
                <w:color w:val="000000"/>
                <w:sz w:val="24"/>
              </w:rPr>
              <w:t>1589213</w:t>
            </w:r>
          </w:p>
        </w:tc>
        <w:tc>
          <w:tcPr>
            <w:tcW w:w="0" w:type="auto"/>
            <w:vAlign w:val="center"/>
          </w:tcPr>
          <w:p w:rsidR="00EB1FED" w:rsidRDefault="009F31AC">
            <w:pPr>
              <w:jc w:val="center"/>
            </w:pPr>
            <w:r>
              <w:rPr>
                <w:color w:val="000000"/>
                <w:sz w:val="24"/>
              </w:rPr>
              <w:t>15</w:t>
            </w:r>
            <w:r>
              <w:rPr>
                <w:color w:val="000000"/>
                <w:sz w:val="24"/>
              </w:rPr>
              <w:t>开元</w:t>
            </w:r>
            <w:r>
              <w:rPr>
                <w:color w:val="000000"/>
                <w:sz w:val="24"/>
              </w:rPr>
              <w:t>5A3</w:t>
            </w:r>
          </w:p>
        </w:tc>
        <w:tc>
          <w:tcPr>
            <w:tcW w:w="0" w:type="auto"/>
            <w:vAlign w:val="center"/>
          </w:tcPr>
          <w:p w:rsidR="00EB1FED" w:rsidRDefault="009F31AC">
            <w:pPr>
              <w:jc w:val="right"/>
            </w:pPr>
            <w:r>
              <w:rPr>
                <w:color w:val="000000"/>
                <w:sz w:val="24"/>
              </w:rPr>
              <w:t>400,000</w:t>
            </w:r>
          </w:p>
        </w:tc>
        <w:tc>
          <w:tcPr>
            <w:tcW w:w="0" w:type="auto"/>
            <w:vAlign w:val="center"/>
          </w:tcPr>
          <w:p w:rsidR="00EB1FED" w:rsidRDefault="009F31AC">
            <w:pPr>
              <w:jc w:val="right"/>
            </w:pPr>
            <w:r>
              <w:rPr>
                <w:color w:val="000000"/>
                <w:sz w:val="24"/>
              </w:rPr>
              <w:t>40,248,000.00</w:t>
            </w:r>
          </w:p>
        </w:tc>
        <w:tc>
          <w:tcPr>
            <w:tcW w:w="0" w:type="auto"/>
            <w:vAlign w:val="center"/>
          </w:tcPr>
          <w:p w:rsidR="00EB1FED" w:rsidRDefault="009F31AC">
            <w:pPr>
              <w:jc w:val="right"/>
            </w:pPr>
            <w:r>
              <w:rPr>
                <w:color w:val="000000"/>
                <w:sz w:val="24"/>
              </w:rPr>
              <w:t>1.28</w:t>
            </w:r>
          </w:p>
        </w:tc>
      </w:tr>
      <w:tr w:rsidR="00EB1FED">
        <w:trPr>
          <w:jc w:val="center"/>
        </w:trPr>
        <w:tc>
          <w:tcPr>
            <w:tcW w:w="0" w:type="auto"/>
            <w:vAlign w:val="center"/>
          </w:tcPr>
          <w:p w:rsidR="00EB1FED" w:rsidRDefault="009F31AC">
            <w:pPr>
              <w:jc w:val="center"/>
            </w:pPr>
            <w:r>
              <w:rPr>
                <w:color w:val="000000"/>
                <w:sz w:val="24"/>
              </w:rPr>
              <w:t>3</w:t>
            </w:r>
          </w:p>
        </w:tc>
        <w:tc>
          <w:tcPr>
            <w:tcW w:w="0" w:type="auto"/>
            <w:vAlign w:val="center"/>
          </w:tcPr>
          <w:p w:rsidR="00EB1FED" w:rsidRDefault="009F31AC">
            <w:pPr>
              <w:jc w:val="center"/>
            </w:pPr>
            <w:r>
              <w:rPr>
                <w:color w:val="000000"/>
                <w:sz w:val="24"/>
              </w:rPr>
              <w:t>1589212</w:t>
            </w:r>
          </w:p>
        </w:tc>
        <w:tc>
          <w:tcPr>
            <w:tcW w:w="0" w:type="auto"/>
            <w:vAlign w:val="center"/>
          </w:tcPr>
          <w:p w:rsidR="00EB1FED" w:rsidRDefault="009F31AC">
            <w:pPr>
              <w:jc w:val="center"/>
            </w:pPr>
            <w:r>
              <w:rPr>
                <w:color w:val="000000"/>
                <w:sz w:val="24"/>
              </w:rPr>
              <w:t>15</w:t>
            </w:r>
            <w:r>
              <w:rPr>
                <w:color w:val="000000"/>
                <w:sz w:val="24"/>
              </w:rPr>
              <w:t>开元</w:t>
            </w:r>
            <w:r>
              <w:rPr>
                <w:color w:val="000000"/>
                <w:sz w:val="24"/>
              </w:rPr>
              <w:t>5A2</w:t>
            </w:r>
          </w:p>
        </w:tc>
        <w:tc>
          <w:tcPr>
            <w:tcW w:w="0" w:type="auto"/>
            <w:vAlign w:val="center"/>
          </w:tcPr>
          <w:p w:rsidR="00EB1FED" w:rsidRDefault="009F31AC">
            <w:pPr>
              <w:jc w:val="right"/>
            </w:pPr>
            <w:r>
              <w:rPr>
                <w:color w:val="000000"/>
                <w:sz w:val="24"/>
              </w:rPr>
              <w:t>300,000</w:t>
            </w:r>
          </w:p>
        </w:tc>
        <w:tc>
          <w:tcPr>
            <w:tcW w:w="0" w:type="auto"/>
            <w:vAlign w:val="center"/>
          </w:tcPr>
          <w:p w:rsidR="00EB1FED" w:rsidRDefault="009F31AC">
            <w:pPr>
              <w:jc w:val="right"/>
            </w:pPr>
            <w:r>
              <w:rPr>
                <w:color w:val="000000"/>
                <w:sz w:val="24"/>
              </w:rPr>
              <w:t>30,138,000.00</w:t>
            </w:r>
          </w:p>
        </w:tc>
        <w:tc>
          <w:tcPr>
            <w:tcW w:w="0" w:type="auto"/>
            <w:vAlign w:val="center"/>
          </w:tcPr>
          <w:p w:rsidR="00EB1FED" w:rsidRDefault="009F31AC">
            <w:pPr>
              <w:jc w:val="right"/>
            </w:pPr>
            <w:r>
              <w:rPr>
                <w:color w:val="000000"/>
                <w:sz w:val="24"/>
              </w:rPr>
              <w:t>0.96</w:t>
            </w:r>
          </w:p>
        </w:tc>
      </w:tr>
      <w:tr w:rsidR="00EB1FED">
        <w:trPr>
          <w:jc w:val="center"/>
        </w:trPr>
        <w:tc>
          <w:tcPr>
            <w:tcW w:w="0" w:type="auto"/>
            <w:vAlign w:val="center"/>
          </w:tcPr>
          <w:p w:rsidR="00EB1FED" w:rsidRDefault="009F31AC">
            <w:pPr>
              <w:jc w:val="center"/>
            </w:pPr>
            <w:r>
              <w:rPr>
                <w:color w:val="000000"/>
                <w:sz w:val="24"/>
              </w:rPr>
              <w:t>4</w:t>
            </w:r>
          </w:p>
        </w:tc>
        <w:tc>
          <w:tcPr>
            <w:tcW w:w="0" w:type="auto"/>
            <w:vAlign w:val="center"/>
          </w:tcPr>
          <w:p w:rsidR="00EB1FED" w:rsidRDefault="009F31AC">
            <w:pPr>
              <w:jc w:val="center"/>
            </w:pPr>
            <w:r>
              <w:rPr>
                <w:color w:val="000000"/>
                <w:sz w:val="24"/>
              </w:rPr>
              <w:t>123928</w:t>
            </w:r>
          </w:p>
        </w:tc>
        <w:tc>
          <w:tcPr>
            <w:tcW w:w="0" w:type="auto"/>
            <w:vAlign w:val="center"/>
          </w:tcPr>
          <w:p w:rsidR="00EB1FED" w:rsidRDefault="009F31AC">
            <w:pPr>
              <w:jc w:val="center"/>
            </w:pPr>
            <w:r>
              <w:rPr>
                <w:color w:val="000000"/>
                <w:sz w:val="24"/>
              </w:rPr>
              <w:t>高新热</w:t>
            </w:r>
            <w:r>
              <w:rPr>
                <w:color w:val="000000"/>
                <w:sz w:val="24"/>
              </w:rPr>
              <w:t>03</w:t>
            </w:r>
          </w:p>
        </w:tc>
        <w:tc>
          <w:tcPr>
            <w:tcW w:w="0" w:type="auto"/>
            <w:vAlign w:val="center"/>
          </w:tcPr>
          <w:p w:rsidR="00EB1FED" w:rsidRDefault="009F31AC">
            <w:pPr>
              <w:jc w:val="right"/>
            </w:pPr>
            <w:r>
              <w:rPr>
                <w:color w:val="000000"/>
                <w:sz w:val="24"/>
              </w:rPr>
              <w:t>70,000</w:t>
            </w:r>
          </w:p>
        </w:tc>
        <w:tc>
          <w:tcPr>
            <w:tcW w:w="0" w:type="auto"/>
            <w:vAlign w:val="center"/>
          </w:tcPr>
          <w:p w:rsidR="00EB1FED" w:rsidRDefault="009F31AC">
            <w:pPr>
              <w:jc w:val="right"/>
            </w:pPr>
            <w:r>
              <w:rPr>
                <w:color w:val="000000"/>
                <w:sz w:val="24"/>
              </w:rPr>
              <w:t>7,000,000.00</w:t>
            </w:r>
          </w:p>
        </w:tc>
        <w:tc>
          <w:tcPr>
            <w:tcW w:w="0" w:type="auto"/>
            <w:vAlign w:val="center"/>
          </w:tcPr>
          <w:p w:rsidR="00EB1FED" w:rsidRDefault="009F31AC">
            <w:pPr>
              <w:jc w:val="right"/>
            </w:pPr>
            <w:r>
              <w:rPr>
                <w:color w:val="000000"/>
                <w:sz w:val="24"/>
              </w:rPr>
              <w:t>0.22</w:t>
            </w:r>
          </w:p>
        </w:tc>
      </w:tr>
      <w:tr w:rsidR="00EB1FED">
        <w:trPr>
          <w:jc w:val="center"/>
        </w:trPr>
        <w:tc>
          <w:tcPr>
            <w:tcW w:w="0" w:type="auto"/>
            <w:vAlign w:val="center"/>
          </w:tcPr>
          <w:p w:rsidR="00EB1FED" w:rsidRDefault="009F31AC">
            <w:pPr>
              <w:jc w:val="center"/>
            </w:pPr>
            <w:r>
              <w:rPr>
                <w:color w:val="000000"/>
                <w:sz w:val="24"/>
              </w:rPr>
              <w:t>5</w:t>
            </w:r>
          </w:p>
        </w:tc>
        <w:tc>
          <w:tcPr>
            <w:tcW w:w="0" w:type="auto"/>
            <w:vAlign w:val="center"/>
          </w:tcPr>
          <w:p w:rsidR="00EB1FED" w:rsidRDefault="009F31AC">
            <w:pPr>
              <w:jc w:val="center"/>
            </w:pPr>
            <w:r>
              <w:rPr>
                <w:color w:val="000000"/>
                <w:sz w:val="24"/>
              </w:rPr>
              <w:t>123927</w:t>
            </w:r>
          </w:p>
        </w:tc>
        <w:tc>
          <w:tcPr>
            <w:tcW w:w="0" w:type="auto"/>
            <w:vAlign w:val="center"/>
          </w:tcPr>
          <w:p w:rsidR="00EB1FED" w:rsidRDefault="009F31AC">
            <w:pPr>
              <w:jc w:val="center"/>
            </w:pPr>
            <w:r>
              <w:rPr>
                <w:color w:val="000000"/>
                <w:sz w:val="24"/>
              </w:rPr>
              <w:t>高新热</w:t>
            </w:r>
            <w:r>
              <w:rPr>
                <w:color w:val="000000"/>
                <w:sz w:val="24"/>
              </w:rPr>
              <w:t>02</w:t>
            </w:r>
          </w:p>
        </w:tc>
        <w:tc>
          <w:tcPr>
            <w:tcW w:w="0" w:type="auto"/>
            <w:vAlign w:val="center"/>
          </w:tcPr>
          <w:p w:rsidR="00EB1FED" w:rsidRDefault="009F31AC">
            <w:pPr>
              <w:jc w:val="right"/>
            </w:pPr>
            <w:r>
              <w:rPr>
                <w:color w:val="000000"/>
                <w:sz w:val="24"/>
              </w:rPr>
              <w:t>60,000</w:t>
            </w:r>
          </w:p>
        </w:tc>
        <w:tc>
          <w:tcPr>
            <w:tcW w:w="0" w:type="auto"/>
            <w:vAlign w:val="center"/>
          </w:tcPr>
          <w:p w:rsidR="00EB1FED" w:rsidRDefault="009F31AC">
            <w:pPr>
              <w:jc w:val="right"/>
            </w:pPr>
            <w:r>
              <w:rPr>
                <w:color w:val="000000"/>
                <w:sz w:val="24"/>
              </w:rPr>
              <w:t>6,000,000.00</w:t>
            </w:r>
          </w:p>
        </w:tc>
        <w:tc>
          <w:tcPr>
            <w:tcW w:w="0" w:type="auto"/>
            <w:vAlign w:val="center"/>
          </w:tcPr>
          <w:p w:rsidR="00EB1FED" w:rsidRDefault="009F31AC">
            <w:pPr>
              <w:jc w:val="right"/>
            </w:pPr>
            <w:r>
              <w:rPr>
                <w:color w:val="000000"/>
                <w:sz w:val="24"/>
              </w:rPr>
              <w:t>0.19</w:t>
            </w:r>
          </w:p>
        </w:tc>
      </w:tr>
      <w:tr w:rsidR="00EB1FED">
        <w:trPr>
          <w:jc w:val="center"/>
        </w:trPr>
        <w:tc>
          <w:tcPr>
            <w:tcW w:w="0" w:type="auto"/>
            <w:vAlign w:val="center"/>
          </w:tcPr>
          <w:p w:rsidR="00EB1FED" w:rsidRDefault="009F31AC">
            <w:pPr>
              <w:jc w:val="center"/>
            </w:pPr>
            <w:r>
              <w:rPr>
                <w:color w:val="000000"/>
                <w:sz w:val="24"/>
              </w:rPr>
              <w:t>6</w:t>
            </w:r>
          </w:p>
        </w:tc>
        <w:tc>
          <w:tcPr>
            <w:tcW w:w="0" w:type="auto"/>
            <w:vAlign w:val="center"/>
          </w:tcPr>
          <w:p w:rsidR="00EB1FED" w:rsidRDefault="009F31AC">
            <w:pPr>
              <w:jc w:val="center"/>
            </w:pPr>
            <w:r>
              <w:rPr>
                <w:color w:val="000000"/>
                <w:sz w:val="24"/>
              </w:rPr>
              <w:t>123926</w:t>
            </w:r>
          </w:p>
        </w:tc>
        <w:tc>
          <w:tcPr>
            <w:tcW w:w="0" w:type="auto"/>
            <w:vAlign w:val="center"/>
          </w:tcPr>
          <w:p w:rsidR="00EB1FED" w:rsidRDefault="009F31AC">
            <w:pPr>
              <w:jc w:val="center"/>
            </w:pPr>
            <w:r>
              <w:rPr>
                <w:color w:val="000000"/>
                <w:sz w:val="24"/>
              </w:rPr>
              <w:t>高新热</w:t>
            </w:r>
            <w:r>
              <w:rPr>
                <w:color w:val="000000"/>
                <w:sz w:val="24"/>
              </w:rPr>
              <w:t>01</w:t>
            </w:r>
          </w:p>
        </w:tc>
        <w:tc>
          <w:tcPr>
            <w:tcW w:w="0" w:type="auto"/>
            <w:vAlign w:val="center"/>
          </w:tcPr>
          <w:p w:rsidR="00EB1FED" w:rsidRDefault="009F31AC">
            <w:pPr>
              <w:jc w:val="right"/>
            </w:pPr>
            <w:r>
              <w:rPr>
                <w:color w:val="000000"/>
                <w:sz w:val="24"/>
              </w:rPr>
              <w:t>50,000</w:t>
            </w:r>
          </w:p>
        </w:tc>
        <w:tc>
          <w:tcPr>
            <w:tcW w:w="0" w:type="auto"/>
            <w:vAlign w:val="center"/>
          </w:tcPr>
          <w:p w:rsidR="00EB1FED" w:rsidRDefault="009F31AC">
            <w:pPr>
              <w:jc w:val="right"/>
            </w:pPr>
            <w:r>
              <w:rPr>
                <w:color w:val="000000"/>
                <w:sz w:val="24"/>
              </w:rPr>
              <w:t>5,000,000.00</w:t>
            </w:r>
          </w:p>
        </w:tc>
        <w:tc>
          <w:tcPr>
            <w:tcW w:w="0" w:type="auto"/>
            <w:vAlign w:val="center"/>
          </w:tcPr>
          <w:p w:rsidR="00EB1FED" w:rsidRDefault="009F31AC">
            <w:pPr>
              <w:jc w:val="right"/>
            </w:pPr>
            <w:r>
              <w:rPr>
                <w:color w:val="000000"/>
                <w:sz w:val="24"/>
              </w:rPr>
              <w:t>0.16</w:t>
            </w:r>
          </w:p>
        </w:tc>
      </w:tr>
      <w:tr w:rsidR="00EB1FED">
        <w:trPr>
          <w:jc w:val="center"/>
        </w:trPr>
        <w:tc>
          <w:tcPr>
            <w:tcW w:w="0" w:type="auto"/>
            <w:vAlign w:val="center"/>
          </w:tcPr>
          <w:p w:rsidR="00EB1FED" w:rsidRDefault="009F31AC">
            <w:pPr>
              <w:jc w:val="center"/>
            </w:pPr>
            <w:r>
              <w:rPr>
                <w:color w:val="000000"/>
                <w:sz w:val="24"/>
              </w:rPr>
              <w:t>7</w:t>
            </w:r>
          </w:p>
        </w:tc>
        <w:tc>
          <w:tcPr>
            <w:tcW w:w="0" w:type="auto"/>
            <w:vAlign w:val="center"/>
          </w:tcPr>
          <w:p w:rsidR="00EB1FED" w:rsidRDefault="009F31AC">
            <w:pPr>
              <w:jc w:val="center"/>
            </w:pPr>
            <w:r>
              <w:rPr>
                <w:color w:val="000000"/>
                <w:sz w:val="24"/>
              </w:rPr>
              <w:t>123929</w:t>
            </w:r>
          </w:p>
        </w:tc>
        <w:tc>
          <w:tcPr>
            <w:tcW w:w="0" w:type="auto"/>
            <w:vAlign w:val="center"/>
          </w:tcPr>
          <w:p w:rsidR="00EB1FED" w:rsidRDefault="009F31AC">
            <w:pPr>
              <w:jc w:val="center"/>
            </w:pPr>
            <w:r>
              <w:rPr>
                <w:color w:val="000000"/>
                <w:sz w:val="24"/>
              </w:rPr>
              <w:t>高新热</w:t>
            </w:r>
            <w:r>
              <w:rPr>
                <w:color w:val="000000"/>
                <w:sz w:val="24"/>
              </w:rPr>
              <w:t>04</w:t>
            </w:r>
          </w:p>
        </w:tc>
        <w:tc>
          <w:tcPr>
            <w:tcW w:w="0" w:type="auto"/>
            <w:vAlign w:val="center"/>
          </w:tcPr>
          <w:p w:rsidR="00EB1FED" w:rsidRDefault="009F31AC">
            <w:pPr>
              <w:jc w:val="right"/>
            </w:pPr>
            <w:r>
              <w:rPr>
                <w:color w:val="000000"/>
                <w:sz w:val="24"/>
              </w:rPr>
              <w:t>50,000</w:t>
            </w:r>
          </w:p>
        </w:tc>
        <w:tc>
          <w:tcPr>
            <w:tcW w:w="0" w:type="auto"/>
            <w:vAlign w:val="center"/>
          </w:tcPr>
          <w:p w:rsidR="00EB1FED" w:rsidRDefault="009F31AC">
            <w:pPr>
              <w:jc w:val="right"/>
            </w:pPr>
            <w:r>
              <w:rPr>
                <w:color w:val="000000"/>
                <w:sz w:val="24"/>
              </w:rPr>
              <w:t>5,000,000.00</w:t>
            </w:r>
          </w:p>
        </w:tc>
        <w:tc>
          <w:tcPr>
            <w:tcW w:w="0" w:type="auto"/>
            <w:vAlign w:val="center"/>
          </w:tcPr>
          <w:p w:rsidR="00EB1FED" w:rsidRDefault="009F31AC">
            <w:pPr>
              <w:jc w:val="right"/>
            </w:pPr>
            <w:r>
              <w:rPr>
                <w:color w:val="000000"/>
                <w:sz w:val="24"/>
              </w:rPr>
              <w:t>0.16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1,323.45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77,279,825.52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108,916.96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77,390,065.93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9F31AC">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1,057,579,816.95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129,399,573.89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1,894,863,134.90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5,923,854.66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60,526,289.38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67,044,709.63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2,891,916,662.47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68,278,718.92</w:t>
            </w:r>
          </w:p>
        </w:tc>
      </w:tr>
    </w:tbl>
    <w:p w:rsidR="00EB1FED" w:rsidRDefault="009F31A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9F31AC">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9F31AC">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B1FED" w:rsidRDefault="009F31A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E3" w:rsidRDefault="00835EE3">
      <w:r>
        <w:separator/>
      </w:r>
    </w:p>
  </w:endnote>
  <w:endnote w:type="continuationSeparator" w:id="0">
    <w:p w:rsidR="00835EE3" w:rsidRDefault="0083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EB1FED">
      <w:rPr>
        <w:kern w:val="0"/>
        <w:szCs w:val="21"/>
      </w:rPr>
      <w:fldChar w:fldCharType="begin"/>
    </w:r>
    <w:r>
      <w:rPr>
        <w:kern w:val="0"/>
        <w:szCs w:val="21"/>
      </w:rPr>
      <w:instrText xml:space="preserve"> PAGE </w:instrText>
    </w:r>
    <w:r w:rsidR="00EB1FED">
      <w:rPr>
        <w:kern w:val="0"/>
        <w:szCs w:val="21"/>
      </w:rPr>
      <w:fldChar w:fldCharType="separate"/>
    </w:r>
    <w:r w:rsidR="00E20579">
      <w:rPr>
        <w:noProof/>
        <w:kern w:val="0"/>
        <w:szCs w:val="21"/>
      </w:rPr>
      <w:t>1</w:t>
    </w:r>
    <w:r w:rsidR="00EB1FED">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B1FED">
      <w:rPr>
        <w:kern w:val="0"/>
        <w:szCs w:val="21"/>
      </w:rPr>
      <w:fldChar w:fldCharType="begin"/>
    </w:r>
    <w:r>
      <w:rPr>
        <w:kern w:val="0"/>
        <w:szCs w:val="21"/>
      </w:rPr>
      <w:instrText xml:space="preserve"> NUMPAGES </w:instrText>
    </w:r>
    <w:r w:rsidR="00EB1FED">
      <w:rPr>
        <w:kern w:val="0"/>
        <w:szCs w:val="21"/>
      </w:rPr>
      <w:fldChar w:fldCharType="separate"/>
    </w:r>
    <w:r w:rsidR="00E20579">
      <w:rPr>
        <w:noProof/>
        <w:kern w:val="0"/>
        <w:szCs w:val="21"/>
      </w:rPr>
      <w:t>13</w:t>
    </w:r>
    <w:r w:rsidR="00EB1FED">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EB1FED">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E3" w:rsidRDefault="00835EE3">
      <w:r>
        <w:separator/>
      </w:r>
    </w:p>
  </w:footnote>
  <w:footnote w:type="continuationSeparator" w:id="0">
    <w:p w:rsidR="00835EE3" w:rsidRDefault="0083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20579"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5EE3"/>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1AC"/>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79"/>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0986"/>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1FED"/>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BF2E4C7-609D-45E0-AB59-C6D3854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B03A-1723-4C90-8D00-58761741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191</TotalTime>
  <Pages>13</Pages>
  <Words>1159</Words>
  <Characters>6608</Characters>
  <Application>Microsoft Office Word</Application>
  <DocSecurity>0</DocSecurity>
  <Lines>55</Lines>
  <Paragraphs>15</Paragraphs>
  <ScaleCrop>false</ScaleCrop>
  <Company>TRT. Ltd. Co.</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366</cp:revision>
  <cp:lastPrinted>2007-07-19T00:46:00Z</cp:lastPrinted>
  <dcterms:created xsi:type="dcterms:W3CDTF">2014-01-17T06:19:00Z</dcterms:created>
  <dcterms:modified xsi:type="dcterms:W3CDTF">2016-01-18T07:08:00Z</dcterms:modified>
</cp:coreProperties>
</file>