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13772" w:rsidRDefault="007C53D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13772" w:rsidRDefault="007C53D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13772" w:rsidRDefault="007C53D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13772" w:rsidRDefault="007C53D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13772" w:rsidRDefault="007C53D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94,921,723.81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C53D4" w:rsidRPr="00414345" w:rsidTr="007C53D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C53D4" w:rsidRPr="00414345" w:rsidTr="007C53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1,480,185.57</w:t>
            </w:r>
          </w:p>
        </w:tc>
      </w:tr>
      <w:tr w:rsidR="007C53D4" w:rsidRPr="00414345" w:rsidTr="007C53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2,450,825.59</w:t>
            </w:r>
          </w:p>
        </w:tc>
      </w:tr>
      <w:tr w:rsidR="007C53D4" w:rsidRPr="00414345" w:rsidTr="007C53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0.0264</w:t>
            </w:r>
          </w:p>
        </w:tc>
      </w:tr>
      <w:tr w:rsidR="007C53D4" w:rsidRPr="00414345" w:rsidTr="007C53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125,855,460.74</w:t>
            </w:r>
          </w:p>
        </w:tc>
      </w:tr>
      <w:tr w:rsidR="007C53D4" w:rsidRPr="00414345" w:rsidTr="007C53D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1.326</w:t>
            </w:r>
          </w:p>
        </w:tc>
      </w:tr>
    </w:tbl>
    <w:p w:rsidR="00213772" w:rsidRDefault="007C53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13772">
        <w:trPr>
          <w:jc w:val="center"/>
        </w:trPr>
        <w:tc>
          <w:tcPr>
            <w:tcW w:w="1701" w:type="dxa"/>
            <w:vAlign w:val="center"/>
          </w:tcPr>
          <w:p w:rsidR="00213772" w:rsidRDefault="007C53D4">
            <w:pPr>
              <w:jc w:val="left"/>
            </w:pPr>
            <w:r>
              <w:rPr>
                <w:color w:val="000000"/>
                <w:sz w:val="24"/>
                <w:szCs w:val="24"/>
              </w:rPr>
              <w:t>过去三个月</w:t>
            </w:r>
          </w:p>
        </w:tc>
        <w:tc>
          <w:tcPr>
            <w:tcW w:w="1045" w:type="dxa"/>
            <w:vAlign w:val="center"/>
          </w:tcPr>
          <w:p w:rsidR="00213772" w:rsidRDefault="007C53D4">
            <w:pPr>
              <w:jc w:val="center"/>
            </w:pPr>
            <w:r>
              <w:rPr>
                <w:color w:val="000000"/>
                <w:sz w:val="24"/>
                <w:szCs w:val="24"/>
              </w:rPr>
              <w:t>2.08%</w:t>
            </w:r>
          </w:p>
        </w:tc>
        <w:tc>
          <w:tcPr>
            <w:tcW w:w="1344" w:type="dxa"/>
            <w:vAlign w:val="center"/>
          </w:tcPr>
          <w:p w:rsidR="00213772" w:rsidRDefault="007C53D4">
            <w:pPr>
              <w:jc w:val="center"/>
            </w:pPr>
            <w:r>
              <w:rPr>
                <w:color w:val="000000"/>
                <w:sz w:val="24"/>
                <w:szCs w:val="24"/>
              </w:rPr>
              <w:t>0.10%</w:t>
            </w:r>
          </w:p>
        </w:tc>
        <w:tc>
          <w:tcPr>
            <w:tcW w:w="1194" w:type="dxa"/>
            <w:vAlign w:val="center"/>
          </w:tcPr>
          <w:p w:rsidR="00213772" w:rsidRDefault="007C53D4">
            <w:pPr>
              <w:jc w:val="center"/>
            </w:pPr>
            <w:r>
              <w:rPr>
                <w:color w:val="000000"/>
                <w:sz w:val="24"/>
                <w:szCs w:val="24"/>
              </w:rPr>
              <w:t>0.76%</w:t>
            </w:r>
          </w:p>
        </w:tc>
        <w:tc>
          <w:tcPr>
            <w:tcW w:w="1492" w:type="dxa"/>
            <w:vAlign w:val="center"/>
          </w:tcPr>
          <w:p w:rsidR="00213772" w:rsidRDefault="007C53D4">
            <w:pPr>
              <w:jc w:val="center"/>
            </w:pPr>
            <w:r>
              <w:rPr>
                <w:color w:val="000000"/>
                <w:sz w:val="24"/>
                <w:szCs w:val="24"/>
              </w:rPr>
              <w:t>0.08%</w:t>
            </w:r>
          </w:p>
        </w:tc>
        <w:tc>
          <w:tcPr>
            <w:tcW w:w="1194" w:type="dxa"/>
            <w:vAlign w:val="center"/>
          </w:tcPr>
          <w:p w:rsidR="00213772" w:rsidRDefault="007C53D4">
            <w:pPr>
              <w:jc w:val="center"/>
            </w:pPr>
            <w:r>
              <w:rPr>
                <w:color w:val="000000"/>
                <w:sz w:val="24"/>
                <w:szCs w:val="24"/>
              </w:rPr>
              <w:t>1.32%</w:t>
            </w:r>
          </w:p>
        </w:tc>
        <w:tc>
          <w:tcPr>
            <w:tcW w:w="898" w:type="dxa"/>
            <w:vAlign w:val="center"/>
          </w:tcPr>
          <w:p w:rsidR="00213772" w:rsidRDefault="007C53D4">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13772">
        <w:trPr>
          <w:jc w:val="center"/>
        </w:trPr>
        <w:tc>
          <w:tcPr>
            <w:tcW w:w="846" w:type="dxa"/>
            <w:vAlign w:val="center"/>
          </w:tcPr>
          <w:p w:rsidR="00213772" w:rsidRDefault="007C53D4">
            <w:pPr>
              <w:jc w:val="center"/>
            </w:pPr>
            <w:r>
              <w:rPr>
                <w:color w:val="000000"/>
                <w:sz w:val="24"/>
                <w:szCs w:val="24"/>
              </w:rPr>
              <w:t>唐赟</w:t>
            </w:r>
          </w:p>
        </w:tc>
        <w:tc>
          <w:tcPr>
            <w:tcW w:w="845" w:type="dxa"/>
            <w:vAlign w:val="center"/>
          </w:tcPr>
          <w:p w:rsidR="00213772" w:rsidRDefault="007C53D4">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、交银双利债券、交银双轮动债券、交银荣和保本混合的基金经理</w:t>
            </w:r>
          </w:p>
        </w:tc>
        <w:tc>
          <w:tcPr>
            <w:tcW w:w="1549" w:type="dxa"/>
            <w:vAlign w:val="center"/>
          </w:tcPr>
          <w:p w:rsidR="00213772" w:rsidRDefault="007C53D4">
            <w:pPr>
              <w:jc w:val="center"/>
            </w:pPr>
            <w:r>
              <w:rPr>
                <w:color w:val="000000"/>
                <w:sz w:val="24"/>
                <w:szCs w:val="24"/>
              </w:rPr>
              <w:t>2015-08-04</w:t>
            </w:r>
          </w:p>
        </w:tc>
        <w:tc>
          <w:tcPr>
            <w:tcW w:w="1548" w:type="dxa"/>
            <w:vAlign w:val="center"/>
          </w:tcPr>
          <w:p w:rsidR="00213772" w:rsidRDefault="007C53D4">
            <w:pPr>
              <w:jc w:val="center"/>
            </w:pPr>
            <w:r>
              <w:rPr>
                <w:color w:val="000000"/>
                <w:sz w:val="24"/>
                <w:szCs w:val="24"/>
              </w:rPr>
              <w:t>-</w:t>
            </w:r>
          </w:p>
        </w:tc>
        <w:tc>
          <w:tcPr>
            <w:tcW w:w="1407" w:type="dxa"/>
            <w:vAlign w:val="center"/>
          </w:tcPr>
          <w:p w:rsidR="00213772" w:rsidRDefault="007C53D4">
            <w:pPr>
              <w:jc w:val="center"/>
            </w:pPr>
            <w:r>
              <w:rPr>
                <w:color w:val="000000"/>
                <w:sz w:val="24"/>
                <w:szCs w:val="24"/>
              </w:rPr>
              <w:t>3</w:t>
            </w:r>
            <w:r>
              <w:rPr>
                <w:color w:val="000000"/>
                <w:sz w:val="24"/>
                <w:szCs w:val="24"/>
              </w:rPr>
              <w:t>年</w:t>
            </w:r>
          </w:p>
        </w:tc>
        <w:tc>
          <w:tcPr>
            <w:tcW w:w="2673" w:type="dxa"/>
            <w:vAlign w:val="center"/>
          </w:tcPr>
          <w:p w:rsidR="00213772" w:rsidRDefault="007C53D4">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13772" w:rsidRDefault="007C53D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13772" w:rsidRDefault="007C53D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13772" w:rsidRDefault="007C53D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13772" w:rsidRDefault="007C53D4">
      <w:pPr>
        <w:spacing w:before="29" w:line="288" w:lineRule="auto"/>
        <w:ind w:firstLineChars="200" w:firstLine="480"/>
        <w:rPr>
          <w:color w:val="000000"/>
          <w:sz w:val="24"/>
          <w:szCs w:val="24"/>
        </w:rPr>
      </w:pPr>
      <w:r>
        <w:rPr>
          <w:color w:val="000000"/>
          <w:sz w:val="24"/>
          <w:szCs w:val="24"/>
        </w:rPr>
        <w:t>本报告期内，债券市场虽在</w:t>
      </w:r>
      <w:r>
        <w:rPr>
          <w:color w:val="000000"/>
          <w:sz w:val="24"/>
          <w:szCs w:val="24"/>
        </w:rPr>
        <w:t>11</w:t>
      </w:r>
      <w:r>
        <w:rPr>
          <w:color w:val="000000"/>
          <w:sz w:val="24"/>
          <w:szCs w:val="24"/>
        </w:rPr>
        <w:t>月受到</w:t>
      </w:r>
      <w:r>
        <w:rPr>
          <w:color w:val="000000"/>
          <w:sz w:val="24"/>
          <w:szCs w:val="24"/>
        </w:rPr>
        <w:t>IPO</w:t>
      </w:r>
      <w:r>
        <w:rPr>
          <w:color w:val="000000"/>
          <w:sz w:val="24"/>
          <w:szCs w:val="24"/>
        </w:rPr>
        <w:t>重启的冲击有一定幅度的上行，但由于对人民币汇率担忧情绪的缓解、货币政策维持宽松、资产欠配环境持续存在等原因，收益率整体上仍然下行。转债市场则仍然由于市场容量过小而呈现窄区间波动。</w:t>
      </w:r>
    </w:p>
    <w:p w:rsidR="00213772" w:rsidRDefault="007C53D4">
      <w:pPr>
        <w:spacing w:before="29" w:line="288" w:lineRule="auto"/>
        <w:ind w:firstLineChars="200" w:firstLine="480"/>
        <w:rPr>
          <w:color w:val="000000"/>
          <w:sz w:val="24"/>
          <w:szCs w:val="24"/>
        </w:rPr>
      </w:pPr>
      <w:r>
        <w:rPr>
          <w:color w:val="000000"/>
          <w:sz w:val="24"/>
          <w:szCs w:val="24"/>
        </w:rPr>
        <w:t>本报告期内，本基金增加了一定的信用债配置，并将组合维持相对较高的仓位和久期，充分享受了债券收益率下行带来的回报。转债仓位则在整个四季度中由于价格并无明显配置价值，都维持较低仓位。</w:t>
      </w:r>
    </w:p>
    <w:p w:rsidR="00213772" w:rsidRDefault="007C53D4">
      <w:pPr>
        <w:spacing w:before="29" w:line="288" w:lineRule="auto"/>
        <w:ind w:firstLineChars="200" w:firstLine="480"/>
        <w:rPr>
          <w:color w:val="000000"/>
          <w:sz w:val="24"/>
          <w:szCs w:val="24"/>
        </w:rPr>
      </w:pPr>
      <w:r>
        <w:rPr>
          <w:color w:val="000000"/>
          <w:sz w:val="24"/>
          <w:szCs w:val="24"/>
        </w:rPr>
        <w:t>展望</w:t>
      </w:r>
      <w:r>
        <w:rPr>
          <w:color w:val="000000"/>
          <w:sz w:val="24"/>
          <w:szCs w:val="24"/>
        </w:rPr>
        <w:t>2016</w:t>
      </w:r>
      <w:r>
        <w:rPr>
          <w:color w:val="000000"/>
          <w:sz w:val="24"/>
          <w:szCs w:val="24"/>
        </w:rPr>
        <w:t>年一季度，预计债券市场资金配置需求依然强烈，股票市场可能处于震荡行情，高收益资产稀缺，在各大类资产中债券仍然有一定配置价值，但较</w:t>
      </w:r>
      <w:r>
        <w:rPr>
          <w:color w:val="000000"/>
          <w:sz w:val="24"/>
          <w:szCs w:val="24"/>
        </w:rPr>
        <w:t>2015</w:t>
      </w:r>
      <w:r>
        <w:rPr>
          <w:color w:val="000000"/>
          <w:sz w:val="24"/>
          <w:szCs w:val="24"/>
        </w:rPr>
        <w:t>年下半年可能降低。最新的经济数据显示基本面依然疲弱，通胀仍然维持低位，且一季度通常市场配置力度都较大，这都有利于中长期利率下行。但是经过</w:t>
      </w:r>
      <w:r>
        <w:rPr>
          <w:color w:val="000000"/>
          <w:sz w:val="24"/>
          <w:szCs w:val="24"/>
        </w:rPr>
        <w:t>2015</w:t>
      </w:r>
      <w:r>
        <w:rPr>
          <w:color w:val="000000"/>
          <w:sz w:val="24"/>
          <w:szCs w:val="24"/>
        </w:rPr>
        <w:t>年四季度收益率的快速下行，目前长期限债券收益率和短端资金价格之间的利差已压缩至很窄的水平，债券收益率已充分反应了短端资金价格进一步下调预期。目前货币政策一定程度受到汇率、资本流出压力的限制，货币政策能否在短期内引导资金价格进一步下行难言确定。在资金价格进一步下调以前，债券收益率可能出现一定程度的震荡。同时我们关注</w:t>
      </w:r>
      <w:r>
        <w:rPr>
          <w:color w:val="000000"/>
          <w:sz w:val="24"/>
          <w:szCs w:val="24"/>
        </w:rPr>
        <w:t>2016</w:t>
      </w:r>
      <w:r>
        <w:rPr>
          <w:color w:val="000000"/>
          <w:sz w:val="24"/>
          <w:szCs w:val="24"/>
        </w:rPr>
        <w:t>年政府稳增长力度超出预期、资本流出压力进一步加大等潜在的风险因素。另外，随着</w:t>
      </w:r>
      <w:r>
        <w:rPr>
          <w:color w:val="000000"/>
          <w:sz w:val="24"/>
          <w:szCs w:val="24"/>
        </w:rPr>
        <w:t>“</w:t>
      </w:r>
      <w:r>
        <w:rPr>
          <w:color w:val="000000"/>
          <w:sz w:val="24"/>
          <w:szCs w:val="24"/>
        </w:rPr>
        <w:t>刚兑</w:t>
      </w:r>
      <w:r>
        <w:rPr>
          <w:color w:val="000000"/>
          <w:sz w:val="24"/>
          <w:szCs w:val="24"/>
        </w:rPr>
        <w:t>”</w:t>
      </w:r>
      <w:r>
        <w:rPr>
          <w:color w:val="000000"/>
          <w:sz w:val="24"/>
          <w:szCs w:val="24"/>
        </w:rPr>
        <w:t>的不断打破，债券市场的信用风险不断加大，能否有效规避潜在的信用风险，将对债券组合的收益产生较为重大的影响。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对于权益资产，我们认为目前流动性较为泛滥，而能够满足收益率要求的资产相对欠缺，即所谓</w:t>
      </w:r>
      <w:r w:rsidRPr="00414345">
        <w:rPr>
          <w:color w:val="000000"/>
          <w:sz w:val="24"/>
          <w:szCs w:val="24"/>
        </w:rPr>
        <w:t>“</w:t>
      </w:r>
      <w:r w:rsidRPr="00414345">
        <w:rPr>
          <w:color w:val="000000"/>
          <w:sz w:val="24"/>
          <w:szCs w:val="24"/>
        </w:rPr>
        <w:t>资产荒</w:t>
      </w:r>
      <w:r w:rsidRPr="00414345">
        <w:rPr>
          <w:color w:val="000000"/>
          <w:sz w:val="24"/>
          <w:szCs w:val="24"/>
        </w:rPr>
        <w:t>”</w:t>
      </w:r>
      <w:r w:rsidRPr="00414345">
        <w:rPr>
          <w:color w:val="000000"/>
          <w:sz w:val="24"/>
          <w:szCs w:val="24"/>
        </w:rPr>
        <w:t>的格局仍将延续。在债券资产能够提供的回报率已经大幅下降的背景下，机构及个人或都倾向于提高风险偏好，增配权益类资产，以增强收益。因此从大类资产配置的角度看，</w:t>
      </w:r>
      <w:r w:rsidRPr="00414345">
        <w:rPr>
          <w:color w:val="000000"/>
          <w:sz w:val="24"/>
          <w:szCs w:val="24"/>
        </w:rPr>
        <w:t>2016</w:t>
      </w:r>
      <w:r w:rsidRPr="00414345">
        <w:rPr>
          <w:color w:val="000000"/>
          <w:sz w:val="24"/>
          <w:szCs w:val="24"/>
        </w:rPr>
        <w:t>年的权益类市场仍值得期待。但经历过今年的股灾之后，监管对市场过度加杠杆的行为必将严加限制。因此资金配置的速度预计无法复制</w:t>
      </w:r>
      <w:r w:rsidRPr="00414345">
        <w:rPr>
          <w:color w:val="000000"/>
          <w:sz w:val="24"/>
          <w:szCs w:val="24"/>
        </w:rPr>
        <w:t>2015</w:t>
      </w:r>
      <w:r w:rsidRPr="00414345">
        <w:rPr>
          <w:color w:val="000000"/>
          <w:sz w:val="24"/>
          <w:szCs w:val="24"/>
        </w:rPr>
        <w:t>年上半年时的情形，权益类市场更可能呈现震荡、慢牛的格局。作为债券型基金，更需要注重控制市场震荡带来的回撤风险。转债市场短期内将面临巨量供给，目前刚性配置维持转债较高估值及绝对价格的情况可能会有所改变。本基金预计将在一季度积极参与转债一级市场，并择机配置一定的转债以及由转债转股带来的股票仓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1.326</w:t>
      </w:r>
      <w:r w:rsidRPr="00414345">
        <w:rPr>
          <w:color w:val="000000"/>
          <w:sz w:val="24"/>
          <w:szCs w:val="24"/>
        </w:rPr>
        <w:t>元，本报告期份额净值增长率为</w:t>
      </w:r>
      <w:r w:rsidRPr="00414345">
        <w:rPr>
          <w:color w:val="000000"/>
          <w:sz w:val="24"/>
          <w:szCs w:val="24"/>
        </w:rPr>
        <w:t>2.08%</w:t>
      </w:r>
      <w:r w:rsidRPr="00414345">
        <w:rPr>
          <w:color w:val="000000"/>
          <w:sz w:val="24"/>
          <w:szCs w:val="24"/>
        </w:rPr>
        <w:t>，同期业绩比较基准增长率为</w:t>
      </w:r>
      <w:r w:rsidRPr="00414345">
        <w:rPr>
          <w:color w:val="000000"/>
          <w:sz w:val="24"/>
          <w:szCs w:val="24"/>
        </w:rPr>
        <w:t>0.76%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024893" w:rsidRDefault="00024893" w:rsidP="00421CD2">
      <w:pPr>
        <w:spacing w:before="29" w:line="288" w:lineRule="auto"/>
        <w:ind w:firstLineChars="200" w:firstLine="480"/>
        <w:rPr>
          <w:rFonts w:hint="eastAsia"/>
          <w:color w:val="000000"/>
          <w:sz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163,651,173.39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163,651,173.39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4,601,425.86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8,527,054.34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176,779,653.59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7,904,390.00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7,904,390.00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83,115,063.39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66.04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10,049,000.00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7.98</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61,467,000.00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48.84</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1,115,720.00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163,651,173.39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39"/>
        <w:gridCol w:w="2410"/>
        <w:gridCol w:w="1134"/>
        <w:gridCol w:w="1898"/>
        <w:gridCol w:w="1237"/>
      </w:tblGrid>
      <w:tr w:rsidR="00D57B7C" w:rsidRPr="00414345" w:rsidTr="007C53D4">
        <w:trPr>
          <w:jc w:val="center"/>
        </w:trPr>
        <w:tc>
          <w:tcPr>
            <w:tcW w:w="8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3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241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1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189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13772" w:rsidTr="007C53D4">
        <w:trPr>
          <w:jc w:val="center"/>
        </w:trPr>
        <w:tc>
          <w:tcPr>
            <w:tcW w:w="850" w:type="dxa"/>
            <w:vAlign w:val="center"/>
          </w:tcPr>
          <w:p w:rsidR="00213772" w:rsidRDefault="007C53D4">
            <w:pPr>
              <w:jc w:val="center"/>
            </w:pPr>
            <w:r>
              <w:rPr>
                <w:color w:val="000000"/>
                <w:sz w:val="24"/>
                <w:szCs w:val="24"/>
              </w:rPr>
              <w:t>1</w:t>
            </w:r>
          </w:p>
        </w:tc>
        <w:tc>
          <w:tcPr>
            <w:tcW w:w="1339" w:type="dxa"/>
            <w:vAlign w:val="center"/>
          </w:tcPr>
          <w:p w:rsidR="00213772" w:rsidRDefault="007C53D4">
            <w:pPr>
              <w:jc w:val="center"/>
            </w:pPr>
            <w:r>
              <w:rPr>
                <w:color w:val="000000"/>
                <w:sz w:val="24"/>
                <w:szCs w:val="24"/>
              </w:rPr>
              <w:t>1382136</w:t>
            </w:r>
          </w:p>
        </w:tc>
        <w:tc>
          <w:tcPr>
            <w:tcW w:w="2410" w:type="dxa"/>
            <w:vAlign w:val="center"/>
          </w:tcPr>
          <w:p w:rsidR="00213772" w:rsidRDefault="007C53D4">
            <w:pPr>
              <w:jc w:val="center"/>
            </w:pPr>
            <w:r>
              <w:rPr>
                <w:color w:val="000000"/>
                <w:sz w:val="24"/>
                <w:szCs w:val="24"/>
              </w:rPr>
              <w:t>13</w:t>
            </w:r>
            <w:r>
              <w:rPr>
                <w:color w:val="000000"/>
                <w:sz w:val="24"/>
                <w:szCs w:val="24"/>
              </w:rPr>
              <w:t>乌兰煤</w:t>
            </w:r>
            <w:r>
              <w:rPr>
                <w:color w:val="000000"/>
                <w:sz w:val="24"/>
                <w:szCs w:val="24"/>
              </w:rPr>
              <w:t>MTN1</w:t>
            </w:r>
          </w:p>
        </w:tc>
        <w:tc>
          <w:tcPr>
            <w:tcW w:w="1134" w:type="dxa"/>
            <w:vAlign w:val="center"/>
          </w:tcPr>
          <w:p w:rsidR="00213772" w:rsidRDefault="007C53D4">
            <w:pPr>
              <w:jc w:val="right"/>
            </w:pPr>
            <w:r>
              <w:rPr>
                <w:color w:val="000000"/>
                <w:sz w:val="24"/>
                <w:szCs w:val="24"/>
              </w:rPr>
              <w:t>200,000</w:t>
            </w:r>
          </w:p>
        </w:tc>
        <w:tc>
          <w:tcPr>
            <w:tcW w:w="1898" w:type="dxa"/>
            <w:vAlign w:val="center"/>
          </w:tcPr>
          <w:p w:rsidR="00213772" w:rsidRDefault="007C53D4">
            <w:pPr>
              <w:jc w:val="right"/>
            </w:pPr>
            <w:r>
              <w:rPr>
                <w:color w:val="000000"/>
                <w:sz w:val="24"/>
                <w:szCs w:val="24"/>
              </w:rPr>
              <w:t>20,114,000.00</w:t>
            </w:r>
          </w:p>
        </w:tc>
        <w:tc>
          <w:tcPr>
            <w:tcW w:w="1237" w:type="dxa"/>
            <w:vAlign w:val="center"/>
          </w:tcPr>
          <w:p w:rsidR="00213772" w:rsidRDefault="007C53D4">
            <w:pPr>
              <w:jc w:val="right"/>
            </w:pPr>
            <w:r>
              <w:rPr>
                <w:color w:val="000000"/>
                <w:sz w:val="24"/>
                <w:szCs w:val="24"/>
              </w:rPr>
              <w:t>15.98</w:t>
            </w:r>
          </w:p>
        </w:tc>
      </w:tr>
      <w:tr w:rsidR="00213772" w:rsidTr="007C53D4">
        <w:trPr>
          <w:jc w:val="center"/>
        </w:trPr>
        <w:tc>
          <w:tcPr>
            <w:tcW w:w="850" w:type="dxa"/>
            <w:vAlign w:val="center"/>
          </w:tcPr>
          <w:p w:rsidR="00213772" w:rsidRDefault="007C53D4">
            <w:pPr>
              <w:jc w:val="center"/>
            </w:pPr>
            <w:r>
              <w:rPr>
                <w:color w:val="000000"/>
                <w:sz w:val="24"/>
                <w:szCs w:val="24"/>
              </w:rPr>
              <w:t>2</w:t>
            </w:r>
          </w:p>
        </w:tc>
        <w:tc>
          <w:tcPr>
            <w:tcW w:w="1339" w:type="dxa"/>
            <w:vAlign w:val="center"/>
          </w:tcPr>
          <w:p w:rsidR="00213772" w:rsidRDefault="007C53D4">
            <w:pPr>
              <w:jc w:val="center"/>
            </w:pPr>
            <w:r>
              <w:rPr>
                <w:color w:val="000000"/>
                <w:sz w:val="24"/>
                <w:szCs w:val="24"/>
              </w:rPr>
              <w:t>1480142</w:t>
            </w:r>
          </w:p>
        </w:tc>
        <w:tc>
          <w:tcPr>
            <w:tcW w:w="2410" w:type="dxa"/>
            <w:vAlign w:val="center"/>
          </w:tcPr>
          <w:p w:rsidR="00213772" w:rsidRDefault="007C53D4">
            <w:pPr>
              <w:jc w:val="center"/>
            </w:pPr>
            <w:r>
              <w:rPr>
                <w:color w:val="000000"/>
                <w:sz w:val="24"/>
                <w:szCs w:val="24"/>
              </w:rPr>
              <w:t>13</w:t>
            </w:r>
            <w:r>
              <w:rPr>
                <w:color w:val="000000"/>
                <w:sz w:val="24"/>
                <w:szCs w:val="24"/>
              </w:rPr>
              <w:t>武清国投债</w:t>
            </w:r>
            <w:r>
              <w:rPr>
                <w:color w:val="000000"/>
                <w:sz w:val="24"/>
                <w:szCs w:val="24"/>
              </w:rPr>
              <w:t>02</w:t>
            </w:r>
          </w:p>
        </w:tc>
        <w:tc>
          <w:tcPr>
            <w:tcW w:w="1134" w:type="dxa"/>
            <w:vAlign w:val="center"/>
          </w:tcPr>
          <w:p w:rsidR="00213772" w:rsidRDefault="007C53D4">
            <w:pPr>
              <w:jc w:val="right"/>
            </w:pPr>
            <w:r>
              <w:rPr>
                <w:color w:val="000000"/>
                <w:sz w:val="24"/>
                <w:szCs w:val="24"/>
              </w:rPr>
              <w:t>100,000</w:t>
            </w:r>
          </w:p>
        </w:tc>
        <w:tc>
          <w:tcPr>
            <w:tcW w:w="1898" w:type="dxa"/>
            <w:vAlign w:val="center"/>
          </w:tcPr>
          <w:p w:rsidR="00213772" w:rsidRDefault="007C53D4">
            <w:pPr>
              <w:jc w:val="right"/>
            </w:pPr>
            <w:r>
              <w:rPr>
                <w:color w:val="000000"/>
                <w:sz w:val="24"/>
                <w:szCs w:val="24"/>
              </w:rPr>
              <w:t>11,084,000.00</w:t>
            </w:r>
          </w:p>
        </w:tc>
        <w:tc>
          <w:tcPr>
            <w:tcW w:w="1237" w:type="dxa"/>
            <w:vAlign w:val="center"/>
          </w:tcPr>
          <w:p w:rsidR="00213772" w:rsidRDefault="007C53D4">
            <w:pPr>
              <w:jc w:val="right"/>
            </w:pPr>
            <w:r>
              <w:rPr>
                <w:color w:val="000000"/>
                <w:sz w:val="24"/>
                <w:szCs w:val="24"/>
              </w:rPr>
              <w:t>8.81</w:t>
            </w:r>
          </w:p>
        </w:tc>
      </w:tr>
      <w:tr w:rsidR="00213772" w:rsidTr="007C53D4">
        <w:trPr>
          <w:jc w:val="center"/>
        </w:trPr>
        <w:tc>
          <w:tcPr>
            <w:tcW w:w="850" w:type="dxa"/>
            <w:vAlign w:val="center"/>
          </w:tcPr>
          <w:p w:rsidR="00213772" w:rsidRDefault="007C53D4">
            <w:pPr>
              <w:jc w:val="center"/>
            </w:pPr>
            <w:r>
              <w:rPr>
                <w:color w:val="000000"/>
                <w:sz w:val="24"/>
                <w:szCs w:val="24"/>
              </w:rPr>
              <w:t>3</w:t>
            </w:r>
          </w:p>
        </w:tc>
        <w:tc>
          <w:tcPr>
            <w:tcW w:w="1339" w:type="dxa"/>
            <w:vAlign w:val="center"/>
          </w:tcPr>
          <w:p w:rsidR="00213772" w:rsidRDefault="007C53D4">
            <w:pPr>
              <w:jc w:val="center"/>
            </w:pPr>
            <w:r>
              <w:rPr>
                <w:color w:val="000000"/>
                <w:sz w:val="24"/>
                <w:szCs w:val="24"/>
              </w:rPr>
              <w:t>124508</w:t>
            </w:r>
          </w:p>
        </w:tc>
        <w:tc>
          <w:tcPr>
            <w:tcW w:w="2410" w:type="dxa"/>
            <w:vAlign w:val="center"/>
          </w:tcPr>
          <w:p w:rsidR="00213772" w:rsidRDefault="007C53D4">
            <w:pPr>
              <w:jc w:val="center"/>
            </w:pPr>
            <w:r>
              <w:rPr>
                <w:color w:val="000000"/>
                <w:sz w:val="24"/>
                <w:szCs w:val="24"/>
              </w:rPr>
              <w:t>14</w:t>
            </w:r>
            <w:r>
              <w:rPr>
                <w:color w:val="000000"/>
                <w:sz w:val="24"/>
                <w:szCs w:val="24"/>
              </w:rPr>
              <w:t>滕州</w:t>
            </w:r>
            <w:r>
              <w:rPr>
                <w:color w:val="000000"/>
                <w:sz w:val="24"/>
                <w:szCs w:val="24"/>
              </w:rPr>
              <w:t>02</w:t>
            </w:r>
          </w:p>
        </w:tc>
        <w:tc>
          <w:tcPr>
            <w:tcW w:w="1134" w:type="dxa"/>
            <w:vAlign w:val="center"/>
          </w:tcPr>
          <w:p w:rsidR="00213772" w:rsidRDefault="007C53D4">
            <w:pPr>
              <w:jc w:val="right"/>
            </w:pPr>
            <w:r>
              <w:rPr>
                <w:color w:val="000000"/>
                <w:sz w:val="24"/>
                <w:szCs w:val="24"/>
              </w:rPr>
              <w:t>100,000</w:t>
            </w:r>
          </w:p>
        </w:tc>
        <w:tc>
          <w:tcPr>
            <w:tcW w:w="1898" w:type="dxa"/>
            <w:vAlign w:val="center"/>
          </w:tcPr>
          <w:p w:rsidR="00213772" w:rsidRDefault="007C53D4">
            <w:pPr>
              <w:jc w:val="right"/>
            </w:pPr>
            <w:r>
              <w:rPr>
                <w:color w:val="000000"/>
                <w:sz w:val="24"/>
                <w:szCs w:val="24"/>
              </w:rPr>
              <w:t>10,770,000.00</w:t>
            </w:r>
          </w:p>
        </w:tc>
        <w:tc>
          <w:tcPr>
            <w:tcW w:w="1237" w:type="dxa"/>
            <w:vAlign w:val="center"/>
          </w:tcPr>
          <w:p w:rsidR="00213772" w:rsidRDefault="007C53D4">
            <w:pPr>
              <w:jc w:val="right"/>
            </w:pPr>
            <w:r>
              <w:rPr>
                <w:color w:val="000000"/>
                <w:sz w:val="24"/>
                <w:szCs w:val="24"/>
              </w:rPr>
              <w:t>8.56</w:t>
            </w:r>
          </w:p>
        </w:tc>
      </w:tr>
      <w:tr w:rsidR="00213772" w:rsidTr="007C53D4">
        <w:trPr>
          <w:jc w:val="center"/>
        </w:trPr>
        <w:tc>
          <w:tcPr>
            <w:tcW w:w="850" w:type="dxa"/>
            <w:vAlign w:val="center"/>
          </w:tcPr>
          <w:p w:rsidR="00213772" w:rsidRDefault="007C53D4">
            <w:pPr>
              <w:jc w:val="center"/>
            </w:pPr>
            <w:r>
              <w:rPr>
                <w:color w:val="000000"/>
                <w:sz w:val="24"/>
                <w:szCs w:val="24"/>
              </w:rPr>
              <w:t>4</w:t>
            </w:r>
          </w:p>
        </w:tc>
        <w:tc>
          <w:tcPr>
            <w:tcW w:w="1339" w:type="dxa"/>
            <w:vAlign w:val="center"/>
          </w:tcPr>
          <w:p w:rsidR="00213772" w:rsidRDefault="007C53D4">
            <w:pPr>
              <w:jc w:val="center"/>
            </w:pPr>
            <w:r>
              <w:rPr>
                <w:color w:val="000000"/>
                <w:sz w:val="24"/>
                <w:szCs w:val="24"/>
              </w:rPr>
              <w:t>124386</w:t>
            </w:r>
          </w:p>
        </w:tc>
        <w:tc>
          <w:tcPr>
            <w:tcW w:w="2410" w:type="dxa"/>
            <w:vAlign w:val="center"/>
          </w:tcPr>
          <w:p w:rsidR="00213772" w:rsidRDefault="007C53D4">
            <w:pPr>
              <w:jc w:val="center"/>
            </w:pPr>
            <w:r>
              <w:rPr>
                <w:color w:val="000000"/>
                <w:sz w:val="24"/>
                <w:szCs w:val="24"/>
              </w:rPr>
              <w:t>13</w:t>
            </w:r>
            <w:r>
              <w:rPr>
                <w:color w:val="000000"/>
                <w:sz w:val="24"/>
                <w:szCs w:val="24"/>
              </w:rPr>
              <w:t>新沂债</w:t>
            </w:r>
          </w:p>
        </w:tc>
        <w:tc>
          <w:tcPr>
            <w:tcW w:w="1134" w:type="dxa"/>
            <w:vAlign w:val="center"/>
          </w:tcPr>
          <w:p w:rsidR="00213772" w:rsidRDefault="007C53D4">
            <w:pPr>
              <w:jc w:val="right"/>
            </w:pPr>
            <w:r>
              <w:rPr>
                <w:color w:val="000000"/>
                <w:sz w:val="24"/>
                <w:szCs w:val="24"/>
              </w:rPr>
              <w:t>99,970</w:t>
            </w:r>
          </w:p>
        </w:tc>
        <w:tc>
          <w:tcPr>
            <w:tcW w:w="1898" w:type="dxa"/>
            <w:vAlign w:val="center"/>
          </w:tcPr>
          <w:p w:rsidR="00213772" w:rsidRDefault="007C53D4">
            <w:pPr>
              <w:jc w:val="right"/>
            </w:pPr>
            <w:r>
              <w:rPr>
                <w:color w:val="000000"/>
                <w:sz w:val="24"/>
                <w:szCs w:val="24"/>
              </w:rPr>
              <w:t>10,529,840.10</w:t>
            </w:r>
          </w:p>
        </w:tc>
        <w:tc>
          <w:tcPr>
            <w:tcW w:w="1237" w:type="dxa"/>
            <w:vAlign w:val="center"/>
          </w:tcPr>
          <w:p w:rsidR="00213772" w:rsidRDefault="007C53D4">
            <w:pPr>
              <w:jc w:val="right"/>
            </w:pPr>
            <w:r>
              <w:rPr>
                <w:color w:val="000000"/>
                <w:sz w:val="24"/>
                <w:szCs w:val="24"/>
              </w:rPr>
              <w:t>8.37</w:t>
            </w:r>
          </w:p>
        </w:tc>
      </w:tr>
      <w:tr w:rsidR="00213772" w:rsidTr="007C53D4">
        <w:trPr>
          <w:jc w:val="center"/>
        </w:trPr>
        <w:tc>
          <w:tcPr>
            <w:tcW w:w="850" w:type="dxa"/>
            <w:vAlign w:val="center"/>
          </w:tcPr>
          <w:p w:rsidR="00213772" w:rsidRDefault="007C53D4">
            <w:pPr>
              <w:jc w:val="center"/>
            </w:pPr>
            <w:r>
              <w:rPr>
                <w:color w:val="000000"/>
                <w:sz w:val="24"/>
                <w:szCs w:val="24"/>
              </w:rPr>
              <w:t>5</w:t>
            </w:r>
          </w:p>
        </w:tc>
        <w:tc>
          <w:tcPr>
            <w:tcW w:w="1339" w:type="dxa"/>
            <w:vAlign w:val="center"/>
          </w:tcPr>
          <w:p w:rsidR="00213772" w:rsidRDefault="007C53D4">
            <w:pPr>
              <w:jc w:val="center"/>
            </w:pPr>
            <w:r>
              <w:rPr>
                <w:color w:val="000000"/>
                <w:sz w:val="24"/>
                <w:szCs w:val="24"/>
              </w:rPr>
              <w:t>101580004</w:t>
            </w:r>
          </w:p>
        </w:tc>
        <w:tc>
          <w:tcPr>
            <w:tcW w:w="2410" w:type="dxa"/>
            <w:vAlign w:val="center"/>
          </w:tcPr>
          <w:p w:rsidR="00213772" w:rsidRDefault="007C53D4">
            <w:pPr>
              <w:jc w:val="center"/>
            </w:pPr>
            <w:r>
              <w:rPr>
                <w:color w:val="000000"/>
                <w:sz w:val="24"/>
                <w:szCs w:val="24"/>
              </w:rPr>
              <w:t>15</w:t>
            </w:r>
            <w:r>
              <w:rPr>
                <w:color w:val="000000"/>
                <w:sz w:val="24"/>
                <w:szCs w:val="24"/>
              </w:rPr>
              <w:t>营口沿海</w:t>
            </w:r>
            <w:r>
              <w:rPr>
                <w:color w:val="000000"/>
                <w:sz w:val="24"/>
                <w:szCs w:val="24"/>
              </w:rPr>
              <w:t>MTN001</w:t>
            </w:r>
          </w:p>
        </w:tc>
        <w:tc>
          <w:tcPr>
            <w:tcW w:w="1134" w:type="dxa"/>
            <w:vAlign w:val="center"/>
          </w:tcPr>
          <w:p w:rsidR="00213772" w:rsidRDefault="007C53D4">
            <w:pPr>
              <w:jc w:val="right"/>
            </w:pPr>
            <w:r>
              <w:rPr>
                <w:color w:val="000000"/>
                <w:sz w:val="24"/>
                <w:szCs w:val="24"/>
              </w:rPr>
              <w:t>100,000</w:t>
            </w:r>
          </w:p>
        </w:tc>
        <w:tc>
          <w:tcPr>
            <w:tcW w:w="1898" w:type="dxa"/>
            <w:vAlign w:val="center"/>
          </w:tcPr>
          <w:p w:rsidR="00213772" w:rsidRDefault="007C53D4">
            <w:pPr>
              <w:jc w:val="right"/>
            </w:pPr>
            <w:r>
              <w:rPr>
                <w:color w:val="000000"/>
                <w:sz w:val="24"/>
                <w:szCs w:val="24"/>
              </w:rPr>
              <w:t>10,485,000.00</w:t>
            </w:r>
          </w:p>
        </w:tc>
        <w:tc>
          <w:tcPr>
            <w:tcW w:w="1237" w:type="dxa"/>
            <w:vAlign w:val="center"/>
          </w:tcPr>
          <w:p w:rsidR="00213772" w:rsidRDefault="007C53D4">
            <w:pPr>
              <w:jc w:val="right"/>
            </w:pPr>
            <w:r>
              <w:rPr>
                <w:color w:val="000000"/>
                <w:sz w:val="24"/>
                <w:szCs w:val="24"/>
              </w:rPr>
              <w:t>8.33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37,185.91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3,456,689.40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5,033,179.03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8,527,054.34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213772">
        <w:trPr>
          <w:jc w:val="center"/>
        </w:trPr>
        <w:tc>
          <w:tcPr>
            <w:tcW w:w="1883" w:type="dxa"/>
            <w:vAlign w:val="center"/>
          </w:tcPr>
          <w:p w:rsidR="00213772" w:rsidRDefault="007C53D4">
            <w:pPr>
              <w:jc w:val="center"/>
            </w:pPr>
            <w:r>
              <w:rPr>
                <w:color w:val="000000"/>
                <w:sz w:val="24"/>
                <w:szCs w:val="24"/>
              </w:rPr>
              <w:t>1</w:t>
            </w:r>
          </w:p>
        </w:tc>
        <w:tc>
          <w:tcPr>
            <w:tcW w:w="1801" w:type="dxa"/>
            <w:vAlign w:val="center"/>
          </w:tcPr>
          <w:p w:rsidR="00213772" w:rsidRDefault="007C53D4">
            <w:pPr>
              <w:jc w:val="center"/>
            </w:pPr>
            <w:r>
              <w:rPr>
                <w:color w:val="000000"/>
                <w:sz w:val="24"/>
                <w:szCs w:val="24"/>
              </w:rPr>
              <w:t>110031</w:t>
            </w:r>
          </w:p>
        </w:tc>
        <w:tc>
          <w:tcPr>
            <w:tcW w:w="1727" w:type="dxa"/>
            <w:vAlign w:val="center"/>
          </w:tcPr>
          <w:p w:rsidR="00213772" w:rsidRDefault="007C53D4">
            <w:pPr>
              <w:jc w:val="center"/>
            </w:pPr>
            <w:r>
              <w:rPr>
                <w:color w:val="000000"/>
                <w:sz w:val="24"/>
                <w:szCs w:val="24"/>
              </w:rPr>
              <w:t>航信转债</w:t>
            </w:r>
          </w:p>
        </w:tc>
        <w:tc>
          <w:tcPr>
            <w:tcW w:w="1768" w:type="dxa"/>
            <w:vAlign w:val="center"/>
          </w:tcPr>
          <w:p w:rsidR="00213772" w:rsidRDefault="007C53D4">
            <w:pPr>
              <w:jc w:val="right"/>
            </w:pPr>
            <w:r>
              <w:rPr>
                <w:color w:val="000000"/>
                <w:sz w:val="24"/>
                <w:szCs w:val="24"/>
              </w:rPr>
              <w:t>1,038,720.00</w:t>
            </w:r>
          </w:p>
        </w:tc>
        <w:tc>
          <w:tcPr>
            <w:tcW w:w="1689" w:type="dxa"/>
            <w:vAlign w:val="center"/>
          </w:tcPr>
          <w:p w:rsidR="00213772" w:rsidRDefault="007C53D4">
            <w:pPr>
              <w:jc w:val="right"/>
            </w:pPr>
            <w:r>
              <w:rPr>
                <w:color w:val="000000"/>
                <w:sz w:val="24"/>
                <w:szCs w:val="24"/>
              </w:rPr>
              <w:t>0.83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82,982,477.10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33,941,036.28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22,001,789.57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94,921,723.81</w:t>
            </w:r>
          </w:p>
        </w:tc>
      </w:tr>
    </w:tbl>
    <w:p w:rsidR="00213772" w:rsidRDefault="007C53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13772" w:rsidRDefault="007C53D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213772" w:rsidRDefault="007C53D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213772" w:rsidRDefault="007C53D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213772" w:rsidRDefault="007C53D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213772" w:rsidRDefault="007C53D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213772" w:rsidRDefault="007C53D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213772" w:rsidRDefault="007C53D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13772" w:rsidRDefault="007C53D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024893">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024893">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893"/>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772"/>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3D4"/>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54E9C3A0-F91C-417B-889D-0DF611D5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0723-EED5-45E6-A22E-2F79D823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11</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562</cp:revision>
  <dcterms:created xsi:type="dcterms:W3CDTF">2012-10-16T06:07:00Z</dcterms:created>
  <dcterms:modified xsi:type="dcterms:W3CDTF">2016-01-18T06:17:00Z</dcterms:modified>
</cp:coreProperties>
</file>