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交银施罗德上证180公司治理交易型开放式指数证券投资基金联接基金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2015年第4季度报告</w:t>
      </w:r>
    </w:p>
    <w:p w:rsidR="00943748" w:rsidRPr="006C615F" w:rsidRDefault="003251EE" w:rsidP="00B04217">
      <w:pPr>
        <w:spacing w:before="29" w:line="288" w:lineRule="auto"/>
        <w:jc w:val="center"/>
        <w:rPr>
          <w:b/>
          <w:sz w:val="36"/>
          <w:szCs w:val="36"/>
        </w:rPr>
      </w:pPr>
      <w:r w:rsidRPr="006C615F">
        <w:rPr>
          <w:b/>
          <w:sz w:val="36"/>
          <w:szCs w:val="36"/>
        </w:rPr>
        <w:t>2015年12月31日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
      </w:r>
      <w:r w:rsidR="003251EE" w:rsidRPr="006C615F">
        <w:rPr>
          <w:b/>
          <w:color w:val="000000"/>
          <w:sz w:val="24"/>
        </w:rPr>
        <w:t/>
      </w:r>
      <w:r w:rsidR="00AB5C7D" w:rsidRPr="006C615F">
        <w:rPr>
          <w:b/>
          <w:color w:val="000000"/>
          <w:sz w:val="24"/>
        </w:rPr>
        <w:t>二〇一六年一月二十一日</w:t>
      </w:r>
    </w:p>
    <w:p w:rsidR="00220542" w:rsidRPr="00324C76" w:rsidRDefault="00220542" w:rsidP="006F59D5">
      <w:pPr>
        <w:pStyle w:val="1"/>
        <w:spacing w:beforeLines="100" w:after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Chars="200" w:firstLine="48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rPr>
      </w:pPr>
      <w:r>
        <w:rPr>
          <w:color w:val="000000"/>
          <w:sz w:val="24"/>
        </w:rPr>
        <w:t xml:space="preserve">基金托管人中国农业银行股份有限公司根据本基金合同规定，于2016年1月20日复核了本报告中的财务指标、净值表现和投资组合报告等内容，保证复核内容不存在虚假记载、误导性陈述或者重大遗漏。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Chars="200" w:firstLine="48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rPr>
      </w:pPr>
      <w:r>
        <w:rPr>
          <w:color w:val="000000"/>
          <w:sz w:val="24"/>
        </w:rPr>
        <w:t xml:space="preserve">本报告中财务资料未经审计。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本报告期自2015年10月1日起至12月31日止。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after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交银上证180公司治理ETF联接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2009年9月29日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594,386,665.97</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本基金通过把全部或接近全部的基金资产投资于目标ETF、标的指数成份股和备选成份股进行被动式指数化投资，正常情况下投资于目标ETF的比例不低于基金资产净值的90%。</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上证180公司治理指数×95%＋银行活期存款税后收益率×5%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上证180公司治理交易型开放式指数证券投资基金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
            </w:r>
            <w:r w:rsidR="003D1893" w:rsidRPr="00324C76">
              <w:rPr>
                <w:sz w:val="24"/>
              </w:rPr>
              <w:t/>
            </w:r>
            <w:r w:rsidRPr="00324C76">
              <w:rPr>
                <w:sz w:val="24"/>
              </w:rPr>
              <w:t>2009年9月25日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lastRenderedPageBreak/>
              <w:t/>
            </w:r>
            <w:r w:rsidRPr="00324C76">
              <w:rPr>
                <w:sz w:val="24"/>
              </w:rPr>
              <w:lastRenderedPageBreak/>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
            </w:r>
            <w:r w:rsidR="00F840F0" w:rsidRPr="00324C76">
              <w:rPr>
                <w:sz w:val="24"/>
              </w:rPr>
              <w:t/>
            </w:r>
            <w:r w:rsidRPr="00324C76">
              <w:rPr>
                <w:sz w:val="24"/>
              </w:rPr>
              <w:t>2009年12月15日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注：本表所列的基金主代码510010为目标基金的二级市场交易代码，目标基金的一级市场申购赎回代码为510011。</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上证180公司治理指数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after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7"/>
        <w:gridCol w:w="2706"/>
        <w:gridCol w:w="2555"/>
      </w:tblGrid>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2015年10月1日-2015年12月31日</w:t>
            </w:r>
            <w:r w:rsidR="00F53C6A" w:rsidRPr="00324C76">
              <w:rPr>
                <w:color w:val="000000"/>
                <w:kern w:val="0"/>
                <w:sz w:val="24"/>
              </w:rPr>
              <w:t>)</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3,569,976.73</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64,660,628.72</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0.1199</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688,086,325.05</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1.158</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11.45%</w:t>
            </w:r>
          </w:p>
        </w:tc>
        <w:tc>
          <w:tcPr>
            <w:vAlign w:val="center"/>
          </w:tcPr>
          <w:p>
            <w:pPr>
              <w:jc w:val="center"/>
            </w:pPr>
            <w:r>
              <w:rPr>
                <w:color w:val="000000"/>
                <w:sz w:val="24"/>
              </w:rPr>
              <w:t>1.53%</w:t>
            </w:r>
          </w:p>
        </w:tc>
        <w:tc>
          <w:tcPr>
            <w:vAlign w:val="center"/>
          </w:tcPr>
          <w:p>
            <w:pPr>
              <w:jc w:val="center"/>
            </w:pPr>
            <w:r>
              <w:rPr>
                <w:color w:val="000000"/>
                <w:sz w:val="24"/>
              </w:rPr>
              <w:t>11.61%</w:t>
            </w:r>
          </w:p>
        </w:tc>
        <w:tc>
          <w:tcPr>
            <w:vAlign w:val="center"/>
          </w:tcPr>
          <w:p>
            <w:pPr>
              <w:jc w:val="center"/>
            </w:pPr>
            <w:r>
              <w:rPr>
                <w:color w:val="000000"/>
                <w:sz w:val="24"/>
              </w:rPr>
              <w:t>1.54%</w:t>
            </w:r>
          </w:p>
        </w:tc>
        <w:tc>
          <w:tcPr>
            <w:vAlign w:val="center"/>
          </w:tcPr>
          <w:p>
            <w:pPr>
              <w:jc w:val="center"/>
            </w:pPr>
            <w:r>
              <w:rPr>
                <w:color w:val="000000"/>
                <w:sz w:val="24"/>
              </w:rPr>
              <w:t>-0.16%</w:t>
            </w:r>
          </w:p>
        </w:tc>
        <w:tc>
          <w:tcPr>
            <w:vAlign w:val="center"/>
          </w:tcPr>
          <w:p>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交银施罗德上证180公司治理交易型开放式指数证券投资基金联接基金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2009年9月29日</w:t>
      </w:r>
      <w:r w:rsidRPr="00324C76">
        <w:rPr>
          <w:color w:val="000000"/>
          <w:kern w:val="0"/>
          <w:sz w:val="24"/>
        </w:rPr>
        <w:t>至</w:t>
      </w:r>
      <w:r w:rsidRPr="00324C76">
        <w:rPr>
          <w:color w:val="000000"/>
          <w:kern w:val="0"/>
          <w:sz w:val="24"/>
        </w:rPr>
        <w:t>2015年12月31日</w:t>
      </w:r>
      <w:r w:rsidRPr="00324C76">
        <w:rPr>
          <w:color w:val="000000"/>
          <w:kern w:val="0"/>
          <w:sz w:val="24"/>
        </w:rPr>
        <w:t>）</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
      </w:r>
      <w:r w:rsidR="00C26024" w:rsidRPr="00324C76">
        <w:rPr>
          <w:color w:val="000000"/>
          <w:sz w:val="24"/>
        </w:rPr>
        <w:t/>
      </w:r>
      <w:r w:rsidRPr="00324C76">
        <w:rPr>
          <w:color w:val="000000"/>
          <w:sz w:val="24"/>
        </w:rPr>
        <w:t>注：本基金建仓期为自基金合同生效日起的3个月。截至建仓期结束，本基金各项资产配置比例符合基金合同及招募说明书有关投资比例的约定。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after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环球精选混合(QDII)、交银上证180公司治理ETF及其联接、交银深证300价值ETF及其联接、交银全球资源混合(QDII)、交银国证新能源指数分级、交银中证海外中国互联网指数（QDII-LOF)、交银中证互联网金融指数分级、交银中证环境治理指数分级的基金经理，公司量化投资部助理总经理</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蔡铮先生，复旦大学电子工程硕士。历任瑞士银行香港分行分析员。2009年加入交银施罗德基金管理有限公司，历任投资研究部数量分析师、基金经理助理。2012年12月27日至2015年6月30日担任交银施罗德沪深300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2015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基准指数的指数基金，在第四季度基金总体呈现出上涨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展望2016年第一季度，宽松的货币政策环境有望持续，一些大的改革措施有望落地，整个经济环境因此有望从明显下滑过渡到稳步寻底回升，因此我们有理由对未来市场保持谨慎乐观的态度。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截至2015年12月31日，本基金份额净值为1.158元，本报告期份额净值增长率为11.45%，同期业绩比较基准增长率为11.61%。</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after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lastRenderedPageBreak/>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23,299,718.11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3.37</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23,299,718.11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3.37</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628,077,138.77</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
            </w:r>
            <w:r w:rsidR="004C4CF1" w:rsidRPr="00324C76">
              <w:rPr>
                <w:color w:val="000000"/>
                <w:sz w:val="24"/>
              </w:rPr>
              <w:t/>
            </w:r>
            <w:r w:rsidRPr="00324C76">
              <w:rPr>
                <w:color w:val="000000"/>
                <w:sz w:val="24"/>
              </w:rPr>
              <w:t>90.96</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
            </w:r>
            <w:r w:rsidRPr="00324C76">
              <w:rPr>
                <w:rFonts w:eastAsiaTheme="minorEastAsia"/>
                <w:color w:val="000000"/>
                <w:sz w:val="24"/>
              </w:rPr>
              <w:lastRenderedPageBreak/>
              <w:t/>
            </w:r>
            <w:r w:rsidR="00C6357C" w:rsidRPr="00324C76">
              <w:rPr>
                <w:rFonts w:eastAsiaTheme="minorEastAsia"/>
                <w:color w:val="000000"/>
                <w:sz w:val="24"/>
              </w:rPr>
              <w:t xml:space="preserve"/>
            </w: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lastRenderedPageBreak/>
              <w:t/>
            </w:r>
            <w:r w:rsidRPr="00324C76">
              <w:rPr>
                <w:rFonts w:eastAsiaTheme="minorEastAsia"/>
                <w:color w:val="000000"/>
                <w:sz w:val="24"/>
              </w:rPr>
              <w:lastRenderedPageBreak/>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lastRenderedPageBreak/>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38,639,589.05</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5.60</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
            </w:r>
            <w:r w:rsidRPr="00324C76">
              <w:rPr>
                <w:color w:val="000000"/>
                <w:sz w:val="24"/>
              </w:rPr>
              <w:lastRenderedPageBreak/>
              <w:t/>
            </w:r>
            <w:r w:rsidR="006B7F36" w:rsidRPr="00324C76">
              <w:rPr>
                <w:color w:val="000000"/>
                <w:sz w:val="24"/>
              </w:rPr>
              <w:t/>
            </w:r>
            <w:r w:rsidR="00E27AF2"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lastRenderedPageBreak/>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
            </w:r>
            <w:r w:rsidRPr="00324C76">
              <w:rPr>
                <w:color w:val="000000"/>
                <w:sz w:val="24"/>
              </w:rPr>
              <w:lastRenderedPageBreak/>
              <w:t>510,656.41</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lastRenderedPageBreak/>
              <w:t/>
            </w:r>
            <w:r w:rsidRPr="00324C76">
              <w:rPr>
                <w:color w:val="000000"/>
                <w:sz w:val="24"/>
              </w:rPr>
              <w:lastRenderedPageBreak/>
              <w:t>0.07</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lastRenderedPageBreak/>
              <w:t/>
            </w:r>
            <w:r w:rsidR="006B7F36" w:rsidRPr="00324C76">
              <w:rPr>
                <w:color w:val="000000"/>
                <w:sz w:val="24"/>
              </w:rPr>
              <w:t/>
            </w:r>
            <w:r w:rsidR="00E27AF2"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690,527,102.34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上证180公司治理交易型开放式指数证券投资基金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628,077,138.77</w:t>
            </w:r>
          </w:p>
        </w:tc>
        <w:tc>
          <w:tcPr>
            <w:vAlign w:val="center"/>
          </w:tcPr>
          <w:p>
            <w:pPr>
              <w:jc w:val="right"/>
            </w:pPr>
            <w:r>
              <w:rPr>
                <w:sz w:val="24"/>
              </w:rPr>
              <w:t>91.28</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r w:rsidR="000E0611" w:rsidRPr="00324C76">
              <w:rPr>
                <w:sz w:val="24"/>
              </w:rPr>
              <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51,408.00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lastRenderedPageBreak/>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1,038,063.00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4,917,298.06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0.71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1,242,621.00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1,866,614.46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656,264.00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959,812.56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
            </w:r>
            <w:r w:rsidRPr="00324C76">
              <w:rPr>
                <w:sz w:val="24"/>
              </w:rPr>
              <w:lastRenderedPageBreak/>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lastRenderedPageBreak/>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506,168.00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10,715,463.07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1.56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1,130,426.00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91,610.96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123,969.00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23,299,718.11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3.39</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600016</w:t>
            </w:r>
          </w:p>
        </w:tc>
        <w:tc>
          <w:tcPr>
            <w:vAlign w:val="center"/>
          </w:tcPr>
          <w:p>
            <w:pPr>
              <w:jc w:val="center"/>
            </w:pPr>
            <w:r>
              <w:rPr>
                <w:color w:val="000000"/>
                <w:sz w:val="24"/>
              </w:rPr>
              <w:t>民生银行</w:t>
            </w:r>
          </w:p>
        </w:tc>
        <w:tc>
          <w:tcPr>
            <w:vAlign w:val="center"/>
          </w:tcPr>
          <w:p>
            <w:pPr>
              <w:jc w:val="right"/>
            </w:pPr>
            <w:r>
              <w:rPr>
                <w:color w:val="000000"/>
                <w:sz w:val="24"/>
              </w:rPr>
              <w:t>160,100</w:t>
            </w:r>
          </w:p>
        </w:tc>
        <w:tc>
          <w:tcPr>
            <w:vAlign w:val="center"/>
          </w:tcPr>
          <w:p>
            <w:pPr>
              <w:jc w:val="right"/>
            </w:pPr>
            <w:r>
              <w:rPr>
                <w:color w:val="000000"/>
                <w:sz w:val="24"/>
              </w:rPr>
              <w:t>1,543,364.00</w:t>
            </w:r>
          </w:p>
        </w:tc>
        <w:tc>
          <w:tcPr>
            <w:vAlign w:val="center"/>
          </w:tcPr>
          <w:p>
            <w:pPr>
              <w:jc w:val="right"/>
            </w:pPr>
            <w:r>
              <w:rPr>
                <w:color w:val="000000"/>
                <w:sz w:val="24"/>
              </w:rPr>
              <w:t>0.22</w:t>
            </w:r>
          </w:p>
        </w:tc>
      </w:tr>
      <w:tr>
        <w:tc>
          <w:tcPr>
            <w:vAlign w:val="center"/>
          </w:tcPr>
          <w:p>
            <w:pPr>
              <w:jc w:val="center"/>
            </w:pPr>
            <w:r>
              <w:rPr>
                <w:color w:val="000000"/>
                <w:sz w:val="24"/>
              </w:rPr>
              <w:t>2</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72,301</w:t>
            </w:r>
          </w:p>
        </w:tc>
        <w:tc>
          <w:tcPr>
            <w:vAlign w:val="center"/>
          </w:tcPr>
          <w:p>
            <w:pPr>
              <w:jc w:val="right"/>
            </w:pPr>
            <w:r>
              <w:rPr>
                <w:color w:val="000000"/>
                <w:sz w:val="24"/>
              </w:rPr>
              <w:t>1,234,178.07</w:t>
            </w:r>
          </w:p>
        </w:tc>
        <w:tc>
          <w:tcPr>
            <w:vAlign w:val="center"/>
          </w:tcPr>
          <w:p>
            <w:pPr>
              <w:jc w:val="right"/>
            </w:pPr>
            <w:r>
              <w:rPr>
                <w:color w:val="000000"/>
                <w:sz w:val="24"/>
              </w:rPr>
              <w:t>0.18</w:t>
            </w:r>
          </w:p>
        </w:tc>
      </w:tr>
      <w:tr>
        <w:tc>
          <w:tcPr>
            <w:vAlign w:val="center"/>
          </w:tcPr>
          <w:p>
            <w:pPr>
              <w:jc w:val="center"/>
            </w:pPr>
            <w:r>
              <w:rPr>
                <w:color w:val="000000"/>
                <w:sz w:val="24"/>
              </w:rPr>
              <w:t>3</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55,900</w:t>
            </w:r>
          </w:p>
        </w:tc>
        <w:tc>
          <w:tcPr>
            <w:vAlign w:val="center"/>
          </w:tcPr>
          <w:p>
            <w:pPr>
              <w:jc w:val="right"/>
            </w:pPr>
            <w:r>
              <w:rPr>
                <w:color w:val="000000"/>
                <w:sz w:val="24"/>
              </w:rPr>
              <w:t>1,005,641.00</w:t>
            </w:r>
          </w:p>
        </w:tc>
        <w:tc>
          <w:tcPr>
            <w:vAlign w:val="center"/>
          </w:tcPr>
          <w:p>
            <w:pPr>
              <w:jc w:val="right"/>
            </w:pPr>
            <w:r>
              <w:rPr>
                <w:color w:val="000000"/>
                <w:sz w:val="24"/>
              </w:rPr>
              <w:t>0.15</w:t>
            </w:r>
          </w:p>
        </w:tc>
      </w:tr>
      <w:tr>
        <w:tc>
          <w:tcPr>
            <w:vAlign w:val="center"/>
          </w:tcPr>
          <w:p>
            <w:pPr>
              <w:jc w:val="center"/>
            </w:pPr>
            <w:r>
              <w:rPr>
                <w:color w:val="000000"/>
                <w:sz w:val="24"/>
              </w:rPr>
              <w:t>4</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50,600</w:t>
            </w:r>
          </w:p>
        </w:tc>
        <w:tc>
          <w:tcPr>
            <w:vAlign w:val="center"/>
          </w:tcPr>
          <w:p>
            <w:pPr>
              <w:jc w:val="right"/>
            </w:pPr>
            <w:r>
              <w:rPr>
                <w:color w:val="000000"/>
                <w:sz w:val="24"/>
              </w:rPr>
              <w:t>924,462.00</w:t>
            </w:r>
          </w:p>
        </w:tc>
        <w:tc>
          <w:tcPr>
            <w:vAlign w:val="center"/>
          </w:tcPr>
          <w:p>
            <w:pPr>
              <w:jc w:val="right"/>
            </w:pPr>
            <w:r>
              <w:rPr>
                <w:color w:val="000000"/>
                <w:sz w:val="24"/>
              </w:rPr>
              <w:t>0.13</w:t>
            </w:r>
          </w:p>
        </w:tc>
      </w:tr>
      <w:tr>
        <w:tc>
          <w:tcPr>
            <w:vAlign w:val="center"/>
          </w:tcPr>
          <w:p>
            <w:pPr>
              <w:jc w:val="center"/>
            </w:pPr>
            <w:r>
              <w:rPr>
                <w:color w:val="000000"/>
                <w:sz w:val="24"/>
              </w:rPr>
              <w:t>5</w:t>
            </w:r>
          </w:p>
        </w:tc>
        <w:tc>
          <w:tcPr>
            <w:vAlign w:val="center"/>
          </w:tcPr>
          <w:p>
            <w:pPr>
              <w:jc w:val="center"/>
            </w:pPr>
            <w:r>
              <w:rPr>
                <w:color w:val="000000"/>
                <w:sz w:val="24"/>
              </w:rPr>
              <w:t>600030</w:t>
            </w:r>
          </w:p>
        </w:tc>
        <w:tc>
          <w:tcPr>
            <w:vAlign w:val="center"/>
          </w:tcPr>
          <w:p>
            <w:pPr>
              <w:jc w:val="center"/>
            </w:pPr>
            <w:r>
              <w:rPr>
                <w:color w:val="000000"/>
                <w:sz w:val="24"/>
              </w:rPr>
              <w:t>中信证券</w:t>
            </w:r>
          </w:p>
        </w:tc>
        <w:tc>
          <w:tcPr>
            <w:vAlign w:val="center"/>
          </w:tcPr>
          <w:p>
            <w:pPr>
              <w:jc w:val="right"/>
            </w:pPr>
            <w:r>
              <w:rPr>
                <w:color w:val="000000"/>
                <w:sz w:val="24"/>
              </w:rPr>
              <w:t>42,700</w:t>
            </w:r>
          </w:p>
        </w:tc>
        <w:tc>
          <w:tcPr>
            <w:vAlign w:val="center"/>
          </w:tcPr>
          <w:p>
            <w:pPr>
              <w:jc w:val="right"/>
            </w:pPr>
            <w:r>
              <w:rPr>
                <w:color w:val="000000"/>
                <w:sz w:val="24"/>
              </w:rPr>
              <w:t>826,245.00</w:t>
            </w:r>
          </w:p>
        </w:tc>
        <w:tc>
          <w:tcPr>
            <w:vAlign w:val="center"/>
          </w:tcPr>
          <w:p>
            <w:pPr>
              <w:jc w:val="right"/>
            </w:pPr>
            <w:r>
              <w:rPr>
                <w:color w:val="000000"/>
                <w:sz w:val="24"/>
              </w:rPr>
              <w:t>0.12</w:t>
            </w:r>
          </w:p>
        </w:tc>
      </w:tr>
      <w:tr>
        <w:tc>
          <w:tcPr>
            <w:vAlign w:val="center"/>
          </w:tcPr>
          <w:p>
            <w:pPr>
              <w:jc w:val="center"/>
            </w:pPr>
            <w:r>
              <w:rPr>
                <w:color w:val="000000"/>
                <w:sz w:val="24"/>
              </w:rPr>
              <w:t>6</w:t>
            </w:r>
          </w:p>
        </w:tc>
        <w:tc>
          <w:tcPr>
            <w:vAlign w:val="center"/>
          </w:tcPr>
          <w:p>
            <w:pPr>
              <w:jc w:val="center"/>
            </w:pPr>
            <w:r>
              <w:rPr>
                <w:color w:val="000000"/>
                <w:sz w:val="24"/>
              </w:rPr>
              <w:t>600837</w:t>
            </w:r>
          </w:p>
        </w:tc>
        <w:tc>
          <w:tcPr>
            <w:vAlign w:val="center"/>
          </w:tcPr>
          <w:p>
            <w:pPr>
              <w:jc w:val="center"/>
            </w:pPr>
            <w:r>
              <w:rPr>
                <w:color w:val="000000"/>
                <w:sz w:val="24"/>
              </w:rPr>
              <w:t>海通证券</w:t>
            </w:r>
          </w:p>
        </w:tc>
        <w:tc>
          <w:tcPr>
            <w:vAlign w:val="center"/>
          </w:tcPr>
          <w:p>
            <w:pPr>
              <w:jc w:val="right"/>
            </w:pPr>
            <w:r>
              <w:rPr>
                <w:color w:val="000000"/>
                <w:sz w:val="24"/>
              </w:rPr>
              <w:t>43,900</w:t>
            </w:r>
          </w:p>
        </w:tc>
        <w:tc>
          <w:tcPr>
            <w:vAlign w:val="center"/>
          </w:tcPr>
          <w:p>
            <w:pPr>
              <w:jc w:val="right"/>
            </w:pPr>
            <w:r>
              <w:rPr>
                <w:color w:val="000000"/>
                <w:sz w:val="24"/>
              </w:rPr>
              <w:t>694,498.00</w:t>
            </w:r>
          </w:p>
        </w:tc>
        <w:tc>
          <w:tcPr>
            <w:vAlign w:val="center"/>
          </w:tcPr>
          <w:p>
            <w:pPr>
              <w:jc w:val="right"/>
            </w:pPr>
            <w:r>
              <w:rPr>
                <w:color w:val="000000"/>
                <w:sz w:val="24"/>
              </w:rPr>
              <w:t>0.10</w:t>
            </w:r>
          </w:p>
        </w:tc>
      </w:tr>
      <w:tr>
        <w:tc>
          <w:tcPr>
            <w:vAlign w:val="center"/>
          </w:tcPr>
          <w:p>
            <w:pPr>
              <w:jc w:val="center"/>
            </w:pPr>
            <w:r>
              <w:rPr>
                <w:color w:val="000000"/>
                <w:sz w:val="24"/>
              </w:rPr>
              <w:t>7</w:t>
            </w:r>
          </w:p>
        </w:tc>
        <w:tc>
          <w:tcPr>
            <w:vAlign w:val="center"/>
          </w:tcPr>
          <w:p>
            <w:pPr>
              <w:jc w:val="center"/>
            </w:pPr>
            <w:r>
              <w:rPr>
                <w:color w:val="000000"/>
                <w:sz w:val="24"/>
              </w:rPr>
              <w:t>601766</w:t>
            </w:r>
          </w:p>
        </w:tc>
        <w:tc>
          <w:tcPr>
            <w:vAlign w:val="center"/>
          </w:tcPr>
          <w:p>
            <w:pPr>
              <w:jc w:val="center"/>
            </w:pPr>
            <w:r>
              <w:rPr>
                <w:color w:val="000000"/>
                <w:sz w:val="24"/>
              </w:rPr>
              <w:t>中国中车</w:t>
            </w:r>
          </w:p>
        </w:tc>
        <w:tc>
          <w:tcPr>
            <w:vAlign w:val="center"/>
          </w:tcPr>
          <w:p>
            <w:pPr>
              <w:jc w:val="right"/>
            </w:pPr>
            <w:r>
              <w:rPr>
                <w:color w:val="000000"/>
                <w:sz w:val="24"/>
              </w:rPr>
              <w:t>49,700</w:t>
            </w:r>
          </w:p>
        </w:tc>
        <w:tc>
          <w:tcPr>
            <w:vAlign w:val="center"/>
          </w:tcPr>
          <w:p>
            <w:pPr>
              <w:jc w:val="right"/>
            </w:pPr>
            <w:r>
              <w:rPr>
                <w:color w:val="000000"/>
                <w:sz w:val="24"/>
              </w:rPr>
              <w:t>638,645.00</w:t>
            </w:r>
          </w:p>
        </w:tc>
        <w:tc>
          <w:tcPr>
            <w:vAlign w:val="center"/>
          </w:tcPr>
          <w:p>
            <w:pPr>
              <w:jc w:val="right"/>
            </w:pPr>
            <w:r>
              <w:rPr>
                <w:color w:val="000000"/>
                <w:sz w:val="24"/>
              </w:rPr>
              <w:t>0.09</w:t>
            </w:r>
          </w:p>
        </w:tc>
      </w:tr>
      <w:tr>
        <w:tc>
          <w:tcPr>
            <w:vAlign w:val="center"/>
          </w:tcPr>
          <w:p>
            <w:pPr>
              <w:jc w:val="center"/>
            </w:pPr>
            <w:r>
              <w:rPr>
                <w:color w:val="000000"/>
                <w:sz w:val="24"/>
              </w:rPr>
              <w:t>8</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116,900</w:t>
            </w:r>
          </w:p>
        </w:tc>
        <w:tc>
          <w:tcPr>
            <w:vAlign w:val="center"/>
          </w:tcPr>
          <w:p>
            <w:pPr>
              <w:jc w:val="right"/>
            </w:pPr>
            <w:r>
              <w:rPr>
                <w:color w:val="000000"/>
                <w:sz w:val="24"/>
              </w:rPr>
              <w:t>535,402.00</w:t>
            </w:r>
          </w:p>
        </w:tc>
        <w:tc>
          <w:tcPr>
            <w:vAlign w:val="center"/>
          </w:tcPr>
          <w:p>
            <w:pPr>
              <w:jc w:val="right"/>
            </w:pPr>
            <w:r>
              <w:rPr>
                <w:color w:val="000000"/>
                <w:sz w:val="24"/>
              </w:rPr>
              <w:t>0.08</w:t>
            </w:r>
          </w:p>
        </w:tc>
      </w:tr>
      <w:tr>
        <w:tc>
          <w:tcPr>
            <w:vAlign w:val="center"/>
          </w:tcPr>
          <w:p>
            <w:pPr>
              <w:jc w:val="center"/>
            </w:pPr>
            <w:r>
              <w:rPr>
                <w:color w:val="000000"/>
                <w:sz w:val="24"/>
              </w:rPr>
              <w:t>9</w:t>
            </w:r>
          </w:p>
        </w:tc>
        <w:tc>
          <w:tcPr>
            <w:vAlign w:val="center"/>
          </w:tcPr>
          <w:p>
            <w:pPr>
              <w:jc w:val="center"/>
            </w:pPr>
            <w:r>
              <w:rPr>
                <w:color w:val="000000"/>
                <w:sz w:val="24"/>
              </w:rPr>
              <w:t>600739</w:t>
            </w:r>
          </w:p>
        </w:tc>
        <w:tc>
          <w:tcPr>
            <w:vAlign w:val="center"/>
          </w:tcPr>
          <w:p>
            <w:pPr>
              <w:jc w:val="center"/>
            </w:pPr>
            <w:r>
              <w:rPr>
                <w:color w:val="000000"/>
                <w:sz w:val="24"/>
              </w:rPr>
              <w:t>辽宁成大</w:t>
            </w:r>
          </w:p>
        </w:tc>
        <w:tc>
          <w:tcPr>
            <w:vAlign w:val="center"/>
          </w:tcPr>
          <w:p>
            <w:pPr>
              <w:jc w:val="right"/>
            </w:pPr>
            <w:r>
              <w:rPr>
                <w:color w:val="000000"/>
                <w:sz w:val="24"/>
              </w:rPr>
              <w:t>23,400</w:t>
            </w:r>
          </w:p>
        </w:tc>
        <w:tc>
          <w:tcPr>
            <w:vAlign w:val="center"/>
          </w:tcPr>
          <w:p>
            <w:pPr>
              <w:jc w:val="right"/>
            </w:pPr>
            <w:r>
              <w:rPr>
                <w:color w:val="000000"/>
                <w:sz w:val="24"/>
              </w:rPr>
              <w:t>528,840.00</w:t>
            </w:r>
          </w:p>
        </w:tc>
        <w:tc>
          <w:tcPr>
            <w:vAlign w:val="center"/>
          </w:tcPr>
          <w:p>
            <w:pPr>
              <w:jc w:val="right"/>
            </w:pPr>
            <w:r>
              <w:rPr>
                <w:color w:val="000000"/>
                <w:sz w:val="24"/>
              </w:rPr>
              <w:t>0.08</w:t>
            </w:r>
          </w:p>
        </w:tc>
      </w:tr>
      <w:tr>
        <w:tc>
          <w:tcPr>
            <w:vAlign w:val="center"/>
          </w:tcPr>
          <w:p>
            <w:pPr>
              <w:jc w:val="center"/>
            </w:pPr>
            <w:r>
              <w:rPr>
                <w:color w:val="000000"/>
                <w:sz w:val="24"/>
              </w:rPr>
              <w:t>10</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81,300</w:t>
            </w:r>
          </w:p>
        </w:tc>
        <w:tc>
          <w:tcPr>
            <w:vAlign w:val="center"/>
          </w:tcPr>
          <w:p>
            <w:pPr>
              <w:jc w:val="right"/>
            </w:pPr>
            <w:r>
              <w:rPr>
                <w:color w:val="000000"/>
                <w:sz w:val="24"/>
              </w:rPr>
              <w:t>515,442.00</w:t>
            </w:r>
          </w:p>
        </w:tc>
        <w:tc>
          <w:tcPr>
            <w:vAlign w:val="center"/>
          </w:tcPr>
          <w:p>
            <w:pPr>
              <w:jc w:val="right"/>
            </w:pPr>
            <w:r>
              <w:rPr>
                <w:color w:val="000000"/>
                <w:sz w:val="24"/>
              </w:rPr>
              <w:t>0.07</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lastRenderedPageBreak/>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9F2BEF" w:rsidP="00B04217">
      <w:pPr>
        <w:adjustRightInd w:val="0"/>
        <w:snapToGrid w:val="0"/>
        <w:spacing w:before="29" w:line="288" w:lineRule="auto"/>
        <w:rPr>
          <w:b/>
          <w:sz w:val="24"/>
        </w:rPr>
      </w:pPr>
      <w:r w:rsidRPr="00324C76">
        <w:rPr>
          <w:b/>
          <w:sz w:val="24"/>
        </w:rPr>
        <w:t/>
      </w:r>
      <w:r w:rsidR="00771003" w:rsidRPr="00324C76">
        <w:rPr>
          <w:b/>
          <w:sz w:val="24"/>
        </w:rPr>
        <w:t/>
      </w:r>
      <w:r w:rsidR="006003EC"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5.12.1报告期内本基金投资的前十名证券的发行主体除中信证券（证券代码：600030）、海通证券（证券代码：600837）外，未出现被监管部门立案调查，或在报告编制日前一年内受到公开谴责、处罚的情形。</w:t>
      </w:r>
    </w:p>
    <w:p>
      <w:pPr>
        <w:autoSpaceDE w:val="0"/>
        <w:autoSpaceDN w:val="0"/>
        <w:adjustRightInd w:val="0"/>
        <w:spacing w:before="29" w:line="288" w:lineRule="auto"/>
        <w:rPr>
          <w:kern w:val="0"/>
          <w:sz w:val="24"/>
        </w:rPr>
      </w:pPr>
      <w:r>
        <w:rPr>
          <w:kern w:val="0"/>
          <w:sz w:val="24"/>
        </w:rPr>
        <w:t>报告期内本基金投资的前十名证券之一中信证券（证券代码：600030）于2015年11月26日公告，公司于2015年11月26日收到中国证监会《调查通知书》。公司因涉嫌违反《证券公司监督管理条例》相关规定，中国证监会决定对公司进行立案调查；公司于2015年1月18日公告，公司因存在为到期融资融券合约展期的问题，被中国证监会采取暂停新开融资融券客户信用账户3个月的行政监管措施。</w:t>
      </w:r>
    </w:p>
    <w:p>
      <w:pPr>
        <w:autoSpaceDE w:val="0"/>
        <w:autoSpaceDN w:val="0"/>
        <w:adjustRightInd w:val="0"/>
        <w:spacing w:before="29" w:line="288" w:lineRule="auto"/>
        <w:rPr>
          <w:kern w:val="0"/>
          <w:sz w:val="24"/>
        </w:rPr>
      </w:pPr>
      <w:r>
        <w:rPr>
          <w:kern w:val="0"/>
          <w:sz w:val="24"/>
        </w:rPr>
        <w:t>报告期内本基金投资的前十名证券之一海通证券（证券代码：600837）于2015年11月27日公告，公司于2015年11月26日收到中国证监会《调查通知书》。公司因涉嫌违反《证券公司监督管理条例》相关规定，根据《中华人民共和国证券法》的有关规定，中国证监会决定对公司进行立案调查；公司于2015年1月19日公告，公司因存在违规为到期融资融券合约展期问题，被中国证监会采取暂停新开融资融券客户信用账户3个月的行政监管措施。</w:t>
      </w:r>
    </w:p>
    <w:p>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ETF、标的指数成份股和备选成份股进行被动式指数化投资。本基金对上述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Ind w:w="15" w:type="dxa"/>
        <w:tblLook w:val="04A0"/>
      </w:tblPr>
      <w:tblGrid>
        <w:gridCol w:w="1244"/>
        <w:gridCol w:w="2781"/>
        <w:gridCol w:w="4843"/>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270,630.08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8,401.99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231,624.34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lastRenderedPageBreak/>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510,656.41</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B31ADE" w:rsidP="00B04217">
      <w:pPr>
        <w:spacing w:before="29" w:line="288" w:lineRule="auto"/>
        <w:rPr>
          <w:color w:val="000000"/>
          <w:kern w:val="0"/>
          <w:sz w:val="24"/>
        </w:rPr>
      </w:pPr>
      <w:r w:rsidRPr="00324C76">
        <w:rPr>
          <w:color w:val="000000"/>
          <w:kern w:val="0"/>
          <w:sz w:val="24"/>
        </w:rPr>
        <w:t/>
      </w:r>
      <w:r w:rsidR="007D10B0"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afterLines="100"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006B68" w:rsidP="00B04217">
            <w:pPr>
              <w:autoSpaceDE w:val="0"/>
              <w:autoSpaceDN w:val="0"/>
              <w:adjustRightInd w:val="0"/>
              <w:spacing w:before="29" w:line="288" w:lineRule="auto"/>
              <w:ind w:left="17"/>
              <w:jc w:val="right"/>
              <w:rPr>
                <w:color w:val="000000"/>
                <w:sz w:val="24"/>
              </w:rPr>
            </w:pPr>
            <w:r w:rsidRPr="00324C76">
              <w:rPr>
                <w:color w:val="000000"/>
                <w:sz w:val="24"/>
              </w:rPr>
              <w:t/>
            </w:r>
            <w:r w:rsidR="00A40C1C" w:rsidRPr="00324C76">
              <w:rPr>
                <w:color w:val="000000"/>
                <w:sz w:val="24"/>
              </w:rPr>
              <w:t>538,125,856.75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99,903,804.47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43,642,995.25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594,386,665.97</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afterLines="100"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w:r>
      <w:r w:rsidR="00784955">
        <w:rPr>
          <w:rFonts w:eastAsiaTheme="minorEastAsia" w:hint="eastAsia"/>
          <w:color w:val="000000"/>
          <w:sz w:val="24"/>
        </w:rPr>
        <w:t/>
      </w: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lastRenderedPageBreak/>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after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
      </w:r>
      <w:r w:rsidR="0083066D" w:rsidRPr="00324C76">
        <w:rPr>
          <w:b/>
          <w:sz w:val="24"/>
        </w:rPr>
        <w:t/>
      </w: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pPr>
        <w:spacing w:before="29" w:line="288" w:lineRule="auto"/>
        <w:ind w:firstLineChars="200" w:firstLine="480"/>
        <w:rPr>
          <w:color w:val="000000"/>
          <w:sz w:val="24"/>
        </w:rPr>
      </w:pPr>
      <w:r>
        <w:rPr>
          <w:color w:val="000000"/>
          <w:sz w:val="24"/>
        </w:rPr>
        <w:t>1、中国证监会核准交银施罗德上证180公司治理交易型开放式指数证券投资基金联接基金募集的文件；</w:t>
      </w:r>
    </w:p>
    <w:p>
      <w:pPr>
        <w:spacing w:before="29" w:line="288" w:lineRule="auto"/>
        <w:ind w:firstLineChars="200" w:firstLine="480"/>
        <w:rPr>
          <w:color w:val="000000"/>
          <w:sz w:val="24"/>
        </w:rPr>
      </w:pPr>
      <w:r>
        <w:rPr>
          <w:color w:val="000000"/>
          <w:sz w:val="24"/>
        </w:rPr>
        <w:t xml:space="preserve">2、《交银施罗德上证180公司治理交易型开放式指数证券投资基金联接基金基金合同》； </w:t>
      </w:r>
    </w:p>
    <w:p>
      <w:pPr>
        <w:spacing w:before="29" w:line="288" w:lineRule="auto"/>
        <w:ind w:firstLineChars="200" w:firstLine="480"/>
        <w:rPr>
          <w:color w:val="000000"/>
          <w:sz w:val="24"/>
        </w:rPr>
      </w:pPr>
      <w:r>
        <w:rPr>
          <w:color w:val="000000"/>
          <w:sz w:val="24"/>
        </w:rPr>
        <w:t>3、《交银施罗德上证180公司治理交易型开放式指数证券投资基金联接基金招募说明书》；</w:t>
      </w:r>
    </w:p>
    <w:p>
      <w:pPr>
        <w:spacing w:before="29" w:line="288" w:lineRule="auto"/>
        <w:ind w:firstLineChars="200" w:firstLine="480"/>
        <w:rPr>
          <w:color w:val="000000"/>
          <w:sz w:val="24"/>
        </w:rPr>
      </w:pPr>
      <w:r>
        <w:rPr>
          <w:color w:val="000000"/>
          <w:sz w:val="24"/>
        </w:rPr>
        <w:t>4、《交银施罗德上证180公司治理交易型开放式指数证券投资基金联接基金托管协议》；</w:t>
      </w:r>
    </w:p>
    <w:p>
      <w:pPr>
        <w:spacing w:before="29" w:line="288" w:lineRule="auto"/>
        <w:ind w:firstLineChars="200" w:firstLine="480"/>
        <w:rPr>
          <w:color w:val="000000"/>
          <w:sz w:val="24"/>
        </w:rPr>
      </w:pPr>
      <w:r>
        <w:rPr>
          <w:color w:val="000000"/>
          <w:sz w:val="24"/>
        </w:rPr>
        <w:t>5、关于申请募集交银施罗德上证180公司治理交易型开放式指数证券投资基金联接基金之法律意见书；</w:t>
      </w:r>
    </w:p>
    <w:p>
      <w:pPr>
        <w:spacing w:before="29" w:line="288" w:lineRule="auto"/>
        <w:ind w:firstLineChars="200" w:firstLine="480"/>
        <w:rPr>
          <w:color w:val="000000"/>
          <w:sz w:val="24"/>
        </w:rPr>
      </w:pPr>
      <w:r>
        <w:rPr>
          <w:color w:val="000000"/>
          <w:sz w:val="24"/>
        </w:rPr>
        <w:t>6、基金管理人业务资格批件、营业执照；</w:t>
      </w:r>
    </w:p>
    <w:p>
      <w:pPr>
        <w:spacing w:before="29" w:line="288" w:lineRule="auto"/>
        <w:ind w:firstLineChars="200" w:firstLine="480"/>
        <w:rPr>
          <w:color w:val="000000"/>
          <w:sz w:val="24"/>
        </w:rPr>
      </w:pPr>
      <w:r>
        <w:rPr>
          <w:color w:val="000000"/>
          <w:sz w:val="24"/>
        </w:rPr>
        <w:t>7、基金托管人业务资格批件、营业执照；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8、报告期内交银施罗德上证180公司治理交易型开放式指数证券投资基金联接基金在指定报刊上各项公告的原稿。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pPr>
        <w:spacing w:before="29" w:line="288" w:lineRule="auto"/>
        <w:ind w:firstLineChars="200" w:firstLine="480"/>
        <w:rPr>
          <w:sz w:val="24"/>
        </w:rPr>
      </w:pPr>
      <w:r>
        <w:rPr>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投资者对本报告书如有疑问，可咨询本基金管理人交银施罗德基金管理有限公司。本公司客户服务中心电话：400-700-5000（免长途话费），021-61055000，电子邮件：services@jysld.com。</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30" w:rsidRDefault="00D62130">
      <w:r>
        <w:separator/>
      </w:r>
    </w:p>
  </w:endnote>
  <w:endnote w:type="continuationSeparator" w:id="0">
    <w:p w:rsidR="00D62130" w:rsidRDefault="00D62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6F59D5">
      <w:rPr>
        <w:noProof/>
        <w:kern w:val="0"/>
        <w:szCs w:val="21"/>
      </w:rPr>
      <w:t>14</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6F59D5">
      <w:rPr>
        <w:noProof/>
        <w:kern w:val="0"/>
        <w:szCs w:val="21"/>
      </w:rPr>
      <w:t>24</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30" w:rsidRDefault="00D62130">
      <w:r>
        <w:separator/>
      </w:r>
    </w:p>
  </w:footnote>
  <w:footnote w:type="continuationSeparator" w:id="0">
    <w:p w:rsidR="00D62130" w:rsidRDefault="00D62130">
      <w:r>
        <w:continuationSeparator/>
      </w:r>
    </w:p>
  </w:footnote>
  <w:footnote w:type="separator" w:id="-1">
    <w:p w:rsidR="00D62130" w:rsidRDefault="00D62130">
      <w:r>
        <w:separator/>
      </w:r>
    </w:p>
  </w:footnote>
  <w:footnote w:type="continuationSeparator" w:id="0">
    <w:p w:rsidR="00D62130" w:rsidRDefault="00D62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Desktop/temp/etf.dot"/>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EC45-778D-4A2F-884E-0DD07BF5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321</TotalTime>
  <Pages>24</Pages>
  <Words>3377</Words>
  <Characters>19253</Characters>
  <Application>Microsoft Office Word</Application>
  <DocSecurity>0</DocSecurity>
  <Lines>160</Lines>
  <Paragraphs>45</Paragraphs>
  <ScaleCrop>false</ScaleCrop>
  <Company>TRT. Ltd. Co.</Company>
  <LinksUpToDate>false</LinksUpToDate>
  <CharactersWithSpaces>22585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2012-11-13T02:08:00Z</dcterms:created>
  <lastModifiedBy>投研平台</lastModifiedBy>
  <lastPrinted>2007-07-19T00:46:00Z</lastPrinted>
  <dcterms:modified xsi:type="dcterms:W3CDTF">2015-12-31T03:22:00Z</dcterms:modified>
  <revision>388</revision>
</coreProperties>
</file>