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36"/>
          <w:szCs w:val="36"/>
        </w:rPr>
      </w:pPr>
    </w:p>
    <w:p w:rsidR="008D7EF7" w:rsidRPr="00BD3DFE" w:rsidRDefault="008D7EF7" w:rsidP="0099526C">
      <w:pPr>
        <w:spacing w:before="29" w:line="288" w:lineRule="auto"/>
        <w:jc w:val="center"/>
        <w:rPr>
          <w:b/>
          <w:sz w:val="36"/>
          <w:szCs w:val="36"/>
        </w:rPr>
      </w:pPr>
      <w:r w:rsidRPr="00BD3DFE">
        <w:rPr>
          <w:b/>
          <w:sz w:val="36"/>
          <w:szCs w:val="36"/>
        </w:rPr>
        <w:t>上证</w:t>
      </w:r>
      <w:r w:rsidRPr="00BD3DFE">
        <w:rPr>
          <w:b/>
          <w:sz w:val="36"/>
          <w:szCs w:val="36"/>
        </w:rPr>
        <w:t>180</w:t>
      </w:r>
      <w:r w:rsidRPr="00BD3DFE">
        <w:rPr>
          <w:b/>
          <w:sz w:val="36"/>
          <w:szCs w:val="36"/>
        </w:rPr>
        <w:t>公司治理交易型开放式指数证券投资基金</w:t>
      </w:r>
    </w:p>
    <w:p w:rsidR="008D7EF7" w:rsidRPr="00BD3DFE" w:rsidRDefault="008D7EF7" w:rsidP="0099526C">
      <w:pPr>
        <w:spacing w:before="29" w:line="288" w:lineRule="auto"/>
        <w:jc w:val="center"/>
        <w:rPr>
          <w:b/>
          <w:sz w:val="36"/>
          <w:szCs w:val="36"/>
        </w:rPr>
      </w:pPr>
      <w:r w:rsidRPr="00BD3DFE">
        <w:rPr>
          <w:b/>
          <w:sz w:val="36"/>
          <w:szCs w:val="36"/>
        </w:rPr>
        <w:t>2015</w:t>
      </w:r>
      <w:r w:rsidRPr="00BD3DFE">
        <w:rPr>
          <w:b/>
          <w:sz w:val="36"/>
          <w:szCs w:val="36"/>
        </w:rPr>
        <w:t>年第</w:t>
      </w:r>
      <w:r w:rsidRPr="00BD3DFE">
        <w:rPr>
          <w:b/>
          <w:sz w:val="36"/>
          <w:szCs w:val="36"/>
        </w:rPr>
        <w:t>4</w:t>
      </w:r>
      <w:r w:rsidRPr="00BD3DFE">
        <w:rPr>
          <w:b/>
          <w:sz w:val="36"/>
          <w:szCs w:val="36"/>
        </w:rPr>
        <w:t>季度报告</w:t>
      </w:r>
    </w:p>
    <w:p w:rsidR="00074E9F" w:rsidRPr="00BD3DFE" w:rsidRDefault="005C0A04" w:rsidP="0099526C">
      <w:pPr>
        <w:spacing w:before="29" w:line="288" w:lineRule="auto"/>
        <w:jc w:val="center"/>
        <w:rPr>
          <w:b/>
          <w:sz w:val="36"/>
          <w:szCs w:val="36"/>
        </w:rPr>
      </w:pPr>
      <w:r w:rsidRPr="00BD3DFE">
        <w:rPr>
          <w:b/>
          <w:sz w:val="36"/>
          <w:szCs w:val="36"/>
        </w:rPr>
        <w:t>2015</w:t>
      </w:r>
      <w:r w:rsidRPr="00BD3DFE">
        <w:rPr>
          <w:b/>
          <w:sz w:val="36"/>
          <w:szCs w:val="36"/>
        </w:rPr>
        <w:t>年</w:t>
      </w:r>
      <w:r w:rsidRPr="00BD3DFE">
        <w:rPr>
          <w:b/>
          <w:sz w:val="36"/>
          <w:szCs w:val="36"/>
        </w:rPr>
        <w:t>12</w:t>
      </w:r>
      <w:r w:rsidRPr="00BD3DFE">
        <w:rPr>
          <w:b/>
          <w:sz w:val="36"/>
          <w:szCs w:val="36"/>
        </w:rPr>
        <w:t>月</w:t>
      </w:r>
      <w:r w:rsidRPr="00BD3DFE">
        <w:rPr>
          <w:b/>
          <w:sz w:val="36"/>
          <w:szCs w:val="36"/>
        </w:rPr>
        <w:t>31</w:t>
      </w:r>
      <w:r w:rsidRPr="00BD3DFE">
        <w:rPr>
          <w:b/>
          <w:sz w:val="36"/>
          <w:szCs w:val="36"/>
        </w:rPr>
        <w:t>日</w:t>
      </w: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99526C"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rPr>
          <w:b/>
          <w:color w:val="000000"/>
          <w:sz w:val="24"/>
        </w:rPr>
      </w:pP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基金管理人：</w:t>
      </w:r>
      <w:r w:rsidR="008F4AAB" w:rsidRPr="00BD3DFE">
        <w:rPr>
          <w:b/>
          <w:color w:val="000000"/>
          <w:sz w:val="24"/>
        </w:rPr>
        <w:t>交银施罗德基金管理有限公司</w:t>
      </w: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基金托管人：</w:t>
      </w:r>
      <w:r w:rsidR="008F4AAB" w:rsidRPr="00BD3DFE">
        <w:rPr>
          <w:b/>
          <w:color w:val="000000"/>
          <w:sz w:val="24"/>
        </w:rPr>
        <w:t>中国农业银行股份有限公司</w:t>
      </w:r>
    </w:p>
    <w:p w:rsidR="00074E9F" w:rsidRPr="00BD3DFE" w:rsidRDefault="00074E9F" w:rsidP="0099526C">
      <w:pPr>
        <w:spacing w:before="29" w:line="288" w:lineRule="auto"/>
        <w:ind w:firstLineChars="900" w:firstLine="2168"/>
        <w:rPr>
          <w:b/>
          <w:color w:val="000000"/>
          <w:sz w:val="24"/>
        </w:rPr>
        <w:sectPr w:rsidR="00074E9F" w:rsidRPr="00BD3DFE" w:rsidSect="00385786">
          <w:headerReference w:type="default" r:id="rId7"/>
          <w:footerReference w:type="default" r:id="rId8"/>
          <w:pgSz w:w="11926" w:h="15840"/>
          <w:pgMar w:top="1418" w:right="1440" w:bottom="851" w:left="1440" w:header="851" w:footer="992" w:gutter="0"/>
          <w:cols w:space="720"/>
          <w:noEndnote/>
        </w:sectPr>
      </w:pPr>
      <w:r w:rsidRPr="00BD3DFE">
        <w:rPr>
          <w:b/>
          <w:color w:val="000000"/>
          <w:sz w:val="24"/>
        </w:rPr>
        <w:t>报告送出日期：</w:t>
      </w:r>
      <w:r w:rsidR="00665677" w:rsidRPr="00BD3DFE">
        <w:rPr>
          <w:b/>
          <w:color w:val="000000"/>
          <w:sz w:val="24"/>
        </w:rPr>
        <w:t>二〇一六年一月二十一日</w:t>
      </w:r>
    </w:p>
    <w:p w:rsidR="00220542" w:rsidRPr="0036023B" w:rsidRDefault="00220542" w:rsidP="00F36DF3">
      <w:pPr>
        <w:pStyle w:val="1"/>
        <w:spacing w:beforeLines="100" w:before="312" w:afterLines="100" w:after="312" w:line="288" w:lineRule="auto"/>
        <w:jc w:val="center"/>
        <w:rPr>
          <w:b w:val="0"/>
          <w:color w:val="000000"/>
          <w:kern w:val="0"/>
          <w:sz w:val="24"/>
          <w:szCs w:val="24"/>
        </w:rPr>
      </w:pPr>
      <w:r w:rsidRPr="0036023B">
        <w:rPr>
          <w:color w:val="000000"/>
          <w:kern w:val="0"/>
          <w:sz w:val="24"/>
          <w:szCs w:val="24"/>
        </w:rPr>
        <w:lastRenderedPageBreak/>
        <w:t xml:space="preserve">§1  </w:t>
      </w:r>
      <w:r w:rsidRPr="0036023B">
        <w:rPr>
          <w:color w:val="000000"/>
          <w:kern w:val="0"/>
          <w:sz w:val="24"/>
          <w:szCs w:val="24"/>
        </w:rPr>
        <w:t>重要提示</w:t>
      </w:r>
    </w:p>
    <w:p w:rsidR="00DD46DD" w:rsidRDefault="00F235A6">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DD46DD" w:rsidRDefault="00F235A6">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2016</w:t>
      </w:r>
      <w:r>
        <w:rPr>
          <w:color w:val="000000"/>
          <w:sz w:val="24"/>
        </w:rPr>
        <w:t>年</w:t>
      </w:r>
      <w:r>
        <w:rPr>
          <w:color w:val="000000"/>
          <w:sz w:val="24"/>
        </w:rPr>
        <w:t>1</w:t>
      </w:r>
      <w:r>
        <w:rPr>
          <w:color w:val="000000"/>
          <w:sz w:val="24"/>
        </w:rPr>
        <w:t>月</w:t>
      </w:r>
      <w:r>
        <w:rPr>
          <w:color w:val="000000"/>
          <w:sz w:val="24"/>
        </w:rPr>
        <w:t>20</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DD46DD" w:rsidRDefault="00F235A6">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DD46DD" w:rsidRDefault="00F235A6">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DD46DD" w:rsidRDefault="00F235A6">
      <w:pPr>
        <w:spacing w:before="29" w:line="288" w:lineRule="auto"/>
        <w:ind w:firstLineChars="200" w:firstLine="480"/>
        <w:rPr>
          <w:color w:val="000000"/>
          <w:sz w:val="24"/>
        </w:rPr>
      </w:pPr>
      <w:r>
        <w:rPr>
          <w:color w:val="000000"/>
          <w:sz w:val="24"/>
        </w:rPr>
        <w:t>本报告中财务资料未经审计。</w:t>
      </w:r>
      <w:r>
        <w:rPr>
          <w:color w:val="000000"/>
          <w:sz w:val="24"/>
        </w:rPr>
        <w:t xml:space="preserve"> </w:t>
      </w:r>
    </w:p>
    <w:p w:rsidR="00220542" w:rsidRPr="0036023B" w:rsidRDefault="000820A8" w:rsidP="0099526C">
      <w:pPr>
        <w:spacing w:before="29" w:line="288" w:lineRule="auto"/>
        <w:ind w:firstLineChars="200" w:firstLine="480"/>
        <w:rPr>
          <w:color w:val="000000"/>
          <w:sz w:val="24"/>
        </w:rPr>
      </w:pPr>
      <w:r w:rsidRPr="0036023B">
        <w:rPr>
          <w:color w:val="000000"/>
          <w:sz w:val="24"/>
        </w:rPr>
        <w:t>本报告期自</w:t>
      </w:r>
      <w:r w:rsidRPr="0036023B">
        <w:rPr>
          <w:color w:val="000000"/>
          <w:sz w:val="24"/>
        </w:rPr>
        <w:t>2015</w:t>
      </w:r>
      <w:r w:rsidRPr="0036023B">
        <w:rPr>
          <w:color w:val="000000"/>
          <w:sz w:val="24"/>
        </w:rPr>
        <w:t>年</w:t>
      </w:r>
      <w:r w:rsidRPr="0036023B">
        <w:rPr>
          <w:color w:val="000000"/>
          <w:sz w:val="24"/>
        </w:rPr>
        <w:t>10</w:t>
      </w:r>
      <w:r w:rsidRPr="0036023B">
        <w:rPr>
          <w:color w:val="000000"/>
          <w:sz w:val="24"/>
        </w:rPr>
        <w:t>月</w:t>
      </w:r>
      <w:r w:rsidRPr="0036023B">
        <w:rPr>
          <w:color w:val="000000"/>
          <w:sz w:val="24"/>
        </w:rPr>
        <w:t>1</w:t>
      </w:r>
      <w:r w:rsidRPr="0036023B">
        <w:rPr>
          <w:color w:val="000000"/>
          <w:sz w:val="24"/>
        </w:rPr>
        <w:t>日起至</w:t>
      </w:r>
      <w:r w:rsidRPr="0036023B">
        <w:rPr>
          <w:color w:val="000000"/>
          <w:sz w:val="24"/>
        </w:rPr>
        <w:t>12</w:t>
      </w:r>
      <w:r w:rsidRPr="0036023B">
        <w:rPr>
          <w:color w:val="000000"/>
          <w:sz w:val="24"/>
        </w:rPr>
        <w:t>月</w:t>
      </w:r>
      <w:r w:rsidRPr="0036023B">
        <w:rPr>
          <w:color w:val="000000"/>
          <w:sz w:val="24"/>
        </w:rPr>
        <w:t>31</w:t>
      </w:r>
      <w:r w:rsidRPr="0036023B">
        <w:rPr>
          <w:color w:val="000000"/>
          <w:sz w:val="24"/>
        </w:rPr>
        <w:t>日止。</w:t>
      </w:r>
    </w:p>
    <w:p w:rsidR="008F5E2D" w:rsidRPr="0036023B" w:rsidRDefault="008F5E2D" w:rsidP="0099526C">
      <w:pPr>
        <w:spacing w:before="29" w:line="288" w:lineRule="auto"/>
        <w:ind w:firstLineChars="200" w:firstLine="480"/>
        <w:rPr>
          <w:color w:val="000000"/>
          <w:sz w:val="24"/>
        </w:rPr>
      </w:pPr>
    </w:p>
    <w:p w:rsidR="00220542" w:rsidRPr="0036023B" w:rsidRDefault="00220542" w:rsidP="00F36DF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§2  </w:t>
      </w:r>
      <w:r w:rsidRPr="0036023B">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0820A8" w:rsidRPr="0036023B" w:rsidTr="00960253">
        <w:trPr>
          <w:jc w:val="center"/>
        </w:trPr>
        <w:tc>
          <w:tcPr>
            <w:tcW w:w="3023" w:type="dxa"/>
            <w:vAlign w:val="center"/>
          </w:tcPr>
          <w:p w:rsidR="000820A8" w:rsidRPr="0036023B" w:rsidRDefault="000820A8" w:rsidP="0099526C">
            <w:pPr>
              <w:adjustRightInd w:val="0"/>
              <w:spacing w:before="29" w:line="288" w:lineRule="auto"/>
              <w:ind w:left="17"/>
              <w:jc w:val="left"/>
              <w:rPr>
                <w:kern w:val="0"/>
                <w:sz w:val="24"/>
              </w:rPr>
            </w:pPr>
            <w:r w:rsidRPr="0036023B">
              <w:rPr>
                <w:kern w:val="0"/>
                <w:sz w:val="24"/>
              </w:rPr>
              <w:t>基金简称</w:t>
            </w:r>
          </w:p>
        </w:tc>
        <w:tc>
          <w:tcPr>
            <w:tcW w:w="5845" w:type="dxa"/>
            <w:vAlign w:val="center"/>
          </w:tcPr>
          <w:p w:rsidR="000820A8" w:rsidRPr="0036023B" w:rsidRDefault="000820A8" w:rsidP="0099526C">
            <w:pPr>
              <w:adjustRightInd w:val="0"/>
              <w:spacing w:before="29" w:line="288" w:lineRule="auto"/>
              <w:ind w:left="17"/>
              <w:jc w:val="left"/>
              <w:rPr>
                <w:color w:val="000000"/>
                <w:kern w:val="0"/>
                <w:sz w:val="24"/>
              </w:rPr>
            </w:pPr>
            <w:r w:rsidRPr="0036023B">
              <w:rPr>
                <w:color w:val="000000"/>
                <w:kern w:val="0"/>
                <w:sz w:val="24"/>
              </w:rPr>
              <w:t>交银上证</w:t>
            </w:r>
            <w:r w:rsidRPr="0036023B">
              <w:rPr>
                <w:color w:val="000000"/>
                <w:kern w:val="0"/>
                <w:sz w:val="24"/>
              </w:rPr>
              <w:t>180</w:t>
            </w:r>
            <w:r w:rsidRPr="0036023B">
              <w:rPr>
                <w:color w:val="000000"/>
                <w:kern w:val="0"/>
                <w:sz w:val="24"/>
              </w:rPr>
              <w:t>公司治理</w:t>
            </w:r>
            <w:r w:rsidRPr="0036023B">
              <w:rPr>
                <w:color w:val="000000"/>
                <w:kern w:val="0"/>
                <w:sz w:val="24"/>
              </w:rPr>
              <w:t>ETF</w:t>
            </w:r>
          </w:p>
        </w:tc>
      </w:tr>
      <w:tr w:rsidR="00960253" w:rsidRPr="0036023B" w:rsidTr="00960253">
        <w:trPr>
          <w:jc w:val="center"/>
        </w:trPr>
        <w:tc>
          <w:tcPr>
            <w:tcW w:w="3023" w:type="dxa"/>
            <w:vAlign w:val="center"/>
          </w:tcPr>
          <w:p w:rsidR="00960253" w:rsidRDefault="00960253">
            <w:pPr>
              <w:adjustRightInd w:val="0"/>
              <w:spacing w:before="29" w:line="288" w:lineRule="auto"/>
              <w:ind w:left="17"/>
              <w:jc w:val="left"/>
              <w:rPr>
                <w:kern w:val="0"/>
                <w:sz w:val="24"/>
              </w:rPr>
            </w:pPr>
            <w:r>
              <w:rPr>
                <w:rFonts w:hint="eastAsia"/>
                <w:kern w:val="0"/>
                <w:sz w:val="24"/>
              </w:rPr>
              <w:t>场内简称</w:t>
            </w:r>
          </w:p>
        </w:tc>
        <w:tc>
          <w:tcPr>
            <w:tcW w:w="5845" w:type="dxa"/>
            <w:vAlign w:val="center"/>
          </w:tcPr>
          <w:p w:rsidR="00960253" w:rsidRDefault="00960253">
            <w:pPr>
              <w:adjustRightInd w:val="0"/>
              <w:spacing w:before="29" w:line="288" w:lineRule="auto"/>
              <w:ind w:left="17"/>
              <w:jc w:val="left"/>
              <w:rPr>
                <w:color w:val="000000"/>
                <w:kern w:val="0"/>
                <w:sz w:val="24"/>
              </w:rPr>
            </w:pPr>
            <w:r>
              <w:rPr>
                <w:color w:val="000000"/>
                <w:kern w:val="0"/>
                <w:sz w:val="24"/>
              </w:rPr>
              <w:t>治理</w:t>
            </w:r>
            <w:r>
              <w:rPr>
                <w:color w:val="000000"/>
                <w:kern w:val="0"/>
                <w:sz w:val="24"/>
              </w:rPr>
              <w:t>ETF</w:t>
            </w:r>
          </w:p>
        </w:tc>
      </w:tr>
      <w:tr w:rsidR="00CD319D"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kern w:val="0"/>
                <w:sz w:val="24"/>
              </w:rPr>
            </w:pPr>
            <w:r w:rsidRPr="0036023B">
              <w:rPr>
                <w:kern w:val="0"/>
                <w:sz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color w:val="000000"/>
                <w:kern w:val="0"/>
                <w:sz w:val="24"/>
              </w:rPr>
            </w:pPr>
            <w:r w:rsidRPr="0036023B">
              <w:rPr>
                <w:color w:val="000000"/>
                <w:kern w:val="0"/>
                <w:sz w:val="24"/>
              </w:rPr>
              <w:t>510010</w:t>
            </w:r>
          </w:p>
        </w:tc>
      </w:tr>
      <w:tr w:rsidR="00E57F92"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E57F92" w:rsidRPr="0036023B" w:rsidRDefault="00E57F92" w:rsidP="0099526C">
            <w:pPr>
              <w:adjustRightInd w:val="0"/>
              <w:spacing w:before="29" w:line="288" w:lineRule="auto"/>
              <w:ind w:left="17"/>
              <w:jc w:val="left"/>
              <w:rPr>
                <w:kern w:val="0"/>
                <w:sz w:val="24"/>
              </w:rPr>
            </w:pPr>
            <w:r w:rsidRPr="0036023B">
              <w:rPr>
                <w:kern w:val="0"/>
                <w:sz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E57F92" w:rsidRPr="0036023B" w:rsidRDefault="00072E4F" w:rsidP="0099526C">
            <w:pPr>
              <w:adjustRightInd w:val="0"/>
              <w:spacing w:before="29" w:line="288" w:lineRule="auto"/>
              <w:ind w:left="17"/>
              <w:jc w:val="left"/>
              <w:rPr>
                <w:color w:val="000000"/>
                <w:kern w:val="0"/>
                <w:sz w:val="24"/>
              </w:rPr>
            </w:pPr>
            <w:r w:rsidRPr="0036023B">
              <w:rPr>
                <w:kern w:val="0"/>
                <w:sz w:val="24"/>
              </w:rPr>
              <w:t>510010</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基金运作方式</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交易型开放式</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基金合同生效日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2009</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25</w:t>
            </w:r>
            <w:r w:rsidRPr="0036023B">
              <w:rPr>
                <w:color w:val="000000"/>
                <w:kern w:val="0"/>
                <w:sz w:val="24"/>
              </w:rPr>
              <w:t>日</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报告期末基金份额总额</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651,524,362</w:t>
            </w:r>
            <w:r w:rsidRPr="0036023B">
              <w:rPr>
                <w:color w:val="000000"/>
                <w:kern w:val="0"/>
                <w:sz w:val="24"/>
              </w:rPr>
              <w:t>份</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投资目标</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紧密跟踪标的指数，追求跟踪偏离度与跟踪误差最小化。</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投资策略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本基金采用完全复制法，跟踪上证</w:t>
            </w:r>
            <w:r w:rsidRPr="0036023B">
              <w:rPr>
                <w:color w:val="000000"/>
                <w:kern w:val="0"/>
                <w:sz w:val="24"/>
              </w:rPr>
              <w:t>180</w:t>
            </w:r>
            <w:r w:rsidRPr="0036023B">
              <w:rPr>
                <w:color w:val="000000"/>
                <w:kern w:val="0"/>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业绩比较基准</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上证</w:t>
            </w:r>
            <w:r w:rsidRPr="0036023B">
              <w:rPr>
                <w:color w:val="000000"/>
                <w:kern w:val="0"/>
                <w:sz w:val="24"/>
              </w:rPr>
              <w:t>180</w:t>
            </w:r>
            <w:r w:rsidRPr="0036023B">
              <w:rPr>
                <w:color w:val="000000"/>
                <w:kern w:val="0"/>
                <w:sz w:val="24"/>
              </w:rPr>
              <w:t>公司治理指数</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风险收益特征</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本基金属股票基金，风险与收益高于混合基金、债券</w:t>
            </w:r>
            <w:r w:rsidRPr="0036023B">
              <w:rPr>
                <w:color w:val="000000"/>
                <w:kern w:val="0"/>
                <w:sz w:val="24"/>
              </w:rPr>
              <w:lastRenderedPageBreak/>
              <w:t>基金与货币市场基金。本基金为指数型基金，紧密跟踪标的指数，具有和标的指数所代表的股票市场相似的风险收益特征，属于证券投资基金中风险较高、收益较高的品种。</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lastRenderedPageBreak/>
              <w:t>基金管理人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交银施罗德基金管理有限公司</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基金托管人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中国农业银行股份有限公司</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注：本表所列的基金主代码</w:t>
      </w:r>
      <w:r w:rsidRPr="0036023B">
        <w:rPr>
          <w:color w:val="000000"/>
          <w:sz w:val="24"/>
        </w:rPr>
        <w:t>510010</w:t>
      </w:r>
      <w:r w:rsidRPr="0036023B">
        <w:rPr>
          <w:color w:val="000000"/>
          <w:sz w:val="24"/>
        </w:rPr>
        <w:t>为本基金二级市场交易代码，本基金一级市场申购赎回代码为</w:t>
      </w:r>
      <w:r w:rsidRPr="0036023B">
        <w:rPr>
          <w:color w:val="000000"/>
          <w:sz w:val="24"/>
        </w:rPr>
        <w:t>510011</w:t>
      </w:r>
      <w:r w:rsidRPr="0036023B">
        <w:rPr>
          <w:color w:val="000000"/>
          <w:sz w:val="24"/>
        </w:rPr>
        <w:t>。</w:t>
      </w:r>
    </w:p>
    <w:p w:rsidR="008F5E2D" w:rsidRPr="0036023B" w:rsidRDefault="008F5E2D" w:rsidP="0099526C">
      <w:pPr>
        <w:autoSpaceDE w:val="0"/>
        <w:autoSpaceDN w:val="0"/>
        <w:adjustRightInd w:val="0"/>
        <w:spacing w:before="29" w:line="288" w:lineRule="auto"/>
        <w:jc w:val="left"/>
        <w:rPr>
          <w:color w:val="000000"/>
          <w:kern w:val="0"/>
          <w:sz w:val="24"/>
        </w:rPr>
      </w:pPr>
    </w:p>
    <w:p w:rsidR="00220542" w:rsidRPr="0036023B" w:rsidRDefault="00220542" w:rsidP="00F36DF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§3  </w:t>
      </w:r>
      <w:r w:rsidRPr="0036023B">
        <w:rPr>
          <w:color w:val="000000"/>
          <w:kern w:val="0"/>
          <w:sz w:val="24"/>
          <w:szCs w:val="24"/>
        </w:rPr>
        <w:t>主要财务指标和基金净值表现</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3.1 </w:t>
      </w:r>
      <w:r w:rsidRPr="0036023B">
        <w:rPr>
          <w:b/>
          <w:color w:val="000000"/>
          <w:kern w:val="0"/>
          <w:sz w:val="24"/>
        </w:rPr>
        <w:t>主要财务指标</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F235A6" w:rsidRPr="0036023B" w:rsidTr="00F235A6">
        <w:trPr>
          <w:jc w:val="center"/>
        </w:trPr>
        <w:tc>
          <w:tcPr>
            <w:tcW w:w="3402" w:type="dxa"/>
            <w:vAlign w:val="center"/>
          </w:tcPr>
          <w:p w:rsidR="000820A8" w:rsidRPr="0036023B" w:rsidRDefault="000820A8" w:rsidP="0099526C">
            <w:pPr>
              <w:adjustRightInd w:val="0"/>
              <w:spacing w:before="29" w:line="288" w:lineRule="auto"/>
              <w:ind w:left="17"/>
              <w:jc w:val="center"/>
              <w:rPr>
                <w:kern w:val="0"/>
                <w:sz w:val="24"/>
              </w:rPr>
            </w:pPr>
            <w:r w:rsidRPr="0036023B">
              <w:rPr>
                <w:kern w:val="0"/>
                <w:sz w:val="24"/>
              </w:rPr>
              <w:t>主要财务指标</w:t>
            </w:r>
          </w:p>
        </w:tc>
        <w:tc>
          <w:tcPr>
            <w:tcW w:w="4962" w:type="dxa"/>
            <w:vAlign w:val="center"/>
          </w:tcPr>
          <w:p w:rsidR="00225421" w:rsidRPr="0036023B" w:rsidRDefault="00225421" w:rsidP="0099526C">
            <w:pPr>
              <w:adjustRightInd w:val="0"/>
              <w:spacing w:before="29" w:line="288" w:lineRule="auto"/>
              <w:ind w:left="17"/>
              <w:jc w:val="center"/>
              <w:rPr>
                <w:color w:val="000000"/>
                <w:sz w:val="24"/>
              </w:rPr>
            </w:pPr>
            <w:r w:rsidRPr="0036023B">
              <w:rPr>
                <w:color w:val="000000"/>
                <w:sz w:val="24"/>
              </w:rPr>
              <w:t>报告期</w:t>
            </w:r>
          </w:p>
          <w:p w:rsidR="000820A8" w:rsidRPr="0036023B" w:rsidRDefault="00225421" w:rsidP="0099526C">
            <w:pPr>
              <w:adjustRightInd w:val="0"/>
              <w:spacing w:before="29" w:line="288" w:lineRule="auto"/>
              <w:ind w:left="17"/>
              <w:jc w:val="center"/>
              <w:rPr>
                <w:color w:val="000000"/>
                <w:sz w:val="24"/>
              </w:rPr>
            </w:pPr>
            <w:r w:rsidRPr="0036023B">
              <w:rPr>
                <w:color w:val="000000"/>
                <w:sz w:val="24"/>
              </w:rPr>
              <w:t>(2015</w:t>
            </w:r>
            <w:r w:rsidRPr="0036023B">
              <w:rPr>
                <w:color w:val="000000"/>
                <w:sz w:val="24"/>
              </w:rPr>
              <w:t>年</w:t>
            </w:r>
            <w:r w:rsidRPr="0036023B">
              <w:rPr>
                <w:color w:val="000000"/>
                <w:sz w:val="24"/>
              </w:rPr>
              <w:t>10</w:t>
            </w:r>
            <w:r w:rsidRPr="0036023B">
              <w:rPr>
                <w:color w:val="000000"/>
                <w:sz w:val="24"/>
              </w:rPr>
              <w:t>月</w:t>
            </w:r>
            <w:r w:rsidRPr="0036023B">
              <w:rPr>
                <w:color w:val="000000"/>
                <w:sz w:val="24"/>
              </w:rPr>
              <w:t>1</w:t>
            </w:r>
            <w:r w:rsidRPr="0036023B">
              <w:rPr>
                <w:color w:val="000000"/>
                <w:sz w:val="24"/>
              </w:rPr>
              <w:t>日</w:t>
            </w:r>
            <w:r w:rsidRPr="0036023B">
              <w:rPr>
                <w:color w:val="000000"/>
                <w:sz w:val="24"/>
              </w:rPr>
              <w:t>-2015</w:t>
            </w:r>
            <w:r w:rsidRPr="0036023B">
              <w:rPr>
                <w:color w:val="000000"/>
                <w:sz w:val="24"/>
              </w:rPr>
              <w:t>年</w:t>
            </w:r>
            <w:r w:rsidRPr="0036023B">
              <w:rPr>
                <w:color w:val="000000"/>
                <w:sz w:val="24"/>
              </w:rPr>
              <w:t>12</w:t>
            </w:r>
            <w:r w:rsidRPr="0036023B">
              <w:rPr>
                <w:color w:val="000000"/>
                <w:sz w:val="24"/>
              </w:rPr>
              <w:t>月</w:t>
            </w:r>
            <w:r w:rsidRPr="0036023B">
              <w:rPr>
                <w:color w:val="000000"/>
                <w:sz w:val="24"/>
              </w:rPr>
              <w:t>31</w:t>
            </w:r>
            <w:r w:rsidRPr="0036023B">
              <w:rPr>
                <w:color w:val="000000"/>
                <w:sz w:val="24"/>
              </w:rPr>
              <w:t>日</w:t>
            </w:r>
            <w:r w:rsidRPr="0036023B">
              <w:rPr>
                <w:color w:val="000000"/>
                <w:sz w:val="24"/>
              </w:rPr>
              <w:t>)</w:t>
            </w:r>
          </w:p>
        </w:tc>
      </w:tr>
      <w:tr w:rsidR="00F235A6" w:rsidRPr="0036023B" w:rsidTr="00F235A6">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1.</w:t>
            </w:r>
            <w:r w:rsidRPr="0036023B">
              <w:rPr>
                <w:kern w:val="0"/>
                <w:sz w:val="24"/>
              </w:rPr>
              <w:t>本期已实现收益</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2,528,846.81</w:t>
            </w:r>
          </w:p>
        </w:tc>
      </w:tr>
      <w:tr w:rsidR="00F235A6" w:rsidRPr="0036023B" w:rsidTr="00F235A6">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2.</w:t>
            </w:r>
            <w:r w:rsidRPr="0036023B">
              <w:rPr>
                <w:kern w:val="0"/>
                <w:sz w:val="24"/>
              </w:rPr>
              <w:t>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66,583,610.56</w:t>
            </w:r>
          </w:p>
        </w:tc>
      </w:tr>
      <w:tr w:rsidR="00F235A6" w:rsidRPr="0036023B" w:rsidTr="00F235A6">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3.</w:t>
            </w:r>
            <w:r w:rsidRPr="0036023B">
              <w:rPr>
                <w:kern w:val="0"/>
                <w:sz w:val="24"/>
              </w:rPr>
              <w:t>加权平均基金份额本期利润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0.1096</w:t>
            </w:r>
          </w:p>
        </w:tc>
      </w:tr>
      <w:tr w:rsidR="00F235A6" w:rsidRPr="0036023B" w:rsidTr="00F235A6">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4.</w:t>
            </w:r>
            <w:r w:rsidRPr="0036023B">
              <w:rPr>
                <w:kern w:val="0"/>
                <w:sz w:val="24"/>
              </w:rPr>
              <w:t>期末基金资产净值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673,466,951.24</w:t>
            </w:r>
          </w:p>
        </w:tc>
      </w:tr>
      <w:tr w:rsidR="00F235A6" w:rsidRPr="0036023B" w:rsidTr="00F235A6">
        <w:trPr>
          <w:trHeight w:val="158"/>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5.</w:t>
            </w:r>
            <w:r w:rsidRPr="0036023B">
              <w:rPr>
                <w:kern w:val="0"/>
                <w:sz w:val="24"/>
              </w:rPr>
              <w:t>期末基金份额净值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1.034</w:t>
            </w:r>
          </w:p>
        </w:tc>
      </w:tr>
    </w:tbl>
    <w:p w:rsidR="00DD46DD" w:rsidRDefault="00F235A6">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 xml:space="preserve">    2</w:t>
      </w:r>
      <w:r w:rsidRPr="0036023B">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3.2 </w:t>
      </w:r>
      <w:r w:rsidRPr="0036023B">
        <w:rPr>
          <w:b/>
          <w:color w:val="000000"/>
          <w:kern w:val="0"/>
          <w:sz w:val="24"/>
        </w:rPr>
        <w:t>基金净值表现</w:t>
      </w:r>
    </w:p>
    <w:p w:rsidR="00220542" w:rsidRPr="0036023B" w:rsidRDefault="00220542"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36023B">
          <w:rPr>
            <w:b/>
            <w:color w:val="000000"/>
            <w:kern w:val="0"/>
            <w:sz w:val="24"/>
          </w:rPr>
          <w:t>3.2.1</w:t>
        </w:r>
      </w:smartTag>
      <w:r w:rsidRPr="0036023B">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0820A8" w:rsidRPr="0036023B" w:rsidTr="00F343C8">
        <w:trPr>
          <w:jc w:val="center"/>
        </w:trPr>
        <w:tc>
          <w:tcPr>
            <w:tcW w:w="1395"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阶段</w:t>
            </w:r>
          </w:p>
        </w:tc>
        <w:tc>
          <w:tcPr>
            <w:tcW w:w="109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w:t>
            </w:r>
            <w:r w:rsidRPr="0036023B">
              <w:rPr>
                <w:rFonts w:hAnsi="宋体"/>
                <w:color w:val="000000"/>
                <w:sz w:val="24"/>
              </w:rPr>
              <w:t>①</w:t>
            </w:r>
          </w:p>
        </w:tc>
        <w:tc>
          <w:tcPr>
            <w:tcW w:w="116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净值增长率标准差</w:t>
            </w:r>
            <w:r w:rsidRPr="0036023B">
              <w:rPr>
                <w:rFonts w:hAnsi="宋体"/>
                <w:color w:val="000000"/>
                <w:sz w:val="24"/>
              </w:rPr>
              <w:t>②</w:t>
            </w:r>
          </w:p>
        </w:tc>
        <w:tc>
          <w:tcPr>
            <w:tcW w:w="118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w:t>
            </w:r>
            <w:r w:rsidRPr="0036023B">
              <w:rPr>
                <w:rFonts w:hAnsi="宋体"/>
                <w:color w:val="000000"/>
                <w:sz w:val="24"/>
              </w:rPr>
              <w:t>③</w:t>
            </w:r>
          </w:p>
        </w:tc>
        <w:tc>
          <w:tcPr>
            <w:tcW w:w="1188"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业绩比较基准收益率标准差</w:t>
            </w:r>
            <w:r w:rsidRPr="0036023B">
              <w:rPr>
                <w:rFonts w:hAnsi="宋体"/>
                <w:color w:val="000000"/>
                <w:sz w:val="24"/>
              </w:rPr>
              <w:t>④</w:t>
            </w:r>
          </w:p>
        </w:tc>
        <w:tc>
          <w:tcPr>
            <w:tcW w:w="1199"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①</w:t>
            </w:r>
            <w:r w:rsidRPr="0036023B">
              <w:rPr>
                <w:color w:val="000000"/>
                <w:sz w:val="24"/>
              </w:rPr>
              <w:t>-</w:t>
            </w:r>
            <w:r w:rsidRPr="0036023B">
              <w:rPr>
                <w:rFonts w:hAnsi="宋体"/>
                <w:color w:val="000000"/>
                <w:sz w:val="24"/>
              </w:rPr>
              <w:t>③</w:t>
            </w:r>
          </w:p>
        </w:tc>
        <w:tc>
          <w:tcPr>
            <w:tcW w:w="1204"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②</w:t>
            </w:r>
            <w:r w:rsidRPr="0036023B">
              <w:rPr>
                <w:color w:val="000000"/>
                <w:sz w:val="24"/>
              </w:rPr>
              <w:t>-</w:t>
            </w:r>
            <w:r w:rsidRPr="0036023B">
              <w:rPr>
                <w:rFonts w:hAnsi="宋体"/>
                <w:color w:val="000000"/>
                <w:sz w:val="24"/>
              </w:rPr>
              <w:t>④</w:t>
            </w:r>
          </w:p>
        </w:tc>
      </w:tr>
      <w:tr w:rsidR="00DD46DD">
        <w:trPr>
          <w:jc w:val="center"/>
        </w:trPr>
        <w:tc>
          <w:tcPr>
            <w:tcW w:w="1469" w:type="dxa"/>
            <w:vAlign w:val="center"/>
          </w:tcPr>
          <w:p w:rsidR="00DD46DD" w:rsidRDefault="00F235A6">
            <w:pPr>
              <w:jc w:val="left"/>
            </w:pPr>
            <w:r>
              <w:rPr>
                <w:color w:val="000000"/>
                <w:sz w:val="24"/>
              </w:rPr>
              <w:t>过去三个月</w:t>
            </w:r>
          </w:p>
        </w:tc>
        <w:tc>
          <w:tcPr>
            <w:tcW w:w="1150" w:type="dxa"/>
            <w:vAlign w:val="center"/>
          </w:tcPr>
          <w:p w:rsidR="00DD46DD" w:rsidRDefault="00F235A6">
            <w:pPr>
              <w:jc w:val="center"/>
            </w:pPr>
            <w:r>
              <w:rPr>
                <w:color w:val="000000"/>
                <w:sz w:val="24"/>
              </w:rPr>
              <w:t>11.78%</w:t>
            </w:r>
          </w:p>
        </w:tc>
        <w:tc>
          <w:tcPr>
            <w:tcW w:w="1223" w:type="dxa"/>
            <w:vAlign w:val="center"/>
          </w:tcPr>
          <w:p w:rsidR="00DD46DD" w:rsidRDefault="00F235A6">
            <w:pPr>
              <w:jc w:val="center"/>
            </w:pPr>
            <w:r>
              <w:rPr>
                <w:color w:val="000000"/>
                <w:sz w:val="24"/>
              </w:rPr>
              <w:t>1.61%</w:t>
            </w:r>
          </w:p>
        </w:tc>
        <w:tc>
          <w:tcPr>
            <w:tcW w:w="1244" w:type="dxa"/>
            <w:vAlign w:val="center"/>
          </w:tcPr>
          <w:p w:rsidR="00DD46DD" w:rsidRDefault="00F235A6">
            <w:pPr>
              <w:jc w:val="center"/>
            </w:pPr>
            <w:r>
              <w:rPr>
                <w:color w:val="000000"/>
                <w:sz w:val="24"/>
              </w:rPr>
              <w:t>12.21%</w:t>
            </w:r>
          </w:p>
        </w:tc>
        <w:tc>
          <w:tcPr>
            <w:tcW w:w="1251" w:type="dxa"/>
            <w:vAlign w:val="center"/>
          </w:tcPr>
          <w:p w:rsidR="00DD46DD" w:rsidRDefault="00F235A6">
            <w:pPr>
              <w:jc w:val="center"/>
            </w:pPr>
            <w:r>
              <w:rPr>
                <w:color w:val="000000"/>
                <w:sz w:val="24"/>
              </w:rPr>
              <w:t>1.62%</w:t>
            </w:r>
          </w:p>
        </w:tc>
        <w:tc>
          <w:tcPr>
            <w:tcW w:w="1263" w:type="dxa"/>
            <w:vAlign w:val="center"/>
          </w:tcPr>
          <w:p w:rsidR="00DD46DD" w:rsidRDefault="00F235A6">
            <w:pPr>
              <w:jc w:val="center"/>
            </w:pPr>
            <w:r>
              <w:rPr>
                <w:color w:val="000000"/>
                <w:sz w:val="24"/>
              </w:rPr>
              <w:t>-0.43%</w:t>
            </w:r>
          </w:p>
        </w:tc>
        <w:tc>
          <w:tcPr>
            <w:tcW w:w="1268" w:type="dxa"/>
            <w:vAlign w:val="center"/>
          </w:tcPr>
          <w:p w:rsidR="00DD46DD" w:rsidRDefault="00F235A6">
            <w:pPr>
              <w:jc w:val="center"/>
            </w:pPr>
            <w:r>
              <w:rPr>
                <w:color w:val="000000"/>
                <w:sz w:val="24"/>
              </w:rPr>
              <w:t>-0.01%</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spacing w:before="29" w:line="288" w:lineRule="auto"/>
        <w:rPr>
          <w:b/>
          <w:color w:val="000000"/>
          <w:kern w:val="0"/>
          <w:sz w:val="24"/>
        </w:rPr>
      </w:pPr>
      <w:r w:rsidRPr="0036023B">
        <w:rPr>
          <w:b/>
          <w:color w:val="000000"/>
          <w:kern w:val="0"/>
          <w:sz w:val="24"/>
        </w:rPr>
        <w:t>3.2.</w:t>
      </w:r>
      <w:r w:rsidR="003149AB" w:rsidRPr="0036023B">
        <w:rPr>
          <w:b/>
          <w:color w:val="000000"/>
          <w:kern w:val="0"/>
          <w:sz w:val="24"/>
        </w:rPr>
        <w:t>2</w:t>
      </w:r>
      <w:r w:rsidR="00471291">
        <w:rPr>
          <w:rFonts w:hint="eastAsia"/>
          <w:b/>
          <w:color w:val="000000"/>
          <w:kern w:val="0"/>
          <w:sz w:val="24"/>
        </w:rPr>
        <w:t xml:space="preserve"> </w:t>
      </w:r>
      <w:r w:rsidR="00471291" w:rsidRPr="00554D95">
        <w:rPr>
          <w:rFonts w:hint="eastAsia"/>
          <w:b/>
          <w:color w:val="000000"/>
          <w:kern w:val="0"/>
          <w:sz w:val="24"/>
        </w:rPr>
        <w:t>自基金合同生效以来</w:t>
      </w:r>
      <w:r w:rsidR="00CA6E44" w:rsidRPr="0036023B">
        <w:rPr>
          <w:b/>
          <w:bCs/>
          <w:color w:val="000000"/>
          <w:sz w:val="24"/>
        </w:rPr>
        <w:t>基金份额累计净值增长率变动及其与同期业绩比较基准收益率变动的比较</w:t>
      </w:r>
    </w:p>
    <w:p w:rsidR="00CE3519" w:rsidRPr="0036023B" w:rsidRDefault="00CE3519" w:rsidP="0099526C">
      <w:pPr>
        <w:spacing w:before="29" w:line="288" w:lineRule="auto"/>
        <w:jc w:val="center"/>
        <w:rPr>
          <w:sz w:val="24"/>
        </w:rPr>
      </w:pPr>
      <w:r w:rsidRPr="0036023B">
        <w:rPr>
          <w:sz w:val="24"/>
        </w:rPr>
        <w:t>上证</w:t>
      </w:r>
      <w:r w:rsidRPr="0036023B">
        <w:rPr>
          <w:sz w:val="24"/>
        </w:rPr>
        <w:t>180</w:t>
      </w:r>
      <w:r w:rsidRPr="0036023B">
        <w:rPr>
          <w:sz w:val="24"/>
        </w:rPr>
        <w:t>公司治理交易型开放式指数证券投资基金</w:t>
      </w:r>
    </w:p>
    <w:p w:rsidR="00CE3519" w:rsidRPr="0036023B" w:rsidRDefault="006839B5" w:rsidP="0099526C">
      <w:pPr>
        <w:pStyle w:val="a5"/>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rsidR="00202885" w:rsidRPr="0036023B" w:rsidRDefault="00202885" w:rsidP="0099526C">
      <w:pPr>
        <w:spacing w:before="29" w:line="288" w:lineRule="auto"/>
        <w:jc w:val="center"/>
        <w:rPr>
          <w:sz w:val="24"/>
        </w:rPr>
      </w:pPr>
      <w:r w:rsidRPr="0036023B">
        <w:rPr>
          <w:color w:val="000000"/>
          <w:kern w:val="0"/>
          <w:sz w:val="24"/>
        </w:rPr>
        <w:t>（</w:t>
      </w:r>
      <w:r w:rsidR="005C0A04" w:rsidRPr="0036023B">
        <w:rPr>
          <w:color w:val="000000"/>
          <w:kern w:val="0"/>
          <w:sz w:val="24"/>
        </w:rPr>
        <w:t>2009</w:t>
      </w:r>
      <w:r w:rsidR="005C0A04" w:rsidRPr="0036023B">
        <w:rPr>
          <w:color w:val="000000"/>
          <w:kern w:val="0"/>
          <w:sz w:val="24"/>
        </w:rPr>
        <w:t>年</w:t>
      </w:r>
      <w:r w:rsidR="005C0A04" w:rsidRPr="0036023B">
        <w:rPr>
          <w:color w:val="000000"/>
          <w:kern w:val="0"/>
          <w:sz w:val="24"/>
        </w:rPr>
        <w:t>9</w:t>
      </w:r>
      <w:r w:rsidR="005C0A04" w:rsidRPr="0036023B">
        <w:rPr>
          <w:color w:val="000000"/>
          <w:kern w:val="0"/>
          <w:sz w:val="24"/>
        </w:rPr>
        <w:t>月</w:t>
      </w:r>
      <w:r w:rsidR="005C0A04" w:rsidRPr="0036023B">
        <w:rPr>
          <w:color w:val="000000"/>
          <w:kern w:val="0"/>
          <w:sz w:val="24"/>
        </w:rPr>
        <w:t>25</w:t>
      </w:r>
      <w:r w:rsidR="005C0A04" w:rsidRPr="0036023B">
        <w:rPr>
          <w:color w:val="000000"/>
          <w:kern w:val="0"/>
          <w:sz w:val="24"/>
        </w:rPr>
        <w:t>日</w:t>
      </w:r>
      <w:r w:rsidRPr="0036023B">
        <w:rPr>
          <w:color w:val="000000"/>
          <w:kern w:val="0"/>
          <w:sz w:val="24"/>
        </w:rPr>
        <w:t>至</w:t>
      </w:r>
      <w:r w:rsidRPr="0036023B">
        <w:rPr>
          <w:color w:val="000000"/>
          <w:kern w:val="0"/>
          <w:sz w:val="24"/>
        </w:rPr>
        <w:t>2015</w:t>
      </w:r>
      <w:r w:rsidRPr="0036023B">
        <w:rPr>
          <w:color w:val="000000"/>
          <w:kern w:val="0"/>
          <w:sz w:val="24"/>
        </w:rPr>
        <w:t>年</w:t>
      </w:r>
      <w:r w:rsidRPr="0036023B">
        <w:rPr>
          <w:color w:val="000000"/>
          <w:kern w:val="0"/>
          <w:sz w:val="24"/>
        </w:rPr>
        <w:t>12</w:t>
      </w:r>
      <w:r w:rsidRPr="0036023B">
        <w:rPr>
          <w:color w:val="000000"/>
          <w:kern w:val="0"/>
          <w:sz w:val="24"/>
        </w:rPr>
        <w:t>月</w:t>
      </w:r>
      <w:r w:rsidRPr="0036023B">
        <w:rPr>
          <w:color w:val="000000"/>
          <w:kern w:val="0"/>
          <w:sz w:val="24"/>
        </w:rPr>
        <w:t>31</w:t>
      </w:r>
      <w:r w:rsidRPr="0036023B">
        <w:rPr>
          <w:color w:val="000000"/>
          <w:kern w:val="0"/>
          <w:sz w:val="24"/>
        </w:rPr>
        <w:t>日）</w:t>
      </w:r>
    </w:p>
    <w:p w:rsidR="00CE3519" w:rsidRPr="0036023B" w:rsidRDefault="00740469" w:rsidP="0099526C">
      <w:pPr>
        <w:tabs>
          <w:tab w:val="left" w:pos="1800"/>
        </w:tabs>
        <w:spacing w:before="29" w:line="288" w:lineRule="auto"/>
        <w:jc w:val="center"/>
        <w:rPr>
          <w:color w:val="000000"/>
          <w:sz w:val="24"/>
        </w:rPr>
      </w:pPr>
      <w:r w:rsidRPr="0036023B">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CE3519" w:rsidRPr="0036023B" w:rsidRDefault="00CE3519" w:rsidP="0099526C">
      <w:pPr>
        <w:autoSpaceDE w:val="0"/>
        <w:autoSpaceDN w:val="0"/>
        <w:adjustRightInd w:val="0"/>
        <w:spacing w:before="29" w:line="288" w:lineRule="auto"/>
        <w:jc w:val="left"/>
        <w:rPr>
          <w:color w:val="000000"/>
          <w:sz w:val="24"/>
        </w:rPr>
      </w:pPr>
      <w:r w:rsidRPr="0036023B">
        <w:rPr>
          <w:color w:val="000000"/>
          <w:sz w:val="24"/>
        </w:rPr>
        <w:t>注：本基金建仓期为自基金合同生效日起的</w:t>
      </w:r>
      <w:r w:rsidRPr="0036023B">
        <w:rPr>
          <w:color w:val="000000"/>
          <w:sz w:val="24"/>
        </w:rPr>
        <w:t>3</w:t>
      </w:r>
      <w:r w:rsidRPr="0036023B">
        <w:rPr>
          <w:color w:val="000000"/>
          <w:sz w:val="24"/>
        </w:rPr>
        <w:t>个月。截至建仓期结束，本基金各项资产配置比例符合基金合同及招募说明书有关投资比例的约定。</w:t>
      </w:r>
    </w:p>
    <w:p w:rsidR="00CE3519" w:rsidRPr="0036023B" w:rsidDel="00D66575" w:rsidRDefault="00CE3519" w:rsidP="0099526C">
      <w:pPr>
        <w:pStyle w:val="a5"/>
        <w:snapToGrid w:val="0"/>
        <w:spacing w:before="29" w:line="288" w:lineRule="auto"/>
        <w:rPr>
          <w:del w:id="0" w:author="孙文婷" w:date="2016-01-18T14:14:00Z"/>
          <w:rFonts w:ascii="Times New Roman" w:hAnsi="Times New Roman"/>
          <w:color w:val="000000"/>
          <w:sz w:val="24"/>
          <w:szCs w:val="24"/>
        </w:rPr>
      </w:pPr>
    </w:p>
    <w:p w:rsidR="006C1D5C" w:rsidRPr="0036023B" w:rsidRDefault="006C1D5C" w:rsidP="0099526C">
      <w:pPr>
        <w:tabs>
          <w:tab w:val="left" w:pos="1800"/>
        </w:tabs>
        <w:spacing w:before="29" w:line="288" w:lineRule="auto"/>
        <w:rPr>
          <w:color w:val="000000"/>
          <w:sz w:val="24"/>
        </w:rPr>
      </w:pPr>
    </w:p>
    <w:p w:rsidR="00220542" w:rsidRPr="0036023B" w:rsidRDefault="00220542" w:rsidP="00F36DF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§4  </w:t>
      </w:r>
      <w:r w:rsidRPr="0036023B">
        <w:rPr>
          <w:color w:val="000000"/>
          <w:kern w:val="0"/>
          <w:sz w:val="24"/>
          <w:szCs w:val="24"/>
        </w:rPr>
        <w:t>管理人报告</w:t>
      </w:r>
      <w:bookmarkStart w:id="1" w:name="_GoBack"/>
      <w:bookmarkEnd w:id="1"/>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4.1 </w:t>
      </w:r>
      <w:r w:rsidRPr="0036023B">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0820A8" w:rsidRPr="0036023B" w:rsidTr="00E73ABA">
        <w:trPr>
          <w:trHeight w:val="292"/>
          <w:jc w:val="center"/>
        </w:trPr>
        <w:tc>
          <w:tcPr>
            <w:tcW w:w="851"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姓名</w:t>
            </w:r>
          </w:p>
        </w:tc>
        <w:tc>
          <w:tcPr>
            <w:tcW w:w="850"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职务</w:t>
            </w:r>
          </w:p>
        </w:tc>
        <w:tc>
          <w:tcPr>
            <w:tcW w:w="3119" w:type="dxa"/>
            <w:gridSpan w:val="2"/>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任本基金的基金经理期限</w:t>
            </w:r>
          </w:p>
        </w:tc>
        <w:tc>
          <w:tcPr>
            <w:tcW w:w="1417" w:type="dxa"/>
            <w:vMerge w:val="restart"/>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证券从业年限</w:t>
            </w:r>
          </w:p>
        </w:tc>
        <w:tc>
          <w:tcPr>
            <w:tcW w:w="2694"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说明</w:t>
            </w:r>
          </w:p>
        </w:tc>
      </w:tr>
      <w:tr w:rsidR="000820A8" w:rsidRPr="0036023B" w:rsidTr="00E73ABA">
        <w:trPr>
          <w:jc w:val="center"/>
        </w:trPr>
        <w:tc>
          <w:tcPr>
            <w:tcW w:w="851" w:type="dxa"/>
            <w:vMerge/>
            <w:vAlign w:val="center"/>
          </w:tcPr>
          <w:p w:rsidR="000820A8" w:rsidRPr="0036023B" w:rsidRDefault="000820A8" w:rsidP="0099526C">
            <w:pPr>
              <w:widowControl/>
              <w:spacing w:before="29" w:line="288" w:lineRule="auto"/>
              <w:jc w:val="left"/>
              <w:rPr>
                <w:color w:val="000000"/>
                <w:kern w:val="0"/>
                <w:sz w:val="24"/>
              </w:rPr>
            </w:pPr>
          </w:p>
        </w:tc>
        <w:tc>
          <w:tcPr>
            <w:tcW w:w="850" w:type="dxa"/>
            <w:vMerge/>
            <w:vAlign w:val="center"/>
          </w:tcPr>
          <w:p w:rsidR="000820A8" w:rsidRPr="0036023B" w:rsidRDefault="000820A8" w:rsidP="0099526C">
            <w:pPr>
              <w:widowControl/>
              <w:spacing w:before="29" w:line="288" w:lineRule="auto"/>
              <w:jc w:val="left"/>
              <w:rPr>
                <w:color w:val="000000"/>
                <w:kern w:val="0"/>
                <w:sz w:val="24"/>
              </w:rPr>
            </w:pPr>
          </w:p>
        </w:tc>
        <w:tc>
          <w:tcPr>
            <w:tcW w:w="1560"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任职日期</w:t>
            </w:r>
          </w:p>
        </w:tc>
        <w:tc>
          <w:tcPr>
            <w:tcW w:w="1559"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离任日期</w:t>
            </w:r>
          </w:p>
        </w:tc>
        <w:tc>
          <w:tcPr>
            <w:tcW w:w="1417" w:type="dxa"/>
            <w:vMerge/>
            <w:vAlign w:val="center"/>
          </w:tcPr>
          <w:p w:rsidR="000820A8" w:rsidRPr="0036023B" w:rsidRDefault="000820A8" w:rsidP="0099526C">
            <w:pPr>
              <w:widowControl/>
              <w:spacing w:before="29" w:line="288" w:lineRule="auto"/>
              <w:jc w:val="left"/>
              <w:rPr>
                <w:color w:val="000000"/>
                <w:kern w:val="0"/>
                <w:sz w:val="24"/>
              </w:rPr>
            </w:pPr>
          </w:p>
        </w:tc>
        <w:tc>
          <w:tcPr>
            <w:tcW w:w="2694" w:type="dxa"/>
            <w:vMerge/>
            <w:vAlign w:val="center"/>
          </w:tcPr>
          <w:p w:rsidR="000820A8" w:rsidRPr="0036023B" w:rsidRDefault="000820A8" w:rsidP="0099526C">
            <w:pPr>
              <w:widowControl/>
              <w:spacing w:before="29" w:line="288" w:lineRule="auto"/>
              <w:jc w:val="left"/>
              <w:rPr>
                <w:color w:val="000000"/>
                <w:kern w:val="0"/>
                <w:sz w:val="24"/>
              </w:rPr>
            </w:pPr>
          </w:p>
        </w:tc>
      </w:tr>
      <w:tr w:rsidR="00DD46DD">
        <w:trPr>
          <w:jc w:val="center"/>
        </w:trPr>
        <w:tc>
          <w:tcPr>
            <w:tcW w:w="846" w:type="dxa"/>
            <w:vAlign w:val="center"/>
          </w:tcPr>
          <w:p w:rsidR="00DD46DD" w:rsidRDefault="00F235A6">
            <w:pPr>
              <w:jc w:val="center"/>
            </w:pPr>
            <w:r>
              <w:rPr>
                <w:color w:val="000000"/>
                <w:sz w:val="24"/>
              </w:rPr>
              <w:t>蔡铮</w:t>
            </w:r>
          </w:p>
        </w:tc>
        <w:tc>
          <w:tcPr>
            <w:tcW w:w="845" w:type="dxa"/>
            <w:vAlign w:val="center"/>
          </w:tcPr>
          <w:p w:rsidR="00DD46DD" w:rsidRDefault="00F235A6">
            <w:pPr>
              <w:jc w:val="center"/>
            </w:pPr>
            <w:r>
              <w:rPr>
                <w:color w:val="000000"/>
                <w:sz w:val="24"/>
              </w:rPr>
              <w:t>交银环球精选混合</w:t>
            </w:r>
            <w:r>
              <w:rPr>
                <w:color w:val="000000"/>
                <w:sz w:val="24"/>
              </w:rPr>
              <w:t>(QDII)</w:t>
            </w: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及其联接、交银全球资源混合</w:t>
            </w:r>
            <w:r>
              <w:rPr>
                <w:color w:val="000000"/>
                <w:sz w:val="24"/>
              </w:rPr>
              <w:t>(QDII)</w:t>
            </w:r>
            <w:r>
              <w:rPr>
                <w:color w:val="000000"/>
                <w:sz w:val="24"/>
              </w:rPr>
              <w:t>、交银国证新能源指数分级、交银中证海外中国互联网指数（</w:t>
            </w:r>
            <w:r>
              <w:rPr>
                <w:color w:val="000000"/>
                <w:sz w:val="24"/>
              </w:rPr>
              <w:t>QDII-LOF)</w:t>
            </w:r>
            <w:r>
              <w:rPr>
                <w:color w:val="000000"/>
                <w:sz w:val="24"/>
              </w:rPr>
              <w:t>、交银中证互联网金融指数分级、交银中证环境治理指数分级的基金经理，公司量化投资部助理总经理</w:t>
            </w:r>
          </w:p>
        </w:tc>
        <w:tc>
          <w:tcPr>
            <w:tcW w:w="1549" w:type="dxa"/>
            <w:vAlign w:val="center"/>
          </w:tcPr>
          <w:p w:rsidR="00DD46DD" w:rsidRDefault="00F235A6">
            <w:pPr>
              <w:jc w:val="center"/>
            </w:pPr>
            <w:r>
              <w:rPr>
                <w:color w:val="000000"/>
                <w:sz w:val="24"/>
              </w:rPr>
              <w:t>2012-12-27</w:t>
            </w:r>
          </w:p>
        </w:tc>
        <w:tc>
          <w:tcPr>
            <w:tcW w:w="1548" w:type="dxa"/>
            <w:vAlign w:val="center"/>
          </w:tcPr>
          <w:p w:rsidR="00DD46DD" w:rsidRDefault="00F235A6">
            <w:pPr>
              <w:jc w:val="center"/>
            </w:pPr>
            <w:r>
              <w:rPr>
                <w:color w:val="000000"/>
                <w:sz w:val="24"/>
              </w:rPr>
              <w:t>-</w:t>
            </w:r>
          </w:p>
        </w:tc>
        <w:tc>
          <w:tcPr>
            <w:tcW w:w="1407" w:type="dxa"/>
            <w:vAlign w:val="center"/>
          </w:tcPr>
          <w:p w:rsidR="00DD46DD" w:rsidRDefault="00F235A6">
            <w:pPr>
              <w:jc w:val="center"/>
            </w:pPr>
            <w:r>
              <w:rPr>
                <w:color w:val="000000"/>
                <w:sz w:val="24"/>
              </w:rPr>
              <w:t>6</w:t>
            </w:r>
            <w:r>
              <w:rPr>
                <w:color w:val="000000"/>
                <w:sz w:val="24"/>
              </w:rPr>
              <w:t>年</w:t>
            </w:r>
          </w:p>
        </w:tc>
        <w:tc>
          <w:tcPr>
            <w:tcW w:w="2673" w:type="dxa"/>
            <w:vAlign w:val="center"/>
          </w:tcPr>
          <w:p w:rsidR="00DD46DD" w:rsidRDefault="00F235A6">
            <w:r>
              <w:rPr>
                <w:color w:val="000000"/>
                <w:sz w:val="24"/>
              </w:rPr>
              <w:t>蔡铮先生，复旦大学电子工程硕士。历任瑞士银行香港分行分析员。</w:t>
            </w:r>
            <w:r>
              <w:rPr>
                <w:color w:val="000000"/>
                <w:sz w:val="24"/>
              </w:rPr>
              <w:t>2009</w:t>
            </w:r>
            <w:r>
              <w:rPr>
                <w:color w:val="000000"/>
                <w:sz w:val="24"/>
              </w:rPr>
              <w:t>年加入交银施罗德基金管理有限公司，历任投资研究部数量分析师、基金经理助理。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注：基金经理（或基金经理小组）期后变动（如有）敬请关注基金管理人发布的相关公告。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4.2</w:t>
      </w:r>
      <w:r w:rsidR="00385786" w:rsidRPr="0036023B">
        <w:rPr>
          <w:b/>
          <w:color w:val="000000"/>
          <w:kern w:val="0"/>
          <w:sz w:val="24"/>
        </w:rPr>
        <w:t xml:space="preserve"> </w:t>
      </w:r>
      <w:r w:rsidR="00BA4BD3" w:rsidRPr="0036023B">
        <w:rPr>
          <w:b/>
          <w:bCs/>
          <w:color w:val="000000"/>
          <w:sz w:val="24"/>
        </w:rPr>
        <w:t>管理人对报告期内本基金运作遵规守信情况的说明</w:t>
      </w:r>
    </w:p>
    <w:p w:rsidR="00220542" w:rsidRPr="0036023B" w:rsidRDefault="000820A8" w:rsidP="0099526C">
      <w:pPr>
        <w:spacing w:before="29" w:line="288" w:lineRule="auto"/>
        <w:ind w:firstLineChars="200" w:firstLine="480"/>
        <w:rPr>
          <w:color w:val="000000"/>
          <w:sz w:val="24"/>
        </w:rPr>
      </w:pPr>
      <w:r w:rsidRPr="0036023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4.3 </w:t>
      </w:r>
      <w:r w:rsidRPr="0036023B">
        <w:rPr>
          <w:b/>
          <w:color w:val="000000"/>
          <w:kern w:val="0"/>
          <w:sz w:val="24"/>
        </w:rPr>
        <w:t>公平交易专项说明</w:t>
      </w:r>
    </w:p>
    <w:p w:rsidR="00EB0BF5" w:rsidRPr="0036023B" w:rsidRDefault="00EB0BF5" w:rsidP="0099526C">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6023B">
          <w:rPr>
            <w:sz w:val="24"/>
          </w:rPr>
          <w:t>4.3.1</w:t>
        </w:r>
      </w:smartTag>
      <w:r w:rsidRPr="0036023B">
        <w:rPr>
          <w:sz w:val="24"/>
        </w:rPr>
        <w:t>公平交易制度的执行情况</w:t>
      </w:r>
    </w:p>
    <w:p w:rsidR="00DD46DD" w:rsidRDefault="00F235A6">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D46DD" w:rsidRDefault="00F235A6">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DD46DD" w:rsidRDefault="00F235A6">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36023B" w:rsidRDefault="000820A8" w:rsidP="0099526C">
      <w:pPr>
        <w:spacing w:before="29" w:line="288" w:lineRule="auto"/>
        <w:ind w:firstLineChars="200" w:firstLine="480"/>
        <w:rPr>
          <w:color w:val="000000"/>
          <w:sz w:val="24"/>
        </w:rPr>
      </w:pPr>
      <w:r w:rsidRPr="0036023B">
        <w:rPr>
          <w:color w:val="000000"/>
          <w:sz w:val="24"/>
        </w:rPr>
        <w:t>报告期内本公司严格执行公平交易制度，公平对待旗下各投资组合，未发现任何违反公平交易的行为。</w:t>
      </w:r>
    </w:p>
    <w:p w:rsidR="00EB0BF5" w:rsidRPr="0036023B" w:rsidRDefault="00EB0BF5" w:rsidP="0099526C">
      <w:pPr>
        <w:spacing w:before="29" w:line="288" w:lineRule="auto"/>
        <w:rPr>
          <w:sz w:val="24"/>
        </w:rPr>
      </w:pPr>
      <w:r w:rsidRPr="0036023B">
        <w:rPr>
          <w:sz w:val="24"/>
        </w:rPr>
        <w:t>4.3.</w:t>
      </w:r>
      <w:r w:rsidR="003347EF" w:rsidRPr="0036023B">
        <w:rPr>
          <w:sz w:val="24"/>
        </w:rPr>
        <w:t>2</w:t>
      </w:r>
      <w:r w:rsidRPr="0036023B">
        <w:rPr>
          <w:sz w:val="24"/>
        </w:rPr>
        <w:t>异常交易行为的专项说明</w:t>
      </w:r>
    </w:p>
    <w:p w:rsidR="00EB0BF5" w:rsidRPr="0036023B" w:rsidRDefault="000820A8" w:rsidP="0099526C">
      <w:pPr>
        <w:spacing w:before="29" w:line="288" w:lineRule="auto"/>
        <w:ind w:firstLineChars="200" w:firstLine="480"/>
        <w:rPr>
          <w:color w:val="000000"/>
          <w:sz w:val="24"/>
        </w:rPr>
      </w:pPr>
      <w:r w:rsidRPr="0036023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6023B">
        <w:rPr>
          <w:color w:val="000000"/>
          <w:sz w:val="24"/>
        </w:rPr>
        <w:t>5%</w:t>
      </w:r>
      <w:r w:rsidRPr="0036023B">
        <w:rPr>
          <w:color w:val="000000"/>
          <w:sz w:val="24"/>
        </w:rPr>
        <w:t>的情形，本基金与本公司管理的其他投资组合在不同时间窗下（如日内、</w:t>
      </w:r>
      <w:r w:rsidRPr="0036023B">
        <w:rPr>
          <w:color w:val="000000"/>
          <w:sz w:val="24"/>
        </w:rPr>
        <w:t>3</w:t>
      </w:r>
      <w:r w:rsidRPr="0036023B">
        <w:rPr>
          <w:color w:val="000000"/>
          <w:sz w:val="24"/>
        </w:rPr>
        <w:t>日内、</w:t>
      </w:r>
      <w:r w:rsidRPr="0036023B">
        <w:rPr>
          <w:color w:val="000000"/>
          <w:sz w:val="24"/>
        </w:rPr>
        <w:t>5</w:t>
      </w:r>
      <w:r w:rsidRPr="0036023B">
        <w:rPr>
          <w:color w:val="000000"/>
          <w:sz w:val="24"/>
        </w:rPr>
        <w:t>日内）同向交易的交易价差未出现异常。</w:t>
      </w:r>
    </w:p>
    <w:p w:rsidR="00220542" w:rsidRPr="0036023B" w:rsidRDefault="00220542"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 xml:space="preserve">4.4 </w:t>
      </w:r>
      <w:r w:rsidRPr="0036023B">
        <w:rPr>
          <w:rFonts w:hAnsi="宋体"/>
          <w:b/>
          <w:bCs/>
          <w:color w:val="000000"/>
          <w:sz w:val="24"/>
        </w:rPr>
        <w:t>报告期内基金的投资策略和运作分析</w:t>
      </w:r>
    </w:p>
    <w:p w:rsidR="00DD46DD" w:rsidRDefault="00F235A6">
      <w:pPr>
        <w:spacing w:before="29" w:line="288" w:lineRule="auto"/>
        <w:ind w:firstLineChars="200" w:firstLine="480"/>
        <w:rPr>
          <w:color w:val="000000"/>
          <w:sz w:val="24"/>
        </w:rPr>
      </w:pPr>
      <w:r>
        <w:rPr>
          <w:color w:val="000000"/>
          <w:sz w:val="24"/>
        </w:rPr>
        <w:t>2015</w:t>
      </w:r>
      <w:r>
        <w:rPr>
          <w:color w:val="000000"/>
          <w:sz w:val="24"/>
        </w:rPr>
        <w:t>年第四季度，国内经济先行指标出现企稳，但经济增长和企业盈利下行压力依然较大。随着美联储加息，全球资产风险偏好暂获回升。货币政策延续宽松和国家对股市维稳意愿的加强进一步推动了资本市场的反弹行情。作为跟踪基准指数的指数基金，在第四季度基金总体呈现出上涨走势。</w:t>
      </w:r>
    </w:p>
    <w:p w:rsidR="00D33924" w:rsidRPr="0036023B" w:rsidRDefault="000820A8" w:rsidP="0099526C">
      <w:pPr>
        <w:spacing w:before="29" w:line="288" w:lineRule="auto"/>
        <w:ind w:firstLineChars="200" w:firstLine="480"/>
        <w:rPr>
          <w:color w:val="000000"/>
          <w:sz w:val="24"/>
        </w:rPr>
      </w:pPr>
      <w:r w:rsidRPr="0036023B">
        <w:rPr>
          <w:color w:val="000000"/>
          <w:sz w:val="24"/>
        </w:rPr>
        <w:t>展望</w:t>
      </w:r>
      <w:r w:rsidRPr="0036023B">
        <w:rPr>
          <w:color w:val="000000"/>
          <w:sz w:val="24"/>
        </w:rPr>
        <w:t>2016</w:t>
      </w:r>
      <w:r w:rsidRPr="0036023B">
        <w:rPr>
          <w:color w:val="000000"/>
          <w:sz w:val="24"/>
        </w:rPr>
        <w:t>年第一季度，宽松的货币政策环境有望持续，一些大的改革措施有望落地，整个经济环境因此有望从明显下滑过渡到稳步寻底回升，因此我们有理由对未来市场保持谨慎乐观的态度。</w:t>
      </w:r>
    </w:p>
    <w:p w:rsidR="008F5E2D" w:rsidRPr="0036023B" w:rsidRDefault="008F5E2D"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4.5</w:t>
      </w:r>
      <w:r w:rsidR="00385786" w:rsidRPr="0036023B">
        <w:rPr>
          <w:b/>
          <w:color w:val="000000"/>
          <w:kern w:val="0"/>
          <w:sz w:val="24"/>
        </w:rPr>
        <w:t xml:space="preserve"> </w:t>
      </w:r>
      <w:r w:rsidRPr="0036023B">
        <w:rPr>
          <w:b/>
          <w:color w:val="000000"/>
          <w:kern w:val="0"/>
          <w:sz w:val="24"/>
        </w:rPr>
        <w:t>报告期内基金的业绩表现</w:t>
      </w:r>
    </w:p>
    <w:p w:rsidR="00D33924" w:rsidRPr="0036023B" w:rsidRDefault="000820A8" w:rsidP="0099526C">
      <w:pPr>
        <w:spacing w:before="29" w:line="288" w:lineRule="auto"/>
        <w:ind w:firstLineChars="200" w:firstLine="480"/>
        <w:rPr>
          <w:color w:val="000000"/>
          <w:sz w:val="24"/>
        </w:rPr>
      </w:pPr>
      <w:r w:rsidRPr="0036023B">
        <w:rPr>
          <w:color w:val="000000"/>
          <w:sz w:val="24"/>
        </w:rPr>
        <w:t>截至</w:t>
      </w:r>
      <w:r w:rsidRPr="0036023B">
        <w:rPr>
          <w:color w:val="000000"/>
          <w:sz w:val="24"/>
        </w:rPr>
        <w:t>2015</w:t>
      </w:r>
      <w:r w:rsidRPr="0036023B">
        <w:rPr>
          <w:color w:val="000000"/>
          <w:sz w:val="24"/>
        </w:rPr>
        <w:t>年</w:t>
      </w:r>
      <w:r w:rsidRPr="0036023B">
        <w:rPr>
          <w:color w:val="000000"/>
          <w:sz w:val="24"/>
        </w:rPr>
        <w:t>12</w:t>
      </w:r>
      <w:r w:rsidRPr="0036023B">
        <w:rPr>
          <w:color w:val="000000"/>
          <w:sz w:val="24"/>
        </w:rPr>
        <w:t>月</w:t>
      </w:r>
      <w:r w:rsidRPr="0036023B">
        <w:rPr>
          <w:color w:val="000000"/>
          <w:sz w:val="24"/>
        </w:rPr>
        <w:t>31</w:t>
      </w:r>
      <w:r w:rsidRPr="0036023B">
        <w:rPr>
          <w:color w:val="000000"/>
          <w:sz w:val="24"/>
        </w:rPr>
        <w:t>日，本基金份额净值</w:t>
      </w:r>
      <w:r w:rsidRPr="0036023B">
        <w:rPr>
          <w:color w:val="000000"/>
          <w:sz w:val="24"/>
        </w:rPr>
        <w:t>1.034</w:t>
      </w:r>
      <w:r w:rsidRPr="0036023B">
        <w:rPr>
          <w:color w:val="000000"/>
          <w:sz w:val="24"/>
        </w:rPr>
        <w:t>元，本报告期份额净值增长率为</w:t>
      </w:r>
      <w:r w:rsidRPr="0036023B">
        <w:rPr>
          <w:color w:val="000000"/>
          <w:sz w:val="24"/>
        </w:rPr>
        <w:t>11.78%</w:t>
      </w:r>
      <w:r w:rsidRPr="0036023B">
        <w:rPr>
          <w:color w:val="000000"/>
          <w:sz w:val="24"/>
        </w:rPr>
        <w:t>，同期业绩比较基准增长率为</w:t>
      </w:r>
      <w:r w:rsidRPr="0036023B">
        <w:rPr>
          <w:color w:val="000000"/>
          <w:sz w:val="24"/>
        </w:rPr>
        <w:t>12.21%</w:t>
      </w:r>
      <w:r w:rsidRPr="0036023B">
        <w:rPr>
          <w:color w:val="000000"/>
          <w:sz w:val="24"/>
        </w:rPr>
        <w:t>。</w:t>
      </w:r>
    </w:p>
    <w:p w:rsidR="00511B6A" w:rsidRPr="0036023B" w:rsidRDefault="00511B6A" w:rsidP="0099526C">
      <w:pPr>
        <w:spacing w:before="29" w:line="288" w:lineRule="auto"/>
        <w:ind w:firstLineChars="200" w:firstLine="480"/>
        <w:rPr>
          <w:color w:val="000000"/>
          <w:sz w:val="24"/>
        </w:rPr>
      </w:pPr>
    </w:p>
    <w:p w:rsidR="00842C93" w:rsidRPr="002070B4" w:rsidRDefault="00842C93" w:rsidP="00842C93">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842C93" w:rsidRDefault="00842C93" w:rsidP="00842C93">
      <w:pPr>
        <w:spacing w:before="29" w:line="288" w:lineRule="auto"/>
        <w:ind w:firstLineChars="200" w:firstLine="480"/>
        <w:rPr>
          <w:color w:val="000000"/>
          <w:sz w:val="24"/>
        </w:rPr>
      </w:pPr>
      <w:r w:rsidRPr="002070B4">
        <w:rPr>
          <w:color w:val="000000"/>
          <w:sz w:val="24"/>
        </w:rPr>
        <w:t>本基金本报告期内无需预警说明。</w:t>
      </w:r>
    </w:p>
    <w:p w:rsidR="008F5E2D" w:rsidRPr="0036023B" w:rsidRDefault="008F5E2D" w:rsidP="0099526C">
      <w:pPr>
        <w:spacing w:before="29" w:line="288" w:lineRule="auto"/>
        <w:ind w:firstLineChars="200" w:firstLine="480"/>
        <w:rPr>
          <w:color w:val="000000"/>
          <w:sz w:val="24"/>
        </w:rPr>
      </w:pPr>
    </w:p>
    <w:p w:rsidR="00220542" w:rsidRPr="0036023B" w:rsidRDefault="00220542" w:rsidP="00F36DF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§5  </w:t>
      </w:r>
      <w:r w:rsidRPr="0036023B">
        <w:rPr>
          <w:color w:val="000000"/>
          <w:kern w:val="0"/>
          <w:sz w:val="24"/>
          <w:szCs w:val="24"/>
        </w:rPr>
        <w:t>投资组合报告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5.1 </w:t>
      </w:r>
      <w:r w:rsidRPr="0036023B">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335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项目</w:t>
            </w:r>
          </w:p>
        </w:tc>
        <w:tc>
          <w:tcPr>
            <w:tcW w:w="2835"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金额</w:t>
            </w:r>
            <w:r w:rsidR="00120183" w:rsidRPr="0036023B">
              <w:rPr>
                <w:color w:val="000000"/>
                <w:kern w:val="0"/>
                <w:sz w:val="24"/>
              </w:rPr>
              <w:t>（元）</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占基金总资产的比例</w:t>
            </w:r>
            <w:r w:rsidR="00120183" w:rsidRPr="0036023B">
              <w:rPr>
                <w:color w:val="000000"/>
                <w:kern w:val="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1</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权益投资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669,337,860.02</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98.50</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其中：股票</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669,337,860.02</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98.50</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2</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固定收益投资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其中：债券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autoSpaceDE w:val="0"/>
              <w:autoSpaceDN w:val="0"/>
              <w:adjustRightInd w:val="0"/>
              <w:spacing w:before="29" w:line="288" w:lineRule="auto"/>
              <w:ind w:firstLineChars="300" w:firstLine="720"/>
              <w:jc w:val="left"/>
              <w:rPr>
                <w:color w:val="000000"/>
                <w:sz w:val="24"/>
              </w:rPr>
            </w:pPr>
            <w:r w:rsidRPr="0036023B">
              <w:rPr>
                <w:color w:val="000000"/>
                <w:sz w:val="24"/>
              </w:rPr>
              <w:t>资产支持证券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EA1AA4" w:rsidRPr="0036023B" w:rsidTr="00EA3FF7">
        <w:trPr>
          <w:jc w:val="center"/>
        </w:trPr>
        <w:tc>
          <w:tcPr>
            <w:tcW w:w="720" w:type="dxa"/>
            <w:vAlign w:val="center"/>
          </w:tcPr>
          <w:p w:rsidR="00EA1AA4" w:rsidRPr="0036023B" w:rsidRDefault="00EA1AA4" w:rsidP="0099526C">
            <w:pPr>
              <w:spacing w:before="29" w:line="288" w:lineRule="auto"/>
              <w:ind w:left="17"/>
              <w:jc w:val="center"/>
              <w:rPr>
                <w:color w:val="000000"/>
                <w:sz w:val="24"/>
              </w:rPr>
            </w:pPr>
            <w:r w:rsidRPr="0036023B">
              <w:rPr>
                <w:color w:val="000000"/>
                <w:sz w:val="24"/>
              </w:rPr>
              <w:t>3</w:t>
            </w:r>
          </w:p>
        </w:tc>
        <w:tc>
          <w:tcPr>
            <w:tcW w:w="3357" w:type="dxa"/>
            <w:vAlign w:val="center"/>
          </w:tcPr>
          <w:p w:rsidR="00EA1AA4" w:rsidRPr="0036023B" w:rsidRDefault="00EA1AA4" w:rsidP="0099526C">
            <w:pPr>
              <w:spacing w:before="29" w:line="288" w:lineRule="auto"/>
              <w:ind w:left="17"/>
              <w:jc w:val="left"/>
              <w:rPr>
                <w:color w:val="000000"/>
                <w:sz w:val="24"/>
              </w:rPr>
            </w:pPr>
            <w:r w:rsidRPr="0036023B">
              <w:rPr>
                <w:rFonts w:hAnsi="宋体"/>
                <w:color w:val="000000"/>
                <w:sz w:val="24"/>
              </w:rPr>
              <w:t>贵金属投资</w:t>
            </w:r>
          </w:p>
        </w:tc>
        <w:tc>
          <w:tcPr>
            <w:tcW w:w="2835"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c>
          <w:tcPr>
            <w:tcW w:w="1616"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4</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金融衍生品投资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5</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其中：买断式回购的买入返售金融资产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6</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银行存款和结算备付金合计</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10,062,526.44</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1.48</w:t>
            </w:r>
          </w:p>
        </w:tc>
      </w:tr>
      <w:tr w:rsidR="000820A8" w:rsidRPr="0036023B" w:rsidTr="00EA3FF7">
        <w:trPr>
          <w:jc w:val="center"/>
        </w:trPr>
        <w:tc>
          <w:tcPr>
            <w:tcW w:w="720" w:type="dxa"/>
            <w:vAlign w:val="center"/>
          </w:tcPr>
          <w:p w:rsidR="000820A8" w:rsidRPr="0036023B" w:rsidRDefault="009C5C77" w:rsidP="0099526C">
            <w:pPr>
              <w:spacing w:before="29" w:line="288" w:lineRule="auto"/>
              <w:ind w:left="17"/>
              <w:jc w:val="center"/>
              <w:rPr>
                <w:color w:val="000000"/>
                <w:sz w:val="24"/>
              </w:rPr>
            </w:pPr>
            <w:r w:rsidRPr="0036023B">
              <w:rPr>
                <w:rFonts w:eastAsiaTheme="minorEastAsia"/>
                <w:color w:val="000000"/>
                <w:sz w:val="24"/>
              </w:rPr>
              <w:t>7</w:t>
            </w:r>
          </w:p>
        </w:tc>
        <w:tc>
          <w:tcPr>
            <w:tcW w:w="3357" w:type="dxa"/>
            <w:vAlign w:val="center"/>
          </w:tcPr>
          <w:p w:rsidR="000820A8" w:rsidRPr="0036023B" w:rsidRDefault="00DC0B9E" w:rsidP="0099526C">
            <w:pPr>
              <w:spacing w:before="29" w:line="288" w:lineRule="auto"/>
              <w:jc w:val="left"/>
              <w:rPr>
                <w:sz w:val="24"/>
              </w:rPr>
            </w:pPr>
            <w:r w:rsidRPr="0036023B">
              <w:rPr>
                <w:color w:val="000000"/>
                <w:sz w:val="24"/>
              </w:rPr>
              <w:t>其他</w:t>
            </w:r>
            <w:r w:rsidR="000820A8" w:rsidRPr="0036023B">
              <w:rPr>
                <w:color w:val="000000"/>
                <w:sz w:val="24"/>
              </w:rPr>
              <w:t>资产</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125,977.36</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0.02</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8</w:t>
            </w:r>
          </w:p>
        </w:tc>
        <w:tc>
          <w:tcPr>
            <w:tcW w:w="3357" w:type="dxa"/>
            <w:vAlign w:val="center"/>
          </w:tcPr>
          <w:p w:rsidR="000820A8" w:rsidRPr="0036023B" w:rsidRDefault="000820A8" w:rsidP="0099526C">
            <w:pPr>
              <w:spacing w:before="29" w:line="288" w:lineRule="auto"/>
              <w:jc w:val="left"/>
              <w:rPr>
                <w:sz w:val="24"/>
              </w:rPr>
            </w:pPr>
            <w:r w:rsidRPr="0036023B">
              <w:rPr>
                <w:color w:val="000000"/>
                <w:sz w:val="24"/>
              </w:rPr>
              <w:t>合计</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679,526,363.82</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100.00</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5.2 </w:t>
      </w:r>
      <w:r w:rsidRPr="0036023B">
        <w:rPr>
          <w:b/>
          <w:color w:val="000000"/>
          <w:kern w:val="0"/>
          <w:sz w:val="24"/>
        </w:rPr>
        <w:t>报告期末按行业分类的股票投资组合</w:t>
      </w: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36023B">
          <w:rPr>
            <w:b/>
            <w:color w:val="000000"/>
            <w:kern w:val="0"/>
            <w:sz w:val="24"/>
          </w:rPr>
          <w:t>5.2.1</w:t>
        </w:r>
      </w:smartTag>
      <w:r w:rsidR="00693D86" w:rsidRPr="0036023B">
        <w:rPr>
          <w:b/>
          <w:color w:val="000000"/>
          <w:kern w:val="0"/>
          <w:sz w:val="24"/>
        </w:rPr>
        <w:t xml:space="preserve"> </w:t>
      </w:r>
      <w:r w:rsidRPr="0036023B">
        <w:rPr>
          <w:b/>
          <w:color w:val="000000"/>
          <w:kern w:val="0"/>
          <w:sz w:val="24"/>
        </w:rPr>
        <w:t>积极投资按行业分类的股票投资组合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532F26" w:rsidRPr="0036023B" w:rsidRDefault="00532F26" w:rsidP="0099526C">
      <w:pPr>
        <w:autoSpaceDE w:val="0"/>
        <w:autoSpaceDN w:val="0"/>
        <w:adjustRightInd w:val="0"/>
        <w:spacing w:before="29" w:line="288" w:lineRule="auto"/>
        <w:jc w:val="left"/>
        <w:rPr>
          <w:color w:val="000000"/>
          <w:sz w:val="24"/>
        </w:rPr>
      </w:pP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36023B">
          <w:rPr>
            <w:b/>
            <w:color w:val="000000"/>
            <w:kern w:val="0"/>
            <w:sz w:val="24"/>
          </w:rPr>
          <w:t>5.2.2</w:t>
        </w:r>
      </w:smartTag>
      <w:r w:rsidR="008F5ACF" w:rsidRPr="0036023B">
        <w:rPr>
          <w:b/>
          <w:color w:val="000000"/>
          <w:kern w:val="0"/>
          <w:sz w:val="24"/>
        </w:rPr>
        <w:t xml:space="preserve"> </w:t>
      </w:r>
      <w:r w:rsidRPr="0036023B">
        <w:rPr>
          <w:b/>
          <w:color w:val="000000"/>
          <w:kern w:val="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3452"/>
        <w:gridCol w:w="2897"/>
        <w:gridCol w:w="1674"/>
      </w:tblGrid>
      <w:tr w:rsidR="00091560" w:rsidRPr="0036023B" w:rsidTr="00A93D1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占基金资产净值比例（％）</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1,413,092.52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0.21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E75942">
            <w:pPr>
              <w:spacing w:before="29" w:line="288" w:lineRule="auto"/>
              <w:jc w:val="right"/>
              <w:rPr>
                <w:sz w:val="24"/>
              </w:rPr>
            </w:pPr>
            <w:r w:rsidRPr="0036023B">
              <w:rPr>
                <w:sz w:val="24"/>
              </w:rPr>
              <w:t>29,165,145.50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E75942">
            <w:pPr>
              <w:spacing w:before="29" w:line="288" w:lineRule="auto"/>
              <w:jc w:val="right"/>
              <w:rPr>
                <w:sz w:val="24"/>
              </w:rPr>
            </w:pPr>
            <w:r w:rsidRPr="0036023B">
              <w:rPr>
                <w:sz w:val="24"/>
              </w:rPr>
              <w:t>4.33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140,434,529.55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20.85</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35,520,769.61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5.27</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52,876,865.90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7.85</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8,026,499.76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1.19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27,949,138.69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4.15</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D0685A">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D0685A">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19,405,836.50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2.88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313,664,034.84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46.57</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33,641,451.16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5.00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3,703,054.99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0.55</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3,537,441.00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0.53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669,337,860.02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99.39</w:t>
            </w:r>
          </w:p>
        </w:tc>
      </w:tr>
    </w:tbl>
    <w:p w:rsidR="004318F0" w:rsidRPr="0036023B" w:rsidRDefault="004318F0"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5.3</w:t>
      </w:r>
      <w:r w:rsidR="009B2D8E" w:rsidRPr="0036023B">
        <w:rPr>
          <w:b/>
          <w:color w:val="000000"/>
          <w:kern w:val="0"/>
          <w:sz w:val="24"/>
        </w:rPr>
        <w:t xml:space="preserve"> </w:t>
      </w:r>
      <w:r w:rsidR="009D585F" w:rsidRPr="0036023B">
        <w:rPr>
          <w:b/>
          <w:color w:val="000000"/>
          <w:kern w:val="0"/>
          <w:sz w:val="24"/>
        </w:rPr>
        <w:t>报告期末按公允价值占基金资产净值比例大小的股票投资明细</w:t>
      </w:r>
    </w:p>
    <w:p w:rsidR="00C22C7D" w:rsidRPr="0036023B" w:rsidRDefault="000625A6" w:rsidP="0099526C">
      <w:pPr>
        <w:spacing w:before="29" w:line="288" w:lineRule="auto"/>
        <w:rPr>
          <w:b/>
          <w:sz w:val="24"/>
        </w:rPr>
      </w:pPr>
      <w:r w:rsidRPr="0036023B">
        <w:rPr>
          <w:b/>
          <w:color w:val="000000"/>
          <w:kern w:val="0"/>
          <w:sz w:val="24"/>
        </w:rPr>
        <w:t>5.3.1</w:t>
      </w:r>
      <w:r w:rsidR="00A34B04" w:rsidRPr="0036023B">
        <w:rPr>
          <w:b/>
          <w:color w:val="000000"/>
          <w:kern w:val="0"/>
          <w:sz w:val="24"/>
        </w:rPr>
        <w:t xml:space="preserve"> </w:t>
      </w:r>
      <w:r w:rsidR="009D585F" w:rsidRPr="0036023B">
        <w:rPr>
          <w:b/>
          <w:color w:val="000000"/>
          <w:kern w:val="0"/>
          <w:sz w:val="24"/>
        </w:rPr>
        <w:t>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009C6D27" w:rsidRPr="0036023B">
              <w:rPr>
                <w:color w:val="000000"/>
                <w:kern w:val="0"/>
                <w:sz w:val="24"/>
              </w:rPr>
              <w:t>（股）</w:t>
            </w:r>
          </w:p>
        </w:tc>
        <w:tc>
          <w:tcPr>
            <w:tcW w:w="184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009C6D27" w:rsidRPr="0036023B">
              <w:rPr>
                <w:color w:val="000000"/>
                <w:kern w:val="0"/>
                <w:sz w:val="24"/>
              </w:rPr>
              <w:t>（％）</w:t>
            </w:r>
          </w:p>
        </w:tc>
      </w:tr>
      <w:tr w:rsidR="00DD46DD">
        <w:trPr>
          <w:jc w:val="center"/>
        </w:trPr>
        <w:tc>
          <w:tcPr>
            <w:tcW w:w="850" w:type="dxa"/>
            <w:vAlign w:val="center"/>
          </w:tcPr>
          <w:p w:rsidR="00DD46DD" w:rsidRDefault="00F235A6">
            <w:pPr>
              <w:jc w:val="center"/>
            </w:pPr>
            <w:r>
              <w:rPr>
                <w:color w:val="000000"/>
                <w:sz w:val="24"/>
              </w:rPr>
              <w:t>1</w:t>
            </w:r>
          </w:p>
        </w:tc>
        <w:tc>
          <w:tcPr>
            <w:tcW w:w="1327" w:type="dxa"/>
            <w:vAlign w:val="center"/>
          </w:tcPr>
          <w:p w:rsidR="00DD46DD" w:rsidRDefault="00F235A6">
            <w:pPr>
              <w:jc w:val="center"/>
            </w:pPr>
            <w:r>
              <w:rPr>
                <w:color w:val="000000"/>
                <w:sz w:val="24"/>
              </w:rPr>
              <w:t>600016</w:t>
            </w:r>
          </w:p>
        </w:tc>
        <w:tc>
          <w:tcPr>
            <w:tcW w:w="1769" w:type="dxa"/>
            <w:vAlign w:val="center"/>
          </w:tcPr>
          <w:p w:rsidR="00DD46DD" w:rsidRDefault="00F235A6">
            <w:pPr>
              <w:jc w:val="center"/>
            </w:pPr>
            <w:r>
              <w:rPr>
                <w:color w:val="000000"/>
                <w:sz w:val="24"/>
              </w:rPr>
              <w:t>民生银行</w:t>
            </w:r>
          </w:p>
        </w:tc>
        <w:tc>
          <w:tcPr>
            <w:tcW w:w="1327" w:type="dxa"/>
            <w:vAlign w:val="center"/>
          </w:tcPr>
          <w:p w:rsidR="00DD46DD" w:rsidRDefault="00F235A6">
            <w:pPr>
              <w:jc w:val="right"/>
            </w:pPr>
            <w:r>
              <w:rPr>
                <w:color w:val="000000"/>
                <w:sz w:val="24"/>
              </w:rPr>
              <w:t>4,684,019</w:t>
            </w:r>
          </w:p>
        </w:tc>
        <w:tc>
          <w:tcPr>
            <w:tcW w:w="1915" w:type="dxa"/>
            <w:vAlign w:val="center"/>
          </w:tcPr>
          <w:p w:rsidR="00DD46DD" w:rsidRDefault="00F235A6">
            <w:pPr>
              <w:jc w:val="right"/>
            </w:pPr>
            <w:r>
              <w:rPr>
                <w:color w:val="000000"/>
                <w:sz w:val="24"/>
              </w:rPr>
              <w:t>45,153,943.16</w:t>
            </w:r>
          </w:p>
        </w:tc>
        <w:tc>
          <w:tcPr>
            <w:tcW w:w="1680" w:type="dxa"/>
            <w:vAlign w:val="center"/>
          </w:tcPr>
          <w:p w:rsidR="00DD46DD" w:rsidRDefault="00F235A6">
            <w:pPr>
              <w:jc w:val="right"/>
            </w:pPr>
            <w:r>
              <w:rPr>
                <w:color w:val="000000"/>
                <w:sz w:val="24"/>
              </w:rPr>
              <w:t>6.70</w:t>
            </w:r>
          </w:p>
        </w:tc>
      </w:tr>
      <w:tr w:rsidR="00DD46DD">
        <w:trPr>
          <w:jc w:val="center"/>
        </w:trPr>
        <w:tc>
          <w:tcPr>
            <w:tcW w:w="850" w:type="dxa"/>
            <w:vAlign w:val="center"/>
          </w:tcPr>
          <w:p w:rsidR="00DD46DD" w:rsidRDefault="00F235A6">
            <w:pPr>
              <w:jc w:val="center"/>
            </w:pPr>
            <w:r>
              <w:rPr>
                <w:color w:val="000000"/>
                <w:sz w:val="24"/>
              </w:rPr>
              <w:t>2</w:t>
            </w:r>
          </w:p>
        </w:tc>
        <w:tc>
          <w:tcPr>
            <w:tcW w:w="1327" w:type="dxa"/>
            <w:vAlign w:val="center"/>
          </w:tcPr>
          <w:p w:rsidR="00DD46DD" w:rsidRDefault="00F235A6">
            <w:pPr>
              <w:jc w:val="center"/>
            </w:pPr>
            <w:r>
              <w:rPr>
                <w:color w:val="000000"/>
                <w:sz w:val="24"/>
              </w:rPr>
              <w:t>601166</w:t>
            </w:r>
          </w:p>
        </w:tc>
        <w:tc>
          <w:tcPr>
            <w:tcW w:w="1769" w:type="dxa"/>
            <w:vAlign w:val="center"/>
          </w:tcPr>
          <w:p w:rsidR="00DD46DD" w:rsidRDefault="00F235A6">
            <w:pPr>
              <w:jc w:val="center"/>
            </w:pPr>
            <w:r>
              <w:rPr>
                <w:color w:val="000000"/>
                <w:sz w:val="24"/>
              </w:rPr>
              <w:t>兴业银行</w:t>
            </w:r>
          </w:p>
        </w:tc>
        <w:tc>
          <w:tcPr>
            <w:tcW w:w="1327" w:type="dxa"/>
            <w:vAlign w:val="center"/>
          </w:tcPr>
          <w:p w:rsidR="00DD46DD" w:rsidRDefault="00F235A6">
            <w:pPr>
              <w:jc w:val="right"/>
            </w:pPr>
            <w:r>
              <w:rPr>
                <w:color w:val="000000"/>
                <w:sz w:val="24"/>
              </w:rPr>
              <w:t>2,113,862</w:t>
            </w:r>
          </w:p>
        </w:tc>
        <w:tc>
          <w:tcPr>
            <w:tcW w:w="1915" w:type="dxa"/>
            <w:vAlign w:val="center"/>
          </w:tcPr>
          <w:p w:rsidR="00DD46DD" w:rsidRDefault="00F235A6">
            <w:pPr>
              <w:jc w:val="right"/>
            </w:pPr>
            <w:r>
              <w:rPr>
                <w:color w:val="000000"/>
                <w:sz w:val="24"/>
              </w:rPr>
              <w:t>36,083,624.34</w:t>
            </w:r>
          </w:p>
        </w:tc>
        <w:tc>
          <w:tcPr>
            <w:tcW w:w="1680" w:type="dxa"/>
            <w:vAlign w:val="center"/>
          </w:tcPr>
          <w:p w:rsidR="00DD46DD" w:rsidRDefault="00F235A6">
            <w:pPr>
              <w:jc w:val="right"/>
            </w:pPr>
            <w:r>
              <w:rPr>
                <w:color w:val="000000"/>
                <w:sz w:val="24"/>
              </w:rPr>
              <w:t>5.36</w:t>
            </w:r>
          </w:p>
        </w:tc>
      </w:tr>
      <w:tr w:rsidR="00DD46DD">
        <w:trPr>
          <w:jc w:val="center"/>
        </w:trPr>
        <w:tc>
          <w:tcPr>
            <w:tcW w:w="850" w:type="dxa"/>
            <w:vAlign w:val="center"/>
          </w:tcPr>
          <w:p w:rsidR="00DD46DD" w:rsidRDefault="00F235A6">
            <w:pPr>
              <w:jc w:val="center"/>
            </w:pPr>
            <w:r>
              <w:rPr>
                <w:color w:val="000000"/>
                <w:sz w:val="24"/>
              </w:rPr>
              <w:t>3</w:t>
            </w:r>
          </w:p>
        </w:tc>
        <w:tc>
          <w:tcPr>
            <w:tcW w:w="1327" w:type="dxa"/>
            <w:vAlign w:val="center"/>
          </w:tcPr>
          <w:p w:rsidR="00DD46DD" w:rsidRDefault="00F235A6">
            <w:pPr>
              <w:jc w:val="center"/>
            </w:pPr>
            <w:r>
              <w:rPr>
                <w:color w:val="000000"/>
                <w:sz w:val="24"/>
              </w:rPr>
              <w:t>600036</w:t>
            </w:r>
          </w:p>
        </w:tc>
        <w:tc>
          <w:tcPr>
            <w:tcW w:w="1769" w:type="dxa"/>
            <w:vAlign w:val="center"/>
          </w:tcPr>
          <w:p w:rsidR="00DD46DD" w:rsidRDefault="00F235A6">
            <w:pPr>
              <w:jc w:val="center"/>
            </w:pPr>
            <w:r>
              <w:rPr>
                <w:color w:val="000000"/>
                <w:sz w:val="24"/>
              </w:rPr>
              <w:t>招商银行</w:t>
            </w:r>
          </w:p>
        </w:tc>
        <w:tc>
          <w:tcPr>
            <w:tcW w:w="1327" w:type="dxa"/>
            <w:vAlign w:val="center"/>
          </w:tcPr>
          <w:p w:rsidR="00DD46DD" w:rsidRDefault="00F235A6">
            <w:pPr>
              <w:jc w:val="right"/>
            </w:pPr>
            <w:r>
              <w:rPr>
                <w:color w:val="000000"/>
                <w:sz w:val="24"/>
              </w:rPr>
              <w:t>1,645,182</w:t>
            </w:r>
          </w:p>
        </w:tc>
        <w:tc>
          <w:tcPr>
            <w:tcW w:w="1915" w:type="dxa"/>
            <w:vAlign w:val="center"/>
          </w:tcPr>
          <w:p w:rsidR="00DD46DD" w:rsidRDefault="00F235A6">
            <w:pPr>
              <w:jc w:val="right"/>
            </w:pPr>
            <w:r>
              <w:rPr>
                <w:color w:val="000000"/>
                <w:sz w:val="24"/>
              </w:rPr>
              <w:t>29,596,824.18</w:t>
            </w:r>
          </w:p>
        </w:tc>
        <w:tc>
          <w:tcPr>
            <w:tcW w:w="1680" w:type="dxa"/>
            <w:vAlign w:val="center"/>
          </w:tcPr>
          <w:p w:rsidR="00DD46DD" w:rsidRDefault="00F235A6">
            <w:pPr>
              <w:jc w:val="right"/>
            </w:pPr>
            <w:r>
              <w:rPr>
                <w:color w:val="000000"/>
                <w:sz w:val="24"/>
              </w:rPr>
              <w:t>4.39</w:t>
            </w:r>
          </w:p>
        </w:tc>
      </w:tr>
      <w:tr w:rsidR="00DD46DD">
        <w:trPr>
          <w:jc w:val="center"/>
        </w:trPr>
        <w:tc>
          <w:tcPr>
            <w:tcW w:w="850" w:type="dxa"/>
            <w:vAlign w:val="center"/>
          </w:tcPr>
          <w:p w:rsidR="00DD46DD" w:rsidRDefault="00F235A6">
            <w:pPr>
              <w:jc w:val="center"/>
            </w:pPr>
            <w:r>
              <w:rPr>
                <w:color w:val="000000"/>
                <w:sz w:val="24"/>
              </w:rPr>
              <w:t>4</w:t>
            </w:r>
          </w:p>
        </w:tc>
        <w:tc>
          <w:tcPr>
            <w:tcW w:w="1327" w:type="dxa"/>
            <w:vAlign w:val="center"/>
          </w:tcPr>
          <w:p w:rsidR="00DD46DD" w:rsidRDefault="00F235A6">
            <w:pPr>
              <w:jc w:val="center"/>
            </w:pPr>
            <w:r>
              <w:rPr>
                <w:color w:val="000000"/>
                <w:sz w:val="24"/>
              </w:rPr>
              <w:t>600000</w:t>
            </w:r>
          </w:p>
        </w:tc>
        <w:tc>
          <w:tcPr>
            <w:tcW w:w="1769" w:type="dxa"/>
            <w:vAlign w:val="center"/>
          </w:tcPr>
          <w:p w:rsidR="00DD46DD" w:rsidRDefault="00F235A6">
            <w:pPr>
              <w:jc w:val="center"/>
            </w:pPr>
            <w:r>
              <w:rPr>
                <w:color w:val="000000"/>
                <w:sz w:val="24"/>
              </w:rPr>
              <w:t>浦发银行</w:t>
            </w:r>
          </w:p>
        </w:tc>
        <w:tc>
          <w:tcPr>
            <w:tcW w:w="1327" w:type="dxa"/>
            <w:vAlign w:val="center"/>
          </w:tcPr>
          <w:p w:rsidR="00DD46DD" w:rsidRDefault="00F235A6">
            <w:pPr>
              <w:jc w:val="right"/>
            </w:pPr>
            <w:r>
              <w:rPr>
                <w:color w:val="000000"/>
                <w:sz w:val="24"/>
              </w:rPr>
              <w:t>1,490,085</w:t>
            </w:r>
          </w:p>
        </w:tc>
        <w:tc>
          <w:tcPr>
            <w:tcW w:w="1915" w:type="dxa"/>
            <w:vAlign w:val="center"/>
          </w:tcPr>
          <w:p w:rsidR="00DD46DD" w:rsidRDefault="00F235A6">
            <w:pPr>
              <w:jc w:val="right"/>
            </w:pPr>
            <w:r>
              <w:rPr>
                <w:color w:val="000000"/>
                <w:sz w:val="24"/>
              </w:rPr>
              <w:t>27,223,852.95</w:t>
            </w:r>
          </w:p>
        </w:tc>
        <w:tc>
          <w:tcPr>
            <w:tcW w:w="1680" w:type="dxa"/>
            <w:vAlign w:val="center"/>
          </w:tcPr>
          <w:p w:rsidR="00DD46DD" w:rsidRDefault="00F235A6">
            <w:pPr>
              <w:jc w:val="right"/>
            </w:pPr>
            <w:r>
              <w:rPr>
                <w:color w:val="000000"/>
                <w:sz w:val="24"/>
              </w:rPr>
              <w:t>4.04</w:t>
            </w:r>
          </w:p>
        </w:tc>
      </w:tr>
      <w:tr w:rsidR="00DD46DD">
        <w:trPr>
          <w:jc w:val="center"/>
        </w:trPr>
        <w:tc>
          <w:tcPr>
            <w:tcW w:w="850" w:type="dxa"/>
            <w:vAlign w:val="center"/>
          </w:tcPr>
          <w:p w:rsidR="00DD46DD" w:rsidRDefault="00F235A6">
            <w:pPr>
              <w:jc w:val="center"/>
            </w:pPr>
            <w:r>
              <w:rPr>
                <w:color w:val="000000"/>
                <w:sz w:val="24"/>
              </w:rPr>
              <w:t>5</w:t>
            </w:r>
          </w:p>
        </w:tc>
        <w:tc>
          <w:tcPr>
            <w:tcW w:w="1327" w:type="dxa"/>
            <w:vAlign w:val="center"/>
          </w:tcPr>
          <w:p w:rsidR="00DD46DD" w:rsidRDefault="00F235A6">
            <w:pPr>
              <w:jc w:val="center"/>
            </w:pPr>
            <w:r>
              <w:rPr>
                <w:color w:val="000000"/>
                <w:sz w:val="24"/>
              </w:rPr>
              <w:t>600030</w:t>
            </w:r>
          </w:p>
        </w:tc>
        <w:tc>
          <w:tcPr>
            <w:tcW w:w="1769" w:type="dxa"/>
            <w:vAlign w:val="center"/>
          </w:tcPr>
          <w:p w:rsidR="00DD46DD" w:rsidRDefault="00F235A6">
            <w:pPr>
              <w:jc w:val="center"/>
            </w:pPr>
            <w:r>
              <w:rPr>
                <w:color w:val="000000"/>
                <w:sz w:val="24"/>
              </w:rPr>
              <w:t>中信证券</w:t>
            </w:r>
          </w:p>
        </w:tc>
        <w:tc>
          <w:tcPr>
            <w:tcW w:w="1327" w:type="dxa"/>
            <w:vAlign w:val="center"/>
          </w:tcPr>
          <w:p w:rsidR="00DD46DD" w:rsidRDefault="00F235A6">
            <w:pPr>
              <w:jc w:val="right"/>
            </w:pPr>
            <w:r>
              <w:rPr>
                <w:color w:val="000000"/>
                <w:sz w:val="24"/>
              </w:rPr>
              <w:t>1,247,560</w:t>
            </w:r>
          </w:p>
        </w:tc>
        <w:tc>
          <w:tcPr>
            <w:tcW w:w="1915" w:type="dxa"/>
            <w:vAlign w:val="center"/>
          </w:tcPr>
          <w:p w:rsidR="00DD46DD" w:rsidRDefault="00F235A6">
            <w:pPr>
              <w:jc w:val="right"/>
            </w:pPr>
            <w:r>
              <w:rPr>
                <w:color w:val="000000"/>
                <w:sz w:val="24"/>
              </w:rPr>
              <w:t>24,140,286.00</w:t>
            </w:r>
          </w:p>
        </w:tc>
        <w:tc>
          <w:tcPr>
            <w:tcW w:w="1680" w:type="dxa"/>
            <w:vAlign w:val="center"/>
          </w:tcPr>
          <w:p w:rsidR="00DD46DD" w:rsidRDefault="00F235A6">
            <w:pPr>
              <w:jc w:val="right"/>
            </w:pPr>
            <w:r>
              <w:rPr>
                <w:color w:val="000000"/>
                <w:sz w:val="24"/>
              </w:rPr>
              <w:t>3.58</w:t>
            </w:r>
          </w:p>
        </w:tc>
      </w:tr>
      <w:tr w:rsidR="00DD46DD">
        <w:trPr>
          <w:jc w:val="center"/>
        </w:trPr>
        <w:tc>
          <w:tcPr>
            <w:tcW w:w="850" w:type="dxa"/>
            <w:vAlign w:val="center"/>
          </w:tcPr>
          <w:p w:rsidR="00DD46DD" w:rsidRDefault="00F235A6">
            <w:pPr>
              <w:jc w:val="center"/>
            </w:pPr>
            <w:r>
              <w:rPr>
                <w:color w:val="000000"/>
                <w:sz w:val="24"/>
              </w:rPr>
              <w:t>6</w:t>
            </w:r>
          </w:p>
        </w:tc>
        <w:tc>
          <w:tcPr>
            <w:tcW w:w="1327" w:type="dxa"/>
            <w:vAlign w:val="center"/>
          </w:tcPr>
          <w:p w:rsidR="00DD46DD" w:rsidRDefault="00F235A6">
            <w:pPr>
              <w:jc w:val="center"/>
            </w:pPr>
            <w:r>
              <w:rPr>
                <w:color w:val="000000"/>
                <w:sz w:val="24"/>
              </w:rPr>
              <w:t>600837</w:t>
            </w:r>
          </w:p>
        </w:tc>
        <w:tc>
          <w:tcPr>
            <w:tcW w:w="1769" w:type="dxa"/>
            <w:vAlign w:val="center"/>
          </w:tcPr>
          <w:p w:rsidR="00DD46DD" w:rsidRDefault="00F235A6">
            <w:pPr>
              <w:jc w:val="center"/>
            </w:pPr>
            <w:r>
              <w:rPr>
                <w:color w:val="000000"/>
                <w:sz w:val="24"/>
              </w:rPr>
              <w:t>海通证券</w:t>
            </w:r>
          </w:p>
        </w:tc>
        <w:tc>
          <w:tcPr>
            <w:tcW w:w="1327" w:type="dxa"/>
            <w:vAlign w:val="center"/>
          </w:tcPr>
          <w:p w:rsidR="00DD46DD" w:rsidRDefault="00F235A6">
            <w:pPr>
              <w:jc w:val="right"/>
            </w:pPr>
            <w:r>
              <w:rPr>
                <w:color w:val="000000"/>
                <w:sz w:val="24"/>
              </w:rPr>
              <w:t>1,282,579</w:t>
            </w:r>
          </w:p>
        </w:tc>
        <w:tc>
          <w:tcPr>
            <w:tcW w:w="1915" w:type="dxa"/>
            <w:vAlign w:val="center"/>
          </w:tcPr>
          <w:p w:rsidR="00DD46DD" w:rsidRDefault="00F235A6">
            <w:pPr>
              <w:jc w:val="right"/>
            </w:pPr>
            <w:r>
              <w:rPr>
                <w:color w:val="000000"/>
                <w:sz w:val="24"/>
              </w:rPr>
              <w:t>20,290,399.78</w:t>
            </w:r>
          </w:p>
        </w:tc>
        <w:tc>
          <w:tcPr>
            <w:tcW w:w="1680" w:type="dxa"/>
            <w:vAlign w:val="center"/>
          </w:tcPr>
          <w:p w:rsidR="00DD46DD" w:rsidRDefault="00F235A6">
            <w:pPr>
              <w:jc w:val="right"/>
            </w:pPr>
            <w:r>
              <w:rPr>
                <w:color w:val="000000"/>
                <w:sz w:val="24"/>
              </w:rPr>
              <w:t>3.01</w:t>
            </w:r>
          </w:p>
        </w:tc>
      </w:tr>
      <w:tr w:rsidR="00DD46DD">
        <w:trPr>
          <w:jc w:val="center"/>
        </w:trPr>
        <w:tc>
          <w:tcPr>
            <w:tcW w:w="850" w:type="dxa"/>
            <w:vAlign w:val="center"/>
          </w:tcPr>
          <w:p w:rsidR="00DD46DD" w:rsidRDefault="00F235A6">
            <w:pPr>
              <w:jc w:val="center"/>
            </w:pPr>
            <w:r>
              <w:rPr>
                <w:color w:val="000000"/>
                <w:sz w:val="24"/>
              </w:rPr>
              <w:t>7</w:t>
            </w:r>
          </w:p>
        </w:tc>
        <w:tc>
          <w:tcPr>
            <w:tcW w:w="1327" w:type="dxa"/>
            <w:vAlign w:val="center"/>
          </w:tcPr>
          <w:p w:rsidR="00DD46DD" w:rsidRDefault="00F235A6">
            <w:pPr>
              <w:jc w:val="center"/>
            </w:pPr>
            <w:r>
              <w:rPr>
                <w:color w:val="000000"/>
                <w:sz w:val="24"/>
              </w:rPr>
              <w:t>601766</w:t>
            </w:r>
          </w:p>
        </w:tc>
        <w:tc>
          <w:tcPr>
            <w:tcW w:w="1769" w:type="dxa"/>
            <w:vAlign w:val="center"/>
          </w:tcPr>
          <w:p w:rsidR="00DD46DD" w:rsidRDefault="00F235A6">
            <w:pPr>
              <w:jc w:val="center"/>
            </w:pPr>
            <w:r>
              <w:rPr>
                <w:color w:val="000000"/>
                <w:sz w:val="24"/>
              </w:rPr>
              <w:t>中国中车</w:t>
            </w:r>
          </w:p>
        </w:tc>
        <w:tc>
          <w:tcPr>
            <w:tcW w:w="1327" w:type="dxa"/>
            <w:vAlign w:val="center"/>
          </w:tcPr>
          <w:p w:rsidR="00DD46DD" w:rsidRDefault="00F235A6">
            <w:pPr>
              <w:jc w:val="right"/>
            </w:pPr>
            <w:r>
              <w:rPr>
                <w:color w:val="000000"/>
                <w:sz w:val="24"/>
              </w:rPr>
              <w:t>1,452,990</w:t>
            </w:r>
          </w:p>
        </w:tc>
        <w:tc>
          <w:tcPr>
            <w:tcW w:w="1915" w:type="dxa"/>
            <w:vAlign w:val="center"/>
          </w:tcPr>
          <w:p w:rsidR="00DD46DD" w:rsidRDefault="00F235A6">
            <w:pPr>
              <w:jc w:val="right"/>
            </w:pPr>
            <w:r>
              <w:rPr>
                <w:color w:val="000000"/>
                <w:sz w:val="24"/>
              </w:rPr>
              <w:t>18,670,921.50</w:t>
            </w:r>
          </w:p>
        </w:tc>
        <w:tc>
          <w:tcPr>
            <w:tcW w:w="1680" w:type="dxa"/>
            <w:vAlign w:val="center"/>
          </w:tcPr>
          <w:p w:rsidR="00DD46DD" w:rsidRDefault="00F235A6">
            <w:pPr>
              <w:jc w:val="right"/>
            </w:pPr>
            <w:r>
              <w:rPr>
                <w:color w:val="000000"/>
                <w:sz w:val="24"/>
              </w:rPr>
              <w:t>2.77</w:t>
            </w:r>
          </w:p>
        </w:tc>
      </w:tr>
      <w:tr w:rsidR="00DD46DD">
        <w:trPr>
          <w:jc w:val="center"/>
        </w:trPr>
        <w:tc>
          <w:tcPr>
            <w:tcW w:w="850" w:type="dxa"/>
            <w:vAlign w:val="center"/>
          </w:tcPr>
          <w:p w:rsidR="00DD46DD" w:rsidRDefault="00F235A6">
            <w:pPr>
              <w:jc w:val="center"/>
            </w:pPr>
            <w:r>
              <w:rPr>
                <w:color w:val="000000"/>
                <w:sz w:val="24"/>
              </w:rPr>
              <w:t>8</w:t>
            </w:r>
          </w:p>
        </w:tc>
        <w:tc>
          <w:tcPr>
            <w:tcW w:w="1327" w:type="dxa"/>
            <w:vAlign w:val="center"/>
          </w:tcPr>
          <w:p w:rsidR="00DD46DD" w:rsidRDefault="00F235A6">
            <w:pPr>
              <w:jc w:val="center"/>
            </w:pPr>
            <w:r>
              <w:rPr>
                <w:color w:val="000000"/>
                <w:sz w:val="24"/>
              </w:rPr>
              <w:t>601398</w:t>
            </w:r>
          </w:p>
        </w:tc>
        <w:tc>
          <w:tcPr>
            <w:tcW w:w="1769" w:type="dxa"/>
            <w:vAlign w:val="center"/>
          </w:tcPr>
          <w:p w:rsidR="00DD46DD" w:rsidRDefault="00F235A6">
            <w:pPr>
              <w:jc w:val="center"/>
            </w:pPr>
            <w:r>
              <w:rPr>
                <w:color w:val="000000"/>
                <w:sz w:val="24"/>
              </w:rPr>
              <w:t>工商银行</w:t>
            </w:r>
          </w:p>
        </w:tc>
        <w:tc>
          <w:tcPr>
            <w:tcW w:w="1327" w:type="dxa"/>
            <w:vAlign w:val="center"/>
          </w:tcPr>
          <w:p w:rsidR="00DD46DD" w:rsidRDefault="00F235A6">
            <w:pPr>
              <w:jc w:val="right"/>
            </w:pPr>
            <w:r>
              <w:rPr>
                <w:color w:val="000000"/>
                <w:sz w:val="24"/>
              </w:rPr>
              <w:t>3,444,751</w:t>
            </w:r>
          </w:p>
        </w:tc>
        <w:tc>
          <w:tcPr>
            <w:tcW w:w="1915" w:type="dxa"/>
            <w:vAlign w:val="center"/>
          </w:tcPr>
          <w:p w:rsidR="00DD46DD" w:rsidRDefault="00F235A6">
            <w:pPr>
              <w:jc w:val="right"/>
            </w:pPr>
            <w:r>
              <w:rPr>
                <w:color w:val="000000"/>
                <w:sz w:val="24"/>
              </w:rPr>
              <w:t>15,776,959.58</w:t>
            </w:r>
          </w:p>
        </w:tc>
        <w:tc>
          <w:tcPr>
            <w:tcW w:w="1680" w:type="dxa"/>
            <w:vAlign w:val="center"/>
          </w:tcPr>
          <w:p w:rsidR="00DD46DD" w:rsidRDefault="00F235A6">
            <w:pPr>
              <w:jc w:val="right"/>
            </w:pPr>
            <w:r>
              <w:rPr>
                <w:color w:val="000000"/>
                <w:sz w:val="24"/>
              </w:rPr>
              <w:t>2.34</w:t>
            </w:r>
          </w:p>
        </w:tc>
      </w:tr>
      <w:tr w:rsidR="00DD46DD">
        <w:trPr>
          <w:jc w:val="center"/>
        </w:trPr>
        <w:tc>
          <w:tcPr>
            <w:tcW w:w="850" w:type="dxa"/>
            <w:vAlign w:val="center"/>
          </w:tcPr>
          <w:p w:rsidR="00DD46DD" w:rsidRDefault="00F235A6">
            <w:pPr>
              <w:jc w:val="center"/>
            </w:pPr>
            <w:r>
              <w:rPr>
                <w:color w:val="000000"/>
                <w:sz w:val="24"/>
              </w:rPr>
              <w:t>9</w:t>
            </w:r>
          </w:p>
        </w:tc>
        <w:tc>
          <w:tcPr>
            <w:tcW w:w="1327" w:type="dxa"/>
            <w:vAlign w:val="center"/>
          </w:tcPr>
          <w:p w:rsidR="00DD46DD" w:rsidRDefault="00F235A6">
            <w:pPr>
              <w:jc w:val="center"/>
            </w:pPr>
            <w:r>
              <w:rPr>
                <w:color w:val="000000"/>
                <w:sz w:val="24"/>
              </w:rPr>
              <w:t>601668</w:t>
            </w:r>
          </w:p>
        </w:tc>
        <w:tc>
          <w:tcPr>
            <w:tcW w:w="1769" w:type="dxa"/>
            <w:vAlign w:val="center"/>
          </w:tcPr>
          <w:p w:rsidR="00DD46DD" w:rsidRDefault="00F235A6">
            <w:pPr>
              <w:jc w:val="center"/>
            </w:pPr>
            <w:r>
              <w:rPr>
                <w:color w:val="000000"/>
                <w:sz w:val="24"/>
              </w:rPr>
              <w:t>中国建筑</w:t>
            </w:r>
          </w:p>
        </w:tc>
        <w:tc>
          <w:tcPr>
            <w:tcW w:w="1327" w:type="dxa"/>
            <w:vAlign w:val="center"/>
          </w:tcPr>
          <w:p w:rsidR="00DD46DD" w:rsidRDefault="00F235A6">
            <w:pPr>
              <w:jc w:val="right"/>
            </w:pPr>
            <w:r>
              <w:rPr>
                <w:color w:val="000000"/>
                <w:sz w:val="24"/>
              </w:rPr>
              <w:t>2,377,546</w:t>
            </w:r>
          </w:p>
        </w:tc>
        <w:tc>
          <w:tcPr>
            <w:tcW w:w="1915" w:type="dxa"/>
            <w:vAlign w:val="center"/>
          </w:tcPr>
          <w:p w:rsidR="00DD46DD" w:rsidRDefault="00F235A6">
            <w:pPr>
              <w:jc w:val="right"/>
            </w:pPr>
            <w:r>
              <w:rPr>
                <w:color w:val="000000"/>
                <w:sz w:val="24"/>
              </w:rPr>
              <w:t>15,073,641.64</w:t>
            </w:r>
          </w:p>
        </w:tc>
        <w:tc>
          <w:tcPr>
            <w:tcW w:w="1680" w:type="dxa"/>
            <w:vAlign w:val="center"/>
          </w:tcPr>
          <w:p w:rsidR="00DD46DD" w:rsidRDefault="00F235A6">
            <w:pPr>
              <w:jc w:val="right"/>
            </w:pPr>
            <w:r>
              <w:rPr>
                <w:color w:val="000000"/>
                <w:sz w:val="24"/>
              </w:rPr>
              <w:t>2.24</w:t>
            </w:r>
          </w:p>
        </w:tc>
      </w:tr>
      <w:tr w:rsidR="00DD46DD">
        <w:trPr>
          <w:jc w:val="center"/>
        </w:trPr>
        <w:tc>
          <w:tcPr>
            <w:tcW w:w="850" w:type="dxa"/>
            <w:vAlign w:val="center"/>
          </w:tcPr>
          <w:p w:rsidR="00DD46DD" w:rsidRDefault="00F235A6">
            <w:pPr>
              <w:jc w:val="center"/>
            </w:pPr>
            <w:r>
              <w:rPr>
                <w:color w:val="000000"/>
                <w:sz w:val="24"/>
              </w:rPr>
              <w:t>10</w:t>
            </w:r>
          </w:p>
        </w:tc>
        <w:tc>
          <w:tcPr>
            <w:tcW w:w="1327" w:type="dxa"/>
            <w:vAlign w:val="center"/>
          </w:tcPr>
          <w:p w:rsidR="00DD46DD" w:rsidRDefault="00F235A6">
            <w:pPr>
              <w:jc w:val="center"/>
            </w:pPr>
            <w:r>
              <w:rPr>
                <w:color w:val="000000"/>
                <w:sz w:val="24"/>
              </w:rPr>
              <w:t>601601</w:t>
            </w:r>
          </w:p>
        </w:tc>
        <w:tc>
          <w:tcPr>
            <w:tcW w:w="1769" w:type="dxa"/>
            <w:vAlign w:val="center"/>
          </w:tcPr>
          <w:p w:rsidR="00DD46DD" w:rsidRDefault="00F235A6">
            <w:pPr>
              <w:jc w:val="center"/>
            </w:pPr>
            <w:r>
              <w:rPr>
                <w:color w:val="000000"/>
                <w:sz w:val="24"/>
              </w:rPr>
              <w:t>中国太保</w:t>
            </w:r>
          </w:p>
        </w:tc>
        <w:tc>
          <w:tcPr>
            <w:tcW w:w="1327" w:type="dxa"/>
            <w:vAlign w:val="center"/>
          </w:tcPr>
          <w:p w:rsidR="00DD46DD" w:rsidRDefault="00F235A6">
            <w:pPr>
              <w:jc w:val="right"/>
            </w:pPr>
            <w:r>
              <w:rPr>
                <w:color w:val="000000"/>
                <w:sz w:val="24"/>
              </w:rPr>
              <w:t>498,199</w:t>
            </w:r>
          </w:p>
        </w:tc>
        <w:tc>
          <w:tcPr>
            <w:tcW w:w="1915" w:type="dxa"/>
            <w:vAlign w:val="center"/>
          </w:tcPr>
          <w:p w:rsidR="00DD46DD" w:rsidRDefault="00F235A6">
            <w:pPr>
              <w:jc w:val="right"/>
            </w:pPr>
            <w:r>
              <w:rPr>
                <w:color w:val="000000"/>
                <w:sz w:val="24"/>
              </w:rPr>
              <w:t>14,378,023.14</w:t>
            </w:r>
          </w:p>
        </w:tc>
        <w:tc>
          <w:tcPr>
            <w:tcW w:w="1680" w:type="dxa"/>
            <w:vAlign w:val="center"/>
          </w:tcPr>
          <w:p w:rsidR="00DD46DD" w:rsidRDefault="00F235A6">
            <w:pPr>
              <w:jc w:val="right"/>
            </w:pPr>
            <w:r>
              <w:rPr>
                <w:color w:val="000000"/>
                <w:sz w:val="24"/>
              </w:rPr>
              <w:t>2.13</w:t>
            </w:r>
          </w:p>
        </w:tc>
      </w:tr>
    </w:tbl>
    <w:p w:rsidR="003C606C" w:rsidRPr="0036023B" w:rsidRDefault="003C606C" w:rsidP="0099526C">
      <w:pPr>
        <w:autoSpaceDE w:val="0"/>
        <w:autoSpaceDN w:val="0"/>
        <w:adjustRightInd w:val="0"/>
        <w:spacing w:before="29" w:line="288" w:lineRule="auto"/>
        <w:jc w:val="left"/>
        <w:rPr>
          <w:color w:val="000000"/>
          <w:sz w:val="24"/>
        </w:rPr>
      </w:pPr>
    </w:p>
    <w:p w:rsidR="000625A6" w:rsidRPr="0036023B" w:rsidRDefault="000625A6" w:rsidP="0099526C">
      <w:pPr>
        <w:spacing w:before="29" w:line="288" w:lineRule="auto"/>
        <w:rPr>
          <w:b/>
          <w:sz w:val="24"/>
        </w:rPr>
      </w:pPr>
      <w:r w:rsidRPr="0036023B">
        <w:rPr>
          <w:b/>
          <w:color w:val="000000"/>
          <w:kern w:val="0"/>
          <w:sz w:val="24"/>
        </w:rPr>
        <w:t>5.3.2</w:t>
      </w:r>
      <w:r w:rsidR="00A34B04" w:rsidRPr="0036023B">
        <w:rPr>
          <w:b/>
          <w:color w:val="000000"/>
          <w:kern w:val="0"/>
          <w:sz w:val="24"/>
        </w:rPr>
        <w:t xml:space="preserve"> </w:t>
      </w:r>
      <w:r w:rsidR="00693629" w:rsidRPr="0036023B">
        <w:rPr>
          <w:b/>
          <w:color w:val="000000"/>
          <w:kern w:val="0"/>
          <w:sz w:val="24"/>
        </w:rPr>
        <w:t>报告</w:t>
      </w:r>
      <w:r w:rsidR="005D44E4" w:rsidRPr="0036023B">
        <w:rPr>
          <w:b/>
          <w:color w:val="000000"/>
          <w:kern w:val="0"/>
          <w:sz w:val="24"/>
        </w:rPr>
        <w:t>期末</w:t>
      </w:r>
      <w:r w:rsidR="005D44E4" w:rsidRPr="0036023B">
        <w:rPr>
          <w:b/>
          <w:sz w:val="24"/>
        </w:rPr>
        <w:t>积极</w:t>
      </w:r>
      <w:r w:rsidRPr="0036023B">
        <w:rPr>
          <w:b/>
          <w:sz w:val="24"/>
        </w:rPr>
        <w:t>投资按公允价值占基金资产净值比例大小排序的前五名股票投资明细</w:t>
      </w:r>
    </w:p>
    <w:p w:rsidR="0066704D"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0625A6" w:rsidRPr="0036023B" w:rsidRDefault="000625A6"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5.4 </w:t>
      </w:r>
      <w:r w:rsidRPr="0036023B">
        <w:rPr>
          <w:b/>
          <w:color w:val="000000"/>
          <w:kern w:val="0"/>
          <w:sz w:val="24"/>
        </w:rPr>
        <w:t>报告期末按债券品种分类的债券投资组合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5.5 </w:t>
      </w:r>
      <w:r w:rsidR="009D3C04" w:rsidRPr="0036023B">
        <w:rPr>
          <w:b/>
          <w:color w:val="000000"/>
          <w:kern w:val="0"/>
          <w:sz w:val="24"/>
        </w:rPr>
        <w:t>报告期末按公允价值占基金资产净值比例大小排序</w:t>
      </w:r>
      <w:r w:rsidRPr="0036023B">
        <w:rPr>
          <w:b/>
          <w:color w:val="000000"/>
          <w:kern w:val="0"/>
          <w:sz w:val="24"/>
        </w:rPr>
        <w:t>的前五名债券投资明细</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5.6</w:t>
      </w:r>
      <w:r w:rsidR="00C468C8" w:rsidRPr="0036023B">
        <w:rPr>
          <w:b/>
          <w:color w:val="000000"/>
          <w:kern w:val="0"/>
          <w:sz w:val="24"/>
        </w:rPr>
        <w:t xml:space="preserve"> </w:t>
      </w:r>
      <w:r w:rsidRPr="0036023B">
        <w:rPr>
          <w:b/>
          <w:color w:val="000000"/>
          <w:kern w:val="0"/>
          <w:sz w:val="24"/>
        </w:rPr>
        <w:t>报告期末按公允价值占基金资产净值比例大小排</w:t>
      </w:r>
      <w:r w:rsidR="009D3C04" w:rsidRPr="0036023B">
        <w:rPr>
          <w:b/>
          <w:color w:val="000000"/>
          <w:kern w:val="0"/>
          <w:sz w:val="24"/>
        </w:rPr>
        <w:t>序</w:t>
      </w:r>
      <w:r w:rsidRPr="0036023B">
        <w:rPr>
          <w:b/>
          <w:color w:val="000000"/>
          <w:kern w:val="0"/>
          <w:sz w:val="24"/>
        </w:rPr>
        <w:t>的前十名资产支持证券投资明细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本基金本报告期末未持有资产支持证券。</w:t>
      </w:r>
    </w:p>
    <w:p w:rsidR="00220542" w:rsidRPr="0036023B" w:rsidRDefault="00220542" w:rsidP="0099526C">
      <w:pPr>
        <w:autoSpaceDE w:val="0"/>
        <w:autoSpaceDN w:val="0"/>
        <w:adjustRightInd w:val="0"/>
        <w:spacing w:before="29" w:line="288" w:lineRule="auto"/>
        <w:jc w:val="left"/>
        <w:rPr>
          <w:color w:val="000000"/>
          <w:kern w:val="0"/>
          <w:sz w:val="24"/>
        </w:rPr>
      </w:pPr>
    </w:p>
    <w:p w:rsidR="00144D45" w:rsidRPr="0036023B" w:rsidRDefault="00144D45" w:rsidP="0099526C">
      <w:pPr>
        <w:autoSpaceDE w:val="0"/>
        <w:autoSpaceDN w:val="0"/>
        <w:adjustRightInd w:val="0"/>
        <w:spacing w:before="29" w:line="288" w:lineRule="auto"/>
        <w:jc w:val="left"/>
        <w:rPr>
          <w:color w:val="000000"/>
          <w:kern w:val="0"/>
          <w:sz w:val="24"/>
        </w:rPr>
      </w:pPr>
      <w:r w:rsidRPr="0036023B">
        <w:rPr>
          <w:b/>
          <w:bCs/>
          <w:color w:val="000000"/>
          <w:kern w:val="0"/>
          <w:sz w:val="24"/>
        </w:rPr>
        <w:t xml:space="preserve">5.7 </w:t>
      </w:r>
      <w:r w:rsidRPr="0036023B">
        <w:rPr>
          <w:rFonts w:hAnsi="宋体"/>
          <w:b/>
          <w:bCs/>
          <w:color w:val="000000"/>
          <w:kern w:val="0"/>
          <w:sz w:val="24"/>
        </w:rPr>
        <w:t>报告期末按公允价值占基金资产净值比例大小排序的前五名贵金属投资明细</w:t>
      </w:r>
    </w:p>
    <w:p w:rsidR="00144D45" w:rsidRPr="0036023B" w:rsidRDefault="004525C2" w:rsidP="0099526C">
      <w:pPr>
        <w:autoSpaceDE w:val="0"/>
        <w:autoSpaceDN w:val="0"/>
        <w:adjustRightInd w:val="0"/>
        <w:spacing w:before="29" w:line="288" w:lineRule="auto"/>
        <w:jc w:val="left"/>
        <w:rPr>
          <w:sz w:val="24"/>
        </w:rPr>
      </w:pPr>
      <w:r w:rsidRPr="0036023B">
        <w:rPr>
          <w:sz w:val="24"/>
        </w:rPr>
        <w:t>本基金本报告期末未持有贵金属。</w:t>
      </w:r>
    </w:p>
    <w:p w:rsidR="00000F0F" w:rsidRPr="0036023B" w:rsidRDefault="00000F0F" w:rsidP="0099526C">
      <w:pPr>
        <w:autoSpaceDE w:val="0"/>
        <w:autoSpaceDN w:val="0"/>
        <w:adjustRightInd w:val="0"/>
        <w:spacing w:before="29" w:line="288" w:lineRule="auto"/>
        <w:jc w:val="left"/>
        <w:rPr>
          <w:color w:val="000000"/>
          <w:kern w:val="0"/>
          <w:sz w:val="24"/>
        </w:rPr>
      </w:pPr>
    </w:p>
    <w:p w:rsidR="00220542" w:rsidRPr="0036023B" w:rsidRDefault="00BE1A80" w:rsidP="0099526C">
      <w:pPr>
        <w:autoSpaceDE w:val="0"/>
        <w:autoSpaceDN w:val="0"/>
        <w:adjustRightInd w:val="0"/>
        <w:spacing w:before="29" w:line="288" w:lineRule="auto"/>
        <w:jc w:val="left"/>
        <w:rPr>
          <w:b/>
          <w:color w:val="000000"/>
          <w:kern w:val="0"/>
          <w:sz w:val="24"/>
        </w:rPr>
      </w:pPr>
      <w:r w:rsidRPr="0036023B">
        <w:rPr>
          <w:b/>
          <w:color w:val="000000"/>
          <w:kern w:val="0"/>
          <w:sz w:val="24"/>
        </w:rPr>
        <w:t>5</w:t>
      </w:r>
      <w:r w:rsidR="00220542" w:rsidRPr="0036023B">
        <w:rPr>
          <w:b/>
          <w:color w:val="000000"/>
          <w:kern w:val="0"/>
          <w:sz w:val="24"/>
        </w:rPr>
        <w:t>.</w:t>
      </w:r>
      <w:r w:rsidR="008F60C5" w:rsidRPr="0036023B">
        <w:rPr>
          <w:b/>
          <w:color w:val="000000"/>
          <w:kern w:val="0"/>
          <w:sz w:val="24"/>
        </w:rPr>
        <w:t>8</w:t>
      </w:r>
      <w:r w:rsidR="006D32CA" w:rsidRPr="0036023B">
        <w:rPr>
          <w:b/>
          <w:color w:val="000000"/>
          <w:kern w:val="0"/>
          <w:sz w:val="24"/>
        </w:rPr>
        <w:t xml:space="preserve"> </w:t>
      </w:r>
      <w:r w:rsidR="00220542" w:rsidRPr="0036023B">
        <w:rPr>
          <w:b/>
          <w:bCs/>
          <w:color w:val="000000"/>
          <w:sz w:val="24"/>
        </w:rPr>
        <w:t>报告期末按公允价值占基金资产净值比例大小排</w:t>
      </w:r>
      <w:r w:rsidR="009D3C04" w:rsidRPr="0036023B">
        <w:rPr>
          <w:b/>
          <w:color w:val="000000"/>
          <w:kern w:val="0"/>
          <w:sz w:val="24"/>
        </w:rPr>
        <w:t>序</w:t>
      </w:r>
      <w:r w:rsidR="00220542" w:rsidRPr="0036023B">
        <w:rPr>
          <w:b/>
          <w:bCs/>
          <w:color w:val="000000"/>
          <w:sz w:val="24"/>
        </w:rPr>
        <w:t>的前五名权证投资明细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本基金本报告期末未持有权证。</w:t>
      </w:r>
    </w:p>
    <w:p w:rsidR="00220542" w:rsidRPr="0036023B" w:rsidRDefault="00220542" w:rsidP="0099526C">
      <w:pPr>
        <w:autoSpaceDE w:val="0"/>
        <w:autoSpaceDN w:val="0"/>
        <w:adjustRightInd w:val="0"/>
        <w:spacing w:before="29" w:line="288" w:lineRule="auto"/>
        <w:jc w:val="left"/>
        <w:rPr>
          <w:color w:val="000000"/>
          <w:kern w:val="0"/>
          <w:sz w:val="24"/>
        </w:rPr>
      </w:pPr>
    </w:p>
    <w:p w:rsidR="00295C5D" w:rsidRPr="0036023B" w:rsidRDefault="008F60C5" w:rsidP="0099526C">
      <w:pPr>
        <w:adjustRightInd w:val="0"/>
        <w:snapToGrid w:val="0"/>
        <w:spacing w:before="29" w:line="288" w:lineRule="auto"/>
        <w:rPr>
          <w:b/>
          <w:sz w:val="24"/>
        </w:rPr>
      </w:pPr>
      <w:r w:rsidRPr="0036023B">
        <w:rPr>
          <w:b/>
          <w:sz w:val="24"/>
        </w:rPr>
        <w:t>5.</w:t>
      </w:r>
      <w:r w:rsidR="004C5189" w:rsidRPr="0036023B">
        <w:rPr>
          <w:b/>
          <w:sz w:val="24"/>
        </w:rPr>
        <w:t>9</w:t>
      </w:r>
      <w:r w:rsidR="00C566D5" w:rsidRPr="0036023B">
        <w:rPr>
          <w:b/>
          <w:sz w:val="24"/>
        </w:rPr>
        <w:t xml:space="preserve"> </w:t>
      </w:r>
      <w:r w:rsidR="00295C5D" w:rsidRPr="0036023B">
        <w:rPr>
          <w:b/>
          <w:sz w:val="24"/>
        </w:rPr>
        <w:t>报告期末本基金投资的股指期货交易情况说明</w:t>
      </w:r>
    </w:p>
    <w:p w:rsidR="00295C5D" w:rsidRPr="0036023B" w:rsidRDefault="00BD7DB4" w:rsidP="0099526C">
      <w:pPr>
        <w:autoSpaceDE w:val="0"/>
        <w:autoSpaceDN w:val="0"/>
        <w:adjustRightInd w:val="0"/>
        <w:spacing w:before="29" w:line="288" w:lineRule="auto"/>
        <w:jc w:val="left"/>
        <w:rPr>
          <w:color w:val="000000"/>
          <w:sz w:val="24"/>
        </w:rPr>
      </w:pPr>
      <w:r w:rsidRPr="0036023B">
        <w:rPr>
          <w:color w:val="000000"/>
          <w:sz w:val="24"/>
        </w:rPr>
        <w:t>本基金本报告期末未持有股指期货。</w:t>
      </w:r>
    </w:p>
    <w:p w:rsidR="00BD7DB4" w:rsidRPr="0036023B" w:rsidRDefault="00BD7DB4" w:rsidP="0099526C">
      <w:pPr>
        <w:adjustRightInd w:val="0"/>
        <w:snapToGrid w:val="0"/>
        <w:spacing w:before="29" w:line="288" w:lineRule="auto"/>
        <w:rPr>
          <w:sz w:val="24"/>
        </w:rPr>
      </w:pPr>
    </w:p>
    <w:p w:rsidR="00076B5E" w:rsidRPr="0036023B" w:rsidRDefault="00B60D38" w:rsidP="0099526C">
      <w:pPr>
        <w:adjustRightInd w:val="0"/>
        <w:snapToGrid w:val="0"/>
        <w:spacing w:before="29" w:line="288" w:lineRule="auto"/>
        <w:rPr>
          <w:b/>
          <w:sz w:val="24"/>
        </w:rPr>
      </w:pPr>
      <w:r w:rsidRPr="0036023B">
        <w:rPr>
          <w:b/>
          <w:sz w:val="24"/>
        </w:rPr>
        <w:t>5.10</w:t>
      </w:r>
      <w:r w:rsidR="00DF7927" w:rsidRPr="0036023B">
        <w:rPr>
          <w:b/>
          <w:sz w:val="24"/>
        </w:rPr>
        <w:t xml:space="preserve"> </w:t>
      </w:r>
      <w:r w:rsidRPr="0036023B">
        <w:rPr>
          <w:b/>
          <w:sz w:val="24"/>
        </w:rPr>
        <w:t>报告期末本基金投资的国债期货交易情况说明</w:t>
      </w:r>
    </w:p>
    <w:p w:rsidR="00B60D38" w:rsidRPr="0036023B" w:rsidRDefault="00B60D38" w:rsidP="0099526C">
      <w:pPr>
        <w:autoSpaceDE w:val="0"/>
        <w:autoSpaceDN w:val="0"/>
        <w:adjustRightInd w:val="0"/>
        <w:spacing w:before="29" w:line="288" w:lineRule="auto"/>
        <w:jc w:val="left"/>
        <w:rPr>
          <w:color w:val="000000"/>
          <w:sz w:val="24"/>
        </w:rPr>
      </w:pPr>
      <w:r w:rsidRPr="0036023B">
        <w:rPr>
          <w:color w:val="000000"/>
          <w:sz w:val="24"/>
        </w:rPr>
        <w:t>本基金本报告期末未持有国债期货。</w:t>
      </w:r>
    </w:p>
    <w:p w:rsidR="005E5D80" w:rsidRPr="0036023B" w:rsidRDefault="005E5D80"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b/>
          <w:color w:val="000000"/>
          <w:kern w:val="0"/>
          <w:sz w:val="24"/>
        </w:rPr>
      </w:pPr>
      <w:r w:rsidRPr="0036023B">
        <w:rPr>
          <w:b/>
          <w:color w:val="000000"/>
          <w:kern w:val="0"/>
          <w:sz w:val="24"/>
        </w:rPr>
        <w:t>5.11</w:t>
      </w:r>
      <w:r w:rsidR="00153791" w:rsidRPr="0036023B">
        <w:rPr>
          <w:b/>
          <w:color w:val="000000"/>
          <w:kern w:val="0"/>
          <w:sz w:val="24"/>
        </w:rPr>
        <w:t xml:space="preserve"> </w:t>
      </w:r>
      <w:r w:rsidR="00220542" w:rsidRPr="0036023B">
        <w:rPr>
          <w:b/>
          <w:color w:val="000000"/>
          <w:kern w:val="0"/>
          <w:sz w:val="24"/>
        </w:rPr>
        <w:t>投资组合报告附注</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5.11.1</w:t>
      </w:r>
      <w:r w:rsidRPr="008119CB">
        <w:rPr>
          <w:color w:val="000000"/>
          <w:kern w:val="0"/>
          <w:sz w:val="24"/>
        </w:rPr>
        <w:t>报告期内本基金投资的前十名证券的发行主体除中信证券（证券代码：</w:t>
      </w:r>
      <w:r w:rsidRPr="008119CB">
        <w:rPr>
          <w:color w:val="000000"/>
          <w:kern w:val="0"/>
          <w:sz w:val="24"/>
        </w:rPr>
        <w:t>600030</w:t>
      </w:r>
      <w:r w:rsidRPr="008119CB">
        <w:rPr>
          <w:color w:val="000000"/>
          <w:kern w:val="0"/>
          <w:sz w:val="24"/>
        </w:rPr>
        <w:t>）、海通证券（证券代码：</w:t>
      </w:r>
      <w:r w:rsidRPr="008119CB">
        <w:rPr>
          <w:color w:val="000000"/>
          <w:kern w:val="0"/>
          <w:sz w:val="24"/>
        </w:rPr>
        <w:t>600837</w:t>
      </w:r>
      <w:r w:rsidRPr="008119CB">
        <w:rPr>
          <w:color w:val="000000"/>
          <w:kern w:val="0"/>
          <w:sz w:val="24"/>
        </w:rPr>
        <w:t>）外，未出现被监管部门立案调查，或在报告编制日前一年内受到公开谴责、处罚的情形。</w:t>
      </w:r>
    </w:p>
    <w:p w:rsidR="00DD46DD" w:rsidRDefault="00F235A6">
      <w:pPr>
        <w:autoSpaceDE w:val="0"/>
        <w:autoSpaceDN w:val="0"/>
        <w:adjustRightInd w:val="0"/>
        <w:spacing w:before="29" w:line="288" w:lineRule="auto"/>
        <w:jc w:val="left"/>
        <w:rPr>
          <w:color w:val="000000"/>
          <w:kern w:val="0"/>
          <w:sz w:val="24"/>
        </w:rPr>
      </w:pPr>
      <w:r>
        <w:rPr>
          <w:color w:val="000000"/>
          <w:kern w:val="0"/>
          <w:sz w:val="24"/>
        </w:rPr>
        <w:t>报告期内本基金投资的前十名证券之一中信证券（证券代码：</w:t>
      </w:r>
      <w:r>
        <w:rPr>
          <w:color w:val="000000"/>
          <w:kern w:val="0"/>
          <w:sz w:val="24"/>
        </w:rPr>
        <w:t>600030</w:t>
      </w:r>
      <w:r>
        <w:rPr>
          <w:color w:val="000000"/>
          <w:kern w:val="0"/>
          <w:sz w:val="24"/>
        </w:rPr>
        <w:t>）于</w:t>
      </w:r>
      <w:r>
        <w:rPr>
          <w:color w:val="000000"/>
          <w:kern w:val="0"/>
          <w:sz w:val="24"/>
        </w:rPr>
        <w:t>2015</w:t>
      </w:r>
      <w:r>
        <w:rPr>
          <w:color w:val="000000"/>
          <w:kern w:val="0"/>
          <w:sz w:val="24"/>
        </w:rPr>
        <w:t>年</w:t>
      </w:r>
      <w:r>
        <w:rPr>
          <w:color w:val="000000"/>
          <w:kern w:val="0"/>
          <w:sz w:val="24"/>
        </w:rPr>
        <w:t>11</w:t>
      </w:r>
      <w:r>
        <w:rPr>
          <w:color w:val="000000"/>
          <w:kern w:val="0"/>
          <w:sz w:val="24"/>
        </w:rPr>
        <w:t>月</w:t>
      </w:r>
      <w:r>
        <w:rPr>
          <w:color w:val="000000"/>
          <w:kern w:val="0"/>
          <w:sz w:val="24"/>
        </w:rPr>
        <w:t>26</w:t>
      </w:r>
      <w:r>
        <w:rPr>
          <w:color w:val="000000"/>
          <w:kern w:val="0"/>
          <w:sz w:val="24"/>
        </w:rPr>
        <w:t>日公告，公司于</w:t>
      </w:r>
      <w:r>
        <w:rPr>
          <w:color w:val="000000"/>
          <w:kern w:val="0"/>
          <w:sz w:val="24"/>
        </w:rPr>
        <w:t>2015</w:t>
      </w:r>
      <w:r>
        <w:rPr>
          <w:color w:val="000000"/>
          <w:kern w:val="0"/>
          <w:sz w:val="24"/>
        </w:rPr>
        <w:t>年</w:t>
      </w:r>
      <w:r>
        <w:rPr>
          <w:color w:val="000000"/>
          <w:kern w:val="0"/>
          <w:sz w:val="24"/>
        </w:rPr>
        <w:t>11</w:t>
      </w:r>
      <w:r>
        <w:rPr>
          <w:color w:val="000000"/>
          <w:kern w:val="0"/>
          <w:sz w:val="24"/>
        </w:rPr>
        <w:t>月</w:t>
      </w:r>
      <w:r>
        <w:rPr>
          <w:color w:val="000000"/>
          <w:kern w:val="0"/>
          <w:sz w:val="24"/>
        </w:rPr>
        <w:t>26</w:t>
      </w:r>
      <w:r>
        <w:rPr>
          <w:color w:val="000000"/>
          <w:kern w:val="0"/>
          <w:sz w:val="24"/>
        </w:rPr>
        <w:t>日收到中国证监会《调查通知书》。公司因涉嫌违反《证券公司监督管理条例》相关规定，中国证监会决定对公司进行立案调查；公司于</w:t>
      </w:r>
      <w:r>
        <w:rPr>
          <w:color w:val="000000"/>
          <w:kern w:val="0"/>
          <w:sz w:val="24"/>
        </w:rPr>
        <w:t>2015</w:t>
      </w:r>
      <w:r>
        <w:rPr>
          <w:color w:val="000000"/>
          <w:kern w:val="0"/>
          <w:sz w:val="24"/>
        </w:rPr>
        <w:t>年</w:t>
      </w:r>
      <w:r>
        <w:rPr>
          <w:color w:val="000000"/>
          <w:kern w:val="0"/>
          <w:sz w:val="24"/>
        </w:rPr>
        <w:t>1</w:t>
      </w:r>
      <w:r>
        <w:rPr>
          <w:color w:val="000000"/>
          <w:kern w:val="0"/>
          <w:sz w:val="24"/>
        </w:rPr>
        <w:t>月</w:t>
      </w:r>
      <w:r>
        <w:rPr>
          <w:color w:val="000000"/>
          <w:kern w:val="0"/>
          <w:sz w:val="24"/>
        </w:rPr>
        <w:t>18</w:t>
      </w:r>
      <w:r>
        <w:rPr>
          <w:color w:val="000000"/>
          <w:kern w:val="0"/>
          <w:sz w:val="24"/>
        </w:rPr>
        <w:t>日公告，公司因存在为到期融资融券合约展期的问题，被中国证监会采取暂停新开融资融券客户信用账户</w:t>
      </w:r>
      <w:r>
        <w:rPr>
          <w:color w:val="000000"/>
          <w:kern w:val="0"/>
          <w:sz w:val="24"/>
        </w:rPr>
        <w:t>3</w:t>
      </w:r>
      <w:r>
        <w:rPr>
          <w:color w:val="000000"/>
          <w:kern w:val="0"/>
          <w:sz w:val="24"/>
        </w:rPr>
        <w:t>个月的行政监管措施。</w:t>
      </w:r>
    </w:p>
    <w:p w:rsidR="00DD46DD" w:rsidRDefault="00F235A6">
      <w:pPr>
        <w:autoSpaceDE w:val="0"/>
        <w:autoSpaceDN w:val="0"/>
        <w:adjustRightInd w:val="0"/>
        <w:spacing w:before="29" w:line="288" w:lineRule="auto"/>
        <w:jc w:val="left"/>
        <w:rPr>
          <w:color w:val="000000"/>
          <w:kern w:val="0"/>
          <w:sz w:val="24"/>
        </w:rPr>
      </w:pPr>
      <w:r>
        <w:rPr>
          <w:color w:val="000000"/>
          <w:kern w:val="0"/>
          <w:sz w:val="24"/>
        </w:rPr>
        <w:t>报告期内本基金投资的前十名证券之一海通证券（证券代码：</w:t>
      </w:r>
      <w:r>
        <w:rPr>
          <w:color w:val="000000"/>
          <w:kern w:val="0"/>
          <w:sz w:val="24"/>
        </w:rPr>
        <w:t>600837</w:t>
      </w:r>
      <w:r>
        <w:rPr>
          <w:color w:val="000000"/>
          <w:kern w:val="0"/>
          <w:sz w:val="24"/>
        </w:rPr>
        <w:t>）于</w:t>
      </w:r>
      <w:r>
        <w:rPr>
          <w:color w:val="000000"/>
          <w:kern w:val="0"/>
          <w:sz w:val="24"/>
        </w:rPr>
        <w:t>2015</w:t>
      </w:r>
      <w:r>
        <w:rPr>
          <w:color w:val="000000"/>
          <w:kern w:val="0"/>
          <w:sz w:val="24"/>
        </w:rPr>
        <w:t>年</w:t>
      </w:r>
      <w:r>
        <w:rPr>
          <w:color w:val="000000"/>
          <w:kern w:val="0"/>
          <w:sz w:val="24"/>
        </w:rPr>
        <w:t>11</w:t>
      </w:r>
      <w:r>
        <w:rPr>
          <w:color w:val="000000"/>
          <w:kern w:val="0"/>
          <w:sz w:val="24"/>
        </w:rPr>
        <w:t>月</w:t>
      </w:r>
      <w:r>
        <w:rPr>
          <w:color w:val="000000"/>
          <w:kern w:val="0"/>
          <w:sz w:val="24"/>
        </w:rPr>
        <w:t>27</w:t>
      </w:r>
      <w:r>
        <w:rPr>
          <w:color w:val="000000"/>
          <w:kern w:val="0"/>
          <w:sz w:val="24"/>
        </w:rPr>
        <w:t>日公告，公司于</w:t>
      </w:r>
      <w:r>
        <w:rPr>
          <w:color w:val="000000"/>
          <w:kern w:val="0"/>
          <w:sz w:val="24"/>
        </w:rPr>
        <w:t>2015</w:t>
      </w:r>
      <w:r>
        <w:rPr>
          <w:color w:val="000000"/>
          <w:kern w:val="0"/>
          <w:sz w:val="24"/>
        </w:rPr>
        <w:t>年</w:t>
      </w:r>
      <w:r>
        <w:rPr>
          <w:color w:val="000000"/>
          <w:kern w:val="0"/>
          <w:sz w:val="24"/>
        </w:rPr>
        <w:t>11</w:t>
      </w:r>
      <w:r>
        <w:rPr>
          <w:color w:val="000000"/>
          <w:kern w:val="0"/>
          <w:sz w:val="24"/>
        </w:rPr>
        <w:t>月</w:t>
      </w:r>
      <w:r>
        <w:rPr>
          <w:color w:val="000000"/>
          <w:kern w:val="0"/>
          <w:sz w:val="24"/>
        </w:rPr>
        <w:t>26</w:t>
      </w:r>
      <w:r>
        <w:rPr>
          <w:color w:val="000000"/>
          <w:kern w:val="0"/>
          <w:sz w:val="24"/>
        </w:rPr>
        <w:t>日收到中国证监会《调查通知书》。公司因涉嫌违反《证券公司监督管理条例》相关规定，根据《中华人民共和国证券法》的有关规定，中国证监会决定对公司进行立案调查；公司于</w:t>
      </w:r>
      <w:r>
        <w:rPr>
          <w:color w:val="000000"/>
          <w:kern w:val="0"/>
          <w:sz w:val="24"/>
        </w:rPr>
        <w:t>2015</w:t>
      </w:r>
      <w:r>
        <w:rPr>
          <w:color w:val="000000"/>
          <w:kern w:val="0"/>
          <w:sz w:val="24"/>
        </w:rPr>
        <w:t>年</w:t>
      </w:r>
      <w:r>
        <w:rPr>
          <w:color w:val="000000"/>
          <w:kern w:val="0"/>
          <w:sz w:val="24"/>
        </w:rPr>
        <w:t>1</w:t>
      </w:r>
      <w:r>
        <w:rPr>
          <w:color w:val="000000"/>
          <w:kern w:val="0"/>
          <w:sz w:val="24"/>
        </w:rPr>
        <w:t>月</w:t>
      </w:r>
      <w:r>
        <w:rPr>
          <w:color w:val="000000"/>
          <w:kern w:val="0"/>
          <w:sz w:val="24"/>
        </w:rPr>
        <w:t>19</w:t>
      </w:r>
      <w:r>
        <w:rPr>
          <w:color w:val="000000"/>
          <w:kern w:val="0"/>
          <w:sz w:val="24"/>
        </w:rPr>
        <w:t>日公告，公司因存在违规为到期融资融券合约展期问题，被中国证监会采取暂停新开融资融券客户信用账户</w:t>
      </w:r>
      <w:r>
        <w:rPr>
          <w:color w:val="000000"/>
          <w:kern w:val="0"/>
          <w:sz w:val="24"/>
        </w:rPr>
        <w:t>3</w:t>
      </w:r>
      <w:r>
        <w:rPr>
          <w:color w:val="000000"/>
          <w:kern w:val="0"/>
          <w:sz w:val="24"/>
        </w:rPr>
        <w:t>个月的行政监管措施。</w:t>
      </w:r>
    </w:p>
    <w:p w:rsidR="00DD46DD" w:rsidRDefault="00F235A6">
      <w:pPr>
        <w:autoSpaceDE w:val="0"/>
        <w:autoSpaceDN w:val="0"/>
        <w:adjustRightInd w:val="0"/>
        <w:spacing w:before="29" w:line="288" w:lineRule="auto"/>
        <w:jc w:val="left"/>
        <w:rPr>
          <w:color w:val="000000"/>
          <w:kern w:val="0"/>
          <w:sz w:val="24"/>
        </w:rPr>
      </w:pPr>
      <w:r>
        <w:rPr>
          <w:color w:val="000000"/>
          <w:kern w:val="0"/>
          <w:sz w:val="24"/>
        </w:rPr>
        <w:t>本基金遵循指数化投资理念，绝大部分资产采用完全复制法跟踪指数，以完全按照标的指数成份股组成及其权重构建基金股票投资组合为原则，进行被动式指数化投资。本基金对上述证券的投资遵守本基金管理人基金投资管理相关制度及被动式指数化投资策略。</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5.11.2</w:t>
      </w:r>
      <w:r w:rsidRPr="008119CB">
        <w:rPr>
          <w:color w:val="000000"/>
          <w:kern w:val="0"/>
          <w:sz w:val="24"/>
        </w:rPr>
        <w:t>本基金投资的前十名股票中，没有超出基金合同规定的备选股票库之外的股票。</w:t>
      </w: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5.11.3</w:t>
      </w:r>
      <w:r w:rsidR="00153791" w:rsidRPr="0036023B">
        <w:rPr>
          <w:color w:val="000000"/>
          <w:kern w:val="0"/>
          <w:sz w:val="24"/>
        </w:rPr>
        <w:t xml:space="preserve"> </w:t>
      </w:r>
      <w:r w:rsidR="00220542" w:rsidRPr="0036023B">
        <w:rPr>
          <w:color w:val="000000"/>
          <w:kern w:val="0"/>
          <w:sz w:val="24"/>
        </w:rPr>
        <w:t>其他资产构成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761"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4808"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金额</w:t>
            </w:r>
            <w:r w:rsidR="005177A0" w:rsidRPr="0036023B">
              <w:rPr>
                <w:color w:val="000000"/>
                <w:kern w:val="0"/>
                <w:sz w:val="24"/>
              </w:rPr>
              <w:t>（元）</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123,700.46</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2</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3</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4</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2,276.90</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5</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6</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7</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sz w:val="24"/>
              </w:rPr>
            </w:pPr>
            <w:r w:rsidRPr="0036023B">
              <w:rPr>
                <w:color w:val="00000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8</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9</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125,977.36</w:t>
            </w:r>
          </w:p>
        </w:tc>
      </w:tr>
    </w:tbl>
    <w:p w:rsidR="00EC32B2" w:rsidRPr="0036023B" w:rsidRDefault="00EC32B2"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5.11.4</w:t>
      </w:r>
      <w:r w:rsidR="00846E4A" w:rsidRPr="0036023B">
        <w:rPr>
          <w:color w:val="000000"/>
          <w:kern w:val="0"/>
          <w:sz w:val="24"/>
        </w:rPr>
        <w:t xml:space="preserve"> </w:t>
      </w:r>
      <w:r w:rsidR="00220542" w:rsidRPr="0036023B">
        <w:rPr>
          <w:color w:val="000000"/>
          <w:kern w:val="0"/>
          <w:sz w:val="24"/>
        </w:rPr>
        <w:t>报告期末持有的处于转股期的可转换债券明细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本基金本报告期末未持有处于转股期的可转换债券。</w:t>
      </w:r>
    </w:p>
    <w:p w:rsidR="00EC32B2" w:rsidRPr="0036023B" w:rsidRDefault="00EC32B2" w:rsidP="0099526C">
      <w:pPr>
        <w:autoSpaceDE w:val="0"/>
        <w:autoSpaceDN w:val="0"/>
        <w:adjustRightInd w:val="0"/>
        <w:spacing w:before="29" w:line="288" w:lineRule="auto"/>
        <w:jc w:val="left"/>
        <w:rPr>
          <w:color w:val="000000"/>
          <w:sz w:val="24"/>
        </w:rPr>
      </w:pPr>
    </w:p>
    <w:p w:rsidR="00CF3CDE" w:rsidRPr="0036023B" w:rsidRDefault="00CF3CDE" w:rsidP="0099526C">
      <w:pPr>
        <w:spacing w:before="29" w:line="288" w:lineRule="auto"/>
        <w:rPr>
          <w:color w:val="000000"/>
          <w:kern w:val="0"/>
          <w:sz w:val="24"/>
        </w:rPr>
      </w:pPr>
      <w:r w:rsidRPr="0036023B">
        <w:rPr>
          <w:color w:val="000000"/>
          <w:kern w:val="0"/>
          <w:sz w:val="24"/>
        </w:rPr>
        <w:t>5.11.5</w:t>
      </w:r>
      <w:r w:rsidR="00846E4A" w:rsidRPr="0036023B">
        <w:rPr>
          <w:color w:val="000000"/>
          <w:kern w:val="0"/>
          <w:sz w:val="24"/>
        </w:rPr>
        <w:t xml:space="preserve"> </w:t>
      </w:r>
      <w:r w:rsidR="004917B4" w:rsidRPr="0036023B">
        <w:rPr>
          <w:color w:val="000000"/>
          <w:kern w:val="0"/>
          <w:sz w:val="24"/>
        </w:rPr>
        <w:t>报告期末投资的股票存在流通受限情况的说明</w:t>
      </w:r>
    </w:p>
    <w:p w:rsidR="005D44E4" w:rsidRPr="0036023B" w:rsidRDefault="00CF3CDE" w:rsidP="0099526C">
      <w:pPr>
        <w:spacing w:before="29" w:line="288" w:lineRule="auto"/>
        <w:rPr>
          <w:color w:val="000000"/>
          <w:kern w:val="0"/>
          <w:sz w:val="24"/>
        </w:rPr>
      </w:pPr>
      <w:r w:rsidRPr="0036023B">
        <w:rPr>
          <w:color w:val="000000"/>
          <w:kern w:val="0"/>
          <w:sz w:val="24"/>
        </w:rPr>
        <w:t>5.11.</w:t>
      </w:r>
      <w:r w:rsidR="004C5189" w:rsidRPr="0036023B">
        <w:rPr>
          <w:color w:val="000000"/>
          <w:kern w:val="0"/>
          <w:sz w:val="24"/>
        </w:rPr>
        <w:t>5</w:t>
      </w:r>
      <w:r w:rsidR="005D44E4" w:rsidRPr="0036023B">
        <w:rPr>
          <w:color w:val="000000"/>
          <w:kern w:val="0"/>
          <w:sz w:val="24"/>
        </w:rPr>
        <w:t>.</w:t>
      </w:r>
      <w:r w:rsidR="004C5189" w:rsidRPr="0036023B">
        <w:rPr>
          <w:color w:val="000000"/>
          <w:kern w:val="0"/>
          <w:sz w:val="24"/>
        </w:rPr>
        <w:t>1</w:t>
      </w:r>
      <w:r w:rsidR="00846E4A" w:rsidRPr="0036023B">
        <w:rPr>
          <w:color w:val="000000"/>
          <w:kern w:val="0"/>
          <w:sz w:val="24"/>
        </w:rPr>
        <w:t xml:space="preserve"> </w:t>
      </w:r>
      <w:r w:rsidR="00C51C36" w:rsidRPr="0036023B">
        <w:rPr>
          <w:bCs/>
          <w:color w:val="000000"/>
          <w:sz w:val="24"/>
        </w:rPr>
        <w:t>报告</w:t>
      </w:r>
      <w:r w:rsidR="00874F4B" w:rsidRPr="0036023B">
        <w:rPr>
          <w:sz w:val="24"/>
        </w:rPr>
        <w:t>期末指数投资前十名股票中存在流通受限情况的说明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本基金本报告期末前十名股票中不存在流通受限情况。</w:t>
      </w:r>
    </w:p>
    <w:p w:rsidR="00EC32B2" w:rsidRPr="0036023B" w:rsidRDefault="00EC32B2" w:rsidP="0099526C">
      <w:pPr>
        <w:autoSpaceDE w:val="0"/>
        <w:autoSpaceDN w:val="0"/>
        <w:adjustRightInd w:val="0"/>
        <w:spacing w:before="29" w:line="288" w:lineRule="auto"/>
        <w:jc w:val="left"/>
        <w:rPr>
          <w:color w:val="000000"/>
          <w:sz w:val="24"/>
        </w:rPr>
      </w:pPr>
    </w:p>
    <w:p w:rsidR="005D44E4" w:rsidRPr="0036023B" w:rsidRDefault="00CF3CDE" w:rsidP="0099526C">
      <w:pPr>
        <w:spacing w:before="29" w:line="288" w:lineRule="auto"/>
        <w:rPr>
          <w:sz w:val="24"/>
        </w:rPr>
      </w:pPr>
      <w:r w:rsidRPr="0036023B">
        <w:rPr>
          <w:color w:val="000000"/>
          <w:kern w:val="0"/>
          <w:sz w:val="24"/>
        </w:rPr>
        <w:t>5.11.</w:t>
      </w:r>
      <w:r w:rsidR="004C5189" w:rsidRPr="0036023B">
        <w:rPr>
          <w:color w:val="000000"/>
          <w:kern w:val="0"/>
          <w:sz w:val="24"/>
        </w:rPr>
        <w:t>5.2</w:t>
      </w:r>
      <w:r w:rsidR="00846E4A" w:rsidRPr="0036023B">
        <w:rPr>
          <w:color w:val="000000"/>
          <w:kern w:val="0"/>
          <w:sz w:val="24"/>
        </w:rPr>
        <w:t xml:space="preserve"> </w:t>
      </w:r>
      <w:r w:rsidR="000F191F" w:rsidRPr="0036023B">
        <w:rPr>
          <w:bCs/>
          <w:color w:val="000000"/>
          <w:sz w:val="24"/>
        </w:rPr>
        <w:t>报告</w:t>
      </w:r>
      <w:r w:rsidR="005D44E4" w:rsidRPr="0036023B">
        <w:rPr>
          <w:sz w:val="24"/>
        </w:rPr>
        <w:t>期末积极投资前五名股票中存在流通受限情况的说明</w:t>
      </w:r>
    </w:p>
    <w:p w:rsidR="00F1115E" w:rsidRDefault="00F1115E" w:rsidP="0099526C">
      <w:pPr>
        <w:spacing w:before="29" w:line="288" w:lineRule="auto"/>
        <w:rPr>
          <w:ins w:id="2" w:author="项谦谦" w:date="2016-01-15T15:09:00Z"/>
          <w:color w:val="000000"/>
          <w:sz w:val="24"/>
        </w:rPr>
      </w:pPr>
      <w:ins w:id="3" w:author="项谦谦" w:date="2016-01-15T15:09:00Z">
        <w:r w:rsidRPr="00F1115E">
          <w:rPr>
            <w:rFonts w:hint="eastAsia"/>
            <w:color w:val="000000"/>
            <w:sz w:val="24"/>
          </w:rPr>
          <w:t>本基金本报告期末未持有积极投资的股票。</w:t>
        </w:r>
      </w:ins>
    </w:p>
    <w:p w:rsidR="005D44E4" w:rsidRPr="0036023B" w:rsidDel="00F1115E" w:rsidRDefault="007C1A93" w:rsidP="0099526C">
      <w:pPr>
        <w:autoSpaceDE w:val="0"/>
        <w:autoSpaceDN w:val="0"/>
        <w:adjustRightInd w:val="0"/>
        <w:spacing w:before="29" w:line="288" w:lineRule="auto"/>
        <w:jc w:val="left"/>
        <w:rPr>
          <w:del w:id="4" w:author="项谦谦" w:date="2016-01-15T15:09:00Z"/>
          <w:color w:val="000000"/>
          <w:sz w:val="24"/>
        </w:rPr>
      </w:pPr>
      <w:del w:id="5" w:author="项谦谦" w:date="2016-01-15T15:09:00Z">
        <w:r w:rsidRPr="0036023B" w:rsidDel="00F1115E">
          <w:rPr>
            <w:color w:val="000000"/>
            <w:sz w:val="24"/>
          </w:rPr>
          <w:delText>本基金本报告期末前五名积极投资中不存在流通受限情况。</w:delText>
        </w:r>
      </w:del>
    </w:p>
    <w:p w:rsidR="004D1A45" w:rsidRPr="0036023B" w:rsidRDefault="004D1A45" w:rsidP="0099526C">
      <w:pPr>
        <w:spacing w:before="29" w:line="288" w:lineRule="auto"/>
        <w:rPr>
          <w:bCs/>
          <w:color w:val="000000"/>
          <w:sz w:val="24"/>
        </w:rPr>
      </w:pPr>
    </w:p>
    <w:p w:rsidR="00220542" w:rsidRPr="0036023B" w:rsidRDefault="004C5189" w:rsidP="0099526C">
      <w:pPr>
        <w:spacing w:before="29" w:line="288" w:lineRule="auto"/>
        <w:rPr>
          <w:color w:val="000000"/>
          <w:sz w:val="24"/>
        </w:rPr>
      </w:pPr>
      <w:r w:rsidRPr="0036023B">
        <w:rPr>
          <w:color w:val="000000"/>
          <w:sz w:val="24"/>
        </w:rPr>
        <w:t>5.11</w:t>
      </w:r>
      <w:r w:rsidR="00220542" w:rsidRPr="0036023B">
        <w:rPr>
          <w:color w:val="000000"/>
          <w:sz w:val="24"/>
        </w:rPr>
        <w:t>.</w:t>
      </w:r>
      <w:r w:rsidRPr="0036023B">
        <w:rPr>
          <w:bCs/>
          <w:color w:val="000000"/>
          <w:sz w:val="24"/>
        </w:rPr>
        <w:t>6</w:t>
      </w:r>
      <w:r w:rsidR="00846E4A" w:rsidRPr="0036023B">
        <w:rPr>
          <w:bCs/>
          <w:color w:val="000000"/>
          <w:sz w:val="24"/>
        </w:rPr>
        <w:t xml:space="preserve"> </w:t>
      </w:r>
      <w:r w:rsidR="00504285" w:rsidRPr="0036023B">
        <w:rPr>
          <w:bCs/>
          <w:color w:val="000000"/>
          <w:kern w:val="0"/>
          <w:sz w:val="24"/>
        </w:rPr>
        <w:t>投资组合报告附注的其他文字描述部分</w:t>
      </w:r>
    </w:p>
    <w:p w:rsidR="00220542" w:rsidRPr="0036023B" w:rsidRDefault="007C1A93" w:rsidP="00806B3B">
      <w:pPr>
        <w:spacing w:before="29" w:line="288" w:lineRule="auto"/>
        <w:rPr>
          <w:color w:val="000000"/>
          <w:sz w:val="24"/>
        </w:rPr>
      </w:pPr>
      <w:r w:rsidRPr="0036023B">
        <w:rPr>
          <w:color w:val="000000"/>
          <w:sz w:val="24"/>
        </w:rPr>
        <w:t>由于四舍五入的原因，分项之和与合计项之间可能存在尾差。</w:t>
      </w:r>
    </w:p>
    <w:p w:rsidR="003A0A94" w:rsidRPr="0036023B" w:rsidRDefault="003A0A94" w:rsidP="0099526C">
      <w:pPr>
        <w:spacing w:before="29" w:line="288" w:lineRule="auto"/>
        <w:ind w:firstLineChars="200" w:firstLine="480"/>
        <w:rPr>
          <w:color w:val="000000"/>
          <w:sz w:val="24"/>
        </w:rPr>
      </w:pPr>
    </w:p>
    <w:p w:rsidR="00220542" w:rsidRPr="0036023B" w:rsidRDefault="00220542" w:rsidP="00F36DF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§6  </w:t>
      </w:r>
      <w:r w:rsidRPr="0036023B">
        <w:rPr>
          <w:color w:val="000000"/>
          <w:kern w:val="0"/>
          <w:sz w:val="24"/>
          <w:szCs w:val="24"/>
        </w:rPr>
        <w:t>开放式基金份额变动</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单位：份</w:t>
      </w:r>
    </w:p>
    <w:tbl>
      <w:tblPr>
        <w:tblW w:w="8868" w:type="dxa"/>
        <w:jc w:val="center"/>
        <w:tblLayout w:type="fixed"/>
        <w:tblLook w:val="0000" w:firstRow="0" w:lastRow="0" w:firstColumn="0" w:lastColumn="0" w:noHBand="0" w:noVBand="0"/>
      </w:tblPr>
      <w:tblGrid>
        <w:gridCol w:w="4734"/>
        <w:gridCol w:w="4134"/>
      </w:tblGrid>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611,524,362</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99526C">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69,000,000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减：</w:t>
            </w:r>
            <w:r w:rsidR="00267B74" w:rsidRPr="0036023B">
              <w:rPr>
                <w:color w:val="000000"/>
                <w:kern w:val="0"/>
                <w:sz w:val="24"/>
              </w:rPr>
              <w:t>本报告期</w:t>
            </w:r>
            <w:r w:rsidR="00321C2C">
              <w:rPr>
                <w:rFonts w:hint="eastAsia"/>
                <w:color w:val="000000"/>
                <w:kern w:val="0"/>
                <w:sz w:val="24"/>
              </w:rPr>
              <w:t>期间</w:t>
            </w:r>
            <w:r w:rsidRPr="0036023B">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29,000,000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0D475F">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基金拆分变动份额</w:t>
            </w:r>
            <w:r w:rsidR="00321C2C" w:rsidRPr="006664D2">
              <w:rPr>
                <w:rFonts w:hint="eastAsia"/>
                <w:color w:val="000000"/>
                <w:kern w:val="0"/>
                <w:sz w:val="24"/>
              </w:rPr>
              <w:t>（份额减少以</w:t>
            </w:r>
            <w:r w:rsidR="00321C2C" w:rsidRPr="004D5D71">
              <w:rPr>
                <w:color w:val="000000"/>
              </w:rPr>
              <w:t>“-”</w:t>
            </w:r>
            <w:r w:rsidR="00321C2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651,524,362</w:t>
            </w:r>
          </w:p>
        </w:tc>
      </w:tr>
    </w:tbl>
    <w:p w:rsidR="00AA1D9A" w:rsidRDefault="00AA1D9A" w:rsidP="0099526C">
      <w:pPr>
        <w:autoSpaceDE w:val="0"/>
        <w:autoSpaceDN w:val="0"/>
        <w:adjustRightInd w:val="0"/>
        <w:spacing w:before="29" w:line="288" w:lineRule="auto"/>
        <w:jc w:val="left"/>
        <w:rPr>
          <w:color w:val="000000"/>
          <w:sz w:val="24"/>
        </w:rPr>
      </w:pPr>
    </w:p>
    <w:p w:rsidR="00FC2DA1" w:rsidRPr="00306E46" w:rsidRDefault="00FC2DA1" w:rsidP="00F36DF3">
      <w:pPr>
        <w:pStyle w:val="1"/>
        <w:tabs>
          <w:tab w:val="center" w:pos="4156"/>
          <w:tab w:val="right" w:pos="8312"/>
        </w:tabs>
        <w:spacing w:beforeLines="100" w:before="312" w:afterLines="100" w:after="312" w:line="288" w:lineRule="auto"/>
        <w:jc w:val="center"/>
        <w:rPr>
          <w:sz w:val="24"/>
          <w:szCs w:val="24"/>
        </w:rPr>
      </w:pPr>
      <w:r w:rsidRPr="00306E46">
        <w:rPr>
          <w:rFonts w:eastAsiaTheme="minorEastAsia"/>
          <w:color w:val="000000"/>
          <w:kern w:val="0"/>
          <w:sz w:val="24"/>
          <w:szCs w:val="24"/>
        </w:rPr>
        <w:t xml:space="preserve">§7  </w:t>
      </w:r>
      <w:r w:rsidRPr="00306E46">
        <w:rPr>
          <w:sz w:val="24"/>
          <w:szCs w:val="24"/>
        </w:rPr>
        <w:t>基金管理人运用固有资金投资本基金情况</w:t>
      </w:r>
    </w:p>
    <w:p w:rsidR="00FC2DA1" w:rsidRPr="00306E46" w:rsidRDefault="00FC2DA1" w:rsidP="0099526C">
      <w:pPr>
        <w:spacing w:line="288" w:lineRule="auto"/>
        <w:jc w:val="left"/>
        <w:rPr>
          <w:sz w:val="24"/>
        </w:rPr>
      </w:pPr>
      <w:r w:rsidRPr="00306E46">
        <w:rPr>
          <w:b/>
          <w:sz w:val="24"/>
        </w:rPr>
        <w:t xml:space="preserve">7.1 </w:t>
      </w:r>
      <w:r w:rsidRPr="00306E46">
        <w:rPr>
          <w:b/>
          <w:sz w:val="24"/>
        </w:rPr>
        <w:t>基金管理人持有本基金份额变动情况</w:t>
      </w:r>
    </w:p>
    <w:p w:rsidR="00CE2DC0" w:rsidRDefault="00FC2DA1" w:rsidP="0099526C">
      <w:pPr>
        <w:autoSpaceDE w:val="0"/>
        <w:autoSpaceDN w:val="0"/>
        <w:adjustRightInd w:val="0"/>
        <w:spacing w:before="29" w:line="288" w:lineRule="auto"/>
        <w:jc w:val="left"/>
        <w:rPr>
          <w:rFonts w:eastAsiaTheme="minorEastAsia"/>
          <w:color w:val="000000"/>
          <w:sz w:val="24"/>
        </w:rPr>
      </w:pPr>
      <w:r w:rsidRPr="00306E46">
        <w:rPr>
          <w:rFonts w:eastAsiaTheme="minorEastAsia"/>
          <w:color w:val="000000"/>
          <w:sz w:val="24"/>
        </w:rPr>
        <w:t>本报告期内未发生基金管理人运用固有资金投资本基金的情况。</w:t>
      </w:r>
    </w:p>
    <w:p w:rsidR="00CE2DC0" w:rsidRDefault="00CE2DC0" w:rsidP="0099526C">
      <w:pPr>
        <w:autoSpaceDE w:val="0"/>
        <w:autoSpaceDN w:val="0"/>
        <w:adjustRightInd w:val="0"/>
        <w:spacing w:before="29" w:line="288" w:lineRule="auto"/>
        <w:jc w:val="left"/>
        <w:rPr>
          <w:rFonts w:eastAsiaTheme="minorEastAsia"/>
          <w:color w:val="000000"/>
          <w:sz w:val="24"/>
        </w:rPr>
      </w:pPr>
    </w:p>
    <w:p w:rsidR="00CE2DC0" w:rsidRPr="00CE2DC0" w:rsidRDefault="00FC2DA1" w:rsidP="004D4E22">
      <w:pPr>
        <w:autoSpaceDE w:val="0"/>
        <w:autoSpaceDN w:val="0"/>
        <w:adjustRightInd w:val="0"/>
        <w:spacing w:before="29" w:line="288" w:lineRule="auto"/>
        <w:jc w:val="left"/>
        <w:rPr>
          <w:rFonts w:eastAsiaTheme="minorEastAsia"/>
          <w:color w:val="000000"/>
          <w:sz w:val="24"/>
        </w:rPr>
      </w:pPr>
      <w:r w:rsidRPr="00CE2DC0">
        <w:rPr>
          <w:b/>
          <w:sz w:val="24"/>
        </w:rPr>
        <w:t xml:space="preserve">7.2 </w:t>
      </w:r>
      <w:r w:rsidRPr="00CE2DC0">
        <w:rPr>
          <w:rFonts w:hint="eastAsia"/>
          <w:b/>
          <w:sz w:val="24"/>
        </w:rPr>
        <w:t>基金管理人运用固有资金投资本基金交易明细</w:t>
      </w:r>
    </w:p>
    <w:p w:rsidR="00764DC3" w:rsidRPr="0036023B" w:rsidRDefault="00764DC3" w:rsidP="0099526C">
      <w:pPr>
        <w:autoSpaceDE w:val="0"/>
        <w:autoSpaceDN w:val="0"/>
        <w:adjustRightInd w:val="0"/>
        <w:spacing w:before="29" w:line="288" w:lineRule="auto"/>
        <w:jc w:val="left"/>
        <w:rPr>
          <w:color w:val="000000"/>
          <w:sz w:val="24"/>
        </w:rPr>
      </w:pPr>
      <w:r w:rsidRPr="0036023B">
        <w:rPr>
          <w:color w:val="000000"/>
          <w:sz w:val="24"/>
        </w:rPr>
        <w:t>本基金管理人本报告期内未进行本基金的申购、赎回、红利再投等。</w:t>
      </w:r>
    </w:p>
    <w:p w:rsidR="000E1CB6" w:rsidRPr="0036023B" w:rsidRDefault="000E1CB6" w:rsidP="0099526C">
      <w:pPr>
        <w:autoSpaceDE w:val="0"/>
        <w:autoSpaceDN w:val="0"/>
        <w:adjustRightInd w:val="0"/>
        <w:spacing w:before="29" w:line="288" w:lineRule="auto"/>
        <w:jc w:val="left"/>
        <w:rPr>
          <w:color w:val="000000"/>
          <w:sz w:val="24"/>
        </w:rPr>
      </w:pPr>
    </w:p>
    <w:p w:rsidR="00981CE6" w:rsidRPr="00405A85" w:rsidRDefault="00220542" w:rsidP="00F36DF3">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122A26" w:rsidRPr="0036023B">
        <w:rPr>
          <w:color w:val="000000"/>
          <w:kern w:val="0"/>
          <w:sz w:val="24"/>
          <w:szCs w:val="24"/>
        </w:rPr>
        <w:t>8</w:t>
      </w:r>
      <w:r w:rsidR="005E1105" w:rsidRPr="0036023B">
        <w:rPr>
          <w:color w:val="000000"/>
          <w:kern w:val="0"/>
          <w:sz w:val="24"/>
          <w:szCs w:val="24"/>
        </w:rPr>
        <w:t xml:space="preserve"> </w:t>
      </w:r>
      <w:r w:rsidRPr="0036023B">
        <w:rPr>
          <w:color w:val="000000"/>
          <w:kern w:val="0"/>
          <w:sz w:val="24"/>
          <w:szCs w:val="24"/>
        </w:rPr>
        <w:t>备查文件目录</w:t>
      </w:r>
    </w:p>
    <w:p w:rsidR="00220542" w:rsidRPr="0036023B" w:rsidRDefault="00122A26" w:rsidP="0099526C">
      <w:pPr>
        <w:spacing w:before="29" w:line="288" w:lineRule="auto"/>
        <w:rPr>
          <w:b/>
          <w:color w:val="000000"/>
          <w:sz w:val="24"/>
        </w:rPr>
      </w:pPr>
      <w:r w:rsidRPr="0036023B">
        <w:rPr>
          <w:b/>
          <w:color w:val="000000"/>
          <w:sz w:val="24"/>
        </w:rPr>
        <w:t>8</w:t>
      </w:r>
      <w:r w:rsidR="00220542" w:rsidRPr="0036023B">
        <w:rPr>
          <w:b/>
          <w:color w:val="000000"/>
          <w:sz w:val="24"/>
        </w:rPr>
        <w:t>.</w:t>
      </w:r>
      <w:r w:rsidR="00504432" w:rsidRPr="0036023B">
        <w:rPr>
          <w:b/>
          <w:color w:val="000000"/>
          <w:sz w:val="24"/>
        </w:rPr>
        <w:t>1</w:t>
      </w:r>
      <w:r w:rsidR="005E1105" w:rsidRPr="0036023B">
        <w:rPr>
          <w:b/>
          <w:color w:val="000000"/>
          <w:sz w:val="24"/>
        </w:rPr>
        <w:t xml:space="preserve"> </w:t>
      </w:r>
      <w:r w:rsidR="00220542" w:rsidRPr="0036023B">
        <w:rPr>
          <w:b/>
          <w:color w:val="000000"/>
          <w:sz w:val="24"/>
        </w:rPr>
        <w:t>备查文件目录</w:t>
      </w:r>
    </w:p>
    <w:p w:rsidR="00DD46DD" w:rsidRDefault="00F235A6">
      <w:pPr>
        <w:spacing w:before="29" w:line="288" w:lineRule="auto"/>
        <w:ind w:firstLineChars="200" w:firstLine="480"/>
        <w:rPr>
          <w:color w:val="000000"/>
          <w:sz w:val="24"/>
        </w:rPr>
      </w:pPr>
      <w:r>
        <w:rPr>
          <w:color w:val="000000"/>
          <w:sz w:val="24"/>
        </w:rPr>
        <w:t>1</w:t>
      </w:r>
      <w:r>
        <w:rPr>
          <w:color w:val="000000"/>
          <w:sz w:val="24"/>
        </w:rPr>
        <w:t>、中国证监会核准上证</w:t>
      </w:r>
      <w:r>
        <w:rPr>
          <w:color w:val="000000"/>
          <w:sz w:val="24"/>
        </w:rPr>
        <w:t>180</w:t>
      </w:r>
      <w:r>
        <w:rPr>
          <w:color w:val="000000"/>
          <w:sz w:val="24"/>
        </w:rPr>
        <w:t>公司治理交易型开放式指数证券投资基金募集的文件；</w:t>
      </w:r>
    </w:p>
    <w:p w:rsidR="00DD46DD" w:rsidRDefault="00F235A6">
      <w:pPr>
        <w:spacing w:before="29" w:line="288" w:lineRule="auto"/>
        <w:ind w:firstLineChars="200" w:firstLine="480"/>
        <w:rPr>
          <w:color w:val="000000"/>
          <w:sz w:val="24"/>
        </w:rPr>
      </w:pPr>
      <w:r>
        <w:rPr>
          <w:color w:val="000000"/>
          <w:sz w:val="24"/>
        </w:rPr>
        <w:t>2</w:t>
      </w:r>
      <w:r>
        <w:rPr>
          <w:color w:val="000000"/>
          <w:sz w:val="24"/>
        </w:rPr>
        <w:t>、《上证</w:t>
      </w:r>
      <w:r>
        <w:rPr>
          <w:color w:val="000000"/>
          <w:sz w:val="24"/>
        </w:rPr>
        <w:t>180</w:t>
      </w:r>
      <w:r>
        <w:rPr>
          <w:color w:val="000000"/>
          <w:sz w:val="24"/>
        </w:rPr>
        <w:t>公司治理交易型开放式指数证券投资基金基金合同》；</w:t>
      </w:r>
      <w:r>
        <w:rPr>
          <w:color w:val="000000"/>
          <w:sz w:val="24"/>
        </w:rPr>
        <w:t xml:space="preserve"> </w:t>
      </w:r>
    </w:p>
    <w:p w:rsidR="00DD46DD" w:rsidRDefault="00F235A6">
      <w:pPr>
        <w:spacing w:before="29" w:line="288" w:lineRule="auto"/>
        <w:ind w:firstLineChars="200" w:firstLine="480"/>
        <w:rPr>
          <w:color w:val="000000"/>
          <w:sz w:val="24"/>
        </w:rPr>
      </w:pPr>
      <w:r>
        <w:rPr>
          <w:color w:val="000000"/>
          <w:sz w:val="24"/>
        </w:rPr>
        <w:t>3</w:t>
      </w:r>
      <w:r>
        <w:rPr>
          <w:color w:val="000000"/>
          <w:sz w:val="24"/>
        </w:rPr>
        <w:t>、《上证</w:t>
      </w:r>
      <w:r>
        <w:rPr>
          <w:color w:val="000000"/>
          <w:sz w:val="24"/>
        </w:rPr>
        <w:t>180</w:t>
      </w:r>
      <w:r>
        <w:rPr>
          <w:color w:val="000000"/>
          <w:sz w:val="24"/>
        </w:rPr>
        <w:t>公司治理交易型开放式指数证券投资基金招募说明书》；</w:t>
      </w:r>
    </w:p>
    <w:p w:rsidR="00DD46DD" w:rsidRDefault="00F235A6">
      <w:pPr>
        <w:spacing w:before="29" w:line="288" w:lineRule="auto"/>
        <w:ind w:firstLineChars="200" w:firstLine="480"/>
        <w:rPr>
          <w:color w:val="000000"/>
          <w:sz w:val="24"/>
        </w:rPr>
      </w:pPr>
      <w:r>
        <w:rPr>
          <w:color w:val="000000"/>
          <w:sz w:val="24"/>
        </w:rPr>
        <w:t>4</w:t>
      </w:r>
      <w:r>
        <w:rPr>
          <w:color w:val="000000"/>
          <w:sz w:val="24"/>
        </w:rPr>
        <w:t>、《上证</w:t>
      </w:r>
      <w:r>
        <w:rPr>
          <w:color w:val="000000"/>
          <w:sz w:val="24"/>
        </w:rPr>
        <w:t>180</w:t>
      </w:r>
      <w:r>
        <w:rPr>
          <w:color w:val="000000"/>
          <w:sz w:val="24"/>
        </w:rPr>
        <w:t>公司治理交易型开放式指数证券投资基金托管协议》；</w:t>
      </w:r>
    </w:p>
    <w:p w:rsidR="00DD46DD" w:rsidRDefault="00F235A6">
      <w:pPr>
        <w:spacing w:before="29" w:line="288" w:lineRule="auto"/>
        <w:ind w:firstLineChars="200" w:firstLine="480"/>
        <w:rPr>
          <w:color w:val="000000"/>
          <w:sz w:val="24"/>
        </w:rPr>
      </w:pPr>
      <w:r>
        <w:rPr>
          <w:color w:val="000000"/>
          <w:sz w:val="24"/>
        </w:rPr>
        <w:t>5</w:t>
      </w:r>
      <w:r>
        <w:rPr>
          <w:color w:val="000000"/>
          <w:sz w:val="24"/>
        </w:rPr>
        <w:t>、关于申请募集上证</w:t>
      </w:r>
      <w:r>
        <w:rPr>
          <w:color w:val="000000"/>
          <w:sz w:val="24"/>
        </w:rPr>
        <w:t>180</w:t>
      </w:r>
      <w:r>
        <w:rPr>
          <w:color w:val="000000"/>
          <w:sz w:val="24"/>
        </w:rPr>
        <w:t>公司治理交易型开放式指数证券投资基金之法律意见书；</w:t>
      </w:r>
    </w:p>
    <w:p w:rsidR="00DD46DD" w:rsidRDefault="00F235A6">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DD46DD" w:rsidRDefault="00F235A6">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6023B" w:rsidRDefault="007C1A93" w:rsidP="0099526C">
      <w:pPr>
        <w:spacing w:before="29" w:line="288" w:lineRule="auto"/>
        <w:ind w:firstLineChars="200" w:firstLine="480"/>
        <w:rPr>
          <w:color w:val="000000"/>
          <w:sz w:val="24"/>
        </w:rPr>
      </w:pPr>
      <w:r w:rsidRPr="0036023B">
        <w:rPr>
          <w:color w:val="000000"/>
          <w:sz w:val="24"/>
        </w:rPr>
        <w:t>8</w:t>
      </w:r>
      <w:r w:rsidRPr="0036023B">
        <w:rPr>
          <w:color w:val="000000"/>
          <w:sz w:val="24"/>
        </w:rPr>
        <w:t>、报告期内上证</w:t>
      </w:r>
      <w:r w:rsidRPr="0036023B">
        <w:rPr>
          <w:color w:val="000000"/>
          <w:sz w:val="24"/>
        </w:rPr>
        <w:t>180</w:t>
      </w:r>
      <w:r w:rsidRPr="0036023B">
        <w:rPr>
          <w:color w:val="000000"/>
          <w:sz w:val="24"/>
        </w:rPr>
        <w:t>公司治理交易型开放式指数证券投资基金在指定报刊上各项公告的原稿。</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8</w:t>
      </w:r>
      <w:r w:rsidR="00220542" w:rsidRPr="0036023B">
        <w:rPr>
          <w:b/>
          <w:color w:val="000000"/>
          <w:sz w:val="24"/>
        </w:rPr>
        <w:t>.</w:t>
      </w:r>
      <w:r w:rsidR="00504432" w:rsidRPr="0036023B">
        <w:rPr>
          <w:b/>
          <w:color w:val="000000"/>
          <w:sz w:val="24"/>
        </w:rPr>
        <w:t>2</w:t>
      </w:r>
      <w:r w:rsidR="005E1105" w:rsidRPr="0036023B">
        <w:rPr>
          <w:b/>
          <w:color w:val="000000"/>
          <w:sz w:val="24"/>
        </w:rPr>
        <w:t xml:space="preserve"> </w:t>
      </w:r>
      <w:r w:rsidR="00220542" w:rsidRPr="0036023B">
        <w:rPr>
          <w:b/>
          <w:color w:val="000000"/>
          <w:sz w:val="24"/>
        </w:rPr>
        <w:t>存放地点</w:t>
      </w:r>
    </w:p>
    <w:p w:rsidR="00220542" w:rsidRPr="0036023B" w:rsidRDefault="007C1A93" w:rsidP="0099526C">
      <w:pPr>
        <w:spacing w:before="29" w:line="288" w:lineRule="auto"/>
        <w:ind w:firstLineChars="200" w:firstLine="480"/>
        <w:rPr>
          <w:color w:val="000000"/>
          <w:sz w:val="24"/>
        </w:rPr>
      </w:pPr>
      <w:r w:rsidRPr="0036023B">
        <w:rPr>
          <w:color w:val="000000"/>
          <w:sz w:val="24"/>
        </w:rPr>
        <w:t>备查文件存放于基金管理人的办公场所。</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8</w:t>
      </w:r>
      <w:r w:rsidR="00220542" w:rsidRPr="0036023B">
        <w:rPr>
          <w:b/>
          <w:color w:val="000000"/>
          <w:sz w:val="24"/>
        </w:rPr>
        <w:t>.</w:t>
      </w:r>
      <w:r w:rsidR="00504432" w:rsidRPr="0036023B">
        <w:rPr>
          <w:b/>
          <w:color w:val="000000"/>
          <w:sz w:val="24"/>
        </w:rPr>
        <w:t>3</w:t>
      </w:r>
      <w:r w:rsidR="005E1105" w:rsidRPr="0036023B">
        <w:rPr>
          <w:b/>
          <w:color w:val="000000"/>
          <w:sz w:val="24"/>
        </w:rPr>
        <w:t xml:space="preserve"> </w:t>
      </w:r>
      <w:r w:rsidR="00220542" w:rsidRPr="0036023B">
        <w:rPr>
          <w:b/>
          <w:color w:val="000000"/>
          <w:sz w:val="24"/>
        </w:rPr>
        <w:t>查阅方式</w:t>
      </w:r>
    </w:p>
    <w:p w:rsidR="00DD46DD" w:rsidRDefault="00F235A6">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9B1B32" w:rsidRPr="0036023B" w:rsidRDefault="007C1A93" w:rsidP="0099526C">
      <w:pPr>
        <w:spacing w:before="29" w:line="288" w:lineRule="auto"/>
        <w:ind w:firstLineChars="200" w:firstLine="480"/>
        <w:rPr>
          <w:color w:val="000000"/>
          <w:sz w:val="24"/>
        </w:rPr>
      </w:pPr>
      <w:r w:rsidRPr="0036023B">
        <w:rPr>
          <w:color w:val="000000"/>
          <w:sz w:val="24"/>
        </w:rPr>
        <w:t>投资者对本报告书如有疑问，可咨询本基金管理人交银施罗德基金管理有限公司。本公司客户服务中心电话：</w:t>
      </w:r>
      <w:r w:rsidRPr="0036023B">
        <w:rPr>
          <w:color w:val="000000"/>
          <w:sz w:val="24"/>
        </w:rPr>
        <w:t>400-700-5000</w:t>
      </w:r>
      <w:r w:rsidRPr="0036023B">
        <w:rPr>
          <w:color w:val="000000"/>
          <w:sz w:val="24"/>
        </w:rPr>
        <w:t>（免长途话费），</w:t>
      </w:r>
      <w:r w:rsidRPr="0036023B">
        <w:rPr>
          <w:color w:val="000000"/>
          <w:sz w:val="24"/>
        </w:rPr>
        <w:t>021-61055000</w:t>
      </w:r>
      <w:r w:rsidRPr="0036023B">
        <w:rPr>
          <w:color w:val="000000"/>
          <w:sz w:val="24"/>
        </w:rPr>
        <w:t>，电子邮件：</w:t>
      </w:r>
      <w:r w:rsidRPr="0036023B">
        <w:rPr>
          <w:color w:val="000000"/>
          <w:sz w:val="24"/>
        </w:rPr>
        <w:t>services@jysld.com</w:t>
      </w:r>
      <w:r w:rsidRPr="0036023B">
        <w:rPr>
          <w:color w:val="000000"/>
          <w:sz w:val="24"/>
        </w:rPr>
        <w:t>。</w:t>
      </w:r>
    </w:p>
    <w:p w:rsidR="001E29D5" w:rsidRPr="0036023B" w:rsidRDefault="001E29D5" w:rsidP="0099526C">
      <w:pPr>
        <w:spacing w:before="29" w:line="288" w:lineRule="auto"/>
        <w:ind w:firstLineChars="200" w:firstLine="480"/>
        <w:rPr>
          <w:color w:val="000000"/>
          <w:sz w:val="24"/>
        </w:rPr>
      </w:pPr>
    </w:p>
    <w:sectPr w:rsidR="001E29D5" w:rsidRPr="0036023B" w:rsidSect="00385786">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7D0" w:rsidRDefault="005A37D0">
      <w:r>
        <w:separator/>
      </w:r>
    </w:p>
  </w:endnote>
  <w:endnote w:type="continuationSeparator" w:id="0">
    <w:p w:rsidR="005A37D0" w:rsidRDefault="005A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1D0DB0" w:rsidRDefault="00E57F92" w:rsidP="00230A66">
    <w:pPr>
      <w:pStyle w:val="a6"/>
      <w:jc w:val="center"/>
    </w:pPr>
    <w:r>
      <w:rPr>
        <w:rFonts w:hint="eastAsia"/>
        <w:kern w:val="0"/>
        <w:szCs w:val="21"/>
      </w:rPr>
      <w:t>第</w:t>
    </w:r>
    <w:r w:rsidR="006B7EE6">
      <w:rPr>
        <w:rFonts w:hint="eastAsia"/>
        <w:kern w:val="0"/>
        <w:szCs w:val="21"/>
      </w:rPr>
      <w:t xml:space="preserve"> </w:t>
    </w:r>
    <w:r w:rsidR="00F350A9">
      <w:rPr>
        <w:kern w:val="0"/>
        <w:szCs w:val="21"/>
      </w:rPr>
      <w:fldChar w:fldCharType="begin"/>
    </w:r>
    <w:r>
      <w:rPr>
        <w:kern w:val="0"/>
        <w:szCs w:val="21"/>
      </w:rPr>
      <w:instrText xml:space="preserve"> PAGE </w:instrText>
    </w:r>
    <w:r w:rsidR="00F350A9">
      <w:rPr>
        <w:kern w:val="0"/>
        <w:szCs w:val="21"/>
      </w:rPr>
      <w:fldChar w:fldCharType="separate"/>
    </w:r>
    <w:r w:rsidR="00D66575">
      <w:rPr>
        <w:noProof/>
        <w:kern w:val="0"/>
        <w:szCs w:val="21"/>
      </w:rPr>
      <w:t>5</w:t>
    </w:r>
    <w:r w:rsidR="00F350A9">
      <w:rPr>
        <w:kern w:val="0"/>
        <w:szCs w:val="21"/>
      </w:rPr>
      <w:fldChar w:fldCharType="end"/>
    </w:r>
    <w:r w:rsidR="006B7EE6">
      <w:rPr>
        <w:rFonts w:hint="eastAsia"/>
        <w:kern w:val="0"/>
        <w:szCs w:val="21"/>
      </w:rPr>
      <w:t xml:space="preserve"> </w:t>
    </w:r>
    <w:r>
      <w:rPr>
        <w:rFonts w:hint="eastAsia"/>
        <w:kern w:val="0"/>
        <w:szCs w:val="21"/>
      </w:rPr>
      <w:t>页</w:t>
    </w:r>
    <w:r w:rsidR="006B7EE6">
      <w:rPr>
        <w:rFonts w:hint="eastAsia"/>
        <w:kern w:val="0"/>
        <w:szCs w:val="21"/>
      </w:rPr>
      <w:t xml:space="preserve"> </w:t>
    </w:r>
    <w:r>
      <w:rPr>
        <w:rFonts w:hint="eastAsia"/>
        <w:kern w:val="0"/>
        <w:szCs w:val="21"/>
      </w:rPr>
      <w:t>共</w:t>
    </w:r>
    <w:r w:rsidR="006B7EE6">
      <w:rPr>
        <w:rFonts w:hint="eastAsia"/>
        <w:kern w:val="0"/>
        <w:szCs w:val="21"/>
      </w:rPr>
      <w:t xml:space="preserve"> </w:t>
    </w:r>
    <w:r w:rsidR="00F350A9">
      <w:rPr>
        <w:kern w:val="0"/>
        <w:szCs w:val="21"/>
      </w:rPr>
      <w:fldChar w:fldCharType="begin"/>
    </w:r>
    <w:r>
      <w:rPr>
        <w:kern w:val="0"/>
        <w:szCs w:val="21"/>
      </w:rPr>
      <w:instrText xml:space="preserve"> NUMPAGES </w:instrText>
    </w:r>
    <w:r w:rsidR="00F350A9">
      <w:rPr>
        <w:kern w:val="0"/>
        <w:szCs w:val="21"/>
      </w:rPr>
      <w:fldChar w:fldCharType="separate"/>
    </w:r>
    <w:r w:rsidR="00D66575">
      <w:rPr>
        <w:noProof/>
        <w:kern w:val="0"/>
        <w:szCs w:val="21"/>
      </w:rPr>
      <w:t>12</w:t>
    </w:r>
    <w:r w:rsidR="00F350A9">
      <w:rPr>
        <w:kern w:val="0"/>
        <w:szCs w:val="21"/>
      </w:rPr>
      <w:fldChar w:fldCharType="end"/>
    </w:r>
    <w:r w:rsidR="006B7EE6">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Default="00F350A9">
    <w:pPr>
      <w:pStyle w:val="a6"/>
      <w:framePr w:wrap="around" w:vAnchor="text" w:hAnchor="margin" w:xAlign="center" w:y="1"/>
      <w:rPr>
        <w:rStyle w:val="a7"/>
      </w:rPr>
    </w:pPr>
    <w:r>
      <w:rPr>
        <w:rStyle w:val="a7"/>
      </w:rPr>
      <w:fldChar w:fldCharType="begin"/>
    </w:r>
    <w:r w:rsidR="00E57F92">
      <w:rPr>
        <w:rStyle w:val="a7"/>
      </w:rPr>
      <w:instrText xml:space="preserve">PAGE  </w:instrText>
    </w:r>
    <w:r>
      <w:rPr>
        <w:rStyle w:val="a7"/>
      </w:rPr>
      <w:fldChar w:fldCharType="end"/>
    </w:r>
  </w:p>
  <w:p w:rsidR="00E57F92" w:rsidRDefault="00E57F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7D0" w:rsidRDefault="005A37D0">
      <w:r>
        <w:separator/>
      </w:r>
    </w:p>
  </w:footnote>
  <w:footnote w:type="continuationSeparator" w:id="0">
    <w:p w:rsidR="005A37D0" w:rsidRDefault="005A3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F953AA" w:rsidRDefault="00311FC0" w:rsidP="005E491F">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孙文婷">
    <w15:presenceInfo w15:providerId="AD" w15:userId="S-1-5-21-3611496191-2553899486-1547728003-4214"/>
  </w15:person>
  <w15:person w15:author="项谦谦">
    <w15:presenceInfo w15:providerId="AD" w15:userId="S-1-5-21-3611496191-2553899486-1547728003-6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159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F0F"/>
    <w:rsid w:val="000020BB"/>
    <w:rsid w:val="0000403B"/>
    <w:rsid w:val="00005911"/>
    <w:rsid w:val="00010A83"/>
    <w:rsid w:val="00010A8E"/>
    <w:rsid w:val="00010AC3"/>
    <w:rsid w:val="000115A7"/>
    <w:rsid w:val="00011EB5"/>
    <w:rsid w:val="0001280C"/>
    <w:rsid w:val="00012973"/>
    <w:rsid w:val="00015373"/>
    <w:rsid w:val="00017581"/>
    <w:rsid w:val="00020583"/>
    <w:rsid w:val="00021DD4"/>
    <w:rsid w:val="00023BE7"/>
    <w:rsid w:val="000366D7"/>
    <w:rsid w:val="00037FCF"/>
    <w:rsid w:val="000421B8"/>
    <w:rsid w:val="00043ABF"/>
    <w:rsid w:val="00043B12"/>
    <w:rsid w:val="000445E4"/>
    <w:rsid w:val="00045BEC"/>
    <w:rsid w:val="000510AB"/>
    <w:rsid w:val="000538C1"/>
    <w:rsid w:val="00055AF1"/>
    <w:rsid w:val="000625A6"/>
    <w:rsid w:val="00064AE3"/>
    <w:rsid w:val="00066524"/>
    <w:rsid w:val="00070CD1"/>
    <w:rsid w:val="0007171B"/>
    <w:rsid w:val="00072E4F"/>
    <w:rsid w:val="00074E9F"/>
    <w:rsid w:val="00076B5E"/>
    <w:rsid w:val="00081D05"/>
    <w:rsid w:val="00082088"/>
    <w:rsid w:val="000820A8"/>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0CB4"/>
    <w:rsid w:val="000B3E43"/>
    <w:rsid w:val="000B5072"/>
    <w:rsid w:val="000B5CC0"/>
    <w:rsid w:val="000C1723"/>
    <w:rsid w:val="000C1B20"/>
    <w:rsid w:val="000C4107"/>
    <w:rsid w:val="000C45E7"/>
    <w:rsid w:val="000D01F4"/>
    <w:rsid w:val="000D0572"/>
    <w:rsid w:val="000D1519"/>
    <w:rsid w:val="000D1C87"/>
    <w:rsid w:val="000D475F"/>
    <w:rsid w:val="000D606F"/>
    <w:rsid w:val="000E1CB6"/>
    <w:rsid w:val="000E4456"/>
    <w:rsid w:val="000E7FAC"/>
    <w:rsid w:val="000F175F"/>
    <w:rsid w:val="000F17D1"/>
    <w:rsid w:val="000F191F"/>
    <w:rsid w:val="000F591C"/>
    <w:rsid w:val="000F60FF"/>
    <w:rsid w:val="000F635F"/>
    <w:rsid w:val="000F6C61"/>
    <w:rsid w:val="001005BC"/>
    <w:rsid w:val="00100C12"/>
    <w:rsid w:val="00101DBA"/>
    <w:rsid w:val="001049B6"/>
    <w:rsid w:val="001051C6"/>
    <w:rsid w:val="0011177A"/>
    <w:rsid w:val="00116E31"/>
    <w:rsid w:val="00120183"/>
    <w:rsid w:val="00122A26"/>
    <w:rsid w:val="0012304E"/>
    <w:rsid w:val="001248EF"/>
    <w:rsid w:val="001257C7"/>
    <w:rsid w:val="00126DDF"/>
    <w:rsid w:val="001270BF"/>
    <w:rsid w:val="00127BAC"/>
    <w:rsid w:val="0013360F"/>
    <w:rsid w:val="00141121"/>
    <w:rsid w:val="00142627"/>
    <w:rsid w:val="00142A56"/>
    <w:rsid w:val="00144D45"/>
    <w:rsid w:val="00144DF5"/>
    <w:rsid w:val="00145A97"/>
    <w:rsid w:val="00146485"/>
    <w:rsid w:val="00150AD6"/>
    <w:rsid w:val="00153629"/>
    <w:rsid w:val="00153791"/>
    <w:rsid w:val="00153B40"/>
    <w:rsid w:val="00154ADA"/>
    <w:rsid w:val="0015531A"/>
    <w:rsid w:val="001570A7"/>
    <w:rsid w:val="001600E8"/>
    <w:rsid w:val="00161496"/>
    <w:rsid w:val="00162238"/>
    <w:rsid w:val="00163B27"/>
    <w:rsid w:val="00165317"/>
    <w:rsid w:val="001660A1"/>
    <w:rsid w:val="00171BAD"/>
    <w:rsid w:val="00171F85"/>
    <w:rsid w:val="001744B4"/>
    <w:rsid w:val="001756A1"/>
    <w:rsid w:val="001761EE"/>
    <w:rsid w:val="00176EAA"/>
    <w:rsid w:val="0017725A"/>
    <w:rsid w:val="0017779C"/>
    <w:rsid w:val="001779ED"/>
    <w:rsid w:val="00177C4B"/>
    <w:rsid w:val="0018325A"/>
    <w:rsid w:val="00184096"/>
    <w:rsid w:val="0018546F"/>
    <w:rsid w:val="00186199"/>
    <w:rsid w:val="001928F7"/>
    <w:rsid w:val="00194537"/>
    <w:rsid w:val="0019563C"/>
    <w:rsid w:val="00195F18"/>
    <w:rsid w:val="001A21A9"/>
    <w:rsid w:val="001A59D8"/>
    <w:rsid w:val="001A5FA6"/>
    <w:rsid w:val="001A6F8A"/>
    <w:rsid w:val="001B2F0C"/>
    <w:rsid w:val="001C27F0"/>
    <w:rsid w:val="001C37F6"/>
    <w:rsid w:val="001C6288"/>
    <w:rsid w:val="001D0F6A"/>
    <w:rsid w:val="001D1CDD"/>
    <w:rsid w:val="001D21BC"/>
    <w:rsid w:val="001D2FA5"/>
    <w:rsid w:val="001D35E0"/>
    <w:rsid w:val="001D3711"/>
    <w:rsid w:val="001D3CDF"/>
    <w:rsid w:val="001D5045"/>
    <w:rsid w:val="001D5A44"/>
    <w:rsid w:val="001D724B"/>
    <w:rsid w:val="001E11D3"/>
    <w:rsid w:val="001E29D5"/>
    <w:rsid w:val="001E2A6A"/>
    <w:rsid w:val="001E3DC2"/>
    <w:rsid w:val="001E56FF"/>
    <w:rsid w:val="001E5C6B"/>
    <w:rsid w:val="001F03E1"/>
    <w:rsid w:val="001F0FDD"/>
    <w:rsid w:val="001F3CC6"/>
    <w:rsid w:val="001F4530"/>
    <w:rsid w:val="001F5265"/>
    <w:rsid w:val="002005EC"/>
    <w:rsid w:val="002010DE"/>
    <w:rsid w:val="00202885"/>
    <w:rsid w:val="00202968"/>
    <w:rsid w:val="00202C32"/>
    <w:rsid w:val="00203AEF"/>
    <w:rsid w:val="002077D8"/>
    <w:rsid w:val="00210FEC"/>
    <w:rsid w:val="00211A26"/>
    <w:rsid w:val="002125F7"/>
    <w:rsid w:val="00214463"/>
    <w:rsid w:val="00214756"/>
    <w:rsid w:val="00215CF2"/>
    <w:rsid w:val="00217171"/>
    <w:rsid w:val="00220006"/>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2A3"/>
    <w:rsid w:val="00250BE3"/>
    <w:rsid w:val="0025158D"/>
    <w:rsid w:val="0025281A"/>
    <w:rsid w:val="00253D3C"/>
    <w:rsid w:val="00255292"/>
    <w:rsid w:val="00260200"/>
    <w:rsid w:val="00263563"/>
    <w:rsid w:val="002648D8"/>
    <w:rsid w:val="00267B74"/>
    <w:rsid w:val="00270548"/>
    <w:rsid w:val="00273F86"/>
    <w:rsid w:val="002774F0"/>
    <w:rsid w:val="00283272"/>
    <w:rsid w:val="0028459B"/>
    <w:rsid w:val="00284C5F"/>
    <w:rsid w:val="002873F0"/>
    <w:rsid w:val="00287AC3"/>
    <w:rsid w:val="002942A1"/>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C6BEB"/>
    <w:rsid w:val="002D32E3"/>
    <w:rsid w:val="002D4236"/>
    <w:rsid w:val="002E0FEB"/>
    <w:rsid w:val="002E300D"/>
    <w:rsid w:val="002F0F79"/>
    <w:rsid w:val="002F18BE"/>
    <w:rsid w:val="002F1CC8"/>
    <w:rsid w:val="002F280E"/>
    <w:rsid w:val="002F3709"/>
    <w:rsid w:val="002F3A6C"/>
    <w:rsid w:val="002F4296"/>
    <w:rsid w:val="00300951"/>
    <w:rsid w:val="003023C9"/>
    <w:rsid w:val="00302CA8"/>
    <w:rsid w:val="00302DE9"/>
    <w:rsid w:val="0030424E"/>
    <w:rsid w:val="00305084"/>
    <w:rsid w:val="00306E46"/>
    <w:rsid w:val="00310086"/>
    <w:rsid w:val="00311FC0"/>
    <w:rsid w:val="00312A19"/>
    <w:rsid w:val="00312FE8"/>
    <w:rsid w:val="0031358C"/>
    <w:rsid w:val="00313AE2"/>
    <w:rsid w:val="003149AB"/>
    <w:rsid w:val="0031630D"/>
    <w:rsid w:val="003204E9"/>
    <w:rsid w:val="00321C2C"/>
    <w:rsid w:val="00321E8C"/>
    <w:rsid w:val="00322A86"/>
    <w:rsid w:val="00323AE8"/>
    <w:rsid w:val="00324373"/>
    <w:rsid w:val="00324548"/>
    <w:rsid w:val="003251F4"/>
    <w:rsid w:val="003303E3"/>
    <w:rsid w:val="00331FA4"/>
    <w:rsid w:val="003329EA"/>
    <w:rsid w:val="00332E47"/>
    <w:rsid w:val="003347EF"/>
    <w:rsid w:val="00337293"/>
    <w:rsid w:val="00337CC4"/>
    <w:rsid w:val="003407A5"/>
    <w:rsid w:val="00341188"/>
    <w:rsid w:val="0034147B"/>
    <w:rsid w:val="00345AA8"/>
    <w:rsid w:val="00350238"/>
    <w:rsid w:val="0035109C"/>
    <w:rsid w:val="00351F0A"/>
    <w:rsid w:val="0035432B"/>
    <w:rsid w:val="00357172"/>
    <w:rsid w:val="0036023B"/>
    <w:rsid w:val="003613A8"/>
    <w:rsid w:val="00361E7E"/>
    <w:rsid w:val="0036360E"/>
    <w:rsid w:val="00364504"/>
    <w:rsid w:val="00370AA4"/>
    <w:rsid w:val="00371FF4"/>
    <w:rsid w:val="00376B0E"/>
    <w:rsid w:val="00376C39"/>
    <w:rsid w:val="00377520"/>
    <w:rsid w:val="00380D36"/>
    <w:rsid w:val="003822D3"/>
    <w:rsid w:val="003834E0"/>
    <w:rsid w:val="00385786"/>
    <w:rsid w:val="00386630"/>
    <w:rsid w:val="00390B25"/>
    <w:rsid w:val="00397156"/>
    <w:rsid w:val="00397960"/>
    <w:rsid w:val="003A0A94"/>
    <w:rsid w:val="003A1A57"/>
    <w:rsid w:val="003A3BC4"/>
    <w:rsid w:val="003A458A"/>
    <w:rsid w:val="003B2DA8"/>
    <w:rsid w:val="003B2F13"/>
    <w:rsid w:val="003B405E"/>
    <w:rsid w:val="003B4B45"/>
    <w:rsid w:val="003B57D3"/>
    <w:rsid w:val="003C11EC"/>
    <w:rsid w:val="003C1F58"/>
    <w:rsid w:val="003C606C"/>
    <w:rsid w:val="003C6C58"/>
    <w:rsid w:val="003C792F"/>
    <w:rsid w:val="003D124B"/>
    <w:rsid w:val="003D18F3"/>
    <w:rsid w:val="003D78B5"/>
    <w:rsid w:val="003E244F"/>
    <w:rsid w:val="003E62A6"/>
    <w:rsid w:val="003E695F"/>
    <w:rsid w:val="003E6C9B"/>
    <w:rsid w:val="003E709C"/>
    <w:rsid w:val="003E7B89"/>
    <w:rsid w:val="003F4241"/>
    <w:rsid w:val="003F7040"/>
    <w:rsid w:val="003F7C45"/>
    <w:rsid w:val="00401222"/>
    <w:rsid w:val="0040132C"/>
    <w:rsid w:val="00405085"/>
    <w:rsid w:val="00405A85"/>
    <w:rsid w:val="004066FC"/>
    <w:rsid w:val="00407C10"/>
    <w:rsid w:val="004113B4"/>
    <w:rsid w:val="004143D6"/>
    <w:rsid w:val="00414827"/>
    <w:rsid w:val="00414ECB"/>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25C2"/>
    <w:rsid w:val="004575E9"/>
    <w:rsid w:val="004576F2"/>
    <w:rsid w:val="00457804"/>
    <w:rsid w:val="004646BF"/>
    <w:rsid w:val="00464744"/>
    <w:rsid w:val="004665E3"/>
    <w:rsid w:val="00471291"/>
    <w:rsid w:val="004731F1"/>
    <w:rsid w:val="00480BC8"/>
    <w:rsid w:val="00481265"/>
    <w:rsid w:val="004814BF"/>
    <w:rsid w:val="0048587E"/>
    <w:rsid w:val="00487C2B"/>
    <w:rsid w:val="004917B4"/>
    <w:rsid w:val="0049297D"/>
    <w:rsid w:val="004929F2"/>
    <w:rsid w:val="00495A03"/>
    <w:rsid w:val="004967FC"/>
    <w:rsid w:val="00497079"/>
    <w:rsid w:val="004A00BD"/>
    <w:rsid w:val="004A1BBA"/>
    <w:rsid w:val="004A1D53"/>
    <w:rsid w:val="004A3E3C"/>
    <w:rsid w:val="004A47AC"/>
    <w:rsid w:val="004B0E6D"/>
    <w:rsid w:val="004B16E8"/>
    <w:rsid w:val="004B2DB9"/>
    <w:rsid w:val="004B50CA"/>
    <w:rsid w:val="004B5E54"/>
    <w:rsid w:val="004B6250"/>
    <w:rsid w:val="004B76B1"/>
    <w:rsid w:val="004C0057"/>
    <w:rsid w:val="004C03A7"/>
    <w:rsid w:val="004C0541"/>
    <w:rsid w:val="004C1946"/>
    <w:rsid w:val="004C2C46"/>
    <w:rsid w:val="004C5189"/>
    <w:rsid w:val="004C7235"/>
    <w:rsid w:val="004C7955"/>
    <w:rsid w:val="004D047F"/>
    <w:rsid w:val="004D1A45"/>
    <w:rsid w:val="004D3D96"/>
    <w:rsid w:val="004D4E22"/>
    <w:rsid w:val="004D650F"/>
    <w:rsid w:val="004E2133"/>
    <w:rsid w:val="004E5AB9"/>
    <w:rsid w:val="004E60FB"/>
    <w:rsid w:val="004F1EBD"/>
    <w:rsid w:val="004F41EA"/>
    <w:rsid w:val="004F4EA9"/>
    <w:rsid w:val="004F779C"/>
    <w:rsid w:val="004F7846"/>
    <w:rsid w:val="005000D4"/>
    <w:rsid w:val="00500F1D"/>
    <w:rsid w:val="00504285"/>
    <w:rsid w:val="00504432"/>
    <w:rsid w:val="00505EE0"/>
    <w:rsid w:val="0050638D"/>
    <w:rsid w:val="00510CAF"/>
    <w:rsid w:val="00511B6A"/>
    <w:rsid w:val="005128C5"/>
    <w:rsid w:val="0051311E"/>
    <w:rsid w:val="00514754"/>
    <w:rsid w:val="0051478B"/>
    <w:rsid w:val="00514C9A"/>
    <w:rsid w:val="0051566A"/>
    <w:rsid w:val="00515D7B"/>
    <w:rsid w:val="005166E9"/>
    <w:rsid w:val="005177A0"/>
    <w:rsid w:val="0052009E"/>
    <w:rsid w:val="00520765"/>
    <w:rsid w:val="00521065"/>
    <w:rsid w:val="00525E59"/>
    <w:rsid w:val="005318CC"/>
    <w:rsid w:val="00531D1B"/>
    <w:rsid w:val="00532F26"/>
    <w:rsid w:val="005349B1"/>
    <w:rsid w:val="005353E1"/>
    <w:rsid w:val="005374BC"/>
    <w:rsid w:val="005420C5"/>
    <w:rsid w:val="00543188"/>
    <w:rsid w:val="00543367"/>
    <w:rsid w:val="00543BFA"/>
    <w:rsid w:val="00547D9C"/>
    <w:rsid w:val="00547DA1"/>
    <w:rsid w:val="00551CED"/>
    <w:rsid w:val="00553D61"/>
    <w:rsid w:val="00554D95"/>
    <w:rsid w:val="00554EAB"/>
    <w:rsid w:val="0055513C"/>
    <w:rsid w:val="00560C94"/>
    <w:rsid w:val="0056291C"/>
    <w:rsid w:val="00565A63"/>
    <w:rsid w:val="00566588"/>
    <w:rsid w:val="00570B1A"/>
    <w:rsid w:val="00572736"/>
    <w:rsid w:val="0057275D"/>
    <w:rsid w:val="00576E9F"/>
    <w:rsid w:val="00577BC9"/>
    <w:rsid w:val="005800A9"/>
    <w:rsid w:val="00580488"/>
    <w:rsid w:val="0058074D"/>
    <w:rsid w:val="00580FD1"/>
    <w:rsid w:val="00582FAD"/>
    <w:rsid w:val="00583489"/>
    <w:rsid w:val="00583A98"/>
    <w:rsid w:val="005858C4"/>
    <w:rsid w:val="00590FE4"/>
    <w:rsid w:val="00591D9C"/>
    <w:rsid w:val="00597057"/>
    <w:rsid w:val="00597CDD"/>
    <w:rsid w:val="00597D8B"/>
    <w:rsid w:val="005A1C30"/>
    <w:rsid w:val="005A2DCB"/>
    <w:rsid w:val="005A3295"/>
    <w:rsid w:val="005A37D0"/>
    <w:rsid w:val="005A46FF"/>
    <w:rsid w:val="005B011E"/>
    <w:rsid w:val="005B1C7D"/>
    <w:rsid w:val="005B1DEC"/>
    <w:rsid w:val="005B2E84"/>
    <w:rsid w:val="005B7B0E"/>
    <w:rsid w:val="005C0A04"/>
    <w:rsid w:val="005C200C"/>
    <w:rsid w:val="005C5409"/>
    <w:rsid w:val="005C69AC"/>
    <w:rsid w:val="005C722E"/>
    <w:rsid w:val="005D01A4"/>
    <w:rsid w:val="005D05D4"/>
    <w:rsid w:val="005D142B"/>
    <w:rsid w:val="005D14DE"/>
    <w:rsid w:val="005D3F12"/>
    <w:rsid w:val="005D44E4"/>
    <w:rsid w:val="005D45B3"/>
    <w:rsid w:val="005D4CEB"/>
    <w:rsid w:val="005E1105"/>
    <w:rsid w:val="005E491F"/>
    <w:rsid w:val="005E58CE"/>
    <w:rsid w:val="005E59E9"/>
    <w:rsid w:val="005E5D80"/>
    <w:rsid w:val="005E6248"/>
    <w:rsid w:val="005F04E6"/>
    <w:rsid w:val="005F43B9"/>
    <w:rsid w:val="005F68CB"/>
    <w:rsid w:val="005F6A4A"/>
    <w:rsid w:val="00602154"/>
    <w:rsid w:val="006033E3"/>
    <w:rsid w:val="006063E7"/>
    <w:rsid w:val="00607CE4"/>
    <w:rsid w:val="0061321C"/>
    <w:rsid w:val="00616568"/>
    <w:rsid w:val="00616C17"/>
    <w:rsid w:val="00620DB0"/>
    <w:rsid w:val="0062386E"/>
    <w:rsid w:val="00623D9A"/>
    <w:rsid w:val="00623F01"/>
    <w:rsid w:val="006240B1"/>
    <w:rsid w:val="006242FB"/>
    <w:rsid w:val="00626E2D"/>
    <w:rsid w:val="00627D94"/>
    <w:rsid w:val="00630B42"/>
    <w:rsid w:val="00636CDE"/>
    <w:rsid w:val="00637BA7"/>
    <w:rsid w:val="00642072"/>
    <w:rsid w:val="00643330"/>
    <w:rsid w:val="00643ABD"/>
    <w:rsid w:val="006440ED"/>
    <w:rsid w:val="00645293"/>
    <w:rsid w:val="00651B78"/>
    <w:rsid w:val="00652263"/>
    <w:rsid w:val="00652881"/>
    <w:rsid w:val="00652976"/>
    <w:rsid w:val="006561E4"/>
    <w:rsid w:val="00661974"/>
    <w:rsid w:val="00664551"/>
    <w:rsid w:val="00664949"/>
    <w:rsid w:val="00664E44"/>
    <w:rsid w:val="00665677"/>
    <w:rsid w:val="0066704D"/>
    <w:rsid w:val="006676A0"/>
    <w:rsid w:val="00667A8A"/>
    <w:rsid w:val="00670857"/>
    <w:rsid w:val="00671124"/>
    <w:rsid w:val="006727B0"/>
    <w:rsid w:val="0067307E"/>
    <w:rsid w:val="00675CCC"/>
    <w:rsid w:val="00677AC6"/>
    <w:rsid w:val="006839B5"/>
    <w:rsid w:val="0068545B"/>
    <w:rsid w:val="006866AC"/>
    <w:rsid w:val="00687AD5"/>
    <w:rsid w:val="00691AFA"/>
    <w:rsid w:val="00693629"/>
    <w:rsid w:val="00693D86"/>
    <w:rsid w:val="00695251"/>
    <w:rsid w:val="00695ADE"/>
    <w:rsid w:val="00695C0D"/>
    <w:rsid w:val="00696356"/>
    <w:rsid w:val="006A72C6"/>
    <w:rsid w:val="006A7E2D"/>
    <w:rsid w:val="006B02DA"/>
    <w:rsid w:val="006B2065"/>
    <w:rsid w:val="006B3940"/>
    <w:rsid w:val="006B5EAF"/>
    <w:rsid w:val="006B7EE6"/>
    <w:rsid w:val="006C168D"/>
    <w:rsid w:val="006C1D5C"/>
    <w:rsid w:val="006C3C80"/>
    <w:rsid w:val="006C3F43"/>
    <w:rsid w:val="006C642C"/>
    <w:rsid w:val="006C6FC6"/>
    <w:rsid w:val="006D32CA"/>
    <w:rsid w:val="006D6A40"/>
    <w:rsid w:val="006D7693"/>
    <w:rsid w:val="006E231B"/>
    <w:rsid w:val="006E254B"/>
    <w:rsid w:val="006E346E"/>
    <w:rsid w:val="006E34B7"/>
    <w:rsid w:val="006E61F9"/>
    <w:rsid w:val="006F0F87"/>
    <w:rsid w:val="006F4CD8"/>
    <w:rsid w:val="006F53D9"/>
    <w:rsid w:val="006F6A94"/>
    <w:rsid w:val="007004DC"/>
    <w:rsid w:val="00701575"/>
    <w:rsid w:val="00702409"/>
    <w:rsid w:val="00702622"/>
    <w:rsid w:val="00703E8A"/>
    <w:rsid w:val="00711522"/>
    <w:rsid w:val="007124FE"/>
    <w:rsid w:val="00712ABC"/>
    <w:rsid w:val="00713186"/>
    <w:rsid w:val="00713757"/>
    <w:rsid w:val="0071379B"/>
    <w:rsid w:val="0071497D"/>
    <w:rsid w:val="00717772"/>
    <w:rsid w:val="00721AF1"/>
    <w:rsid w:val="0072280F"/>
    <w:rsid w:val="00722B5E"/>
    <w:rsid w:val="00723845"/>
    <w:rsid w:val="0072708F"/>
    <w:rsid w:val="0073174A"/>
    <w:rsid w:val="00732D1D"/>
    <w:rsid w:val="00736034"/>
    <w:rsid w:val="0073681C"/>
    <w:rsid w:val="00740469"/>
    <w:rsid w:val="00741EBE"/>
    <w:rsid w:val="00746130"/>
    <w:rsid w:val="00746A40"/>
    <w:rsid w:val="007479DC"/>
    <w:rsid w:val="00750358"/>
    <w:rsid w:val="007547F1"/>
    <w:rsid w:val="00755CDF"/>
    <w:rsid w:val="00757A4C"/>
    <w:rsid w:val="00764A94"/>
    <w:rsid w:val="00764DC3"/>
    <w:rsid w:val="007651E5"/>
    <w:rsid w:val="00765A70"/>
    <w:rsid w:val="0076688D"/>
    <w:rsid w:val="007670DC"/>
    <w:rsid w:val="00767239"/>
    <w:rsid w:val="0077111A"/>
    <w:rsid w:val="00772272"/>
    <w:rsid w:val="007756ED"/>
    <w:rsid w:val="007869A0"/>
    <w:rsid w:val="007870FC"/>
    <w:rsid w:val="00787CD0"/>
    <w:rsid w:val="00791053"/>
    <w:rsid w:val="00791A3A"/>
    <w:rsid w:val="00792CEB"/>
    <w:rsid w:val="00794196"/>
    <w:rsid w:val="00797637"/>
    <w:rsid w:val="007A2E54"/>
    <w:rsid w:val="007A3680"/>
    <w:rsid w:val="007A59B8"/>
    <w:rsid w:val="007A5F56"/>
    <w:rsid w:val="007B20D1"/>
    <w:rsid w:val="007B2862"/>
    <w:rsid w:val="007B662A"/>
    <w:rsid w:val="007C1A93"/>
    <w:rsid w:val="007C751E"/>
    <w:rsid w:val="007D021A"/>
    <w:rsid w:val="007D0E53"/>
    <w:rsid w:val="007D28C9"/>
    <w:rsid w:val="007D3CC8"/>
    <w:rsid w:val="007D62F9"/>
    <w:rsid w:val="007D63A4"/>
    <w:rsid w:val="007E1AA2"/>
    <w:rsid w:val="007E4C1F"/>
    <w:rsid w:val="007F0746"/>
    <w:rsid w:val="007F0759"/>
    <w:rsid w:val="007F25C0"/>
    <w:rsid w:val="007F43FD"/>
    <w:rsid w:val="007F456A"/>
    <w:rsid w:val="007F4C9B"/>
    <w:rsid w:val="007F5F52"/>
    <w:rsid w:val="007F6D0F"/>
    <w:rsid w:val="007F77C6"/>
    <w:rsid w:val="007F7C3F"/>
    <w:rsid w:val="008003A1"/>
    <w:rsid w:val="008006B7"/>
    <w:rsid w:val="00800FDB"/>
    <w:rsid w:val="00802081"/>
    <w:rsid w:val="008020B5"/>
    <w:rsid w:val="008034CF"/>
    <w:rsid w:val="008063D8"/>
    <w:rsid w:val="00806461"/>
    <w:rsid w:val="00806722"/>
    <w:rsid w:val="00806B3B"/>
    <w:rsid w:val="0081096D"/>
    <w:rsid w:val="00810EAD"/>
    <w:rsid w:val="00811833"/>
    <w:rsid w:val="008119CB"/>
    <w:rsid w:val="00813F72"/>
    <w:rsid w:val="008174D4"/>
    <w:rsid w:val="00820FE6"/>
    <w:rsid w:val="00821A66"/>
    <w:rsid w:val="00822476"/>
    <w:rsid w:val="00822882"/>
    <w:rsid w:val="00824CB2"/>
    <w:rsid w:val="00825F68"/>
    <w:rsid w:val="008340E1"/>
    <w:rsid w:val="00835408"/>
    <w:rsid w:val="008359DA"/>
    <w:rsid w:val="00837CEF"/>
    <w:rsid w:val="00840035"/>
    <w:rsid w:val="00840220"/>
    <w:rsid w:val="008428A9"/>
    <w:rsid w:val="00842C93"/>
    <w:rsid w:val="00844112"/>
    <w:rsid w:val="008456C9"/>
    <w:rsid w:val="0084611D"/>
    <w:rsid w:val="00846E4A"/>
    <w:rsid w:val="00847BEF"/>
    <w:rsid w:val="00850C62"/>
    <w:rsid w:val="00853DB0"/>
    <w:rsid w:val="00862022"/>
    <w:rsid w:val="00862ECC"/>
    <w:rsid w:val="00863011"/>
    <w:rsid w:val="00865075"/>
    <w:rsid w:val="0086748F"/>
    <w:rsid w:val="00872CE4"/>
    <w:rsid w:val="00872EDC"/>
    <w:rsid w:val="00873E36"/>
    <w:rsid w:val="00874F4B"/>
    <w:rsid w:val="0087539B"/>
    <w:rsid w:val="00877B62"/>
    <w:rsid w:val="00880199"/>
    <w:rsid w:val="00881015"/>
    <w:rsid w:val="008810B0"/>
    <w:rsid w:val="008813D6"/>
    <w:rsid w:val="008819B6"/>
    <w:rsid w:val="00881AAC"/>
    <w:rsid w:val="008836B7"/>
    <w:rsid w:val="008841D3"/>
    <w:rsid w:val="0088709F"/>
    <w:rsid w:val="00887DE6"/>
    <w:rsid w:val="00894C2A"/>
    <w:rsid w:val="00897708"/>
    <w:rsid w:val="008978D6"/>
    <w:rsid w:val="00897D88"/>
    <w:rsid w:val="008A12CB"/>
    <w:rsid w:val="008A1B92"/>
    <w:rsid w:val="008A2F16"/>
    <w:rsid w:val="008A2F59"/>
    <w:rsid w:val="008B1823"/>
    <w:rsid w:val="008B203C"/>
    <w:rsid w:val="008B6E16"/>
    <w:rsid w:val="008B7110"/>
    <w:rsid w:val="008B7A1F"/>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7896"/>
    <w:rsid w:val="008F2477"/>
    <w:rsid w:val="008F2F2B"/>
    <w:rsid w:val="008F385C"/>
    <w:rsid w:val="008F3EF6"/>
    <w:rsid w:val="008F4AAB"/>
    <w:rsid w:val="008F5ACF"/>
    <w:rsid w:val="008F5E2D"/>
    <w:rsid w:val="008F60C5"/>
    <w:rsid w:val="009010F0"/>
    <w:rsid w:val="00901162"/>
    <w:rsid w:val="0090223A"/>
    <w:rsid w:val="009028E2"/>
    <w:rsid w:val="00914EAB"/>
    <w:rsid w:val="00916597"/>
    <w:rsid w:val="00922D49"/>
    <w:rsid w:val="009259CF"/>
    <w:rsid w:val="00925A53"/>
    <w:rsid w:val="00925E37"/>
    <w:rsid w:val="00925EDD"/>
    <w:rsid w:val="00927D0E"/>
    <w:rsid w:val="009309DA"/>
    <w:rsid w:val="00936688"/>
    <w:rsid w:val="00937CFA"/>
    <w:rsid w:val="009406B3"/>
    <w:rsid w:val="00945CF5"/>
    <w:rsid w:val="009500A1"/>
    <w:rsid w:val="0095037E"/>
    <w:rsid w:val="009522BD"/>
    <w:rsid w:val="00952AAD"/>
    <w:rsid w:val="00953315"/>
    <w:rsid w:val="00954567"/>
    <w:rsid w:val="009547A9"/>
    <w:rsid w:val="009548FE"/>
    <w:rsid w:val="00956F0B"/>
    <w:rsid w:val="00957466"/>
    <w:rsid w:val="00960253"/>
    <w:rsid w:val="0096260B"/>
    <w:rsid w:val="00964ADB"/>
    <w:rsid w:val="009664D5"/>
    <w:rsid w:val="00970C69"/>
    <w:rsid w:val="00971DF7"/>
    <w:rsid w:val="00971F1C"/>
    <w:rsid w:val="0097211D"/>
    <w:rsid w:val="00972E10"/>
    <w:rsid w:val="009746CA"/>
    <w:rsid w:val="00974975"/>
    <w:rsid w:val="00974EA8"/>
    <w:rsid w:val="00981963"/>
    <w:rsid w:val="00981CE6"/>
    <w:rsid w:val="00983C82"/>
    <w:rsid w:val="00984520"/>
    <w:rsid w:val="0098545C"/>
    <w:rsid w:val="009922CE"/>
    <w:rsid w:val="00992BA2"/>
    <w:rsid w:val="00992F83"/>
    <w:rsid w:val="0099508A"/>
    <w:rsid w:val="0099526C"/>
    <w:rsid w:val="009974EB"/>
    <w:rsid w:val="009A037F"/>
    <w:rsid w:val="009A1126"/>
    <w:rsid w:val="009A257E"/>
    <w:rsid w:val="009A63AC"/>
    <w:rsid w:val="009B1584"/>
    <w:rsid w:val="009B1B32"/>
    <w:rsid w:val="009B21CA"/>
    <w:rsid w:val="009B2648"/>
    <w:rsid w:val="009B2D8E"/>
    <w:rsid w:val="009C03E5"/>
    <w:rsid w:val="009C09E6"/>
    <w:rsid w:val="009C0C11"/>
    <w:rsid w:val="009C3730"/>
    <w:rsid w:val="009C37BD"/>
    <w:rsid w:val="009C3AAC"/>
    <w:rsid w:val="009C4D19"/>
    <w:rsid w:val="009C5C77"/>
    <w:rsid w:val="009C5FDB"/>
    <w:rsid w:val="009C6493"/>
    <w:rsid w:val="009C693E"/>
    <w:rsid w:val="009C6D27"/>
    <w:rsid w:val="009C70CB"/>
    <w:rsid w:val="009D1EA4"/>
    <w:rsid w:val="009D27AA"/>
    <w:rsid w:val="009D38BA"/>
    <w:rsid w:val="009D3C04"/>
    <w:rsid w:val="009D4991"/>
    <w:rsid w:val="009D585F"/>
    <w:rsid w:val="009D5BB5"/>
    <w:rsid w:val="009D696D"/>
    <w:rsid w:val="009D6ED2"/>
    <w:rsid w:val="009E0F1A"/>
    <w:rsid w:val="009E140D"/>
    <w:rsid w:val="009E4465"/>
    <w:rsid w:val="009E6401"/>
    <w:rsid w:val="009E6C54"/>
    <w:rsid w:val="009F12BA"/>
    <w:rsid w:val="009F2261"/>
    <w:rsid w:val="009F2A25"/>
    <w:rsid w:val="009F5235"/>
    <w:rsid w:val="009F531A"/>
    <w:rsid w:val="009F6550"/>
    <w:rsid w:val="009F786E"/>
    <w:rsid w:val="00A00902"/>
    <w:rsid w:val="00A039FF"/>
    <w:rsid w:val="00A05ACE"/>
    <w:rsid w:val="00A078CB"/>
    <w:rsid w:val="00A14AE3"/>
    <w:rsid w:val="00A16675"/>
    <w:rsid w:val="00A22CD6"/>
    <w:rsid w:val="00A234EC"/>
    <w:rsid w:val="00A2417A"/>
    <w:rsid w:val="00A26668"/>
    <w:rsid w:val="00A27043"/>
    <w:rsid w:val="00A27804"/>
    <w:rsid w:val="00A348F0"/>
    <w:rsid w:val="00A34B04"/>
    <w:rsid w:val="00A36822"/>
    <w:rsid w:val="00A36AB5"/>
    <w:rsid w:val="00A411D1"/>
    <w:rsid w:val="00A428A4"/>
    <w:rsid w:val="00A42CE1"/>
    <w:rsid w:val="00A43389"/>
    <w:rsid w:val="00A43B12"/>
    <w:rsid w:val="00A43E71"/>
    <w:rsid w:val="00A45753"/>
    <w:rsid w:val="00A47B15"/>
    <w:rsid w:val="00A47CF4"/>
    <w:rsid w:val="00A52F84"/>
    <w:rsid w:val="00A56B05"/>
    <w:rsid w:val="00A57678"/>
    <w:rsid w:val="00A60E2F"/>
    <w:rsid w:val="00A618F3"/>
    <w:rsid w:val="00A63284"/>
    <w:rsid w:val="00A64CB8"/>
    <w:rsid w:val="00A65D6A"/>
    <w:rsid w:val="00A67018"/>
    <w:rsid w:val="00A672F3"/>
    <w:rsid w:val="00A673DC"/>
    <w:rsid w:val="00A7076E"/>
    <w:rsid w:val="00A709BE"/>
    <w:rsid w:val="00A7162E"/>
    <w:rsid w:val="00A7195A"/>
    <w:rsid w:val="00A72D71"/>
    <w:rsid w:val="00A75705"/>
    <w:rsid w:val="00A76ACE"/>
    <w:rsid w:val="00A77C69"/>
    <w:rsid w:val="00A829DE"/>
    <w:rsid w:val="00A83953"/>
    <w:rsid w:val="00A85AF5"/>
    <w:rsid w:val="00A86C7C"/>
    <w:rsid w:val="00A87791"/>
    <w:rsid w:val="00A903B6"/>
    <w:rsid w:val="00A90E7C"/>
    <w:rsid w:val="00A90F4F"/>
    <w:rsid w:val="00A92C40"/>
    <w:rsid w:val="00A93D16"/>
    <w:rsid w:val="00A947AA"/>
    <w:rsid w:val="00AA0AC5"/>
    <w:rsid w:val="00AA19FE"/>
    <w:rsid w:val="00AA1B53"/>
    <w:rsid w:val="00AA1D9A"/>
    <w:rsid w:val="00AA3556"/>
    <w:rsid w:val="00AA35FD"/>
    <w:rsid w:val="00AA3DB7"/>
    <w:rsid w:val="00AB3012"/>
    <w:rsid w:val="00AB321C"/>
    <w:rsid w:val="00AB5B99"/>
    <w:rsid w:val="00AB5D78"/>
    <w:rsid w:val="00AB688F"/>
    <w:rsid w:val="00AB75EA"/>
    <w:rsid w:val="00AB7AA2"/>
    <w:rsid w:val="00AC44D9"/>
    <w:rsid w:val="00AC4BC1"/>
    <w:rsid w:val="00AD04BD"/>
    <w:rsid w:val="00AD25F6"/>
    <w:rsid w:val="00AD29F0"/>
    <w:rsid w:val="00AD67CB"/>
    <w:rsid w:val="00AD683B"/>
    <w:rsid w:val="00AD7214"/>
    <w:rsid w:val="00AE1066"/>
    <w:rsid w:val="00AE4518"/>
    <w:rsid w:val="00AE5D7F"/>
    <w:rsid w:val="00AE79F0"/>
    <w:rsid w:val="00AF5585"/>
    <w:rsid w:val="00AF6EC1"/>
    <w:rsid w:val="00B00331"/>
    <w:rsid w:val="00B01A80"/>
    <w:rsid w:val="00B07C27"/>
    <w:rsid w:val="00B10017"/>
    <w:rsid w:val="00B10DE1"/>
    <w:rsid w:val="00B10FF8"/>
    <w:rsid w:val="00B1637F"/>
    <w:rsid w:val="00B203C4"/>
    <w:rsid w:val="00B22E81"/>
    <w:rsid w:val="00B23996"/>
    <w:rsid w:val="00B23CB2"/>
    <w:rsid w:val="00B2561A"/>
    <w:rsid w:val="00B25A64"/>
    <w:rsid w:val="00B261F7"/>
    <w:rsid w:val="00B32AB3"/>
    <w:rsid w:val="00B34E7C"/>
    <w:rsid w:val="00B368EA"/>
    <w:rsid w:val="00B37EEF"/>
    <w:rsid w:val="00B47B6D"/>
    <w:rsid w:val="00B513D5"/>
    <w:rsid w:val="00B51D20"/>
    <w:rsid w:val="00B5298E"/>
    <w:rsid w:val="00B54370"/>
    <w:rsid w:val="00B54B5F"/>
    <w:rsid w:val="00B55185"/>
    <w:rsid w:val="00B60D38"/>
    <w:rsid w:val="00B61923"/>
    <w:rsid w:val="00B621D6"/>
    <w:rsid w:val="00B63283"/>
    <w:rsid w:val="00B63EF5"/>
    <w:rsid w:val="00B65D6F"/>
    <w:rsid w:val="00B66642"/>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1E4"/>
    <w:rsid w:val="00B9240D"/>
    <w:rsid w:val="00B950C8"/>
    <w:rsid w:val="00BA18F2"/>
    <w:rsid w:val="00BA22A8"/>
    <w:rsid w:val="00BA285B"/>
    <w:rsid w:val="00BA3E48"/>
    <w:rsid w:val="00BA4BD3"/>
    <w:rsid w:val="00BA5E72"/>
    <w:rsid w:val="00BA5E98"/>
    <w:rsid w:val="00BA7473"/>
    <w:rsid w:val="00BB0187"/>
    <w:rsid w:val="00BB1EB3"/>
    <w:rsid w:val="00BB22CA"/>
    <w:rsid w:val="00BB2678"/>
    <w:rsid w:val="00BB4CBB"/>
    <w:rsid w:val="00BB7C7E"/>
    <w:rsid w:val="00BC013A"/>
    <w:rsid w:val="00BC2343"/>
    <w:rsid w:val="00BC23F8"/>
    <w:rsid w:val="00BC5DFD"/>
    <w:rsid w:val="00BD30C8"/>
    <w:rsid w:val="00BD3DFE"/>
    <w:rsid w:val="00BD3EB4"/>
    <w:rsid w:val="00BD596C"/>
    <w:rsid w:val="00BD5C65"/>
    <w:rsid w:val="00BD7DB4"/>
    <w:rsid w:val="00BE1A80"/>
    <w:rsid w:val="00BE2F07"/>
    <w:rsid w:val="00BE6018"/>
    <w:rsid w:val="00BF0F8F"/>
    <w:rsid w:val="00BF1F57"/>
    <w:rsid w:val="00BF4086"/>
    <w:rsid w:val="00BF41D5"/>
    <w:rsid w:val="00BF426C"/>
    <w:rsid w:val="00BF47C9"/>
    <w:rsid w:val="00BF58D0"/>
    <w:rsid w:val="00BF5A17"/>
    <w:rsid w:val="00BF7D6A"/>
    <w:rsid w:val="00C013E1"/>
    <w:rsid w:val="00C01611"/>
    <w:rsid w:val="00C016A5"/>
    <w:rsid w:val="00C02D59"/>
    <w:rsid w:val="00C030B6"/>
    <w:rsid w:val="00C03284"/>
    <w:rsid w:val="00C050D7"/>
    <w:rsid w:val="00C05B5F"/>
    <w:rsid w:val="00C104CC"/>
    <w:rsid w:val="00C1258A"/>
    <w:rsid w:val="00C152FE"/>
    <w:rsid w:val="00C16739"/>
    <w:rsid w:val="00C17304"/>
    <w:rsid w:val="00C21C43"/>
    <w:rsid w:val="00C22C7D"/>
    <w:rsid w:val="00C22CCE"/>
    <w:rsid w:val="00C230DF"/>
    <w:rsid w:val="00C231D6"/>
    <w:rsid w:val="00C23BA2"/>
    <w:rsid w:val="00C3031C"/>
    <w:rsid w:val="00C31C56"/>
    <w:rsid w:val="00C32AF2"/>
    <w:rsid w:val="00C33204"/>
    <w:rsid w:val="00C338EB"/>
    <w:rsid w:val="00C3465D"/>
    <w:rsid w:val="00C349D5"/>
    <w:rsid w:val="00C379E9"/>
    <w:rsid w:val="00C439FB"/>
    <w:rsid w:val="00C43F23"/>
    <w:rsid w:val="00C468C8"/>
    <w:rsid w:val="00C47790"/>
    <w:rsid w:val="00C50011"/>
    <w:rsid w:val="00C51C36"/>
    <w:rsid w:val="00C5274B"/>
    <w:rsid w:val="00C55A77"/>
    <w:rsid w:val="00C566D5"/>
    <w:rsid w:val="00C57137"/>
    <w:rsid w:val="00C645E6"/>
    <w:rsid w:val="00C64D82"/>
    <w:rsid w:val="00C64FBC"/>
    <w:rsid w:val="00C65A83"/>
    <w:rsid w:val="00C72C6F"/>
    <w:rsid w:val="00C74112"/>
    <w:rsid w:val="00C76CBD"/>
    <w:rsid w:val="00C76CF1"/>
    <w:rsid w:val="00C80F23"/>
    <w:rsid w:val="00C81151"/>
    <w:rsid w:val="00C82CC6"/>
    <w:rsid w:val="00C850A3"/>
    <w:rsid w:val="00C85C32"/>
    <w:rsid w:val="00C87568"/>
    <w:rsid w:val="00C90DB6"/>
    <w:rsid w:val="00C90E8E"/>
    <w:rsid w:val="00C9394F"/>
    <w:rsid w:val="00C93B1A"/>
    <w:rsid w:val="00C96A14"/>
    <w:rsid w:val="00C96F5F"/>
    <w:rsid w:val="00CA21B5"/>
    <w:rsid w:val="00CA5927"/>
    <w:rsid w:val="00CA6E44"/>
    <w:rsid w:val="00CA79EC"/>
    <w:rsid w:val="00CB26A5"/>
    <w:rsid w:val="00CB39C2"/>
    <w:rsid w:val="00CB4664"/>
    <w:rsid w:val="00CB4C8C"/>
    <w:rsid w:val="00CB6782"/>
    <w:rsid w:val="00CC080A"/>
    <w:rsid w:val="00CC2526"/>
    <w:rsid w:val="00CC52E1"/>
    <w:rsid w:val="00CD319D"/>
    <w:rsid w:val="00CD6BC3"/>
    <w:rsid w:val="00CD72D0"/>
    <w:rsid w:val="00CE184F"/>
    <w:rsid w:val="00CE2DC0"/>
    <w:rsid w:val="00CE3519"/>
    <w:rsid w:val="00CE5277"/>
    <w:rsid w:val="00CE6358"/>
    <w:rsid w:val="00CF2D54"/>
    <w:rsid w:val="00CF3CDE"/>
    <w:rsid w:val="00CF4AC1"/>
    <w:rsid w:val="00CF5CF0"/>
    <w:rsid w:val="00CF6570"/>
    <w:rsid w:val="00CF6AF1"/>
    <w:rsid w:val="00D03538"/>
    <w:rsid w:val="00D049B8"/>
    <w:rsid w:val="00D0516C"/>
    <w:rsid w:val="00D05AF3"/>
    <w:rsid w:val="00D05EE7"/>
    <w:rsid w:val="00D0685A"/>
    <w:rsid w:val="00D068D0"/>
    <w:rsid w:val="00D078D1"/>
    <w:rsid w:val="00D129A8"/>
    <w:rsid w:val="00D12FB9"/>
    <w:rsid w:val="00D15BD3"/>
    <w:rsid w:val="00D200BD"/>
    <w:rsid w:val="00D22399"/>
    <w:rsid w:val="00D26460"/>
    <w:rsid w:val="00D33751"/>
    <w:rsid w:val="00D33924"/>
    <w:rsid w:val="00D36F6E"/>
    <w:rsid w:val="00D37343"/>
    <w:rsid w:val="00D37657"/>
    <w:rsid w:val="00D4205E"/>
    <w:rsid w:val="00D42507"/>
    <w:rsid w:val="00D4252B"/>
    <w:rsid w:val="00D5574C"/>
    <w:rsid w:val="00D55E99"/>
    <w:rsid w:val="00D61982"/>
    <w:rsid w:val="00D6267A"/>
    <w:rsid w:val="00D62B35"/>
    <w:rsid w:val="00D66575"/>
    <w:rsid w:val="00D67D12"/>
    <w:rsid w:val="00D75085"/>
    <w:rsid w:val="00D7585A"/>
    <w:rsid w:val="00D80618"/>
    <w:rsid w:val="00D81A17"/>
    <w:rsid w:val="00D823F2"/>
    <w:rsid w:val="00D82494"/>
    <w:rsid w:val="00D84A4B"/>
    <w:rsid w:val="00D86E07"/>
    <w:rsid w:val="00D874B6"/>
    <w:rsid w:val="00D92168"/>
    <w:rsid w:val="00D940A9"/>
    <w:rsid w:val="00D940B5"/>
    <w:rsid w:val="00D94289"/>
    <w:rsid w:val="00D95CB0"/>
    <w:rsid w:val="00D977C0"/>
    <w:rsid w:val="00DA00A3"/>
    <w:rsid w:val="00DA13F3"/>
    <w:rsid w:val="00DA2DE3"/>
    <w:rsid w:val="00DA7146"/>
    <w:rsid w:val="00DA716A"/>
    <w:rsid w:val="00DB1F4F"/>
    <w:rsid w:val="00DB37EE"/>
    <w:rsid w:val="00DB4450"/>
    <w:rsid w:val="00DB769A"/>
    <w:rsid w:val="00DB7B69"/>
    <w:rsid w:val="00DC02EC"/>
    <w:rsid w:val="00DC0B9E"/>
    <w:rsid w:val="00DC234A"/>
    <w:rsid w:val="00DC41E4"/>
    <w:rsid w:val="00DC5116"/>
    <w:rsid w:val="00DC77DD"/>
    <w:rsid w:val="00DC7C77"/>
    <w:rsid w:val="00DD2417"/>
    <w:rsid w:val="00DD34F1"/>
    <w:rsid w:val="00DD46DD"/>
    <w:rsid w:val="00DD4C12"/>
    <w:rsid w:val="00DD7EA2"/>
    <w:rsid w:val="00DE00F2"/>
    <w:rsid w:val="00DE117F"/>
    <w:rsid w:val="00DE401C"/>
    <w:rsid w:val="00DF1ED6"/>
    <w:rsid w:val="00DF5357"/>
    <w:rsid w:val="00DF63FA"/>
    <w:rsid w:val="00DF7927"/>
    <w:rsid w:val="00E00A1C"/>
    <w:rsid w:val="00E012CC"/>
    <w:rsid w:val="00E02B71"/>
    <w:rsid w:val="00E02DEB"/>
    <w:rsid w:val="00E042A1"/>
    <w:rsid w:val="00E04CE6"/>
    <w:rsid w:val="00E10272"/>
    <w:rsid w:val="00E104FA"/>
    <w:rsid w:val="00E1082A"/>
    <w:rsid w:val="00E11166"/>
    <w:rsid w:val="00E1304C"/>
    <w:rsid w:val="00E13182"/>
    <w:rsid w:val="00E15383"/>
    <w:rsid w:val="00E1738C"/>
    <w:rsid w:val="00E22D28"/>
    <w:rsid w:val="00E230E3"/>
    <w:rsid w:val="00E23611"/>
    <w:rsid w:val="00E25852"/>
    <w:rsid w:val="00E30EDF"/>
    <w:rsid w:val="00E31FBA"/>
    <w:rsid w:val="00E359AE"/>
    <w:rsid w:val="00E36AAE"/>
    <w:rsid w:val="00E41773"/>
    <w:rsid w:val="00E427F2"/>
    <w:rsid w:val="00E43CB9"/>
    <w:rsid w:val="00E50520"/>
    <w:rsid w:val="00E513F6"/>
    <w:rsid w:val="00E523B3"/>
    <w:rsid w:val="00E52F3B"/>
    <w:rsid w:val="00E53D94"/>
    <w:rsid w:val="00E53DEA"/>
    <w:rsid w:val="00E55984"/>
    <w:rsid w:val="00E57F92"/>
    <w:rsid w:val="00E616DB"/>
    <w:rsid w:val="00E627A4"/>
    <w:rsid w:val="00E630ED"/>
    <w:rsid w:val="00E70C95"/>
    <w:rsid w:val="00E71C6B"/>
    <w:rsid w:val="00E73ABA"/>
    <w:rsid w:val="00E74EC5"/>
    <w:rsid w:val="00E75942"/>
    <w:rsid w:val="00E75FDC"/>
    <w:rsid w:val="00E76B86"/>
    <w:rsid w:val="00E7760F"/>
    <w:rsid w:val="00E80B05"/>
    <w:rsid w:val="00E82AB3"/>
    <w:rsid w:val="00E82DAC"/>
    <w:rsid w:val="00E8342F"/>
    <w:rsid w:val="00E847A7"/>
    <w:rsid w:val="00E85F25"/>
    <w:rsid w:val="00E86E79"/>
    <w:rsid w:val="00E906B4"/>
    <w:rsid w:val="00E9095B"/>
    <w:rsid w:val="00E926B8"/>
    <w:rsid w:val="00E92E98"/>
    <w:rsid w:val="00E9399B"/>
    <w:rsid w:val="00E94008"/>
    <w:rsid w:val="00E94762"/>
    <w:rsid w:val="00E96B52"/>
    <w:rsid w:val="00EA0017"/>
    <w:rsid w:val="00EA1AA4"/>
    <w:rsid w:val="00EA2244"/>
    <w:rsid w:val="00EA3FF7"/>
    <w:rsid w:val="00EA4C93"/>
    <w:rsid w:val="00EA6FA7"/>
    <w:rsid w:val="00EB067F"/>
    <w:rsid w:val="00EB0BF5"/>
    <w:rsid w:val="00EB1F02"/>
    <w:rsid w:val="00EB5BC5"/>
    <w:rsid w:val="00EC086C"/>
    <w:rsid w:val="00EC32B2"/>
    <w:rsid w:val="00EC42D0"/>
    <w:rsid w:val="00EC5CE0"/>
    <w:rsid w:val="00EC638F"/>
    <w:rsid w:val="00ED48AC"/>
    <w:rsid w:val="00EE224C"/>
    <w:rsid w:val="00EE4874"/>
    <w:rsid w:val="00EE4A8C"/>
    <w:rsid w:val="00EE674E"/>
    <w:rsid w:val="00EE79A6"/>
    <w:rsid w:val="00EF2689"/>
    <w:rsid w:val="00EF6111"/>
    <w:rsid w:val="00F005A0"/>
    <w:rsid w:val="00F06616"/>
    <w:rsid w:val="00F1115E"/>
    <w:rsid w:val="00F11352"/>
    <w:rsid w:val="00F1498D"/>
    <w:rsid w:val="00F14DDF"/>
    <w:rsid w:val="00F152AD"/>
    <w:rsid w:val="00F204CD"/>
    <w:rsid w:val="00F20DFE"/>
    <w:rsid w:val="00F2285F"/>
    <w:rsid w:val="00F23155"/>
    <w:rsid w:val="00F235A6"/>
    <w:rsid w:val="00F24236"/>
    <w:rsid w:val="00F24E0E"/>
    <w:rsid w:val="00F26693"/>
    <w:rsid w:val="00F32D8E"/>
    <w:rsid w:val="00F33911"/>
    <w:rsid w:val="00F343C8"/>
    <w:rsid w:val="00F350A9"/>
    <w:rsid w:val="00F36130"/>
    <w:rsid w:val="00F36DF3"/>
    <w:rsid w:val="00F40444"/>
    <w:rsid w:val="00F423BD"/>
    <w:rsid w:val="00F432FF"/>
    <w:rsid w:val="00F4715C"/>
    <w:rsid w:val="00F54869"/>
    <w:rsid w:val="00F556B2"/>
    <w:rsid w:val="00F5707B"/>
    <w:rsid w:val="00F5754B"/>
    <w:rsid w:val="00F576DE"/>
    <w:rsid w:val="00F61244"/>
    <w:rsid w:val="00F63BF7"/>
    <w:rsid w:val="00F65617"/>
    <w:rsid w:val="00F710BE"/>
    <w:rsid w:val="00F736D2"/>
    <w:rsid w:val="00F7564C"/>
    <w:rsid w:val="00F76220"/>
    <w:rsid w:val="00F769BE"/>
    <w:rsid w:val="00F82E6B"/>
    <w:rsid w:val="00F84013"/>
    <w:rsid w:val="00F87AA5"/>
    <w:rsid w:val="00F92373"/>
    <w:rsid w:val="00F93D49"/>
    <w:rsid w:val="00F953AA"/>
    <w:rsid w:val="00F97B71"/>
    <w:rsid w:val="00FA1444"/>
    <w:rsid w:val="00FA1EC5"/>
    <w:rsid w:val="00FA2DDA"/>
    <w:rsid w:val="00FA34CA"/>
    <w:rsid w:val="00FA4684"/>
    <w:rsid w:val="00FA4A55"/>
    <w:rsid w:val="00FA4D4F"/>
    <w:rsid w:val="00FA54E8"/>
    <w:rsid w:val="00FA7193"/>
    <w:rsid w:val="00FB2D17"/>
    <w:rsid w:val="00FB2F69"/>
    <w:rsid w:val="00FB368B"/>
    <w:rsid w:val="00FB45FF"/>
    <w:rsid w:val="00FB5D97"/>
    <w:rsid w:val="00FC1CA5"/>
    <w:rsid w:val="00FC2979"/>
    <w:rsid w:val="00FC2DA1"/>
    <w:rsid w:val="00FD1C3C"/>
    <w:rsid w:val="00FD38A8"/>
    <w:rsid w:val="00FD520E"/>
    <w:rsid w:val="00FD5477"/>
    <w:rsid w:val="00FD5BD1"/>
    <w:rsid w:val="00FD6AC8"/>
    <w:rsid w:val="00FE3EA1"/>
    <w:rsid w:val="00FE4818"/>
    <w:rsid w:val="00FE5D80"/>
    <w:rsid w:val="00FF1577"/>
    <w:rsid w:val="00FF603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59745"/>
    <o:shapelayout v:ext="edit">
      <o:idmap v:ext="edit" data="1"/>
    </o:shapelayout>
  </w:shapeDefaults>
  <w:decimalSymbol w:val="."/>
  <w:listSeparator w:val=","/>
  <w15:docId w15:val="{5D91AE05-8B4C-41F7-81D1-4C39D404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rsid w:val="004F4EA9"/>
    <w:rPr>
      <w:b/>
      <w:bCs/>
      <w:kern w:val="44"/>
      <w:sz w:val="44"/>
      <w:szCs w:val="44"/>
    </w:rPr>
  </w:style>
  <w:style w:type="character" w:customStyle="1" w:styleId="Char1">
    <w:name w:val="日期 Char"/>
    <w:basedOn w:val="a1"/>
    <w:link w:val="ad"/>
    <w:rsid w:val="005B1DEC"/>
    <w:rPr>
      <w:kern w:val="2"/>
      <w:sz w:val="24"/>
    </w:rPr>
  </w:style>
  <w:style w:type="character" w:styleId="af8">
    <w:name w:val="Strong"/>
    <w:basedOn w:val="a1"/>
    <w:uiPriority w:val="22"/>
    <w:qFormat/>
    <w:rsid w:val="0047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12</Pages>
  <Words>1050</Words>
  <Characters>5991</Characters>
  <Application>Microsoft Office Word</Application>
  <DocSecurity>0</DocSecurity>
  <Lines>49</Lines>
  <Paragraphs>14</Paragraphs>
  <ScaleCrop>false</ScaleCrop>
  <Company>TRT. Ltd. Co.</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孙文婷</cp:lastModifiedBy>
  <cp:revision>382</cp:revision>
  <cp:lastPrinted>2007-07-19T00:46:00Z</cp:lastPrinted>
  <dcterms:created xsi:type="dcterms:W3CDTF">2012-11-21T04:46:00Z</dcterms:created>
  <dcterms:modified xsi:type="dcterms:W3CDTF">2016-01-18T06:14:00Z</dcterms:modified>
</cp:coreProperties>
</file>