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交银施罗德蓝筹混合型证券投资基金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二〇一六年一月二十一日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C24EFB" w:rsidRDefault="00716C0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交银蓝筹混合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2007</w:t>
            </w:r>
            <w:r w:rsidRPr="00414345">
              <w:rPr>
                <w:color w:val="000000"/>
                <w:kern w:val="0"/>
                <w:sz w:val="24"/>
                <w:szCs w:val="24"/>
              </w:rPr>
              <w:t>年</w:t>
            </w:r>
            <w:r w:rsidRPr="00414345">
              <w:rPr>
                <w:color w:val="000000"/>
                <w:kern w:val="0"/>
                <w:sz w:val="24"/>
                <w:szCs w:val="24"/>
              </w:rPr>
              <w:t>8</w:t>
            </w:r>
            <w:r w:rsidRPr="00414345">
              <w:rPr>
                <w:color w:val="000000"/>
                <w:kern w:val="0"/>
                <w:sz w:val="24"/>
                <w:szCs w:val="24"/>
              </w:rPr>
              <w:t>月</w:t>
            </w:r>
            <w:r w:rsidRPr="00414345">
              <w:rPr>
                <w:color w:val="000000"/>
                <w:kern w:val="0"/>
                <w:sz w:val="24"/>
                <w:szCs w:val="24"/>
              </w:rPr>
              <w:t>8</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3,255,921,412.52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中证</w:t>
            </w:r>
            <w:r w:rsidRPr="00414345">
              <w:rPr>
                <w:color w:val="000000"/>
                <w:kern w:val="0"/>
                <w:sz w:val="24"/>
                <w:szCs w:val="24"/>
              </w:rPr>
              <w:t>100</w:t>
            </w:r>
            <w:r w:rsidRPr="00414345">
              <w:rPr>
                <w:color w:val="000000"/>
                <w:kern w:val="0"/>
                <w:sz w:val="24"/>
                <w:szCs w:val="24"/>
              </w:rPr>
              <w:t>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本基金是一只混合型基金，以优质蓝筹股为主要投资</w:t>
            </w:r>
            <w:r w:rsidRPr="00414345">
              <w:rPr>
                <w:color w:val="000000"/>
                <w:kern w:val="0"/>
                <w:sz w:val="24"/>
                <w:szCs w:val="24"/>
              </w:rPr>
              <w:lastRenderedPageBreak/>
              <w:t>对象，其风险和预期收益高于债券型基金和货币市场基金，低于股票型基金。属于承担较高风险、预期收益较高的证券投资基金品种。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16C02" w:rsidRPr="00414345" w:rsidTr="00716C02">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716C02" w:rsidRPr="00414345" w:rsidTr="00716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226,911,655.63</w:t>
            </w:r>
          </w:p>
        </w:tc>
      </w:tr>
      <w:tr w:rsidR="00716C02" w:rsidRPr="00414345" w:rsidTr="00716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659,581,592.14</w:t>
            </w:r>
          </w:p>
        </w:tc>
      </w:tr>
      <w:tr w:rsidR="00716C02" w:rsidRPr="00414345" w:rsidTr="00716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0.1968</w:t>
            </w:r>
          </w:p>
        </w:tc>
      </w:tr>
      <w:tr w:rsidR="00716C02" w:rsidRPr="00414345" w:rsidTr="00716C0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3,140,145,868.07</w:t>
            </w:r>
          </w:p>
        </w:tc>
      </w:tr>
      <w:tr w:rsidR="00716C02" w:rsidRPr="00414345" w:rsidTr="00716C02">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0.9644</w:t>
            </w:r>
          </w:p>
        </w:tc>
      </w:tr>
    </w:tbl>
    <w:p w:rsidR="00C24EFB" w:rsidRDefault="00716C0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C24EFB">
        <w:trPr>
          <w:jc w:val="center"/>
        </w:trPr>
        <w:tc>
          <w:tcPr>
            <w:tcW w:w="1701" w:type="dxa"/>
            <w:vAlign w:val="center"/>
          </w:tcPr>
          <w:p w:rsidR="00C24EFB" w:rsidRDefault="00716C02">
            <w:pPr>
              <w:jc w:val="left"/>
            </w:pPr>
            <w:r>
              <w:rPr>
                <w:color w:val="000000"/>
                <w:sz w:val="24"/>
                <w:szCs w:val="24"/>
              </w:rPr>
              <w:t>过去三个月</w:t>
            </w:r>
          </w:p>
        </w:tc>
        <w:tc>
          <w:tcPr>
            <w:tcW w:w="1045" w:type="dxa"/>
            <w:vAlign w:val="center"/>
          </w:tcPr>
          <w:p w:rsidR="00C24EFB" w:rsidRDefault="00716C02">
            <w:pPr>
              <w:jc w:val="center"/>
            </w:pPr>
            <w:r>
              <w:rPr>
                <w:color w:val="000000"/>
                <w:sz w:val="24"/>
                <w:szCs w:val="24"/>
              </w:rPr>
              <w:t>25.10%</w:t>
            </w:r>
          </w:p>
        </w:tc>
        <w:tc>
          <w:tcPr>
            <w:tcW w:w="1344" w:type="dxa"/>
            <w:vAlign w:val="center"/>
          </w:tcPr>
          <w:p w:rsidR="00C24EFB" w:rsidRDefault="00716C02">
            <w:pPr>
              <w:jc w:val="center"/>
            </w:pPr>
            <w:r>
              <w:rPr>
                <w:color w:val="000000"/>
                <w:sz w:val="24"/>
                <w:szCs w:val="24"/>
              </w:rPr>
              <w:t>1.79%</w:t>
            </w:r>
          </w:p>
        </w:tc>
        <w:tc>
          <w:tcPr>
            <w:tcW w:w="1194" w:type="dxa"/>
            <w:vAlign w:val="center"/>
          </w:tcPr>
          <w:p w:rsidR="00C24EFB" w:rsidRDefault="00716C02">
            <w:pPr>
              <w:jc w:val="center"/>
            </w:pPr>
            <w:r>
              <w:rPr>
                <w:color w:val="000000"/>
                <w:sz w:val="24"/>
                <w:szCs w:val="24"/>
              </w:rPr>
              <w:t>11.35%</w:t>
            </w:r>
          </w:p>
        </w:tc>
        <w:tc>
          <w:tcPr>
            <w:tcW w:w="1492" w:type="dxa"/>
            <w:vAlign w:val="center"/>
          </w:tcPr>
          <w:p w:rsidR="00C24EFB" w:rsidRDefault="00716C02">
            <w:pPr>
              <w:jc w:val="center"/>
            </w:pPr>
            <w:r>
              <w:rPr>
                <w:color w:val="000000"/>
                <w:sz w:val="24"/>
                <w:szCs w:val="24"/>
              </w:rPr>
              <w:t>1.19%</w:t>
            </w:r>
          </w:p>
        </w:tc>
        <w:tc>
          <w:tcPr>
            <w:tcW w:w="1194" w:type="dxa"/>
            <w:vAlign w:val="center"/>
          </w:tcPr>
          <w:p w:rsidR="00C24EFB" w:rsidRDefault="00716C02">
            <w:pPr>
              <w:jc w:val="center"/>
            </w:pPr>
            <w:r>
              <w:rPr>
                <w:color w:val="000000"/>
                <w:sz w:val="24"/>
                <w:szCs w:val="24"/>
              </w:rPr>
              <w:t>13.75%</w:t>
            </w:r>
          </w:p>
        </w:tc>
        <w:tc>
          <w:tcPr>
            <w:tcW w:w="898" w:type="dxa"/>
            <w:vAlign w:val="center"/>
          </w:tcPr>
          <w:p w:rsidR="00C24EFB" w:rsidRDefault="00716C02">
            <w:pPr>
              <w:jc w:val="center"/>
            </w:pPr>
            <w:r>
              <w:rPr>
                <w:color w:val="000000"/>
                <w:sz w:val="24"/>
                <w:szCs w:val="24"/>
              </w:rPr>
              <w:t>0.60%</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交银施罗德蓝筹混合型证券投资基金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2007</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C24EFB">
        <w:trPr>
          <w:jc w:val="center"/>
        </w:trPr>
        <w:tc>
          <w:tcPr>
            <w:tcW w:w="846" w:type="dxa"/>
            <w:vAlign w:val="center"/>
          </w:tcPr>
          <w:p w:rsidR="00C24EFB" w:rsidRDefault="00716C02">
            <w:pPr>
              <w:jc w:val="center"/>
            </w:pPr>
            <w:r>
              <w:rPr>
                <w:color w:val="000000"/>
                <w:sz w:val="24"/>
                <w:szCs w:val="24"/>
              </w:rPr>
              <w:t>陈孜铎</w:t>
            </w:r>
          </w:p>
        </w:tc>
        <w:tc>
          <w:tcPr>
            <w:tcW w:w="845" w:type="dxa"/>
            <w:vAlign w:val="center"/>
          </w:tcPr>
          <w:p w:rsidR="00C24EFB" w:rsidRDefault="00716C02">
            <w:pPr>
              <w:jc w:val="center"/>
            </w:pPr>
            <w:r>
              <w:rPr>
                <w:color w:val="000000"/>
                <w:sz w:val="24"/>
                <w:szCs w:val="24"/>
              </w:rPr>
              <w:t>交银蓝筹混合的基金经理，公司研究部助理总经理</w:t>
            </w:r>
          </w:p>
        </w:tc>
        <w:tc>
          <w:tcPr>
            <w:tcW w:w="1549" w:type="dxa"/>
            <w:vAlign w:val="center"/>
          </w:tcPr>
          <w:p w:rsidR="00C24EFB" w:rsidRDefault="00716C02">
            <w:pPr>
              <w:jc w:val="center"/>
            </w:pPr>
            <w:r>
              <w:rPr>
                <w:color w:val="000000"/>
                <w:sz w:val="24"/>
                <w:szCs w:val="24"/>
              </w:rPr>
              <w:t>2014-10-22</w:t>
            </w:r>
          </w:p>
        </w:tc>
        <w:tc>
          <w:tcPr>
            <w:tcW w:w="1548" w:type="dxa"/>
            <w:vAlign w:val="center"/>
          </w:tcPr>
          <w:p w:rsidR="00C24EFB" w:rsidRDefault="00716C02">
            <w:pPr>
              <w:jc w:val="center"/>
            </w:pPr>
            <w:r>
              <w:rPr>
                <w:color w:val="000000"/>
                <w:sz w:val="24"/>
                <w:szCs w:val="24"/>
              </w:rPr>
              <w:t>-</w:t>
            </w:r>
          </w:p>
        </w:tc>
        <w:tc>
          <w:tcPr>
            <w:tcW w:w="1407" w:type="dxa"/>
            <w:vAlign w:val="center"/>
          </w:tcPr>
          <w:p w:rsidR="00C24EFB" w:rsidRDefault="00716C02">
            <w:pPr>
              <w:jc w:val="center"/>
            </w:pPr>
            <w:r>
              <w:rPr>
                <w:color w:val="000000"/>
                <w:sz w:val="24"/>
                <w:szCs w:val="24"/>
              </w:rPr>
              <w:t>7</w:t>
            </w:r>
            <w:r>
              <w:rPr>
                <w:color w:val="000000"/>
                <w:sz w:val="24"/>
                <w:szCs w:val="24"/>
              </w:rPr>
              <w:t>年</w:t>
            </w:r>
          </w:p>
        </w:tc>
        <w:tc>
          <w:tcPr>
            <w:tcW w:w="2673" w:type="dxa"/>
            <w:vAlign w:val="center"/>
          </w:tcPr>
          <w:p w:rsidR="00C24EFB" w:rsidRDefault="00716C02">
            <w:r>
              <w:rPr>
                <w:color w:val="000000"/>
                <w:sz w:val="24"/>
                <w:szCs w:val="24"/>
              </w:rPr>
              <w:t>陈孜铎先生，清华大学材料科学与工程硕士。</w:t>
            </w:r>
            <w:r>
              <w:rPr>
                <w:color w:val="000000"/>
                <w:sz w:val="24"/>
                <w:szCs w:val="24"/>
              </w:rPr>
              <w:t>2008</w:t>
            </w:r>
            <w:r>
              <w:rPr>
                <w:color w:val="000000"/>
                <w:sz w:val="24"/>
                <w:szCs w:val="24"/>
              </w:rPr>
              <w:t>年加入交银施罗德基金管理有限公司，历任行业分析师、高级研究员。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C24EFB" w:rsidRDefault="00716C0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C24EFB" w:rsidRDefault="00716C0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C24EFB" w:rsidRDefault="00716C0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C24EFB" w:rsidRDefault="00716C02">
      <w:pPr>
        <w:spacing w:before="29" w:line="288" w:lineRule="auto"/>
        <w:ind w:firstLineChars="200" w:firstLine="480"/>
        <w:rPr>
          <w:color w:val="000000"/>
          <w:sz w:val="24"/>
          <w:szCs w:val="24"/>
        </w:rPr>
      </w:pPr>
      <w:r>
        <w:rPr>
          <w:color w:val="000000"/>
          <w:sz w:val="24"/>
          <w:szCs w:val="24"/>
        </w:rPr>
        <w:t>2015</w:t>
      </w:r>
      <w:r>
        <w:rPr>
          <w:color w:val="000000"/>
          <w:sz w:val="24"/>
          <w:szCs w:val="24"/>
        </w:rPr>
        <w:t>年四季度沪深市场在大幅下跌后整体反弹，随着三季度去杠杆风险的释放以及国家史无前例的救市政策，四季度风险偏好有明显修复，各指数均有相当程度的反弹。虽然市场流动性风险有明显缓解，但在更为审慎的监管与政策环境下，资金流入的幅度与速度已经难以回到</w:t>
      </w:r>
      <w:r>
        <w:rPr>
          <w:color w:val="000000"/>
          <w:sz w:val="24"/>
          <w:szCs w:val="24"/>
        </w:rPr>
        <w:t>2015</w:t>
      </w:r>
      <w:r>
        <w:rPr>
          <w:color w:val="000000"/>
          <w:sz w:val="24"/>
          <w:szCs w:val="24"/>
        </w:rPr>
        <w:t>年上半年的峰值水平，在增量资金有限的背景下，中小创业转型股票依然成为市场反弹的先锋，指数反弹尤为明显。</w:t>
      </w:r>
    </w:p>
    <w:p w:rsidR="00C24EFB" w:rsidRDefault="00716C02">
      <w:pPr>
        <w:spacing w:before="29" w:line="288" w:lineRule="auto"/>
        <w:ind w:firstLineChars="200" w:firstLine="480"/>
        <w:rPr>
          <w:color w:val="000000"/>
          <w:sz w:val="24"/>
          <w:szCs w:val="24"/>
        </w:rPr>
      </w:pPr>
      <w:r>
        <w:rPr>
          <w:color w:val="000000"/>
          <w:sz w:val="24"/>
          <w:szCs w:val="24"/>
        </w:rPr>
        <w:t>在整个四季度市场反弹的大背景下，本基金提升了仓位，同时在风格配置上向新兴成长略作倾斜，整体依然保持均衡，在市场反弹当中把握绝对收益机会，四季度本基金净值表现跑赢业绩比较基准。</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2016</w:t>
      </w:r>
      <w:r w:rsidRPr="00414345">
        <w:rPr>
          <w:color w:val="000000"/>
          <w:sz w:val="24"/>
          <w:szCs w:val="24"/>
        </w:rPr>
        <w:t>年一季度，市场、宏观环境有望进入切换窗口，一方面注册制的推出、股票市场的直接融资功能的强化会对市场的供需环境造成重要影响；另一方面人民币的汇率变化、国际美元加息的幅度与节奏、国内以供给侧改革为首的经济政策变化都将持续影响国内的经济宏观环境。在整个</w:t>
      </w:r>
      <w:r w:rsidRPr="00414345">
        <w:rPr>
          <w:color w:val="000000"/>
          <w:sz w:val="24"/>
          <w:szCs w:val="24"/>
        </w:rPr>
        <w:t>2016</w:t>
      </w:r>
      <w:r w:rsidRPr="00414345">
        <w:rPr>
          <w:color w:val="000000"/>
          <w:sz w:val="24"/>
          <w:szCs w:val="24"/>
        </w:rPr>
        <w:t>年市场、经济不确定性进一步增加的大环境下，我们倾向于认为一季度仍然有值得布局与参与的局部投资机会，在转型与改革的大潮流中，值得进一步发掘与深刻认识。在上述基本判断的背景下，本基金将继续以</w:t>
      </w:r>
      <w:r w:rsidRPr="00414345">
        <w:rPr>
          <w:color w:val="000000"/>
          <w:sz w:val="24"/>
          <w:szCs w:val="24"/>
        </w:rPr>
        <w:t>“</w:t>
      </w:r>
      <w:r w:rsidRPr="00414345">
        <w:rPr>
          <w:color w:val="000000"/>
          <w:sz w:val="24"/>
          <w:szCs w:val="24"/>
        </w:rPr>
        <w:t>优中选优</w:t>
      </w:r>
      <w:r w:rsidRPr="00414345">
        <w:rPr>
          <w:color w:val="000000"/>
          <w:sz w:val="24"/>
          <w:szCs w:val="24"/>
        </w:rPr>
        <w:t>”</w:t>
      </w:r>
      <w:r w:rsidRPr="00414345">
        <w:rPr>
          <w:color w:val="000000"/>
          <w:sz w:val="24"/>
          <w:szCs w:val="24"/>
        </w:rPr>
        <w:t>和</w:t>
      </w:r>
      <w:r w:rsidRPr="00414345">
        <w:rPr>
          <w:color w:val="000000"/>
          <w:sz w:val="24"/>
          <w:szCs w:val="24"/>
        </w:rPr>
        <w:t>“</w:t>
      </w:r>
      <w:r w:rsidRPr="00414345">
        <w:rPr>
          <w:color w:val="000000"/>
          <w:sz w:val="24"/>
          <w:szCs w:val="24"/>
        </w:rPr>
        <w:t>破旧立新</w:t>
      </w:r>
      <w:r w:rsidRPr="00414345">
        <w:rPr>
          <w:color w:val="000000"/>
          <w:sz w:val="24"/>
          <w:szCs w:val="24"/>
        </w:rPr>
        <w:t>”</w:t>
      </w:r>
      <w:r w:rsidRPr="00414345">
        <w:rPr>
          <w:color w:val="000000"/>
          <w:sz w:val="24"/>
          <w:szCs w:val="24"/>
        </w:rPr>
        <w:t>为突破口，更加勤勉地深入研究与寻找优秀的投资标的，同时秉承均衡稳健的配置原则，持续高度关注资本市场可能出现的投资机会与风险，及时调整基金组合，努力为基金份额持有人创造较好的业绩回报。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 xml:space="preserve"> 0.9644 </w:t>
      </w:r>
      <w:r w:rsidRPr="00414345">
        <w:rPr>
          <w:color w:val="000000"/>
          <w:sz w:val="24"/>
          <w:szCs w:val="24"/>
        </w:rPr>
        <w:t>元，本报告期份额净值增长率为</w:t>
      </w:r>
      <w:r w:rsidRPr="00414345">
        <w:rPr>
          <w:color w:val="000000"/>
          <w:sz w:val="24"/>
          <w:szCs w:val="24"/>
        </w:rPr>
        <w:t>25.10%</w:t>
      </w:r>
      <w:r w:rsidRPr="00414345">
        <w:rPr>
          <w:color w:val="000000"/>
          <w:sz w:val="24"/>
          <w:szCs w:val="24"/>
        </w:rPr>
        <w:t>，同期业绩比较基准增长率为</w:t>
      </w:r>
      <w:r w:rsidRPr="00414345">
        <w:rPr>
          <w:color w:val="000000"/>
          <w:sz w:val="24"/>
          <w:szCs w:val="24"/>
        </w:rPr>
        <w:t>11.35%</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E2719F" w:rsidRDefault="00E2719F" w:rsidP="00421CD2">
      <w:pPr>
        <w:spacing w:before="29" w:line="288" w:lineRule="auto"/>
        <w:ind w:firstLineChars="200" w:firstLine="480"/>
        <w:rPr>
          <w:rFonts w:hint="eastAsia"/>
          <w:color w:val="000000"/>
          <w:sz w:val="24"/>
        </w:rPr>
      </w:pPr>
      <w:bookmarkStart w:id="0" w:name="_GoBack"/>
      <w:bookmarkEnd w:id="0"/>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2,605,578,883.66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80.83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2,605,578,883.66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80.83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166,290,000.00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5.16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166,290,000.00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5.16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199,750,439.88</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6.20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247,126,841.85</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7.67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4,840,475.80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0.15</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3,223,586,641.19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1,476,897,979.92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47.03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91,935,647.40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76,587,663.76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123,214,604.01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185,036,173.66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66,612,738.40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40,799,796.00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84,542,925.92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141,660,000.00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260,861,149.34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8.31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57,430,205.25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2,605,578,883.66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82.98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C24EFB">
        <w:trPr>
          <w:jc w:val="center"/>
        </w:trPr>
        <w:tc>
          <w:tcPr>
            <w:tcW w:w="855" w:type="dxa"/>
            <w:vAlign w:val="center"/>
          </w:tcPr>
          <w:p w:rsidR="00C24EFB" w:rsidRDefault="00716C02">
            <w:pPr>
              <w:jc w:val="center"/>
            </w:pPr>
            <w:r>
              <w:rPr>
                <w:color w:val="000000"/>
                <w:sz w:val="24"/>
                <w:szCs w:val="24"/>
              </w:rPr>
              <w:t>1</w:t>
            </w:r>
          </w:p>
        </w:tc>
        <w:tc>
          <w:tcPr>
            <w:tcW w:w="1334" w:type="dxa"/>
            <w:vAlign w:val="center"/>
          </w:tcPr>
          <w:p w:rsidR="00C24EFB" w:rsidRDefault="00716C02">
            <w:pPr>
              <w:jc w:val="center"/>
            </w:pPr>
            <w:r>
              <w:rPr>
                <w:color w:val="000000"/>
                <w:sz w:val="24"/>
                <w:szCs w:val="24"/>
              </w:rPr>
              <w:t>603555</w:t>
            </w:r>
          </w:p>
        </w:tc>
        <w:tc>
          <w:tcPr>
            <w:tcW w:w="1777" w:type="dxa"/>
            <w:vAlign w:val="center"/>
          </w:tcPr>
          <w:p w:rsidR="00C24EFB" w:rsidRDefault="00716C02">
            <w:pPr>
              <w:jc w:val="center"/>
            </w:pPr>
            <w:r>
              <w:rPr>
                <w:color w:val="000000"/>
                <w:sz w:val="24"/>
                <w:szCs w:val="24"/>
              </w:rPr>
              <w:t>贵人鸟</w:t>
            </w:r>
          </w:p>
        </w:tc>
        <w:tc>
          <w:tcPr>
            <w:tcW w:w="1334" w:type="dxa"/>
            <w:vAlign w:val="center"/>
          </w:tcPr>
          <w:p w:rsidR="00C24EFB" w:rsidRDefault="00716C02">
            <w:pPr>
              <w:jc w:val="right"/>
            </w:pPr>
            <w:r>
              <w:rPr>
                <w:color w:val="000000"/>
                <w:sz w:val="24"/>
                <w:szCs w:val="24"/>
              </w:rPr>
              <w:t>4,500,000</w:t>
            </w:r>
          </w:p>
        </w:tc>
        <w:tc>
          <w:tcPr>
            <w:tcW w:w="1924" w:type="dxa"/>
            <w:vAlign w:val="center"/>
          </w:tcPr>
          <w:p w:rsidR="00C24EFB" w:rsidRDefault="00716C02">
            <w:pPr>
              <w:jc w:val="right"/>
            </w:pPr>
            <w:r>
              <w:rPr>
                <w:color w:val="000000"/>
                <w:sz w:val="24"/>
                <w:szCs w:val="24"/>
              </w:rPr>
              <w:t>159,435,000.00</w:t>
            </w:r>
          </w:p>
        </w:tc>
        <w:tc>
          <w:tcPr>
            <w:tcW w:w="1644" w:type="dxa"/>
            <w:vAlign w:val="center"/>
          </w:tcPr>
          <w:p w:rsidR="00C24EFB" w:rsidRDefault="00716C02">
            <w:pPr>
              <w:jc w:val="right"/>
            </w:pPr>
            <w:r>
              <w:rPr>
                <w:color w:val="000000"/>
                <w:sz w:val="24"/>
                <w:szCs w:val="24"/>
              </w:rPr>
              <w:t>5.08</w:t>
            </w:r>
          </w:p>
        </w:tc>
      </w:tr>
      <w:tr w:rsidR="00C24EFB">
        <w:trPr>
          <w:jc w:val="center"/>
        </w:trPr>
        <w:tc>
          <w:tcPr>
            <w:tcW w:w="855" w:type="dxa"/>
            <w:vAlign w:val="center"/>
          </w:tcPr>
          <w:p w:rsidR="00C24EFB" w:rsidRDefault="00716C02">
            <w:pPr>
              <w:jc w:val="center"/>
            </w:pPr>
            <w:r>
              <w:rPr>
                <w:color w:val="000000"/>
                <w:sz w:val="24"/>
                <w:szCs w:val="24"/>
              </w:rPr>
              <w:t>2</w:t>
            </w:r>
          </w:p>
        </w:tc>
        <w:tc>
          <w:tcPr>
            <w:tcW w:w="1334" w:type="dxa"/>
            <w:vAlign w:val="center"/>
          </w:tcPr>
          <w:p w:rsidR="00C24EFB" w:rsidRDefault="00716C02">
            <w:pPr>
              <w:jc w:val="center"/>
            </w:pPr>
            <w:r>
              <w:rPr>
                <w:color w:val="000000"/>
                <w:sz w:val="24"/>
                <w:szCs w:val="24"/>
              </w:rPr>
              <w:t>600054</w:t>
            </w:r>
          </w:p>
        </w:tc>
        <w:tc>
          <w:tcPr>
            <w:tcW w:w="1777" w:type="dxa"/>
            <w:vAlign w:val="center"/>
          </w:tcPr>
          <w:p w:rsidR="00C24EFB" w:rsidRDefault="00716C02">
            <w:pPr>
              <w:jc w:val="center"/>
            </w:pPr>
            <w:r>
              <w:rPr>
                <w:color w:val="000000"/>
                <w:sz w:val="24"/>
                <w:szCs w:val="24"/>
              </w:rPr>
              <w:t>黄山旅游</w:t>
            </w:r>
          </w:p>
        </w:tc>
        <w:tc>
          <w:tcPr>
            <w:tcW w:w="1334" w:type="dxa"/>
            <w:vAlign w:val="center"/>
          </w:tcPr>
          <w:p w:rsidR="00C24EFB" w:rsidRDefault="00716C02">
            <w:pPr>
              <w:jc w:val="right"/>
            </w:pPr>
            <w:r>
              <w:rPr>
                <w:color w:val="000000"/>
                <w:sz w:val="24"/>
                <w:szCs w:val="24"/>
              </w:rPr>
              <w:t>6,000,000</w:t>
            </w:r>
          </w:p>
        </w:tc>
        <w:tc>
          <w:tcPr>
            <w:tcW w:w="1924" w:type="dxa"/>
            <w:vAlign w:val="center"/>
          </w:tcPr>
          <w:p w:rsidR="00C24EFB" w:rsidRDefault="00716C02">
            <w:pPr>
              <w:jc w:val="right"/>
            </w:pPr>
            <w:r>
              <w:rPr>
                <w:color w:val="000000"/>
                <w:sz w:val="24"/>
                <w:szCs w:val="24"/>
              </w:rPr>
              <w:t>141,660,000.00</w:t>
            </w:r>
          </w:p>
        </w:tc>
        <w:tc>
          <w:tcPr>
            <w:tcW w:w="1644" w:type="dxa"/>
            <w:vAlign w:val="center"/>
          </w:tcPr>
          <w:p w:rsidR="00C24EFB" w:rsidRDefault="00716C02">
            <w:pPr>
              <w:jc w:val="right"/>
            </w:pPr>
            <w:r>
              <w:rPr>
                <w:color w:val="000000"/>
                <w:sz w:val="24"/>
                <w:szCs w:val="24"/>
              </w:rPr>
              <w:t>4.51</w:t>
            </w:r>
          </w:p>
        </w:tc>
      </w:tr>
      <w:tr w:rsidR="00C24EFB">
        <w:trPr>
          <w:jc w:val="center"/>
        </w:trPr>
        <w:tc>
          <w:tcPr>
            <w:tcW w:w="855" w:type="dxa"/>
            <w:vAlign w:val="center"/>
          </w:tcPr>
          <w:p w:rsidR="00C24EFB" w:rsidRDefault="00716C02">
            <w:pPr>
              <w:jc w:val="center"/>
            </w:pPr>
            <w:r>
              <w:rPr>
                <w:color w:val="000000"/>
                <w:sz w:val="24"/>
                <w:szCs w:val="24"/>
              </w:rPr>
              <w:t>3</w:t>
            </w:r>
          </w:p>
        </w:tc>
        <w:tc>
          <w:tcPr>
            <w:tcW w:w="1334" w:type="dxa"/>
            <w:vAlign w:val="center"/>
          </w:tcPr>
          <w:p w:rsidR="00C24EFB" w:rsidRDefault="00716C02">
            <w:pPr>
              <w:jc w:val="center"/>
            </w:pPr>
            <w:r>
              <w:rPr>
                <w:color w:val="000000"/>
                <w:sz w:val="24"/>
                <w:szCs w:val="24"/>
              </w:rPr>
              <w:t>002450</w:t>
            </w:r>
          </w:p>
        </w:tc>
        <w:tc>
          <w:tcPr>
            <w:tcW w:w="1777" w:type="dxa"/>
            <w:vAlign w:val="center"/>
          </w:tcPr>
          <w:p w:rsidR="00C24EFB" w:rsidRDefault="00716C02">
            <w:pPr>
              <w:jc w:val="center"/>
            </w:pPr>
            <w:r>
              <w:rPr>
                <w:color w:val="000000"/>
                <w:sz w:val="24"/>
                <w:szCs w:val="24"/>
              </w:rPr>
              <w:t>康得新</w:t>
            </w:r>
          </w:p>
        </w:tc>
        <w:tc>
          <w:tcPr>
            <w:tcW w:w="1334" w:type="dxa"/>
            <w:vAlign w:val="center"/>
          </w:tcPr>
          <w:p w:rsidR="00C24EFB" w:rsidRDefault="00716C02">
            <w:pPr>
              <w:jc w:val="right"/>
            </w:pPr>
            <w:r>
              <w:rPr>
                <w:color w:val="000000"/>
                <w:sz w:val="24"/>
                <w:szCs w:val="24"/>
              </w:rPr>
              <w:t>3,222,830</w:t>
            </w:r>
          </w:p>
        </w:tc>
        <w:tc>
          <w:tcPr>
            <w:tcW w:w="1924" w:type="dxa"/>
            <w:vAlign w:val="center"/>
          </w:tcPr>
          <w:p w:rsidR="00C24EFB" w:rsidRDefault="00716C02">
            <w:pPr>
              <w:jc w:val="right"/>
            </w:pPr>
            <w:r>
              <w:rPr>
                <w:color w:val="000000"/>
                <w:sz w:val="24"/>
                <w:szCs w:val="24"/>
              </w:rPr>
              <w:t>122,789,823.00</w:t>
            </w:r>
          </w:p>
        </w:tc>
        <w:tc>
          <w:tcPr>
            <w:tcW w:w="1644" w:type="dxa"/>
            <w:vAlign w:val="center"/>
          </w:tcPr>
          <w:p w:rsidR="00C24EFB" w:rsidRDefault="00716C02">
            <w:pPr>
              <w:jc w:val="right"/>
            </w:pPr>
            <w:r>
              <w:rPr>
                <w:color w:val="000000"/>
                <w:sz w:val="24"/>
                <w:szCs w:val="24"/>
              </w:rPr>
              <w:t>3.91</w:t>
            </w:r>
          </w:p>
        </w:tc>
      </w:tr>
      <w:tr w:rsidR="00C24EFB">
        <w:trPr>
          <w:jc w:val="center"/>
        </w:trPr>
        <w:tc>
          <w:tcPr>
            <w:tcW w:w="855" w:type="dxa"/>
            <w:vAlign w:val="center"/>
          </w:tcPr>
          <w:p w:rsidR="00C24EFB" w:rsidRDefault="00716C02">
            <w:pPr>
              <w:jc w:val="center"/>
            </w:pPr>
            <w:r>
              <w:rPr>
                <w:color w:val="000000"/>
                <w:sz w:val="24"/>
                <w:szCs w:val="24"/>
              </w:rPr>
              <w:t>4</w:t>
            </w:r>
          </w:p>
        </w:tc>
        <w:tc>
          <w:tcPr>
            <w:tcW w:w="1334" w:type="dxa"/>
            <w:vAlign w:val="center"/>
          </w:tcPr>
          <w:p w:rsidR="00C24EFB" w:rsidRDefault="00716C02">
            <w:pPr>
              <w:jc w:val="center"/>
            </w:pPr>
            <w:r>
              <w:rPr>
                <w:color w:val="000000"/>
                <w:sz w:val="24"/>
                <w:szCs w:val="24"/>
              </w:rPr>
              <w:t>002555</w:t>
            </w:r>
          </w:p>
        </w:tc>
        <w:tc>
          <w:tcPr>
            <w:tcW w:w="1777" w:type="dxa"/>
            <w:vAlign w:val="center"/>
          </w:tcPr>
          <w:p w:rsidR="00C24EFB" w:rsidRDefault="00716C02">
            <w:pPr>
              <w:jc w:val="center"/>
            </w:pPr>
            <w:r>
              <w:rPr>
                <w:color w:val="000000"/>
                <w:sz w:val="24"/>
                <w:szCs w:val="24"/>
              </w:rPr>
              <w:t>顺荣三七</w:t>
            </w:r>
          </w:p>
        </w:tc>
        <w:tc>
          <w:tcPr>
            <w:tcW w:w="1334" w:type="dxa"/>
            <w:vAlign w:val="center"/>
          </w:tcPr>
          <w:p w:rsidR="00C24EFB" w:rsidRDefault="00716C02">
            <w:pPr>
              <w:jc w:val="right"/>
            </w:pPr>
            <w:r>
              <w:rPr>
                <w:color w:val="000000"/>
                <w:sz w:val="24"/>
                <w:szCs w:val="24"/>
              </w:rPr>
              <w:t>2,500,000</w:t>
            </w:r>
          </w:p>
        </w:tc>
        <w:tc>
          <w:tcPr>
            <w:tcW w:w="1924" w:type="dxa"/>
            <w:vAlign w:val="center"/>
          </w:tcPr>
          <w:p w:rsidR="00C24EFB" w:rsidRDefault="00716C02">
            <w:pPr>
              <w:jc w:val="right"/>
            </w:pPr>
            <w:r>
              <w:rPr>
                <w:color w:val="000000"/>
                <w:sz w:val="24"/>
                <w:szCs w:val="24"/>
              </w:rPr>
              <w:t>122,150,000.00</w:t>
            </w:r>
          </w:p>
        </w:tc>
        <w:tc>
          <w:tcPr>
            <w:tcW w:w="1644" w:type="dxa"/>
            <w:vAlign w:val="center"/>
          </w:tcPr>
          <w:p w:rsidR="00C24EFB" w:rsidRDefault="00716C02">
            <w:pPr>
              <w:jc w:val="right"/>
            </w:pPr>
            <w:r>
              <w:rPr>
                <w:color w:val="000000"/>
                <w:sz w:val="24"/>
                <w:szCs w:val="24"/>
              </w:rPr>
              <w:t>3.89</w:t>
            </w:r>
          </w:p>
        </w:tc>
      </w:tr>
      <w:tr w:rsidR="00C24EFB">
        <w:trPr>
          <w:jc w:val="center"/>
        </w:trPr>
        <w:tc>
          <w:tcPr>
            <w:tcW w:w="855" w:type="dxa"/>
            <w:vAlign w:val="center"/>
          </w:tcPr>
          <w:p w:rsidR="00C24EFB" w:rsidRDefault="00716C02">
            <w:pPr>
              <w:jc w:val="center"/>
            </w:pPr>
            <w:r>
              <w:rPr>
                <w:color w:val="000000"/>
                <w:sz w:val="24"/>
                <w:szCs w:val="24"/>
              </w:rPr>
              <w:t>5</w:t>
            </w:r>
          </w:p>
        </w:tc>
        <w:tc>
          <w:tcPr>
            <w:tcW w:w="1334" w:type="dxa"/>
            <w:vAlign w:val="center"/>
          </w:tcPr>
          <w:p w:rsidR="00C24EFB" w:rsidRDefault="00716C02">
            <w:pPr>
              <w:jc w:val="center"/>
            </w:pPr>
            <w:r>
              <w:rPr>
                <w:color w:val="000000"/>
                <w:sz w:val="24"/>
                <w:szCs w:val="24"/>
              </w:rPr>
              <w:t>002131</w:t>
            </w:r>
          </w:p>
        </w:tc>
        <w:tc>
          <w:tcPr>
            <w:tcW w:w="1777" w:type="dxa"/>
            <w:vAlign w:val="center"/>
          </w:tcPr>
          <w:p w:rsidR="00C24EFB" w:rsidRDefault="00716C02">
            <w:pPr>
              <w:jc w:val="center"/>
            </w:pPr>
            <w:r>
              <w:rPr>
                <w:color w:val="000000"/>
                <w:sz w:val="24"/>
                <w:szCs w:val="24"/>
              </w:rPr>
              <w:t>利欧股份</w:t>
            </w:r>
          </w:p>
        </w:tc>
        <w:tc>
          <w:tcPr>
            <w:tcW w:w="1334" w:type="dxa"/>
            <w:vAlign w:val="center"/>
          </w:tcPr>
          <w:p w:rsidR="00C24EFB" w:rsidRDefault="00716C02">
            <w:pPr>
              <w:jc w:val="right"/>
            </w:pPr>
            <w:r>
              <w:rPr>
                <w:color w:val="000000"/>
                <w:sz w:val="24"/>
                <w:szCs w:val="24"/>
              </w:rPr>
              <w:t>5,307,653</w:t>
            </w:r>
          </w:p>
        </w:tc>
        <w:tc>
          <w:tcPr>
            <w:tcW w:w="1924" w:type="dxa"/>
            <w:vAlign w:val="center"/>
          </w:tcPr>
          <w:p w:rsidR="00C24EFB" w:rsidRDefault="00716C02">
            <w:pPr>
              <w:jc w:val="right"/>
            </w:pPr>
            <w:r>
              <w:rPr>
                <w:color w:val="000000"/>
                <w:sz w:val="24"/>
                <w:szCs w:val="24"/>
              </w:rPr>
              <w:t>103,499,233.50</w:t>
            </w:r>
          </w:p>
        </w:tc>
        <w:tc>
          <w:tcPr>
            <w:tcW w:w="1644" w:type="dxa"/>
            <w:vAlign w:val="center"/>
          </w:tcPr>
          <w:p w:rsidR="00C24EFB" w:rsidRDefault="00716C02">
            <w:pPr>
              <w:jc w:val="right"/>
            </w:pPr>
            <w:r>
              <w:rPr>
                <w:color w:val="000000"/>
                <w:sz w:val="24"/>
                <w:szCs w:val="24"/>
              </w:rPr>
              <w:t>3.30</w:t>
            </w:r>
          </w:p>
        </w:tc>
      </w:tr>
      <w:tr w:rsidR="00C24EFB">
        <w:trPr>
          <w:jc w:val="center"/>
        </w:trPr>
        <w:tc>
          <w:tcPr>
            <w:tcW w:w="855" w:type="dxa"/>
            <w:vAlign w:val="center"/>
          </w:tcPr>
          <w:p w:rsidR="00C24EFB" w:rsidRDefault="00716C02">
            <w:pPr>
              <w:jc w:val="center"/>
            </w:pPr>
            <w:r>
              <w:rPr>
                <w:color w:val="000000"/>
                <w:sz w:val="24"/>
                <w:szCs w:val="24"/>
              </w:rPr>
              <w:t>6</w:t>
            </w:r>
          </w:p>
        </w:tc>
        <w:tc>
          <w:tcPr>
            <w:tcW w:w="1334" w:type="dxa"/>
            <w:vAlign w:val="center"/>
          </w:tcPr>
          <w:p w:rsidR="00C24EFB" w:rsidRDefault="00716C02">
            <w:pPr>
              <w:jc w:val="center"/>
            </w:pPr>
            <w:r>
              <w:rPr>
                <w:color w:val="000000"/>
                <w:sz w:val="24"/>
                <w:szCs w:val="24"/>
              </w:rPr>
              <w:t>002456</w:t>
            </w:r>
          </w:p>
        </w:tc>
        <w:tc>
          <w:tcPr>
            <w:tcW w:w="1777" w:type="dxa"/>
            <w:vAlign w:val="center"/>
          </w:tcPr>
          <w:p w:rsidR="00C24EFB" w:rsidRDefault="00716C02">
            <w:pPr>
              <w:jc w:val="center"/>
            </w:pPr>
            <w:r>
              <w:rPr>
                <w:color w:val="000000"/>
                <w:sz w:val="24"/>
                <w:szCs w:val="24"/>
              </w:rPr>
              <w:t>欧菲光</w:t>
            </w:r>
          </w:p>
        </w:tc>
        <w:tc>
          <w:tcPr>
            <w:tcW w:w="1334" w:type="dxa"/>
            <w:vAlign w:val="center"/>
          </w:tcPr>
          <w:p w:rsidR="00C24EFB" w:rsidRDefault="00716C02">
            <w:pPr>
              <w:jc w:val="right"/>
            </w:pPr>
            <w:r>
              <w:rPr>
                <w:color w:val="000000"/>
                <w:sz w:val="24"/>
                <w:szCs w:val="24"/>
              </w:rPr>
              <w:t>2,999,964</w:t>
            </w:r>
          </w:p>
        </w:tc>
        <w:tc>
          <w:tcPr>
            <w:tcW w:w="1924" w:type="dxa"/>
            <w:vAlign w:val="center"/>
          </w:tcPr>
          <w:p w:rsidR="00C24EFB" w:rsidRDefault="00716C02">
            <w:pPr>
              <w:jc w:val="right"/>
            </w:pPr>
            <w:r>
              <w:rPr>
                <w:color w:val="000000"/>
                <w:sz w:val="24"/>
                <w:szCs w:val="24"/>
              </w:rPr>
              <w:t>93,058,883.28</w:t>
            </w:r>
          </w:p>
        </w:tc>
        <w:tc>
          <w:tcPr>
            <w:tcW w:w="1644" w:type="dxa"/>
            <w:vAlign w:val="center"/>
          </w:tcPr>
          <w:p w:rsidR="00C24EFB" w:rsidRDefault="00716C02">
            <w:pPr>
              <w:jc w:val="right"/>
            </w:pPr>
            <w:r>
              <w:rPr>
                <w:color w:val="000000"/>
                <w:sz w:val="24"/>
                <w:szCs w:val="24"/>
              </w:rPr>
              <w:t>2.96</w:t>
            </w:r>
          </w:p>
        </w:tc>
      </w:tr>
      <w:tr w:rsidR="00C24EFB">
        <w:trPr>
          <w:jc w:val="center"/>
        </w:trPr>
        <w:tc>
          <w:tcPr>
            <w:tcW w:w="855" w:type="dxa"/>
            <w:vAlign w:val="center"/>
          </w:tcPr>
          <w:p w:rsidR="00C24EFB" w:rsidRDefault="00716C02">
            <w:pPr>
              <w:jc w:val="center"/>
            </w:pPr>
            <w:r>
              <w:rPr>
                <w:color w:val="000000"/>
                <w:sz w:val="24"/>
                <w:szCs w:val="24"/>
              </w:rPr>
              <w:t>7</w:t>
            </w:r>
          </w:p>
        </w:tc>
        <w:tc>
          <w:tcPr>
            <w:tcW w:w="1334" w:type="dxa"/>
            <w:vAlign w:val="center"/>
          </w:tcPr>
          <w:p w:rsidR="00C24EFB" w:rsidRDefault="00716C02">
            <w:pPr>
              <w:jc w:val="center"/>
            </w:pPr>
            <w:r>
              <w:rPr>
                <w:color w:val="000000"/>
                <w:sz w:val="24"/>
                <w:szCs w:val="24"/>
              </w:rPr>
              <w:t>600900</w:t>
            </w:r>
          </w:p>
        </w:tc>
        <w:tc>
          <w:tcPr>
            <w:tcW w:w="1777" w:type="dxa"/>
            <w:vAlign w:val="center"/>
          </w:tcPr>
          <w:p w:rsidR="00C24EFB" w:rsidRDefault="00716C02">
            <w:pPr>
              <w:jc w:val="center"/>
            </w:pPr>
            <w:r>
              <w:rPr>
                <w:color w:val="000000"/>
                <w:sz w:val="24"/>
                <w:szCs w:val="24"/>
              </w:rPr>
              <w:t>长江电力</w:t>
            </w:r>
          </w:p>
        </w:tc>
        <w:tc>
          <w:tcPr>
            <w:tcW w:w="1334" w:type="dxa"/>
            <w:vAlign w:val="center"/>
          </w:tcPr>
          <w:p w:rsidR="00C24EFB" w:rsidRDefault="00716C02">
            <w:pPr>
              <w:jc w:val="right"/>
            </w:pPr>
            <w:r>
              <w:rPr>
                <w:color w:val="000000"/>
                <w:sz w:val="24"/>
                <w:szCs w:val="24"/>
              </w:rPr>
              <w:t>6,779,915</w:t>
            </w:r>
          </w:p>
        </w:tc>
        <w:tc>
          <w:tcPr>
            <w:tcW w:w="1924" w:type="dxa"/>
            <w:vAlign w:val="center"/>
          </w:tcPr>
          <w:p w:rsidR="00C24EFB" w:rsidRDefault="00716C02">
            <w:pPr>
              <w:jc w:val="right"/>
            </w:pPr>
            <w:r>
              <w:rPr>
                <w:color w:val="000000"/>
                <w:sz w:val="24"/>
                <w:szCs w:val="24"/>
              </w:rPr>
              <w:t>91,935,647.40</w:t>
            </w:r>
          </w:p>
        </w:tc>
        <w:tc>
          <w:tcPr>
            <w:tcW w:w="1644" w:type="dxa"/>
            <w:vAlign w:val="center"/>
          </w:tcPr>
          <w:p w:rsidR="00C24EFB" w:rsidRDefault="00716C02">
            <w:pPr>
              <w:jc w:val="right"/>
            </w:pPr>
            <w:r>
              <w:rPr>
                <w:color w:val="000000"/>
                <w:sz w:val="24"/>
                <w:szCs w:val="24"/>
              </w:rPr>
              <w:t>2.93</w:t>
            </w:r>
          </w:p>
        </w:tc>
      </w:tr>
      <w:tr w:rsidR="00C24EFB">
        <w:trPr>
          <w:jc w:val="center"/>
        </w:trPr>
        <w:tc>
          <w:tcPr>
            <w:tcW w:w="855" w:type="dxa"/>
            <w:vAlign w:val="center"/>
          </w:tcPr>
          <w:p w:rsidR="00C24EFB" w:rsidRDefault="00716C02">
            <w:pPr>
              <w:jc w:val="center"/>
            </w:pPr>
            <w:r>
              <w:rPr>
                <w:color w:val="000000"/>
                <w:sz w:val="24"/>
                <w:szCs w:val="24"/>
              </w:rPr>
              <w:t>8</w:t>
            </w:r>
          </w:p>
        </w:tc>
        <w:tc>
          <w:tcPr>
            <w:tcW w:w="1334" w:type="dxa"/>
            <w:vAlign w:val="center"/>
          </w:tcPr>
          <w:p w:rsidR="00C24EFB" w:rsidRDefault="00716C02">
            <w:pPr>
              <w:jc w:val="center"/>
            </w:pPr>
            <w:r>
              <w:rPr>
                <w:color w:val="000000"/>
                <w:sz w:val="24"/>
                <w:szCs w:val="24"/>
              </w:rPr>
              <w:t>600104</w:t>
            </w:r>
          </w:p>
        </w:tc>
        <w:tc>
          <w:tcPr>
            <w:tcW w:w="1777" w:type="dxa"/>
            <w:vAlign w:val="center"/>
          </w:tcPr>
          <w:p w:rsidR="00C24EFB" w:rsidRDefault="00716C02">
            <w:pPr>
              <w:jc w:val="center"/>
            </w:pPr>
            <w:r>
              <w:rPr>
                <w:color w:val="000000"/>
                <w:sz w:val="24"/>
                <w:szCs w:val="24"/>
              </w:rPr>
              <w:t>上汽集团</w:t>
            </w:r>
          </w:p>
        </w:tc>
        <w:tc>
          <w:tcPr>
            <w:tcW w:w="1334" w:type="dxa"/>
            <w:vAlign w:val="center"/>
          </w:tcPr>
          <w:p w:rsidR="00C24EFB" w:rsidRDefault="00716C02">
            <w:pPr>
              <w:jc w:val="right"/>
            </w:pPr>
            <w:r>
              <w:rPr>
                <w:color w:val="000000"/>
                <w:sz w:val="24"/>
                <w:szCs w:val="24"/>
              </w:rPr>
              <w:t>4,009,972</w:t>
            </w:r>
          </w:p>
        </w:tc>
        <w:tc>
          <w:tcPr>
            <w:tcW w:w="1924" w:type="dxa"/>
            <w:vAlign w:val="center"/>
          </w:tcPr>
          <w:p w:rsidR="00C24EFB" w:rsidRDefault="00716C02">
            <w:pPr>
              <w:jc w:val="right"/>
            </w:pPr>
            <w:r>
              <w:rPr>
                <w:color w:val="000000"/>
                <w:sz w:val="24"/>
                <w:szCs w:val="24"/>
              </w:rPr>
              <w:t>85,091,605.84</w:t>
            </w:r>
          </w:p>
        </w:tc>
        <w:tc>
          <w:tcPr>
            <w:tcW w:w="1644" w:type="dxa"/>
            <w:vAlign w:val="center"/>
          </w:tcPr>
          <w:p w:rsidR="00C24EFB" w:rsidRDefault="00716C02">
            <w:pPr>
              <w:jc w:val="right"/>
            </w:pPr>
            <w:r>
              <w:rPr>
                <w:color w:val="000000"/>
                <w:sz w:val="24"/>
                <w:szCs w:val="24"/>
              </w:rPr>
              <w:t>2.71</w:t>
            </w:r>
          </w:p>
        </w:tc>
      </w:tr>
      <w:tr w:rsidR="00C24EFB">
        <w:trPr>
          <w:jc w:val="center"/>
        </w:trPr>
        <w:tc>
          <w:tcPr>
            <w:tcW w:w="855" w:type="dxa"/>
            <w:vAlign w:val="center"/>
          </w:tcPr>
          <w:p w:rsidR="00C24EFB" w:rsidRDefault="00716C02">
            <w:pPr>
              <w:jc w:val="center"/>
            </w:pPr>
            <w:r>
              <w:rPr>
                <w:color w:val="000000"/>
                <w:sz w:val="24"/>
                <w:szCs w:val="24"/>
              </w:rPr>
              <w:t>9</w:t>
            </w:r>
          </w:p>
        </w:tc>
        <w:tc>
          <w:tcPr>
            <w:tcW w:w="1334" w:type="dxa"/>
            <w:vAlign w:val="center"/>
          </w:tcPr>
          <w:p w:rsidR="00C24EFB" w:rsidRDefault="00716C02">
            <w:pPr>
              <w:jc w:val="center"/>
            </w:pPr>
            <w:r>
              <w:rPr>
                <w:color w:val="000000"/>
                <w:sz w:val="24"/>
                <w:szCs w:val="24"/>
              </w:rPr>
              <w:t>002508</w:t>
            </w:r>
          </w:p>
        </w:tc>
        <w:tc>
          <w:tcPr>
            <w:tcW w:w="1777" w:type="dxa"/>
            <w:vAlign w:val="center"/>
          </w:tcPr>
          <w:p w:rsidR="00C24EFB" w:rsidRDefault="00716C02">
            <w:pPr>
              <w:jc w:val="center"/>
            </w:pPr>
            <w:r>
              <w:rPr>
                <w:color w:val="000000"/>
                <w:sz w:val="24"/>
                <w:szCs w:val="24"/>
              </w:rPr>
              <w:t>老板电器</w:t>
            </w:r>
          </w:p>
        </w:tc>
        <w:tc>
          <w:tcPr>
            <w:tcW w:w="1334" w:type="dxa"/>
            <w:vAlign w:val="center"/>
          </w:tcPr>
          <w:p w:rsidR="00C24EFB" w:rsidRDefault="00716C02">
            <w:pPr>
              <w:jc w:val="right"/>
            </w:pPr>
            <w:r>
              <w:rPr>
                <w:color w:val="000000"/>
                <w:sz w:val="24"/>
                <w:szCs w:val="24"/>
              </w:rPr>
              <w:t>1,800,000</w:t>
            </w:r>
          </w:p>
        </w:tc>
        <w:tc>
          <w:tcPr>
            <w:tcW w:w="1924" w:type="dxa"/>
            <w:vAlign w:val="center"/>
          </w:tcPr>
          <w:p w:rsidR="00C24EFB" w:rsidRDefault="00716C02">
            <w:pPr>
              <w:jc w:val="right"/>
            </w:pPr>
            <w:r>
              <w:rPr>
                <w:color w:val="000000"/>
                <w:sz w:val="24"/>
                <w:szCs w:val="24"/>
              </w:rPr>
              <w:t>80,910,000.00</w:t>
            </w:r>
          </w:p>
        </w:tc>
        <w:tc>
          <w:tcPr>
            <w:tcW w:w="1644" w:type="dxa"/>
            <w:vAlign w:val="center"/>
          </w:tcPr>
          <w:p w:rsidR="00C24EFB" w:rsidRDefault="00716C02">
            <w:pPr>
              <w:jc w:val="right"/>
            </w:pPr>
            <w:r>
              <w:rPr>
                <w:color w:val="000000"/>
                <w:sz w:val="24"/>
                <w:szCs w:val="24"/>
              </w:rPr>
              <w:t>2.58</w:t>
            </w:r>
          </w:p>
        </w:tc>
      </w:tr>
      <w:tr w:rsidR="00C24EFB">
        <w:trPr>
          <w:jc w:val="center"/>
        </w:trPr>
        <w:tc>
          <w:tcPr>
            <w:tcW w:w="855" w:type="dxa"/>
            <w:vAlign w:val="center"/>
          </w:tcPr>
          <w:p w:rsidR="00C24EFB" w:rsidRDefault="00716C02">
            <w:pPr>
              <w:jc w:val="center"/>
            </w:pPr>
            <w:r>
              <w:rPr>
                <w:color w:val="000000"/>
                <w:sz w:val="24"/>
                <w:szCs w:val="24"/>
              </w:rPr>
              <w:t>10</w:t>
            </w:r>
          </w:p>
        </w:tc>
        <w:tc>
          <w:tcPr>
            <w:tcW w:w="1334" w:type="dxa"/>
            <w:vAlign w:val="center"/>
          </w:tcPr>
          <w:p w:rsidR="00C24EFB" w:rsidRDefault="00716C02">
            <w:pPr>
              <w:jc w:val="center"/>
            </w:pPr>
            <w:r>
              <w:rPr>
                <w:color w:val="000000"/>
                <w:sz w:val="24"/>
                <w:szCs w:val="24"/>
              </w:rPr>
              <w:t>002081</w:t>
            </w:r>
          </w:p>
        </w:tc>
        <w:tc>
          <w:tcPr>
            <w:tcW w:w="1777" w:type="dxa"/>
            <w:vAlign w:val="center"/>
          </w:tcPr>
          <w:p w:rsidR="00C24EFB" w:rsidRDefault="00716C02">
            <w:pPr>
              <w:jc w:val="center"/>
            </w:pPr>
            <w:r>
              <w:rPr>
                <w:color w:val="000000"/>
                <w:sz w:val="24"/>
                <w:szCs w:val="24"/>
              </w:rPr>
              <w:t>金</w:t>
            </w:r>
            <w:r>
              <w:rPr>
                <w:color w:val="000000"/>
                <w:sz w:val="24"/>
                <w:szCs w:val="24"/>
              </w:rPr>
              <w:t xml:space="preserve"> </w:t>
            </w:r>
            <w:r>
              <w:rPr>
                <w:color w:val="000000"/>
                <w:sz w:val="24"/>
                <w:szCs w:val="24"/>
              </w:rPr>
              <w:t>螳</w:t>
            </w:r>
            <w:r>
              <w:rPr>
                <w:color w:val="000000"/>
                <w:sz w:val="24"/>
                <w:szCs w:val="24"/>
              </w:rPr>
              <w:t xml:space="preserve"> </w:t>
            </w:r>
            <w:r>
              <w:rPr>
                <w:color w:val="000000"/>
                <w:sz w:val="24"/>
                <w:szCs w:val="24"/>
              </w:rPr>
              <w:t>螂</w:t>
            </w:r>
          </w:p>
        </w:tc>
        <w:tc>
          <w:tcPr>
            <w:tcW w:w="1334" w:type="dxa"/>
            <w:vAlign w:val="center"/>
          </w:tcPr>
          <w:p w:rsidR="00C24EFB" w:rsidRDefault="00716C02">
            <w:pPr>
              <w:jc w:val="right"/>
            </w:pPr>
            <w:r>
              <w:rPr>
                <w:color w:val="000000"/>
                <w:sz w:val="24"/>
                <w:szCs w:val="24"/>
              </w:rPr>
              <w:t>4,099,982</w:t>
            </w:r>
          </w:p>
        </w:tc>
        <w:tc>
          <w:tcPr>
            <w:tcW w:w="1924" w:type="dxa"/>
            <w:vAlign w:val="center"/>
          </w:tcPr>
          <w:p w:rsidR="00C24EFB" w:rsidRDefault="00716C02">
            <w:pPr>
              <w:jc w:val="right"/>
            </w:pPr>
            <w:r>
              <w:rPr>
                <w:color w:val="000000"/>
                <w:sz w:val="24"/>
                <w:szCs w:val="24"/>
              </w:rPr>
              <w:t>76,587,663.76</w:t>
            </w:r>
          </w:p>
        </w:tc>
        <w:tc>
          <w:tcPr>
            <w:tcW w:w="1644" w:type="dxa"/>
            <w:vAlign w:val="center"/>
          </w:tcPr>
          <w:p w:rsidR="00C24EFB" w:rsidRDefault="00716C02">
            <w:pPr>
              <w:jc w:val="right"/>
            </w:pPr>
            <w:r>
              <w:rPr>
                <w:color w:val="000000"/>
                <w:sz w:val="24"/>
                <w:szCs w:val="24"/>
              </w:rPr>
              <w:t>2.44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140,322,000.00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140,322,000.00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25,968,000.00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0.83</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166,290,000.00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5.30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C24EFB">
        <w:trPr>
          <w:jc w:val="center"/>
        </w:trPr>
        <w:tc>
          <w:tcPr>
            <w:tcW w:w="850" w:type="dxa"/>
            <w:vAlign w:val="center"/>
          </w:tcPr>
          <w:p w:rsidR="00C24EFB" w:rsidRDefault="00716C02">
            <w:pPr>
              <w:jc w:val="center"/>
            </w:pPr>
            <w:r>
              <w:rPr>
                <w:color w:val="000000"/>
                <w:sz w:val="24"/>
                <w:szCs w:val="24"/>
              </w:rPr>
              <w:t>1</w:t>
            </w:r>
          </w:p>
        </w:tc>
        <w:tc>
          <w:tcPr>
            <w:tcW w:w="1475" w:type="dxa"/>
            <w:vAlign w:val="center"/>
          </w:tcPr>
          <w:p w:rsidR="00C24EFB" w:rsidRDefault="00716C02">
            <w:pPr>
              <w:jc w:val="center"/>
            </w:pPr>
            <w:r>
              <w:rPr>
                <w:color w:val="000000"/>
                <w:sz w:val="24"/>
                <w:szCs w:val="24"/>
              </w:rPr>
              <w:t>150416</w:t>
            </w:r>
          </w:p>
        </w:tc>
        <w:tc>
          <w:tcPr>
            <w:tcW w:w="1769" w:type="dxa"/>
            <w:vAlign w:val="center"/>
          </w:tcPr>
          <w:p w:rsidR="00C24EFB" w:rsidRDefault="00716C02">
            <w:pPr>
              <w:jc w:val="center"/>
            </w:pPr>
            <w:r>
              <w:rPr>
                <w:color w:val="000000"/>
                <w:sz w:val="24"/>
                <w:szCs w:val="24"/>
              </w:rPr>
              <w:t>15</w:t>
            </w:r>
            <w:r>
              <w:rPr>
                <w:color w:val="000000"/>
                <w:sz w:val="24"/>
                <w:szCs w:val="24"/>
              </w:rPr>
              <w:t>农发</w:t>
            </w:r>
            <w:r>
              <w:rPr>
                <w:color w:val="000000"/>
                <w:sz w:val="24"/>
                <w:szCs w:val="24"/>
              </w:rPr>
              <w:t>16</w:t>
            </w:r>
          </w:p>
        </w:tc>
        <w:tc>
          <w:tcPr>
            <w:tcW w:w="1387" w:type="dxa"/>
            <w:vAlign w:val="center"/>
          </w:tcPr>
          <w:p w:rsidR="00C24EFB" w:rsidRDefault="00716C02">
            <w:pPr>
              <w:jc w:val="right"/>
            </w:pPr>
            <w:r>
              <w:rPr>
                <w:color w:val="000000"/>
                <w:sz w:val="24"/>
                <w:szCs w:val="24"/>
              </w:rPr>
              <w:t>1,400,000</w:t>
            </w:r>
          </w:p>
        </w:tc>
        <w:tc>
          <w:tcPr>
            <w:tcW w:w="2150" w:type="dxa"/>
            <w:vAlign w:val="center"/>
          </w:tcPr>
          <w:p w:rsidR="00C24EFB" w:rsidRDefault="00716C02">
            <w:pPr>
              <w:jc w:val="right"/>
            </w:pPr>
            <w:r>
              <w:rPr>
                <w:color w:val="000000"/>
                <w:sz w:val="24"/>
                <w:szCs w:val="24"/>
              </w:rPr>
              <w:t>140,322,000.00</w:t>
            </w:r>
          </w:p>
        </w:tc>
        <w:tc>
          <w:tcPr>
            <w:tcW w:w="1237" w:type="dxa"/>
            <w:vAlign w:val="center"/>
          </w:tcPr>
          <w:p w:rsidR="00C24EFB" w:rsidRDefault="00716C02">
            <w:pPr>
              <w:jc w:val="right"/>
            </w:pPr>
            <w:r>
              <w:rPr>
                <w:color w:val="000000"/>
                <w:sz w:val="24"/>
                <w:szCs w:val="24"/>
              </w:rPr>
              <w:t>4.47</w:t>
            </w:r>
          </w:p>
        </w:tc>
      </w:tr>
      <w:tr w:rsidR="00C24EFB">
        <w:trPr>
          <w:jc w:val="center"/>
        </w:trPr>
        <w:tc>
          <w:tcPr>
            <w:tcW w:w="850" w:type="dxa"/>
            <w:vAlign w:val="center"/>
          </w:tcPr>
          <w:p w:rsidR="00C24EFB" w:rsidRDefault="00716C02">
            <w:pPr>
              <w:jc w:val="center"/>
            </w:pPr>
            <w:r>
              <w:rPr>
                <w:color w:val="000000"/>
                <w:sz w:val="24"/>
                <w:szCs w:val="24"/>
              </w:rPr>
              <w:t>2</w:t>
            </w:r>
          </w:p>
        </w:tc>
        <w:tc>
          <w:tcPr>
            <w:tcW w:w="1475" w:type="dxa"/>
            <w:vAlign w:val="center"/>
          </w:tcPr>
          <w:p w:rsidR="00C24EFB" w:rsidRDefault="00716C02">
            <w:pPr>
              <w:jc w:val="center"/>
            </w:pPr>
            <w:r>
              <w:rPr>
                <w:color w:val="000000"/>
                <w:sz w:val="24"/>
                <w:szCs w:val="24"/>
              </w:rPr>
              <w:t>110031</w:t>
            </w:r>
          </w:p>
        </w:tc>
        <w:tc>
          <w:tcPr>
            <w:tcW w:w="1769" w:type="dxa"/>
            <w:vAlign w:val="center"/>
          </w:tcPr>
          <w:p w:rsidR="00C24EFB" w:rsidRDefault="00716C02">
            <w:pPr>
              <w:jc w:val="center"/>
            </w:pPr>
            <w:r>
              <w:rPr>
                <w:color w:val="000000"/>
                <w:sz w:val="24"/>
                <w:szCs w:val="24"/>
              </w:rPr>
              <w:t>航信转债</w:t>
            </w:r>
          </w:p>
        </w:tc>
        <w:tc>
          <w:tcPr>
            <w:tcW w:w="1387" w:type="dxa"/>
            <w:vAlign w:val="center"/>
          </w:tcPr>
          <w:p w:rsidR="00C24EFB" w:rsidRDefault="00716C02">
            <w:pPr>
              <w:jc w:val="right"/>
            </w:pPr>
            <w:r>
              <w:rPr>
                <w:color w:val="000000"/>
                <w:sz w:val="24"/>
                <w:szCs w:val="24"/>
              </w:rPr>
              <w:t>200,000</w:t>
            </w:r>
          </w:p>
        </w:tc>
        <w:tc>
          <w:tcPr>
            <w:tcW w:w="2150" w:type="dxa"/>
            <w:vAlign w:val="center"/>
          </w:tcPr>
          <w:p w:rsidR="00C24EFB" w:rsidRDefault="00716C02">
            <w:pPr>
              <w:jc w:val="right"/>
            </w:pPr>
            <w:r>
              <w:rPr>
                <w:color w:val="000000"/>
                <w:sz w:val="24"/>
                <w:szCs w:val="24"/>
              </w:rPr>
              <w:t>25,968,000.00</w:t>
            </w:r>
          </w:p>
        </w:tc>
        <w:tc>
          <w:tcPr>
            <w:tcW w:w="1237" w:type="dxa"/>
            <w:vAlign w:val="center"/>
          </w:tcPr>
          <w:p w:rsidR="00C24EFB" w:rsidRDefault="00716C02">
            <w:pPr>
              <w:jc w:val="right"/>
            </w:pPr>
            <w:r>
              <w:rPr>
                <w:color w:val="000000"/>
                <w:sz w:val="24"/>
                <w:szCs w:val="24"/>
              </w:rPr>
              <w:t>0.83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2,239,573.97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1,924,779.60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676,122.23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4,840,475.80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C24EFB">
        <w:trPr>
          <w:jc w:val="center"/>
        </w:trPr>
        <w:tc>
          <w:tcPr>
            <w:tcW w:w="1883" w:type="dxa"/>
            <w:vAlign w:val="center"/>
          </w:tcPr>
          <w:p w:rsidR="00C24EFB" w:rsidRDefault="00716C02">
            <w:pPr>
              <w:jc w:val="center"/>
            </w:pPr>
            <w:r>
              <w:rPr>
                <w:color w:val="000000"/>
                <w:sz w:val="24"/>
                <w:szCs w:val="24"/>
              </w:rPr>
              <w:t>1</w:t>
            </w:r>
          </w:p>
        </w:tc>
        <w:tc>
          <w:tcPr>
            <w:tcW w:w="1801" w:type="dxa"/>
            <w:vAlign w:val="center"/>
          </w:tcPr>
          <w:p w:rsidR="00C24EFB" w:rsidRDefault="00716C02">
            <w:pPr>
              <w:jc w:val="center"/>
            </w:pPr>
            <w:r>
              <w:rPr>
                <w:color w:val="000000"/>
                <w:sz w:val="24"/>
                <w:szCs w:val="24"/>
              </w:rPr>
              <w:t>110031</w:t>
            </w:r>
          </w:p>
        </w:tc>
        <w:tc>
          <w:tcPr>
            <w:tcW w:w="1727" w:type="dxa"/>
            <w:vAlign w:val="center"/>
          </w:tcPr>
          <w:p w:rsidR="00C24EFB" w:rsidRDefault="00716C02">
            <w:pPr>
              <w:jc w:val="center"/>
            </w:pPr>
            <w:r>
              <w:rPr>
                <w:color w:val="000000"/>
                <w:sz w:val="24"/>
                <w:szCs w:val="24"/>
              </w:rPr>
              <w:t>航信转债</w:t>
            </w:r>
          </w:p>
        </w:tc>
        <w:tc>
          <w:tcPr>
            <w:tcW w:w="1768" w:type="dxa"/>
            <w:vAlign w:val="center"/>
          </w:tcPr>
          <w:p w:rsidR="00C24EFB" w:rsidRDefault="00716C02">
            <w:pPr>
              <w:jc w:val="right"/>
            </w:pPr>
            <w:r>
              <w:rPr>
                <w:color w:val="000000"/>
                <w:sz w:val="24"/>
                <w:szCs w:val="24"/>
              </w:rPr>
              <w:t>25,968,000.00</w:t>
            </w:r>
          </w:p>
        </w:tc>
        <w:tc>
          <w:tcPr>
            <w:tcW w:w="1689" w:type="dxa"/>
            <w:vAlign w:val="center"/>
          </w:tcPr>
          <w:p w:rsidR="00C24EFB" w:rsidRDefault="00716C02">
            <w:pPr>
              <w:jc w:val="right"/>
            </w:pPr>
            <w:r>
              <w:rPr>
                <w:color w:val="000000"/>
                <w:sz w:val="24"/>
                <w:szCs w:val="24"/>
              </w:rPr>
              <w:t>0.83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3,428,591,285.94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33,990,271.18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206,660,144.60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3,255,921,412.52</w:t>
            </w:r>
          </w:p>
        </w:tc>
      </w:tr>
    </w:tbl>
    <w:p w:rsidR="00C24EFB" w:rsidRDefault="00716C0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23,710,503.49</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5877CE" w:rsidP="00C15CAC">
            <w:pPr>
              <w:spacing w:line="288" w:lineRule="auto"/>
              <w:jc w:val="right"/>
              <w:rPr>
                <w:rFonts w:eastAsiaTheme="minorEastAsia"/>
                <w:color w:val="000000"/>
                <w:kern w:val="0"/>
                <w:sz w:val="24"/>
                <w:szCs w:val="24"/>
              </w:rPr>
            </w:pPr>
            <w:r>
              <w:rPr>
                <w:color w:val="000000"/>
                <w:kern w:val="0"/>
                <w:sz w:val="24"/>
                <w:szCs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5877CE" w:rsidP="00C15CAC">
            <w:pPr>
              <w:spacing w:line="288" w:lineRule="auto"/>
              <w:jc w:val="right"/>
              <w:rPr>
                <w:rFonts w:eastAsiaTheme="minorEastAsia"/>
                <w:color w:val="000000"/>
                <w:kern w:val="0"/>
                <w:sz w:val="24"/>
                <w:szCs w:val="24"/>
              </w:rPr>
            </w:pPr>
            <w:r>
              <w:rPr>
                <w:color w:val="000000"/>
                <w:kern w:val="0"/>
                <w:sz w:val="24"/>
                <w:szCs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23,710,503.49</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0.73</w:t>
            </w:r>
          </w:p>
        </w:tc>
      </w:tr>
    </w:tbl>
    <w:p w:rsidR="00C24EFB" w:rsidRDefault="00716C0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xml:space="preserve">    2</w:t>
      </w:r>
      <w:r w:rsidRPr="00ED2620">
        <w:rPr>
          <w:rFonts w:eastAsiaTheme="minorEastAsia"/>
          <w:color w:val="000000"/>
          <w:sz w:val="24"/>
        </w:rPr>
        <w:t>、如果本报告期间发生转换出业务，则总赎回份额中包含该业务。</w:t>
      </w:r>
    </w:p>
    <w:p w:rsidR="006262BA" w:rsidRDefault="006262BA" w:rsidP="006262BA">
      <w:pPr>
        <w:autoSpaceDE w:val="0"/>
        <w:autoSpaceDN w:val="0"/>
        <w:spacing w:before="29" w:line="288" w:lineRule="auto"/>
        <w:jc w:val="left"/>
        <w:rPr>
          <w:b/>
          <w:bCs/>
          <w:sz w:val="24"/>
          <w:szCs w:val="24"/>
        </w:rPr>
      </w:pPr>
    </w:p>
    <w:p w:rsidR="006262BA" w:rsidRDefault="006262BA" w:rsidP="006262BA">
      <w:pPr>
        <w:autoSpaceDE w:val="0"/>
        <w:autoSpaceDN w:val="0"/>
        <w:spacing w:before="29" w:line="288" w:lineRule="auto"/>
        <w:jc w:val="left"/>
        <w:rPr>
          <w:b/>
          <w:bCs/>
          <w:color w:val="000000"/>
          <w:sz w:val="24"/>
          <w:szCs w:val="24"/>
        </w:rPr>
      </w:pPr>
      <w:r>
        <w:rPr>
          <w:b/>
          <w:bCs/>
          <w:sz w:val="24"/>
          <w:szCs w:val="24"/>
        </w:rPr>
        <w:t xml:space="preserve">7.2 </w:t>
      </w:r>
      <w:r>
        <w:rPr>
          <w:rFonts w:ascii="宋体" w:hAnsi="宋体" w:hint="eastAsia"/>
          <w:b/>
          <w:bCs/>
          <w:sz w:val="24"/>
          <w:szCs w:val="24"/>
        </w:rPr>
        <w:t>基金管理人运用固有资金投资本基金交易明细</w:t>
      </w:r>
    </w:p>
    <w:p w:rsidR="006262BA" w:rsidRDefault="006262BA" w:rsidP="006262BA">
      <w:pPr>
        <w:autoSpaceDE w:val="0"/>
        <w:autoSpaceDN w:val="0"/>
        <w:spacing w:before="29" w:line="288" w:lineRule="auto"/>
        <w:jc w:val="left"/>
        <w:rPr>
          <w:color w:val="000000"/>
          <w:sz w:val="24"/>
          <w:szCs w:val="24"/>
        </w:rPr>
      </w:pPr>
      <w:r>
        <w:rPr>
          <w:rFonts w:ascii="宋体" w:hAnsi="宋体" w:hint="eastAsia"/>
          <w:color w:val="000000"/>
          <w:sz w:val="24"/>
          <w:szCs w:val="24"/>
        </w:rPr>
        <w:t>本基金管理人本报告期内未进行本基金的申购、赎回、红利再投等。</w:t>
      </w:r>
    </w:p>
    <w:p w:rsidR="00410630" w:rsidRDefault="00410630" w:rsidP="00C15CAC">
      <w:pPr>
        <w:autoSpaceDE w:val="0"/>
        <w:autoSpaceDN w:val="0"/>
        <w:adjustRightInd w:val="0"/>
        <w:spacing w:before="29" w:line="288" w:lineRule="auto"/>
        <w:jc w:val="left"/>
        <w:rPr>
          <w:rFonts w:eastAsiaTheme="minorEastAsia"/>
          <w:color w:val="000000"/>
          <w:sz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676095"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影响投资者决策的其他重要信息</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鉴于交银施罗德蓝筹混合型证券投资基金的业绩比较基准的指数停止计算编制，本基金管理人根据基金合同的相关约定，经与基金托管人协商一致，并报中国证监会备案，决定自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日起将交银施罗德蓝筹混合型证券投资基金的业绩比较基准由原</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，并相应修改基金合同的有关内容。详情请见本基金管理人于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C24EFB" w:rsidRDefault="00716C0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、中国证监会批准交银施罗德蓝筹股票证券投资基金募集的文件；</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、《交银施罗德蓝筹混合型证券投资基金基金合同》；</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、《交银施罗德蓝筹混合型证券投资基金招募说明书》；</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、《交银施罗德蓝筹混合型证券投资基金托管协议》；</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、关于募集交银施罗德蓝筹股票证券投资基金之法律意见书；</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C24EFB" w:rsidRDefault="00716C02">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、报告期内交银施罗德蓝筹混合型证券投资基金在指定报刊上各项公告的原稿。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C24EFB" w:rsidRDefault="00716C0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607" w:rsidRDefault="001B5607" w:rsidP="00876D65">
      <w:r>
        <w:separator/>
      </w:r>
    </w:p>
  </w:endnote>
  <w:endnote w:type="continuationSeparator" w:id="0">
    <w:p w:rsidR="001B5607" w:rsidRDefault="001B5607"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宋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E2719F">
      <w:rPr>
        <w:noProof/>
        <w:kern w:val="0"/>
        <w:szCs w:val="21"/>
      </w:rPr>
      <w:t>6</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E2719F">
      <w:rPr>
        <w:noProof/>
        <w:kern w:val="0"/>
        <w:szCs w:val="21"/>
      </w:rPr>
      <w:t>12</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607" w:rsidRDefault="001B5607" w:rsidP="00876D65">
      <w:r>
        <w:separator/>
      </w:r>
    </w:p>
  </w:footnote>
  <w:footnote w:type="continuationSeparator" w:id="0">
    <w:p w:rsidR="001B5607" w:rsidRDefault="001B5607"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877CE"/>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2BA"/>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16C02"/>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24EF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2719F"/>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D4D2CFA8-CB3D-47A0-9468-7CCD3998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021004943">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4BE4-C998-4086-AF99-890013EE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12</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564</cp:revision>
  <dcterms:created xsi:type="dcterms:W3CDTF">2012-10-16T06:07:00Z</dcterms:created>
  <dcterms:modified xsi:type="dcterms:W3CDTF">2016-01-18T06:10:00Z</dcterms:modified>
</cp:coreProperties>
</file>