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36A1" w:rsidRDefault="00AB64B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2,457,568,763.82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B64B9" w:rsidRPr="00414345" w:rsidTr="00AB64B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B64B9" w:rsidRPr="00414345" w:rsidTr="00AB6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291,016,951.81</w:t>
            </w:r>
          </w:p>
        </w:tc>
      </w:tr>
      <w:tr w:rsidR="00AB64B9" w:rsidRPr="00414345" w:rsidTr="00AB6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663,769,187.99</w:t>
            </w:r>
          </w:p>
        </w:tc>
      </w:tr>
      <w:tr w:rsidR="00AB64B9" w:rsidRPr="00414345" w:rsidTr="00AB6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0.2630</w:t>
            </w:r>
          </w:p>
        </w:tc>
      </w:tr>
      <w:tr w:rsidR="00AB64B9" w:rsidRPr="00414345" w:rsidTr="00AB6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2,860,665,711.72</w:t>
            </w:r>
          </w:p>
        </w:tc>
      </w:tr>
      <w:tr w:rsidR="00AB64B9" w:rsidRPr="00414345" w:rsidTr="00AB64B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1.1640</w:t>
            </w:r>
          </w:p>
        </w:tc>
      </w:tr>
    </w:tbl>
    <w:p w:rsidR="00BC36A1" w:rsidRDefault="00AB64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36A1">
        <w:trPr>
          <w:jc w:val="center"/>
        </w:trPr>
        <w:tc>
          <w:tcPr>
            <w:tcW w:w="1701" w:type="dxa"/>
            <w:vAlign w:val="center"/>
          </w:tcPr>
          <w:p w:rsidR="00BC36A1" w:rsidRDefault="00AB64B9">
            <w:pPr>
              <w:jc w:val="left"/>
            </w:pPr>
            <w:r>
              <w:rPr>
                <w:color w:val="000000"/>
                <w:sz w:val="24"/>
                <w:szCs w:val="24"/>
              </w:rPr>
              <w:t>过去三个月</w:t>
            </w:r>
          </w:p>
        </w:tc>
        <w:tc>
          <w:tcPr>
            <w:tcW w:w="1045" w:type="dxa"/>
            <w:vAlign w:val="center"/>
          </w:tcPr>
          <w:p w:rsidR="00BC36A1" w:rsidRDefault="00AB64B9">
            <w:pPr>
              <w:jc w:val="center"/>
            </w:pPr>
            <w:r>
              <w:rPr>
                <w:color w:val="000000"/>
                <w:sz w:val="24"/>
                <w:szCs w:val="24"/>
              </w:rPr>
              <w:t>28.80%</w:t>
            </w:r>
          </w:p>
        </w:tc>
        <w:tc>
          <w:tcPr>
            <w:tcW w:w="1344" w:type="dxa"/>
            <w:vAlign w:val="center"/>
          </w:tcPr>
          <w:p w:rsidR="00BC36A1" w:rsidRDefault="00AB64B9">
            <w:pPr>
              <w:jc w:val="center"/>
            </w:pPr>
            <w:r>
              <w:rPr>
                <w:color w:val="000000"/>
                <w:sz w:val="24"/>
                <w:szCs w:val="24"/>
              </w:rPr>
              <w:t>2.00%</w:t>
            </w:r>
          </w:p>
        </w:tc>
        <w:tc>
          <w:tcPr>
            <w:tcW w:w="1194" w:type="dxa"/>
            <w:vAlign w:val="center"/>
          </w:tcPr>
          <w:p w:rsidR="00BC36A1" w:rsidRDefault="00AB64B9">
            <w:pPr>
              <w:jc w:val="center"/>
            </w:pPr>
            <w:r>
              <w:rPr>
                <w:color w:val="000000"/>
                <w:sz w:val="24"/>
                <w:szCs w:val="24"/>
              </w:rPr>
              <w:t>12.98%</w:t>
            </w:r>
          </w:p>
        </w:tc>
        <w:tc>
          <w:tcPr>
            <w:tcW w:w="1492" w:type="dxa"/>
            <w:vAlign w:val="center"/>
          </w:tcPr>
          <w:p w:rsidR="00BC36A1" w:rsidRDefault="00AB64B9">
            <w:pPr>
              <w:jc w:val="center"/>
            </w:pPr>
            <w:r>
              <w:rPr>
                <w:color w:val="000000"/>
                <w:sz w:val="24"/>
                <w:szCs w:val="24"/>
              </w:rPr>
              <w:t>1.25%</w:t>
            </w:r>
          </w:p>
        </w:tc>
        <w:tc>
          <w:tcPr>
            <w:tcW w:w="1194" w:type="dxa"/>
            <w:vAlign w:val="center"/>
          </w:tcPr>
          <w:p w:rsidR="00BC36A1" w:rsidRDefault="00AB64B9">
            <w:pPr>
              <w:jc w:val="center"/>
            </w:pPr>
            <w:r>
              <w:rPr>
                <w:color w:val="000000"/>
                <w:sz w:val="24"/>
                <w:szCs w:val="24"/>
              </w:rPr>
              <w:t>15.82%</w:t>
            </w:r>
          </w:p>
        </w:tc>
        <w:tc>
          <w:tcPr>
            <w:tcW w:w="898" w:type="dxa"/>
            <w:vAlign w:val="center"/>
          </w:tcPr>
          <w:p w:rsidR="00BC36A1" w:rsidRDefault="00AB64B9">
            <w:pPr>
              <w:jc w:val="center"/>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36A1">
        <w:trPr>
          <w:jc w:val="center"/>
        </w:trPr>
        <w:tc>
          <w:tcPr>
            <w:tcW w:w="846" w:type="dxa"/>
            <w:vAlign w:val="center"/>
          </w:tcPr>
          <w:p w:rsidR="00BC36A1" w:rsidRDefault="00AB64B9">
            <w:pPr>
              <w:jc w:val="center"/>
            </w:pPr>
            <w:r>
              <w:rPr>
                <w:color w:val="000000"/>
                <w:sz w:val="24"/>
                <w:szCs w:val="24"/>
              </w:rPr>
              <w:t>曹文俊</w:t>
            </w:r>
          </w:p>
        </w:tc>
        <w:tc>
          <w:tcPr>
            <w:tcW w:w="845" w:type="dxa"/>
            <w:vAlign w:val="center"/>
          </w:tcPr>
          <w:p w:rsidR="00BC36A1" w:rsidRDefault="00AB64B9">
            <w:pPr>
              <w:jc w:val="center"/>
            </w:pPr>
            <w:r>
              <w:rPr>
                <w:color w:val="000000"/>
                <w:sz w:val="24"/>
                <w:szCs w:val="24"/>
              </w:rPr>
              <w:t>交银精选混合、交银趋势混合的基金经理</w:t>
            </w:r>
          </w:p>
        </w:tc>
        <w:tc>
          <w:tcPr>
            <w:tcW w:w="1549" w:type="dxa"/>
            <w:vAlign w:val="center"/>
          </w:tcPr>
          <w:p w:rsidR="00BC36A1" w:rsidRDefault="00AB64B9">
            <w:pPr>
              <w:jc w:val="center"/>
            </w:pPr>
            <w:r>
              <w:rPr>
                <w:color w:val="000000"/>
                <w:sz w:val="24"/>
                <w:szCs w:val="24"/>
              </w:rPr>
              <w:t>2014-10-22</w:t>
            </w:r>
          </w:p>
        </w:tc>
        <w:tc>
          <w:tcPr>
            <w:tcW w:w="1548" w:type="dxa"/>
            <w:vAlign w:val="center"/>
          </w:tcPr>
          <w:p w:rsidR="00BC36A1" w:rsidRDefault="00AB64B9">
            <w:pPr>
              <w:jc w:val="center"/>
            </w:pPr>
            <w:r>
              <w:rPr>
                <w:color w:val="000000"/>
                <w:sz w:val="24"/>
                <w:szCs w:val="24"/>
              </w:rPr>
              <w:t>-</w:t>
            </w:r>
          </w:p>
        </w:tc>
        <w:tc>
          <w:tcPr>
            <w:tcW w:w="1407" w:type="dxa"/>
            <w:vAlign w:val="center"/>
          </w:tcPr>
          <w:p w:rsidR="00BC36A1" w:rsidRDefault="00AB64B9">
            <w:pPr>
              <w:jc w:val="center"/>
            </w:pPr>
            <w:r>
              <w:rPr>
                <w:color w:val="000000"/>
                <w:sz w:val="24"/>
                <w:szCs w:val="24"/>
              </w:rPr>
              <w:t>10</w:t>
            </w:r>
            <w:r>
              <w:rPr>
                <w:color w:val="000000"/>
                <w:sz w:val="24"/>
                <w:szCs w:val="24"/>
              </w:rPr>
              <w:t>年</w:t>
            </w:r>
          </w:p>
        </w:tc>
        <w:tc>
          <w:tcPr>
            <w:tcW w:w="2673" w:type="dxa"/>
            <w:vAlign w:val="center"/>
          </w:tcPr>
          <w:p w:rsidR="00BC36A1" w:rsidRDefault="00AB64B9">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36A1" w:rsidRDefault="00AB64B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36A1" w:rsidRDefault="00AB64B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36A1" w:rsidRDefault="00AB64B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36A1" w:rsidRDefault="00AB64B9">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市场震荡上行，中小市值个股和各类主题表现活跃。宏观经济方面，经济增长依然无多起色，稳增长政策措施一再加码，宽松货币政策延续。而临近年底，因美联储确定加息，人民币汇率贬值压力凸显。股票供给方面，四季度维持着</w:t>
      </w:r>
      <w:r>
        <w:rPr>
          <w:color w:val="000000"/>
          <w:sz w:val="24"/>
          <w:szCs w:val="24"/>
        </w:rPr>
        <w:t>IPO</w:t>
      </w:r>
      <w:r>
        <w:rPr>
          <w:color w:val="000000"/>
          <w:sz w:val="24"/>
          <w:szCs w:val="24"/>
        </w:rPr>
        <w:t>股票数量有限、大小非减持禁令未到期等有利格局，而资金端仍以场内存量资金博弈为主，场外新进入资金数量有限。四季度本基金净值表现跑赢业绩比较基准，主要缘于组合加仓时点占优及精选个股。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年一季度，我们对市场的态度由乐观转向中性，适当降低仓位水平。我们的判断主要基于以下几个因素的考虑：第一，资金供求关系角度，最佳时点或已经过去。</w:t>
      </w:r>
      <w:r w:rsidRPr="00414345">
        <w:rPr>
          <w:color w:val="000000"/>
          <w:sz w:val="24"/>
          <w:szCs w:val="24"/>
        </w:rPr>
        <w:t>2015</w:t>
      </w:r>
      <w:r w:rsidRPr="00414345">
        <w:rPr>
          <w:color w:val="000000"/>
          <w:sz w:val="24"/>
          <w:szCs w:val="24"/>
        </w:rPr>
        <w:t>年下半年股票供给端急剧收缩（暂停</w:t>
      </w:r>
      <w:r w:rsidRPr="00414345">
        <w:rPr>
          <w:color w:val="000000"/>
          <w:sz w:val="24"/>
          <w:szCs w:val="24"/>
        </w:rPr>
        <w:t>IPO</w:t>
      </w:r>
      <w:r w:rsidRPr="00414345">
        <w:rPr>
          <w:color w:val="000000"/>
          <w:sz w:val="24"/>
          <w:szCs w:val="24"/>
        </w:rPr>
        <w:t>加之减持禁令），供需天平向资金端倾斜。而</w:t>
      </w:r>
      <w:r w:rsidRPr="00414345">
        <w:rPr>
          <w:color w:val="000000"/>
          <w:sz w:val="24"/>
          <w:szCs w:val="24"/>
        </w:rPr>
        <w:t>2016</w:t>
      </w:r>
      <w:r w:rsidRPr="00414345">
        <w:rPr>
          <w:color w:val="000000"/>
          <w:sz w:val="24"/>
          <w:szCs w:val="24"/>
        </w:rPr>
        <w:t>年随着减持禁令到期、注册制逐步落实，供给端压力或将大于</w:t>
      </w:r>
      <w:r w:rsidRPr="00414345">
        <w:rPr>
          <w:color w:val="000000"/>
          <w:sz w:val="24"/>
          <w:szCs w:val="24"/>
        </w:rPr>
        <w:t>2015</w:t>
      </w:r>
      <w:r w:rsidRPr="00414345">
        <w:rPr>
          <w:color w:val="000000"/>
          <w:sz w:val="24"/>
          <w:szCs w:val="24"/>
        </w:rPr>
        <w:t>年下半年；第二，从绝对估值水平来看，符合中期转型方向的产业和个股存在普遍高估现象；第三，人民币汇率贬值压力犹存，由贬值预期引发的阶段性流动性冲击仍需警惕。选股方向上，我们倾向于选择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1.164</w:t>
      </w:r>
      <w:r w:rsidRPr="00414345">
        <w:rPr>
          <w:color w:val="000000"/>
          <w:sz w:val="24"/>
          <w:szCs w:val="24"/>
        </w:rPr>
        <w:t>元，本报告期份额净值增长率为</w:t>
      </w:r>
      <w:r w:rsidRPr="00414345">
        <w:rPr>
          <w:color w:val="000000"/>
          <w:sz w:val="24"/>
          <w:szCs w:val="24"/>
        </w:rPr>
        <w:t>28.80%</w:t>
      </w:r>
      <w:r w:rsidRPr="00414345">
        <w:rPr>
          <w:color w:val="000000"/>
          <w:sz w:val="24"/>
          <w:szCs w:val="24"/>
        </w:rPr>
        <w:t>，同期业绩比较基准增长率为</w:t>
      </w:r>
      <w:r w:rsidRPr="00414345">
        <w:rPr>
          <w:color w:val="000000"/>
          <w:sz w:val="24"/>
          <w:szCs w:val="24"/>
        </w:rPr>
        <w:t>12.98%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2,449,612,609.52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2,449,612,609.52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130,536,000.00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130,536,000.00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100,000,270.00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224,251,088.55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7,083,794.08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2,911,483,762.15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1,233,349,865.56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185,825,199.06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126,529,913.14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282,543,609.29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52,799,630.40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162,317,130.21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406,247,261.86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2,449,612,609.52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36A1">
        <w:trPr>
          <w:jc w:val="center"/>
        </w:trPr>
        <w:tc>
          <w:tcPr>
            <w:tcW w:w="855" w:type="dxa"/>
            <w:vAlign w:val="center"/>
          </w:tcPr>
          <w:p w:rsidR="00BC36A1" w:rsidRDefault="00AB64B9">
            <w:pPr>
              <w:jc w:val="center"/>
            </w:pPr>
            <w:r>
              <w:rPr>
                <w:color w:val="000000"/>
                <w:sz w:val="24"/>
                <w:szCs w:val="24"/>
              </w:rPr>
              <w:t>1</w:t>
            </w:r>
          </w:p>
        </w:tc>
        <w:tc>
          <w:tcPr>
            <w:tcW w:w="1334" w:type="dxa"/>
            <w:vAlign w:val="center"/>
          </w:tcPr>
          <w:p w:rsidR="00BC36A1" w:rsidRDefault="00AB64B9">
            <w:pPr>
              <w:jc w:val="center"/>
            </w:pPr>
            <w:r>
              <w:rPr>
                <w:color w:val="000000"/>
                <w:sz w:val="24"/>
                <w:szCs w:val="24"/>
              </w:rPr>
              <w:t>300347</w:t>
            </w:r>
          </w:p>
        </w:tc>
        <w:tc>
          <w:tcPr>
            <w:tcW w:w="1777" w:type="dxa"/>
            <w:vAlign w:val="center"/>
          </w:tcPr>
          <w:p w:rsidR="00BC36A1" w:rsidRDefault="00AB64B9">
            <w:pPr>
              <w:jc w:val="center"/>
            </w:pPr>
            <w:r>
              <w:rPr>
                <w:color w:val="000000"/>
                <w:sz w:val="24"/>
                <w:szCs w:val="24"/>
              </w:rPr>
              <w:t>泰格医药</w:t>
            </w:r>
          </w:p>
        </w:tc>
        <w:tc>
          <w:tcPr>
            <w:tcW w:w="1334" w:type="dxa"/>
            <w:vAlign w:val="center"/>
          </w:tcPr>
          <w:p w:rsidR="00BC36A1" w:rsidRDefault="00AB64B9">
            <w:pPr>
              <w:jc w:val="right"/>
            </w:pPr>
            <w:r>
              <w:rPr>
                <w:color w:val="000000"/>
                <w:sz w:val="24"/>
                <w:szCs w:val="24"/>
              </w:rPr>
              <w:t>6,847,802</w:t>
            </w:r>
          </w:p>
        </w:tc>
        <w:tc>
          <w:tcPr>
            <w:tcW w:w="1924" w:type="dxa"/>
            <w:vAlign w:val="center"/>
          </w:tcPr>
          <w:p w:rsidR="00BC36A1" w:rsidRDefault="00AB64B9">
            <w:pPr>
              <w:jc w:val="right"/>
            </w:pPr>
            <w:r>
              <w:rPr>
                <w:color w:val="000000"/>
                <w:sz w:val="24"/>
                <w:szCs w:val="24"/>
              </w:rPr>
              <w:t>210,501,433.48</w:t>
            </w:r>
          </w:p>
        </w:tc>
        <w:tc>
          <w:tcPr>
            <w:tcW w:w="1644" w:type="dxa"/>
            <w:vAlign w:val="center"/>
          </w:tcPr>
          <w:p w:rsidR="00BC36A1" w:rsidRDefault="00AB64B9">
            <w:pPr>
              <w:jc w:val="right"/>
            </w:pPr>
            <w:r>
              <w:rPr>
                <w:color w:val="000000"/>
                <w:sz w:val="24"/>
                <w:szCs w:val="24"/>
              </w:rPr>
              <w:t>7.36</w:t>
            </w:r>
          </w:p>
        </w:tc>
      </w:tr>
      <w:tr w:rsidR="00BC36A1">
        <w:trPr>
          <w:jc w:val="center"/>
        </w:trPr>
        <w:tc>
          <w:tcPr>
            <w:tcW w:w="855" w:type="dxa"/>
            <w:vAlign w:val="center"/>
          </w:tcPr>
          <w:p w:rsidR="00BC36A1" w:rsidRDefault="00AB64B9">
            <w:pPr>
              <w:jc w:val="center"/>
            </w:pPr>
            <w:r>
              <w:rPr>
                <w:color w:val="000000"/>
                <w:sz w:val="24"/>
                <w:szCs w:val="24"/>
              </w:rPr>
              <w:t>2</w:t>
            </w:r>
          </w:p>
        </w:tc>
        <w:tc>
          <w:tcPr>
            <w:tcW w:w="1334" w:type="dxa"/>
            <w:vAlign w:val="center"/>
          </w:tcPr>
          <w:p w:rsidR="00BC36A1" w:rsidRDefault="00AB64B9">
            <w:pPr>
              <w:jc w:val="center"/>
            </w:pPr>
            <w:r>
              <w:rPr>
                <w:color w:val="000000"/>
                <w:sz w:val="24"/>
                <w:szCs w:val="24"/>
              </w:rPr>
              <w:t>600763</w:t>
            </w:r>
          </w:p>
        </w:tc>
        <w:tc>
          <w:tcPr>
            <w:tcW w:w="1777" w:type="dxa"/>
            <w:vAlign w:val="center"/>
          </w:tcPr>
          <w:p w:rsidR="00BC36A1" w:rsidRDefault="00AB64B9">
            <w:pPr>
              <w:jc w:val="center"/>
            </w:pPr>
            <w:r>
              <w:rPr>
                <w:color w:val="000000"/>
                <w:sz w:val="24"/>
                <w:szCs w:val="24"/>
              </w:rPr>
              <w:t>通策医疗</w:t>
            </w:r>
          </w:p>
        </w:tc>
        <w:tc>
          <w:tcPr>
            <w:tcW w:w="1334" w:type="dxa"/>
            <w:vAlign w:val="center"/>
          </w:tcPr>
          <w:p w:rsidR="00BC36A1" w:rsidRDefault="00AB64B9">
            <w:pPr>
              <w:jc w:val="right"/>
            </w:pPr>
            <w:r>
              <w:rPr>
                <w:color w:val="000000"/>
                <w:sz w:val="24"/>
                <w:szCs w:val="24"/>
              </w:rPr>
              <w:t>3,992,180</w:t>
            </w:r>
          </w:p>
        </w:tc>
        <w:tc>
          <w:tcPr>
            <w:tcW w:w="1924" w:type="dxa"/>
            <w:vAlign w:val="center"/>
          </w:tcPr>
          <w:p w:rsidR="00BC36A1" w:rsidRDefault="00AB64B9">
            <w:pPr>
              <w:jc w:val="right"/>
            </w:pPr>
            <w:r>
              <w:rPr>
                <w:color w:val="000000"/>
                <w:sz w:val="24"/>
                <w:szCs w:val="24"/>
              </w:rPr>
              <w:t>195,696,663.60</w:t>
            </w:r>
          </w:p>
        </w:tc>
        <w:tc>
          <w:tcPr>
            <w:tcW w:w="1644" w:type="dxa"/>
            <w:vAlign w:val="center"/>
          </w:tcPr>
          <w:p w:rsidR="00BC36A1" w:rsidRDefault="00AB64B9">
            <w:pPr>
              <w:jc w:val="right"/>
            </w:pPr>
            <w:r>
              <w:rPr>
                <w:color w:val="000000"/>
                <w:sz w:val="24"/>
                <w:szCs w:val="24"/>
              </w:rPr>
              <w:t>6.84</w:t>
            </w:r>
          </w:p>
        </w:tc>
      </w:tr>
      <w:tr w:rsidR="00BC36A1">
        <w:trPr>
          <w:jc w:val="center"/>
        </w:trPr>
        <w:tc>
          <w:tcPr>
            <w:tcW w:w="855" w:type="dxa"/>
            <w:vAlign w:val="center"/>
          </w:tcPr>
          <w:p w:rsidR="00BC36A1" w:rsidRDefault="00AB64B9">
            <w:pPr>
              <w:jc w:val="center"/>
            </w:pPr>
            <w:r>
              <w:rPr>
                <w:color w:val="000000"/>
                <w:sz w:val="24"/>
                <w:szCs w:val="24"/>
              </w:rPr>
              <w:t>3</w:t>
            </w:r>
          </w:p>
        </w:tc>
        <w:tc>
          <w:tcPr>
            <w:tcW w:w="1334" w:type="dxa"/>
            <w:vAlign w:val="center"/>
          </w:tcPr>
          <w:p w:rsidR="00BC36A1" w:rsidRDefault="00AB64B9">
            <w:pPr>
              <w:jc w:val="center"/>
            </w:pPr>
            <w:r>
              <w:rPr>
                <w:color w:val="000000"/>
                <w:sz w:val="24"/>
                <w:szCs w:val="24"/>
              </w:rPr>
              <w:t>002717</w:t>
            </w:r>
          </w:p>
        </w:tc>
        <w:tc>
          <w:tcPr>
            <w:tcW w:w="1777" w:type="dxa"/>
            <w:vAlign w:val="center"/>
          </w:tcPr>
          <w:p w:rsidR="00BC36A1" w:rsidRDefault="00AB64B9">
            <w:pPr>
              <w:jc w:val="center"/>
            </w:pPr>
            <w:r>
              <w:rPr>
                <w:color w:val="000000"/>
                <w:sz w:val="24"/>
                <w:szCs w:val="24"/>
              </w:rPr>
              <w:t>岭南园林</w:t>
            </w:r>
          </w:p>
        </w:tc>
        <w:tc>
          <w:tcPr>
            <w:tcW w:w="1334" w:type="dxa"/>
            <w:vAlign w:val="center"/>
          </w:tcPr>
          <w:p w:rsidR="00BC36A1" w:rsidRDefault="00AB64B9">
            <w:pPr>
              <w:jc w:val="right"/>
            </w:pPr>
            <w:r>
              <w:rPr>
                <w:color w:val="000000"/>
                <w:sz w:val="24"/>
                <w:szCs w:val="24"/>
              </w:rPr>
              <w:t>3,000,000</w:t>
            </w:r>
          </w:p>
        </w:tc>
        <w:tc>
          <w:tcPr>
            <w:tcW w:w="1924" w:type="dxa"/>
            <w:vAlign w:val="center"/>
          </w:tcPr>
          <w:p w:rsidR="00BC36A1" w:rsidRDefault="00AB64B9">
            <w:pPr>
              <w:jc w:val="right"/>
            </w:pPr>
            <w:r>
              <w:rPr>
                <w:color w:val="000000"/>
                <w:sz w:val="24"/>
                <w:szCs w:val="24"/>
              </w:rPr>
              <w:t>131,700,000.00</w:t>
            </w:r>
          </w:p>
        </w:tc>
        <w:tc>
          <w:tcPr>
            <w:tcW w:w="1644" w:type="dxa"/>
            <w:vAlign w:val="center"/>
          </w:tcPr>
          <w:p w:rsidR="00BC36A1" w:rsidRDefault="00AB64B9">
            <w:pPr>
              <w:jc w:val="right"/>
            </w:pPr>
            <w:r>
              <w:rPr>
                <w:color w:val="000000"/>
                <w:sz w:val="24"/>
                <w:szCs w:val="24"/>
              </w:rPr>
              <w:t>4.60</w:t>
            </w:r>
          </w:p>
        </w:tc>
      </w:tr>
      <w:tr w:rsidR="00BC36A1">
        <w:trPr>
          <w:jc w:val="center"/>
        </w:trPr>
        <w:tc>
          <w:tcPr>
            <w:tcW w:w="855" w:type="dxa"/>
            <w:vAlign w:val="center"/>
          </w:tcPr>
          <w:p w:rsidR="00BC36A1" w:rsidRDefault="00AB64B9">
            <w:pPr>
              <w:jc w:val="center"/>
            </w:pPr>
            <w:r>
              <w:rPr>
                <w:color w:val="000000"/>
                <w:sz w:val="24"/>
                <w:szCs w:val="24"/>
              </w:rPr>
              <w:t>4</w:t>
            </w:r>
          </w:p>
        </w:tc>
        <w:tc>
          <w:tcPr>
            <w:tcW w:w="1334" w:type="dxa"/>
            <w:vAlign w:val="center"/>
          </w:tcPr>
          <w:p w:rsidR="00BC36A1" w:rsidRDefault="00AB64B9">
            <w:pPr>
              <w:jc w:val="center"/>
            </w:pPr>
            <w:r>
              <w:rPr>
                <w:color w:val="000000"/>
                <w:sz w:val="24"/>
                <w:szCs w:val="24"/>
              </w:rPr>
              <w:t>002475</w:t>
            </w:r>
          </w:p>
        </w:tc>
        <w:tc>
          <w:tcPr>
            <w:tcW w:w="1777" w:type="dxa"/>
            <w:vAlign w:val="center"/>
          </w:tcPr>
          <w:p w:rsidR="00BC36A1" w:rsidRDefault="00AB64B9">
            <w:pPr>
              <w:jc w:val="center"/>
            </w:pPr>
            <w:r>
              <w:rPr>
                <w:color w:val="000000"/>
                <w:sz w:val="24"/>
                <w:szCs w:val="24"/>
              </w:rPr>
              <w:t>立讯精密</w:t>
            </w:r>
          </w:p>
        </w:tc>
        <w:tc>
          <w:tcPr>
            <w:tcW w:w="1334" w:type="dxa"/>
            <w:vAlign w:val="center"/>
          </w:tcPr>
          <w:p w:rsidR="00BC36A1" w:rsidRDefault="00AB64B9">
            <w:pPr>
              <w:jc w:val="right"/>
            </w:pPr>
            <w:r>
              <w:rPr>
                <w:color w:val="000000"/>
                <w:sz w:val="24"/>
                <w:szCs w:val="24"/>
              </w:rPr>
              <w:t>4,000,000</w:t>
            </w:r>
          </w:p>
        </w:tc>
        <w:tc>
          <w:tcPr>
            <w:tcW w:w="1924" w:type="dxa"/>
            <w:vAlign w:val="center"/>
          </w:tcPr>
          <w:p w:rsidR="00BC36A1" w:rsidRDefault="00AB64B9">
            <w:pPr>
              <w:jc w:val="right"/>
            </w:pPr>
            <w:r>
              <w:rPr>
                <w:color w:val="000000"/>
                <w:sz w:val="24"/>
                <w:szCs w:val="24"/>
              </w:rPr>
              <w:t>127,800,000.00</w:t>
            </w:r>
          </w:p>
        </w:tc>
        <w:tc>
          <w:tcPr>
            <w:tcW w:w="1644" w:type="dxa"/>
            <w:vAlign w:val="center"/>
          </w:tcPr>
          <w:p w:rsidR="00BC36A1" w:rsidRDefault="00AB64B9">
            <w:pPr>
              <w:jc w:val="right"/>
            </w:pPr>
            <w:r>
              <w:rPr>
                <w:color w:val="000000"/>
                <w:sz w:val="24"/>
                <w:szCs w:val="24"/>
              </w:rPr>
              <w:t>4.47</w:t>
            </w:r>
          </w:p>
        </w:tc>
      </w:tr>
      <w:tr w:rsidR="00BC36A1">
        <w:trPr>
          <w:jc w:val="center"/>
        </w:trPr>
        <w:tc>
          <w:tcPr>
            <w:tcW w:w="855" w:type="dxa"/>
            <w:vAlign w:val="center"/>
          </w:tcPr>
          <w:p w:rsidR="00BC36A1" w:rsidRDefault="00AB64B9">
            <w:pPr>
              <w:jc w:val="center"/>
            </w:pPr>
            <w:r>
              <w:rPr>
                <w:color w:val="000000"/>
                <w:sz w:val="24"/>
                <w:szCs w:val="24"/>
              </w:rPr>
              <w:t>5</w:t>
            </w:r>
          </w:p>
        </w:tc>
        <w:tc>
          <w:tcPr>
            <w:tcW w:w="1334" w:type="dxa"/>
            <w:vAlign w:val="center"/>
          </w:tcPr>
          <w:p w:rsidR="00BC36A1" w:rsidRDefault="00AB64B9">
            <w:pPr>
              <w:jc w:val="center"/>
            </w:pPr>
            <w:r>
              <w:rPr>
                <w:color w:val="000000"/>
                <w:sz w:val="24"/>
                <w:szCs w:val="24"/>
              </w:rPr>
              <w:t>002020</w:t>
            </w:r>
          </w:p>
        </w:tc>
        <w:tc>
          <w:tcPr>
            <w:tcW w:w="1777" w:type="dxa"/>
            <w:vAlign w:val="center"/>
          </w:tcPr>
          <w:p w:rsidR="00BC36A1" w:rsidRDefault="00AB64B9">
            <w:pPr>
              <w:jc w:val="center"/>
            </w:pPr>
            <w:r>
              <w:rPr>
                <w:color w:val="000000"/>
                <w:sz w:val="24"/>
                <w:szCs w:val="24"/>
              </w:rPr>
              <w:t>京新药业</w:t>
            </w:r>
          </w:p>
        </w:tc>
        <w:tc>
          <w:tcPr>
            <w:tcW w:w="1334" w:type="dxa"/>
            <w:vAlign w:val="center"/>
          </w:tcPr>
          <w:p w:rsidR="00BC36A1" w:rsidRDefault="00AB64B9">
            <w:pPr>
              <w:jc w:val="right"/>
            </w:pPr>
            <w:r>
              <w:rPr>
                <w:color w:val="000000"/>
                <w:sz w:val="24"/>
                <w:szCs w:val="24"/>
              </w:rPr>
              <w:t>3,696,889</w:t>
            </w:r>
          </w:p>
        </w:tc>
        <w:tc>
          <w:tcPr>
            <w:tcW w:w="1924" w:type="dxa"/>
            <w:vAlign w:val="center"/>
          </w:tcPr>
          <w:p w:rsidR="00BC36A1" w:rsidRDefault="00AB64B9">
            <w:pPr>
              <w:jc w:val="right"/>
            </w:pPr>
            <w:r>
              <w:rPr>
                <w:color w:val="000000"/>
                <w:sz w:val="24"/>
                <w:szCs w:val="24"/>
              </w:rPr>
              <w:t>124,030,625.95</w:t>
            </w:r>
          </w:p>
        </w:tc>
        <w:tc>
          <w:tcPr>
            <w:tcW w:w="1644" w:type="dxa"/>
            <w:vAlign w:val="center"/>
          </w:tcPr>
          <w:p w:rsidR="00BC36A1" w:rsidRDefault="00AB64B9">
            <w:pPr>
              <w:jc w:val="right"/>
            </w:pPr>
            <w:r>
              <w:rPr>
                <w:color w:val="000000"/>
                <w:sz w:val="24"/>
                <w:szCs w:val="24"/>
              </w:rPr>
              <w:t>4.34</w:t>
            </w:r>
          </w:p>
        </w:tc>
      </w:tr>
      <w:tr w:rsidR="00BC36A1">
        <w:trPr>
          <w:jc w:val="center"/>
        </w:trPr>
        <w:tc>
          <w:tcPr>
            <w:tcW w:w="855" w:type="dxa"/>
            <w:vAlign w:val="center"/>
          </w:tcPr>
          <w:p w:rsidR="00BC36A1" w:rsidRDefault="00AB64B9">
            <w:pPr>
              <w:jc w:val="center"/>
            </w:pPr>
            <w:r>
              <w:rPr>
                <w:color w:val="000000"/>
                <w:sz w:val="24"/>
                <w:szCs w:val="24"/>
              </w:rPr>
              <w:t>6</w:t>
            </w:r>
          </w:p>
        </w:tc>
        <w:tc>
          <w:tcPr>
            <w:tcW w:w="1334" w:type="dxa"/>
            <w:vAlign w:val="center"/>
          </w:tcPr>
          <w:p w:rsidR="00BC36A1" w:rsidRDefault="00AB64B9">
            <w:pPr>
              <w:jc w:val="center"/>
            </w:pPr>
            <w:r>
              <w:rPr>
                <w:color w:val="000000"/>
                <w:sz w:val="24"/>
                <w:szCs w:val="24"/>
              </w:rPr>
              <w:t>300011</w:t>
            </w:r>
          </w:p>
        </w:tc>
        <w:tc>
          <w:tcPr>
            <w:tcW w:w="1777" w:type="dxa"/>
            <w:vAlign w:val="center"/>
          </w:tcPr>
          <w:p w:rsidR="00BC36A1" w:rsidRDefault="00AB64B9">
            <w:pPr>
              <w:jc w:val="center"/>
            </w:pPr>
            <w:r>
              <w:rPr>
                <w:color w:val="000000"/>
                <w:sz w:val="24"/>
                <w:szCs w:val="24"/>
              </w:rPr>
              <w:t>鼎汉技术</w:t>
            </w:r>
          </w:p>
        </w:tc>
        <w:tc>
          <w:tcPr>
            <w:tcW w:w="1334" w:type="dxa"/>
            <w:vAlign w:val="center"/>
          </w:tcPr>
          <w:p w:rsidR="00BC36A1" w:rsidRDefault="00AB64B9">
            <w:pPr>
              <w:jc w:val="right"/>
            </w:pPr>
            <w:r>
              <w:rPr>
                <w:color w:val="000000"/>
                <w:sz w:val="24"/>
                <w:szCs w:val="24"/>
              </w:rPr>
              <w:t>4,009,745</w:t>
            </w:r>
          </w:p>
        </w:tc>
        <w:tc>
          <w:tcPr>
            <w:tcW w:w="1924" w:type="dxa"/>
            <w:vAlign w:val="center"/>
          </w:tcPr>
          <w:p w:rsidR="00BC36A1" w:rsidRDefault="00AB64B9">
            <w:pPr>
              <w:jc w:val="right"/>
            </w:pPr>
            <w:r>
              <w:rPr>
                <w:color w:val="000000"/>
                <w:sz w:val="24"/>
                <w:szCs w:val="24"/>
              </w:rPr>
              <w:t>119,490,401.00</w:t>
            </w:r>
          </w:p>
        </w:tc>
        <w:tc>
          <w:tcPr>
            <w:tcW w:w="1644" w:type="dxa"/>
            <w:vAlign w:val="center"/>
          </w:tcPr>
          <w:p w:rsidR="00BC36A1" w:rsidRDefault="00AB64B9">
            <w:pPr>
              <w:jc w:val="right"/>
            </w:pPr>
            <w:r>
              <w:rPr>
                <w:color w:val="000000"/>
                <w:sz w:val="24"/>
                <w:szCs w:val="24"/>
              </w:rPr>
              <w:t>4.18</w:t>
            </w:r>
          </w:p>
        </w:tc>
      </w:tr>
      <w:tr w:rsidR="00BC36A1">
        <w:trPr>
          <w:jc w:val="center"/>
        </w:trPr>
        <w:tc>
          <w:tcPr>
            <w:tcW w:w="855" w:type="dxa"/>
            <w:vAlign w:val="center"/>
          </w:tcPr>
          <w:p w:rsidR="00BC36A1" w:rsidRDefault="00AB64B9">
            <w:pPr>
              <w:jc w:val="center"/>
            </w:pPr>
            <w:r>
              <w:rPr>
                <w:color w:val="000000"/>
                <w:sz w:val="24"/>
                <w:szCs w:val="24"/>
              </w:rPr>
              <w:t>7</w:t>
            </w:r>
          </w:p>
        </w:tc>
        <w:tc>
          <w:tcPr>
            <w:tcW w:w="1334" w:type="dxa"/>
            <w:vAlign w:val="center"/>
          </w:tcPr>
          <w:p w:rsidR="00BC36A1" w:rsidRDefault="00AB64B9">
            <w:pPr>
              <w:jc w:val="center"/>
            </w:pPr>
            <w:r>
              <w:rPr>
                <w:color w:val="000000"/>
                <w:sz w:val="24"/>
                <w:szCs w:val="24"/>
              </w:rPr>
              <w:t>002368</w:t>
            </w:r>
          </w:p>
        </w:tc>
        <w:tc>
          <w:tcPr>
            <w:tcW w:w="1777" w:type="dxa"/>
            <w:vAlign w:val="center"/>
          </w:tcPr>
          <w:p w:rsidR="00BC36A1" w:rsidRDefault="00AB64B9">
            <w:pPr>
              <w:jc w:val="center"/>
            </w:pPr>
            <w:r>
              <w:rPr>
                <w:color w:val="000000"/>
                <w:sz w:val="24"/>
                <w:szCs w:val="24"/>
              </w:rPr>
              <w:t>太极股份</w:t>
            </w:r>
          </w:p>
        </w:tc>
        <w:tc>
          <w:tcPr>
            <w:tcW w:w="1334" w:type="dxa"/>
            <w:vAlign w:val="center"/>
          </w:tcPr>
          <w:p w:rsidR="00BC36A1" w:rsidRDefault="00AB64B9">
            <w:pPr>
              <w:jc w:val="right"/>
            </w:pPr>
            <w:r>
              <w:rPr>
                <w:color w:val="000000"/>
                <w:sz w:val="24"/>
                <w:szCs w:val="24"/>
              </w:rPr>
              <w:t>1,499,895</w:t>
            </w:r>
          </w:p>
        </w:tc>
        <w:tc>
          <w:tcPr>
            <w:tcW w:w="1924" w:type="dxa"/>
            <w:vAlign w:val="center"/>
          </w:tcPr>
          <w:p w:rsidR="00BC36A1" w:rsidRDefault="00AB64B9">
            <w:pPr>
              <w:jc w:val="right"/>
            </w:pPr>
            <w:r>
              <w:rPr>
                <w:color w:val="000000"/>
                <w:sz w:val="24"/>
                <w:szCs w:val="24"/>
              </w:rPr>
              <w:t>100,642,954.50</w:t>
            </w:r>
          </w:p>
        </w:tc>
        <w:tc>
          <w:tcPr>
            <w:tcW w:w="1644" w:type="dxa"/>
            <w:vAlign w:val="center"/>
          </w:tcPr>
          <w:p w:rsidR="00BC36A1" w:rsidRDefault="00AB64B9">
            <w:pPr>
              <w:jc w:val="right"/>
            </w:pPr>
            <w:r>
              <w:rPr>
                <w:color w:val="000000"/>
                <w:sz w:val="24"/>
                <w:szCs w:val="24"/>
              </w:rPr>
              <w:t>3.52</w:t>
            </w:r>
          </w:p>
        </w:tc>
      </w:tr>
      <w:tr w:rsidR="00BC36A1">
        <w:trPr>
          <w:jc w:val="center"/>
        </w:trPr>
        <w:tc>
          <w:tcPr>
            <w:tcW w:w="855" w:type="dxa"/>
            <w:vAlign w:val="center"/>
          </w:tcPr>
          <w:p w:rsidR="00BC36A1" w:rsidRDefault="00AB64B9">
            <w:pPr>
              <w:jc w:val="center"/>
            </w:pPr>
            <w:r>
              <w:rPr>
                <w:color w:val="000000"/>
                <w:sz w:val="24"/>
                <w:szCs w:val="24"/>
              </w:rPr>
              <w:t>8</w:t>
            </w:r>
          </w:p>
        </w:tc>
        <w:tc>
          <w:tcPr>
            <w:tcW w:w="1334" w:type="dxa"/>
            <w:vAlign w:val="center"/>
          </w:tcPr>
          <w:p w:rsidR="00BC36A1" w:rsidRDefault="00AB64B9">
            <w:pPr>
              <w:jc w:val="center"/>
            </w:pPr>
            <w:r>
              <w:rPr>
                <w:color w:val="000000"/>
                <w:sz w:val="24"/>
                <w:szCs w:val="24"/>
              </w:rPr>
              <w:t>600276</w:t>
            </w:r>
          </w:p>
        </w:tc>
        <w:tc>
          <w:tcPr>
            <w:tcW w:w="1777" w:type="dxa"/>
            <w:vAlign w:val="center"/>
          </w:tcPr>
          <w:p w:rsidR="00BC36A1" w:rsidRDefault="00AB64B9">
            <w:pPr>
              <w:jc w:val="center"/>
            </w:pPr>
            <w:r>
              <w:rPr>
                <w:color w:val="000000"/>
                <w:sz w:val="24"/>
                <w:szCs w:val="24"/>
              </w:rPr>
              <w:t>恒瑞医药</w:t>
            </w:r>
          </w:p>
        </w:tc>
        <w:tc>
          <w:tcPr>
            <w:tcW w:w="1334" w:type="dxa"/>
            <w:vAlign w:val="center"/>
          </w:tcPr>
          <w:p w:rsidR="00BC36A1" w:rsidRDefault="00AB64B9">
            <w:pPr>
              <w:jc w:val="right"/>
            </w:pPr>
            <w:r>
              <w:rPr>
                <w:color w:val="000000"/>
                <w:sz w:val="24"/>
                <w:szCs w:val="24"/>
              </w:rPr>
              <w:t>2,000,000</w:t>
            </w:r>
          </w:p>
        </w:tc>
        <w:tc>
          <w:tcPr>
            <w:tcW w:w="1924" w:type="dxa"/>
            <w:vAlign w:val="center"/>
          </w:tcPr>
          <w:p w:rsidR="00BC36A1" w:rsidRDefault="00AB64B9">
            <w:pPr>
              <w:jc w:val="right"/>
            </w:pPr>
            <w:r>
              <w:rPr>
                <w:color w:val="000000"/>
                <w:sz w:val="24"/>
                <w:szCs w:val="24"/>
              </w:rPr>
              <w:t>98,240,000.00</w:t>
            </w:r>
          </w:p>
        </w:tc>
        <w:tc>
          <w:tcPr>
            <w:tcW w:w="1644" w:type="dxa"/>
            <w:vAlign w:val="center"/>
          </w:tcPr>
          <w:p w:rsidR="00BC36A1" w:rsidRDefault="00AB64B9">
            <w:pPr>
              <w:jc w:val="right"/>
            </w:pPr>
            <w:r>
              <w:rPr>
                <w:color w:val="000000"/>
                <w:sz w:val="24"/>
                <w:szCs w:val="24"/>
              </w:rPr>
              <w:t>3.43</w:t>
            </w:r>
          </w:p>
        </w:tc>
      </w:tr>
      <w:tr w:rsidR="00BC36A1">
        <w:trPr>
          <w:jc w:val="center"/>
        </w:trPr>
        <w:tc>
          <w:tcPr>
            <w:tcW w:w="855" w:type="dxa"/>
            <w:vAlign w:val="center"/>
          </w:tcPr>
          <w:p w:rsidR="00BC36A1" w:rsidRDefault="00AB64B9">
            <w:pPr>
              <w:jc w:val="center"/>
            </w:pPr>
            <w:r>
              <w:rPr>
                <w:color w:val="000000"/>
                <w:sz w:val="24"/>
                <w:szCs w:val="24"/>
              </w:rPr>
              <w:t>9</w:t>
            </w:r>
          </w:p>
        </w:tc>
        <w:tc>
          <w:tcPr>
            <w:tcW w:w="1334" w:type="dxa"/>
            <w:vAlign w:val="center"/>
          </w:tcPr>
          <w:p w:rsidR="00BC36A1" w:rsidRDefault="00AB64B9">
            <w:pPr>
              <w:jc w:val="center"/>
            </w:pPr>
            <w:r>
              <w:rPr>
                <w:color w:val="000000"/>
                <w:sz w:val="24"/>
                <w:szCs w:val="24"/>
              </w:rPr>
              <w:t>002727</w:t>
            </w:r>
          </w:p>
        </w:tc>
        <w:tc>
          <w:tcPr>
            <w:tcW w:w="1777" w:type="dxa"/>
            <w:vAlign w:val="center"/>
          </w:tcPr>
          <w:p w:rsidR="00BC36A1" w:rsidRDefault="00AB64B9">
            <w:pPr>
              <w:jc w:val="center"/>
            </w:pPr>
            <w:r>
              <w:rPr>
                <w:color w:val="000000"/>
                <w:sz w:val="24"/>
                <w:szCs w:val="24"/>
              </w:rPr>
              <w:t>一心堂</w:t>
            </w:r>
          </w:p>
        </w:tc>
        <w:tc>
          <w:tcPr>
            <w:tcW w:w="1334" w:type="dxa"/>
            <w:vAlign w:val="center"/>
          </w:tcPr>
          <w:p w:rsidR="00BC36A1" w:rsidRDefault="00AB64B9">
            <w:pPr>
              <w:jc w:val="right"/>
            </w:pPr>
            <w:r>
              <w:rPr>
                <w:color w:val="000000"/>
                <w:sz w:val="24"/>
                <w:szCs w:val="24"/>
              </w:rPr>
              <w:t>1,247,705</w:t>
            </w:r>
          </w:p>
        </w:tc>
        <w:tc>
          <w:tcPr>
            <w:tcW w:w="1924" w:type="dxa"/>
            <w:vAlign w:val="center"/>
          </w:tcPr>
          <w:p w:rsidR="00BC36A1" w:rsidRDefault="00AB64B9">
            <w:pPr>
              <w:jc w:val="right"/>
            </w:pPr>
            <w:r>
              <w:rPr>
                <w:color w:val="000000"/>
                <w:sz w:val="24"/>
                <w:szCs w:val="24"/>
              </w:rPr>
              <w:t>72,154,780.15</w:t>
            </w:r>
          </w:p>
        </w:tc>
        <w:tc>
          <w:tcPr>
            <w:tcW w:w="1644" w:type="dxa"/>
            <w:vAlign w:val="center"/>
          </w:tcPr>
          <w:p w:rsidR="00BC36A1" w:rsidRDefault="00AB64B9">
            <w:pPr>
              <w:jc w:val="right"/>
            </w:pPr>
            <w:r>
              <w:rPr>
                <w:color w:val="000000"/>
                <w:sz w:val="24"/>
                <w:szCs w:val="24"/>
              </w:rPr>
              <w:t>2.52</w:t>
            </w:r>
          </w:p>
        </w:tc>
      </w:tr>
      <w:tr w:rsidR="00BC36A1">
        <w:trPr>
          <w:jc w:val="center"/>
        </w:trPr>
        <w:tc>
          <w:tcPr>
            <w:tcW w:w="855" w:type="dxa"/>
            <w:vAlign w:val="center"/>
          </w:tcPr>
          <w:p w:rsidR="00BC36A1" w:rsidRDefault="00AB64B9">
            <w:pPr>
              <w:jc w:val="center"/>
            </w:pPr>
            <w:r>
              <w:rPr>
                <w:color w:val="000000"/>
                <w:sz w:val="24"/>
                <w:szCs w:val="24"/>
              </w:rPr>
              <w:t>10</w:t>
            </w:r>
          </w:p>
        </w:tc>
        <w:tc>
          <w:tcPr>
            <w:tcW w:w="1334" w:type="dxa"/>
            <w:vAlign w:val="center"/>
          </w:tcPr>
          <w:p w:rsidR="00BC36A1" w:rsidRDefault="00AB64B9">
            <w:pPr>
              <w:jc w:val="center"/>
            </w:pPr>
            <w:r>
              <w:rPr>
                <w:color w:val="000000"/>
                <w:sz w:val="24"/>
                <w:szCs w:val="24"/>
              </w:rPr>
              <w:t>600054</w:t>
            </w:r>
          </w:p>
        </w:tc>
        <w:tc>
          <w:tcPr>
            <w:tcW w:w="1777" w:type="dxa"/>
            <w:vAlign w:val="center"/>
          </w:tcPr>
          <w:p w:rsidR="00BC36A1" w:rsidRDefault="00AB64B9">
            <w:pPr>
              <w:jc w:val="center"/>
            </w:pPr>
            <w:r>
              <w:rPr>
                <w:color w:val="000000"/>
                <w:sz w:val="24"/>
                <w:szCs w:val="24"/>
              </w:rPr>
              <w:t>黄山旅游</w:t>
            </w:r>
          </w:p>
        </w:tc>
        <w:tc>
          <w:tcPr>
            <w:tcW w:w="1334" w:type="dxa"/>
            <w:vAlign w:val="center"/>
          </w:tcPr>
          <w:p w:rsidR="00BC36A1" w:rsidRDefault="00AB64B9">
            <w:pPr>
              <w:jc w:val="right"/>
            </w:pPr>
            <w:r>
              <w:rPr>
                <w:color w:val="000000"/>
                <w:sz w:val="24"/>
                <w:szCs w:val="24"/>
              </w:rPr>
              <w:t>3,007,604</w:t>
            </w:r>
          </w:p>
        </w:tc>
        <w:tc>
          <w:tcPr>
            <w:tcW w:w="1924" w:type="dxa"/>
            <w:vAlign w:val="center"/>
          </w:tcPr>
          <w:p w:rsidR="00BC36A1" w:rsidRDefault="00AB64B9">
            <w:pPr>
              <w:jc w:val="right"/>
            </w:pPr>
            <w:r>
              <w:rPr>
                <w:color w:val="000000"/>
                <w:sz w:val="24"/>
                <w:szCs w:val="24"/>
              </w:rPr>
              <w:t>71,009,530.44</w:t>
            </w:r>
          </w:p>
        </w:tc>
        <w:tc>
          <w:tcPr>
            <w:tcW w:w="1644" w:type="dxa"/>
            <w:vAlign w:val="center"/>
          </w:tcPr>
          <w:p w:rsidR="00BC36A1" w:rsidRDefault="00AB64B9">
            <w:pPr>
              <w:jc w:val="right"/>
            </w:pPr>
            <w:r>
              <w:rPr>
                <w:color w:val="000000"/>
                <w:sz w:val="24"/>
                <w:szCs w:val="24"/>
              </w:rPr>
              <w:t>2.48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130,536,000.00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130,536,000.00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130,536,000.00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C36A1">
        <w:trPr>
          <w:jc w:val="center"/>
        </w:trPr>
        <w:tc>
          <w:tcPr>
            <w:tcW w:w="850" w:type="dxa"/>
            <w:vAlign w:val="center"/>
          </w:tcPr>
          <w:p w:rsidR="00BC36A1" w:rsidRDefault="00AB64B9">
            <w:pPr>
              <w:jc w:val="center"/>
            </w:pPr>
            <w:r>
              <w:rPr>
                <w:color w:val="000000"/>
                <w:sz w:val="24"/>
                <w:szCs w:val="24"/>
              </w:rPr>
              <w:t>1</w:t>
            </w:r>
          </w:p>
        </w:tc>
        <w:tc>
          <w:tcPr>
            <w:tcW w:w="1475" w:type="dxa"/>
            <w:vAlign w:val="center"/>
          </w:tcPr>
          <w:p w:rsidR="00BC36A1" w:rsidRDefault="00AB64B9">
            <w:pPr>
              <w:jc w:val="center"/>
            </w:pPr>
            <w:r>
              <w:rPr>
                <w:color w:val="000000"/>
                <w:sz w:val="24"/>
                <w:szCs w:val="24"/>
              </w:rPr>
              <w:t>150416</w:t>
            </w:r>
          </w:p>
        </w:tc>
        <w:tc>
          <w:tcPr>
            <w:tcW w:w="1769" w:type="dxa"/>
            <w:vAlign w:val="center"/>
          </w:tcPr>
          <w:p w:rsidR="00BC36A1" w:rsidRDefault="00AB64B9">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BC36A1" w:rsidRDefault="00AB64B9">
            <w:pPr>
              <w:jc w:val="right"/>
            </w:pPr>
            <w:r>
              <w:rPr>
                <w:color w:val="000000"/>
                <w:sz w:val="24"/>
                <w:szCs w:val="24"/>
              </w:rPr>
              <w:t>1,000,000</w:t>
            </w:r>
          </w:p>
        </w:tc>
        <w:tc>
          <w:tcPr>
            <w:tcW w:w="2150" w:type="dxa"/>
            <w:vAlign w:val="center"/>
          </w:tcPr>
          <w:p w:rsidR="00BC36A1" w:rsidRDefault="00AB64B9">
            <w:pPr>
              <w:jc w:val="right"/>
            </w:pPr>
            <w:r>
              <w:rPr>
                <w:color w:val="000000"/>
                <w:sz w:val="24"/>
                <w:szCs w:val="24"/>
              </w:rPr>
              <w:t>100,230,000.00</w:t>
            </w:r>
          </w:p>
        </w:tc>
        <w:tc>
          <w:tcPr>
            <w:tcW w:w="1237" w:type="dxa"/>
            <w:vAlign w:val="center"/>
          </w:tcPr>
          <w:p w:rsidR="00BC36A1" w:rsidRDefault="00AB64B9">
            <w:pPr>
              <w:jc w:val="right"/>
            </w:pPr>
            <w:r>
              <w:rPr>
                <w:color w:val="000000"/>
                <w:sz w:val="24"/>
                <w:szCs w:val="24"/>
              </w:rPr>
              <w:t>3.50</w:t>
            </w:r>
          </w:p>
        </w:tc>
      </w:tr>
      <w:tr w:rsidR="00BC36A1">
        <w:trPr>
          <w:jc w:val="center"/>
        </w:trPr>
        <w:tc>
          <w:tcPr>
            <w:tcW w:w="850" w:type="dxa"/>
            <w:vAlign w:val="center"/>
          </w:tcPr>
          <w:p w:rsidR="00BC36A1" w:rsidRDefault="00AB64B9">
            <w:pPr>
              <w:jc w:val="center"/>
            </w:pPr>
            <w:r>
              <w:rPr>
                <w:color w:val="000000"/>
                <w:sz w:val="24"/>
                <w:szCs w:val="24"/>
              </w:rPr>
              <w:t>2</w:t>
            </w:r>
          </w:p>
        </w:tc>
        <w:tc>
          <w:tcPr>
            <w:tcW w:w="1475" w:type="dxa"/>
            <w:vAlign w:val="center"/>
          </w:tcPr>
          <w:p w:rsidR="00BC36A1" w:rsidRDefault="00AB64B9">
            <w:pPr>
              <w:jc w:val="center"/>
            </w:pPr>
            <w:r>
              <w:rPr>
                <w:color w:val="000000"/>
                <w:sz w:val="24"/>
                <w:szCs w:val="24"/>
              </w:rPr>
              <w:t>110412</w:t>
            </w:r>
          </w:p>
        </w:tc>
        <w:tc>
          <w:tcPr>
            <w:tcW w:w="1769" w:type="dxa"/>
            <w:vAlign w:val="center"/>
          </w:tcPr>
          <w:p w:rsidR="00BC36A1" w:rsidRDefault="00AB64B9">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BC36A1" w:rsidRDefault="00AB64B9">
            <w:pPr>
              <w:jc w:val="right"/>
            </w:pPr>
            <w:r>
              <w:rPr>
                <w:color w:val="000000"/>
                <w:sz w:val="24"/>
                <w:szCs w:val="24"/>
              </w:rPr>
              <w:t>300,000</w:t>
            </w:r>
          </w:p>
        </w:tc>
        <w:tc>
          <w:tcPr>
            <w:tcW w:w="2150" w:type="dxa"/>
            <w:vAlign w:val="center"/>
          </w:tcPr>
          <w:p w:rsidR="00BC36A1" w:rsidRDefault="00AB64B9">
            <w:pPr>
              <w:jc w:val="right"/>
            </w:pPr>
            <w:r>
              <w:rPr>
                <w:color w:val="000000"/>
                <w:sz w:val="24"/>
                <w:szCs w:val="24"/>
              </w:rPr>
              <w:t>30,306,000.00</w:t>
            </w:r>
          </w:p>
        </w:tc>
        <w:tc>
          <w:tcPr>
            <w:tcW w:w="1237" w:type="dxa"/>
            <w:vAlign w:val="center"/>
          </w:tcPr>
          <w:p w:rsidR="00BC36A1" w:rsidRDefault="00AB64B9">
            <w:pPr>
              <w:jc w:val="right"/>
            </w:pPr>
            <w:r>
              <w:rPr>
                <w:color w:val="000000"/>
                <w:sz w:val="24"/>
                <w:szCs w:val="24"/>
              </w:rPr>
              <w:t>1.06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4,802,573.34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1,952,512.92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328,707.82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7,083,794.08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C36A1">
        <w:trPr>
          <w:jc w:val="center"/>
        </w:trPr>
        <w:tc>
          <w:tcPr>
            <w:tcW w:w="1129" w:type="dxa"/>
            <w:vAlign w:val="center"/>
          </w:tcPr>
          <w:p w:rsidR="00BC36A1" w:rsidRDefault="00AB64B9">
            <w:pPr>
              <w:jc w:val="center"/>
            </w:pPr>
            <w:r>
              <w:rPr>
                <w:color w:val="000000"/>
                <w:sz w:val="24"/>
                <w:szCs w:val="24"/>
              </w:rPr>
              <w:t>1</w:t>
            </w:r>
          </w:p>
        </w:tc>
        <w:tc>
          <w:tcPr>
            <w:tcW w:w="1356" w:type="dxa"/>
            <w:vAlign w:val="center"/>
          </w:tcPr>
          <w:p w:rsidR="00BC36A1" w:rsidRDefault="00AB64B9">
            <w:pPr>
              <w:jc w:val="center"/>
            </w:pPr>
            <w:r>
              <w:rPr>
                <w:color w:val="000000"/>
                <w:sz w:val="24"/>
                <w:szCs w:val="24"/>
              </w:rPr>
              <w:t>002020</w:t>
            </w:r>
          </w:p>
        </w:tc>
        <w:tc>
          <w:tcPr>
            <w:tcW w:w="1355" w:type="dxa"/>
            <w:vAlign w:val="center"/>
          </w:tcPr>
          <w:p w:rsidR="00BC36A1" w:rsidRDefault="00AB64B9">
            <w:pPr>
              <w:jc w:val="center"/>
            </w:pPr>
            <w:r>
              <w:rPr>
                <w:color w:val="000000"/>
                <w:sz w:val="24"/>
                <w:szCs w:val="24"/>
              </w:rPr>
              <w:t>京新药业</w:t>
            </w:r>
          </w:p>
        </w:tc>
        <w:tc>
          <w:tcPr>
            <w:tcW w:w="1880" w:type="dxa"/>
            <w:vAlign w:val="center"/>
          </w:tcPr>
          <w:p w:rsidR="00BC36A1" w:rsidRDefault="00AB64B9">
            <w:pPr>
              <w:jc w:val="right"/>
            </w:pPr>
            <w:r>
              <w:rPr>
                <w:color w:val="000000"/>
                <w:sz w:val="24"/>
                <w:szCs w:val="24"/>
              </w:rPr>
              <w:t>124,030,625.95</w:t>
            </w:r>
          </w:p>
        </w:tc>
        <w:tc>
          <w:tcPr>
            <w:tcW w:w="1724" w:type="dxa"/>
            <w:vAlign w:val="center"/>
          </w:tcPr>
          <w:p w:rsidR="00BC36A1" w:rsidRDefault="00AB64B9">
            <w:pPr>
              <w:jc w:val="right"/>
            </w:pPr>
            <w:r>
              <w:rPr>
                <w:color w:val="000000"/>
                <w:sz w:val="24"/>
                <w:szCs w:val="24"/>
              </w:rPr>
              <w:t>4.34</w:t>
            </w:r>
          </w:p>
        </w:tc>
        <w:tc>
          <w:tcPr>
            <w:tcW w:w="1424" w:type="dxa"/>
            <w:vAlign w:val="center"/>
          </w:tcPr>
          <w:p w:rsidR="00BC36A1" w:rsidRDefault="00AB64B9">
            <w:pPr>
              <w:jc w:val="right"/>
            </w:pPr>
            <w:r>
              <w:rPr>
                <w:color w:val="000000"/>
                <w:sz w:val="24"/>
                <w:szCs w:val="24"/>
              </w:rPr>
              <w:t>重大事项</w:t>
            </w:r>
          </w:p>
        </w:tc>
      </w:tr>
      <w:tr w:rsidR="00BC36A1">
        <w:trPr>
          <w:jc w:val="center"/>
        </w:trPr>
        <w:tc>
          <w:tcPr>
            <w:tcW w:w="1129" w:type="dxa"/>
            <w:vAlign w:val="center"/>
          </w:tcPr>
          <w:p w:rsidR="00BC36A1" w:rsidRDefault="00AB64B9">
            <w:pPr>
              <w:jc w:val="center"/>
            </w:pPr>
            <w:r>
              <w:rPr>
                <w:color w:val="000000"/>
                <w:sz w:val="24"/>
                <w:szCs w:val="24"/>
              </w:rPr>
              <w:t>2</w:t>
            </w:r>
          </w:p>
        </w:tc>
        <w:tc>
          <w:tcPr>
            <w:tcW w:w="1356" w:type="dxa"/>
            <w:vAlign w:val="center"/>
          </w:tcPr>
          <w:p w:rsidR="00BC36A1" w:rsidRDefault="00AB64B9">
            <w:pPr>
              <w:jc w:val="center"/>
            </w:pPr>
            <w:r>
              <w:rPr>
                <w:color w:val="000000"/>
                <w:sz w:val="24"/>
                <w:szCs w:val="24"/>
              </w:rPr>
              <w:t>300011</w:t>
            </w:r>
          </w:p>
        </w:tc>
        <w:tc>
          <w:tcPr>
            <w:tcW w:w="1355" w:type="dxa"/>
            <w:vAlign w:val="center"/>
          </w:tcPr>
          <w:p w:rsidR="00BC36A1" w:rsidRDefault="00AB64B9">
            <w:pPr>
              <w:jc w:val="center"/>
            </w:pPr>
            <w:r>
              <w:rPr>
                <w:color w:val="000000"/>
                <w:sz w:val="24"/>
                <w:szCs w:val="24"/>
              </w:rPr>
              <w:t>鼎汉技术</w:t>
            </w:r>
          </w:p>
        </w:tc>
        <w:tc>
          <w:tcPr>
            <w:tcW w:w="1880" w:type="dxa"/>
            <w:vAlign w:val="center"/>
          </w:tcPr>
          <w:p w:rsidR="00BC36A1" w:rsidRDefault="00AB64B9">
            <w:pPr>
              <w:jc w:val="right"/>
            </w:pPr>
            <w:r>
              <w:rPr>
                <w:color w:val="000000"/>
                <w:sz w:val="24"/>
                <w:szCs w:val="24"/>
              </w:rPr>
              <w:t>119,490,401.00</w:t>
            </w:r>
          </w:p>
        </w:tc>
        <w:tc>
          <w:tcPr>
            <w:tcW w:w="1724" w:type="dxa"/>
            <w:vAlign w:val="center"/>
          </w:tcPr>
          <w:p w:rsidR="00BC36A1" w:rsidRDefault="00AB64B9">
            <w:pPr>
              <w:jc w:val="right"/>
            </w:pPr>
            <w:r>
              <w:rPr>
                <w:color w:val="000000"/>
                <w:sz w:val="24"/>
                <w:szCs w:val="24"/>
              </w:rPr>
              <w:t>4.18</w:t>
            </w:r>
          </w:p>
        </w:tc>
        <w:tc>
          <w:tcPr>
            <w:tcW w:w="1424" w:type="dxa"/>
            <w:vAlign w:val="center"/>
          </w:tcPr>
          <w:p w:rsidR="00BC36A1" w:rsidRDefault="00AB64B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2,578,718,014.13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31,808,925.75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152,958,176.06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2,457,568,763.82</w:t>
            </w:r>
          </w:p>
        </w:tc>
      </w:tr>
    </w:tbl>
    <w:p w:rsidR="00BC36A1" w:rsidRDefault="00AB64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3.88</w:t>
            </w:r>
          </w:p>
        </w:tc>
      </w:tr>
    </w:tbl>
    <w:p w:rsidR="00BC36A1" w:rsidRDefault="00AB64B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鉴于交银施罗德精选混合型证券投资基金的业绩比较基准的指数停止计算编制，本基金管理人根据基金合同的相关约定，经与基金托管人协商一致，并报中国证监会备案，决定自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日起将交银施罗德精选混合型证券投资基金的业绩比较基准由原</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C36A1" w:rsidRDefault="00AB64B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36A1" w:rsidRDefault="00AB64B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C36A1" w:rsidRDefault="00AB64B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AB64B9">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AB64B9">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4B9"/>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36A1"/>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A3275E7D-FEC2-451F-8D1B-A0672625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CEA6-2B8B-4727-9914-25019788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561</cp:revision>
  <dcterms:created xsi:type="dcterms:W3CDTF">2012-10-16T06:07:00Z</dcterms:created>
  <dcterms:modified xsi:type="dcterms:W3CDTF">2016-01-18T06:04:00Z</dcterms:modified>
</cp:coreProperties>
</file>