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交银施罗德信用添利债券证券投资基金（</w:t>
      </w:r>
      <w:r w:rsidRPr="00922D37">
        <w:rPr>
          <w:b/>
          <w:sz w:val="36"/>
          <w:szCs w:val="36"/>
        </w:rPr>
        <w:t>LOF</w:t>
      </w:r>
      <w:r w:rsidRPr="00922D37">
        <w:rPr>
          <w:b/>
          <w:sz w:val="36"/>
          <w:szCs w:val="36"/>
        </w:rPr>
        <w:t>）</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2014</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中国农业银行股份有限公司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中国农业银行股份有限公司</w:t>
      </w:r>
      <w:r w:rsidR="00D91873">
        <w:rPr>
          <w:color w:val="000000"/>
          <w:sz w:val="24"/>
        </w:rPr>
        <w:t>(</w:t>
      </w:r>
      <w:r w:rsidR="00D91873">
        <w:rPr>
          <w:rFonts w:hint="eastAsia"/>
          <w:color w:val="000000"/>
          <w:sz w:val="24"/>
        </w:rPr>
        <w:t>以下简称“</w:t>
      </w:r>
      <w:r w:rsidR="00D91873">
        <w:rPr>
          <w:color w:val="000000"/>
          <w:sz w:val="24"/>
        </w:rPr>
        <w:t>中国农业银行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交银信用添利债券（</w:t>
            </w:r>
            <w:r w:rsidRPr="00AF05D4">
              <w:rPr>
                <w:sz w:val="24"/>
              </w:rPr>
              <w:t>LOF</w:t>
            </w:r>
            <w:r w:rsidRPr="00AF05D4">
              <w:rPr>
                <w:sz w:val="24"/>
              </w:rPr>
              <w:t>）</w:t>
            </w:r>
          </w:p>
        </w:tc>
      </w:tr>
      <w:tr w:rsidR="00DB4544" w:rsidRPr="00C51C77" w:rsidTr="00961313">
        <w:tc>
          <w:tcPr>
            <w:tcW w:w="3119" w:type="dxa"/>
            <w:vAlign w:val="center"/>
          </w:tcPr>
          <w:p w:rsidR="00DB4544" w:rsidRPr="00475872" w:rsidRDefault="00DB4544" w:rsidP="00475872">
            <w:pPr>
              <w:spacing w:before="29" w:line="288" w:lineRule="auto"/>
              <w:rPr>
                <w:sz w:val="24"/>
              </w:rPr>
            </w:pPr>
            <w:r w:rsidRPr="00475872">
              <w:rPr>
                <w:rFonts w:hint="eastAsia"/>
                <w:sz w:val="24"/>
              </w:rPr>
              <w:t>场内简称</w:t>
            </w:r>
          </w:p>
        </w:tc>
        <w:tc>
          <w:tcPr>
            <w:tcW w:w="5879" w:type="dxa"/>
            <w:gridSpan w:val="2"/>
            <w:vAlign w:val="center"/>
          </w:tcPr>
          <w:p w:rsidR="00DB4544" w:rsidRPr="00AF05D4" w:rsidRDefault="00DB4544" w:rsidP="00AF05D4">
            <w:pPr>
              <w:spacing w:before="29" w:line="288" w:lineRule="auto"/>
              <w:jc w:val="center"/>
              <w:rPr>
                <w:sz w:val="24"/>
              </w:rPr>
            </w:pPr>
            <w:r w:rsidRPr="00AF05D4">
              <w:rPr>
                <w:rFonts w:hint="eastAsia"/>
                <w:sz w:val="24"/>
              </w:rPr>
              <w:t>交银添利</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164902</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2880" w:type="dxa"/>
            <w:vAlign w:val="center"/>
          </w:tcPr>
          <w:p w:rsidR="0040762F" w:rsidRPr="00AF05D4" w:rsidRDefault="0040762F" w:rsidP="00AF05D4">
            <w:pPr>
              <w:spacing w:before="29" w:line="288" w:lineRule="auto"/>
              <w:jc w:val="center"/>
              <w:rPr>
                <w:sz w:val="24"/>
              </w:rPr>
            </w:pPr>
            <w:r w:rsidRPr="00AF05D4">
              <w:rPr>
                <w:rFonts w:hint="eastAsia"/>
                <w:sz w:val="24"/>
              </w:rPr>
              <w:t xml:space="preserve"> 164902(</w:t>
            </w:r>
            <w:r w:rsidRPr="00AF05D4">
              <w:rPr>
                <w:rFonts w:hint="eastAsia"/>
                <w:sz w:val="24"/>
              </w:rPr>
              <w:t>前端</w:t>
            </w:r>
            <w:r w:rsidRPr="00AF05D4">
              <w:rPr>
                <w:rFonts w:hint="eastAsia"/>
                <w:sz w:val="24"/>
              </w:rPr>
              <w:t>)</w:t>
            </w:r>
          </w:p>
        </w:tc>
        <w:tc>
          <w:tcPr>
            <w:tcW w:w="2999" w:type="dxa"/>
            <w:vAlign w:val="center"/>
          </w:tcPr>
          <w:p w:rsidR="0040762F" w:rsidRPr="00AF05D4" w:rsidRDefault="0040762F" w:rsidP="00AF05D4">
            <w:pPr>
              <w:spacing w:before="29" w:line="288" w:lineRule="auto"/>
              <w:jc w:val="center"/>
              <w:rPr>
                <w:sz w:val="24"/>
              </w:rPr>
            </w:pPr>
            <w:r w:rsidRPr="00AF05D4">
              <w:rPr>
                <w:rFonts w:hint="eastAsia"/>
                <w:sz w:val="24"/>
              </w:rPr>
              <w:t xml:space="preserve"> 164903(</w:t>
            </w:r>
            <w:r w:rsidRPr="00AF05D4">
              <w:rPr>
                <w:rFonts w:hint="eastAsia"/>
                <w:sz w:val="24"/>
              </w:rPr>
              <w:t>后端</w:t>
            </w:r>
            <w:r w:rsidRPr="00AF05D4">
              <w:rPr>
                <w:rFonts w:hint="eastAsia"/>
                <w:sz w:val="24"/>
              </w:rPr>
              <w:t>)</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上市契约型开放式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2011</w:t>
            </w:r>
            <w:r w:rsidRPr="00AF05D4">
              <w:rPr>
                <w:sz w:val="24"/>
              </w:rPr>
              <w:t>年</w:t>
            </w:r>
            <w:r w:rsidRPr="00AF05D4">
              <w:rPr>
                <w:sz w:val="24"/>
              </w:rPr>
              <w:t>1</w:t>
            </w:r>
            <w:r w:rsidRPr="00AF05D4">
              <w:rPr>
                <w:sz w:val="24"/>
              </w:rPr>
              <w:t>月</w:t>
            </w:r>
            <w:r w:rsidRPr="00AF05D4">
              <w:rPr>
                <w:sz w:val="24"/>
              </w:rPr>
              <w:t>27</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中国农业银行股份有限公司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118,796,383.24</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不定期</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基金份额上市的证券交易所</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深圳证券交易所</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上市日期</w:t>
            </w:r>
          </w:p>
        </w:tc>
        <w:tc>
          <w:tcPr>
            <w:tcW w:w="5879" w:type="dxa"/>
            <w:gridSpan w:val="2"/>
            <w:vAlign w:val="center"/>
          </w:tcPr>
          <w:p w:rsidR="0040762F" w:rsidRPr="00AF05D4" w:rsidRDefault="0040762F" w:rsidP="00AF05D4">
            <w:pPr>
              <w:spacing w:before="29" w:line="288" w:lineRule="auto"/>
              <w:jc w:val="center"/>
              <w:rPr>
                <w:sz w:val="24"/>
              </w:rPr>
            </w:pPr>
            <w:r w:rsidRPr="00AF05D4">
              <w:rPr>
                <w:rFonts w:hint="eastAsia"/>
                <w:sz w:val="24"/>
              </w:rPr>
              <w:t>2011</w:t>
            </w:r>
            <w:r w:rsidRPr="00AF05D4">
              <w:rPr>
                <w:rFonts w:hint="eastAsia"/>
                <w:sz w:val="24"/>
              </w:rPr>
              <w:t>年</w:t>
            </w:r>
            <w:r w:rsidRPr="00AF05D4">
              <w:rPr>
                <w:rFonts w:hint="eastAsia"/>
                <w:sz w:val="24"/>
              </w:rPr>
              <w:t>4</w:t>
            </w:r>
            <w:r w:rsidRPr="00AF05D4">
              <w:rPr>
                <w:rFonts w:hint="eastAsia"/>
                <w:sz w:val="24"/>
              </w:rPr>
              <w:t>月</w:t>
            </w:r>
            <w:r w:rsidRPr="00AF05D4">
              <w:rPr>
                <w:rFonts w:hint="eastAsia"/>
                <w:sz w:val="24"/>
              </w:rPr>
              <w:t>20</w:t>
            </w:r>
            <w:r w:rsidRPr="00AF05D4">
              <w:rPr>
                <w:rFonts w:hint="eastAsia"/>
                <w:sz w:val="24"/>
              </w:rPr>
              <w:t>日</w:t>
            </w:r>
          </w:p>
        </w:tc>
      </w:tr>
    </w:tbl>
    <w:p w:rsidR="00F017B1" w:rsidRPr="00F017B1" w:rsidRDefault="001A59F9" w:rsidP="00E75ED1">
      <w:pPr>
        <w:spacing w:before="29" w:line="288" w:lineRule="auto"/>
        <w:jc w:val="left"/>
        <w:rPr>
          <w:kern w:val="0"/>
          <w:sz w:val="24"/>
        </w:rPr>
      </w:pPr>
      <w:r w:rsidRPr="00FF7B7E">
        <w:rPr>
          <w:kern w:val="0"/>
          <w:sz w:val="24"/>
        </w:rPr>
        <w:t>注：根据本基金《基金合同》及《招募说明书》的相关规定，本基金在基金合同生效之日起三年</w:t>
      </w:r>
      <w:r w:rsidRPr="00FF7B7E">
        <w:rPr>
          <w:kern w:val="0"/>
          <w:sz w:val="24"/>
        </w:rPr>
        <w:t>(</w:t>
      </w:r>
      <w:r w:rsidRPr="00FF7B7E">
        <w:rPr>
          <w:kern w:val="0"/>
          <w:sz w:val="24"/>
        </w:rPr>
        <w:t>含三年</w:t>
      </w:r>
      <w:r w:rsidRPr="00FF7B7E">
        <w:rPr>
          <w:kern w:val="0"/>
          <w:sz w:val="24"/>
        </w:rPr>
        <w:t>)</w:t>
      </w:r>
      <w:r w:rsidRPr="00FF7B7E">
        <w:rPr>
          <w:kern w:val="0"/>
          <w:sz w:val="24"/>
        </w:rPr>
        <w:t>的期间内，采取封闭式运作，在深圳证券交易所上市交易，封闭期结束后转为上市开放式基金（</w:t>
      </w:r>
      <w:r w:rsidRPr="00FF7B7E">
        <w:rPr>
          <w:kern w:val="0"/>
          <w:sz w:val="24"/>
        </w:rPr>
        <w:t>LOF</w:t>
      </w:r>
      <w:r w:rsidRPr="00FF7B7E">
        <w:rPr>
          <w:kern w:val="0"/>
          <w:sz w:val="24"/>
        </w:rPr>
        <w:t>）。本基金封闭期自</w:t>
      </w:r>
      <w:r w:rsidRPr="00FF7B7E">
        <w:rPr>
          <w:kern w:val="0"/>
          <w:sz w:val="24"/>
        </w:rPr>
        <w:t>2011</w:t>
      </w:r>
      <w:r w:rsidRPr="00FF7B7E">
        <w:rPr>
          <w:kern w:val="0"/>
          <w:sz w:val="24"/>
        </w:rPr>
        <w:t>年</w:t>
      </w:r>
      <w:r w:rsidRPr="00FF7B7E">
        <w:rPr>
          <w:kern w:val="0"/>
          <w:sz w:val="24"/>
        </w:rPr>
        <w:t>1</w:t>
      </w:r>
      <w:r w:rsidRPr="00FF7B7E">
        <w:rPr>
          <w:kern w:val="0"/>
          <w:sz w:val="24"/>
        </w:rPr>
        <w:t>月</w:t>
      </w:r>
      <w:r w:rsidRPr="00FF7B7E">
        <w:rPr>
          <w:kern w:val="0"/>
          <w:sz w:val="24"/>
        </w:rPr>
        <w:t>27</w:t>
      </w:r>
      <w:r w:rsidRPr="00FF7B7E">
        <w:rPr>
          <w:kern w:val="0"/>
          <w:sz w:val="24"/>
        </w:rPr>
        <w:t>日</w:t>
      </w:r>
      <w:r w:rsidRPr="00FF7B7E">
        <w:rPr>
          <w:kern w:val="0"/>
          <w:sz w:val="24"/>
        </w:rPr>
        <w:t>(</w:t>
      </w:r>
      <w:r w:rsidRPr="00FF7B7E">
        <w:rPr>
          <w:kern w:val="0"/>
          <w:sz w:val="24"/>
        </w:rPr>
        <w:t>基金合同生效日</w:t>
      </w:r>
      <w:r w:rsidRPr="00FF7B7E">
        <w:rPr>
          <w:kern w:val="0"/>
          <w:sz w:val="24"/>
        </w:rPr>
        <w:t>)</w:t>
      </w:r>
      <w:r w:rsidRPr="00FF7B7E">
        <w:rPr>
          <w:kern w:val="0"/>
          <w:sz w:val="24"/>
        </w:rPr>
        <w:t>起至</w:t>
      </w:r>
      <w:r w:rsidRPr="00FF7B7E">
        <w:rPr>
          <w:kern w:val="0"/>
          <w:sz w:val="24"/>
        </w:rPr>
        <w:t>2014</w:t>
      </w:r>
      <w:r w:rsidRPr="00FF7B7E">
        <w:rPr>
          <w:kern w:val="0"/>
          <w:sz w:val="24"/>
        </w:rPr>
        <w:t>年</w:t>
      </w:r>
      <w:r w:rsidRPr="00FF7B7E">
        <w:rPr>
          <w:kern w:val="0"/>
          <w:sz w:val="24"/>
        </w:rPr>
        <w:t>1</w:t>
      </w:r>
      <w:r w:rsidRPr="00FF7B7E">
        <w:rPr>
          <w:kern w:val="0"/>
          <w:sz w:val="24"/>
        </w:rPr>
        <w:t>月</w:t>
      </w:r>
      <w:r w:rsidRPr="00FF7B7E">
        <w:rPr>
          <w:kern w:val="0"/>
          <w:sz w:val="24"/>
        </w:rPr>
        <w:t>27</w:t>
      </w:r>
      <w:r w:rsidRPr="00FF7B7E">
        <w:rPr>
          <w:kern w:val="0"/>
          <w:sz w:val="24"/>
        </w:rPr>
        <w:t>日止，自</w:t>
      </w:r>
      <w:r w:rsidRPr="00FF7B7E">
        <w:rPr>
          <w:kern w:val="0"/>
          <w:sz w:val="24"/>
        </w:rPr>
        <w:t>2014</w:t>
      </w:r>
      <w:r w:rsidRPr="00FF7B7E">
        <w:rPr>
          <w:kern w:val="0"/>
          <w:sz w:val="24"/>
        </w:rPr>
        <w:t>年</w:t>
      </w:r>
      <w:r w:rsidRPr="00FF7B7E">
        <w:rPr>
          <w:kern w:val="0"/>
          <w:sz w:val="24"/>
        </w:rPr>
        <w:t>1</w:t>
      </w:r>
      <w:r w:rsidRPr="00FF7B7E">
        <w:rPr>
          <w:kern w:val="0"/>
          <w:sz w:val="24"/>
        </w:rPr>
        <w:t>月</w:t>
      </w:r>
      <w:r w:rsidRPr="00FF7B7E">
        <w:rPr>
          <w:kern w:val="0"/>
          <w:sz w:val="24"/>
        </w:rPr>
        <w:t>28</w:t>
      </w:r>
      <w:r w:rsidRPr="00FF7B7E">
        <w:rPr>
          <w:kern w:val="0"/>
          <w:sz w:val="24"/>
        </w:rPr>
        <w:t>日起基金运作方式转为</w:t>
      </w:r>
      <w:r w:rsidRPr="00FF7B7E">
        <w:rPr>
          <w:kern w:val="0"/>
          <w:sz w:val="24"/>
        </w:rPr>
        <w:t>“</w:t>
      </w:r>
      <w:r w:rsidRPr="00FF7B7E">
        <w:rPr>
          <w:kern w:val="0"/>
          <w:sz w:val="24"/>
        </w:rPr>
        <w:t>上市契约型开放式</w:t>
      </w:r>
      <w:r w:rsidRPr="00FF7B7E">
        <w:rPr>
          <w:kern w:val="0"/>
          <w:sz w:val="24"/>
        </w:rPr>
        <w:t>”</w:t>
      </w:r>
      <w:r w:rsidRPr="00FF7B7E">
        <w:rPr>
          <w:kern w:val="0"/>
          <w:sz w:val="24"/>
        </w:rPr>
        <w:t>，并于同日起开放本基金的申购、赎回业务。本基金在募集期仅开通前端基金份额的认购，转为上市开放式基金（</w:t>
      </w:r>
      <w:r w:rsidRPr="00FF7B7E">
        <w:rPr>
          <w:kern w:val="0"/>
          <w:sz w:val="24"/>
        </w:rPr>
        <w:t>LOF</w:t>
      </w:r>
      <w:r w:rsidRPr="00FF7B7E">
        <w:rPr>
          <w:kern w:val="0"/>
          <w:sz w:val="24"/>
        </w:rPr>
        <w:t>）后将同时开通前端基金份额和后端基金份额的申购和赎回。</w:t>
      </w:r>
    </w:p>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根据宏观经济运行状况和金融市场的运行趋势，自上而下进行宏观分析，自下而上精选个券，在控制信用风险、利率风险和流动性风险前提下，力求通过主动承担适度信用风险获得持续投资收益，谋求基金资产的长期稳定增长。</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充分发挥基金管理人的研究优势，将规范化的基本面研究、严谨的信用分析与积极主动的投资风格相结合，在分析和判断宏观经济运行状况和金融市场运行趋势的基础上，动态调整大类金融资产比例，自上而下决定债券组合久期及债券类属配置；在严谨深入的信用分析基础上，综合考量信用债券的信用评级，以及各类债券的流动性、供求关系和收益率水平等，自下而上地精选个券。同时，本基金也会关注股票一级市场、权证一级市场等其它相关市场存在的投资机会，力争实现基金总体风险收益特征保持不变前提下的基金资产增值最大化。</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80%×</w:t>
            </w:r>
            <w:r w:rsidRPr="00A57672">
              <w:rPr>
                <w:sz w:val="24"/>
              </w:rPr>
              <w:t>中债企业债总全价指数收益率</w:t>
            </w:r>
            <w:r w:rsidRPr="00A57672">
              <w:rPr>
                <w:sz w:val="24"/>
              </w:rPr>
              <w:t>+20%×</w:t>
            </w:r>
            <w:r w:rsidRPr="00A57672">
              <w:rPr>
                <w:sz w:val="24"/>
              </w:rPr>
              <w:t>中债国债总全价指数收益率</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本基金是一只债券型基金，属于证券投资基金中中等风险的品种，其长期平均的预期收益和风险高于货币市场基金，低于混合型基金和股票型基金。</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中国农业银行股份有限公司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林葛</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010-66060069</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tgxxpl@abchina.com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95599</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010-68121816</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2"/>
      </w:tblGrid>
      <w:tr w:rsidR="001A59F9" w:rsidRPr="00C51C77" w:rsidTr="004B43FF">
        <w:tc>
          <w:tcPr>
            <w:tcW w:w="3686"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5312"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4B43FF">
        <w:tc>
          <w:tcPr>
            <w:tcW w:w="3686"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5312"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2013</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2012</w:t>
            </w:r>
            <w:r w:rsidRPr="00931B45">
              <w:rPr>
                <w:b/>
                <w:szCs w:val="21"/>
              </w:rPr>
              <w:t>年</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-44,760,375.98</w:t>
            </w:r>
          </w:p>
        </w:tc>
        <w:tc>
          <w:tcPr>
            <w:tcW w:w="2268" w:type="dxa"/>
            <w:vAlign w:val="center"/>
          </w:tcPr>
          <w:p w:rsidR="00501A91" w:rsidRPr="00931B45" w:rsidRDefault="00501A91" w:rsidP="00D415F5">
            <w:pPr>
              <w:spacing w:before="29" w:line="288" w:lineRule="auto"/>
              <w:jc w:val="right"/>
              <w:rPr>
                <w:szCs w:val="21"/>
              </w:rPr>
            </w:pPr>
            <w:r w:rsidRPr="00931B45">
              <w:rPr>
                <w:szCs w:val="21"/>
              </w:rPr>
              <w:t>77,396,731.20</w:t>
            </w:r>
          </w:p>
        </w:tc>
        <w:tc>
          <w:tcPr>
            <w:tcW w:w="2194" w:type="dxa"/>
            <w:vAlign w:val="center"/>
          </w:tcPr>
          <w:p w:rsidR="00501A91" w:rsidRPr="00931B45" w:rsidRDefault="00501A91" w:rsidP="00D415F5">
            <w:pPr>
              <w:spacing w:before="29" w:line="288" w:lineRule="auto"/>
              <w:jc w:val="right"/>
              <w:rPr>
                <w:szCs w:val="21"/>
              </w:rPr>
            </w:pPr>
            <w:r w:rsidRPr="00931B45">
              <w:rPr>
                <w:szCs w:val="21"/>
              </w:rPr>
              <w:t>137,380,272.44</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21,052,322.08</w:t>
            </w:r>
          </w:p>
        </w:tc>
        <w:tc>
          <w:tcPr>
            <w:tcW w:w="2268" w:type="dxa"/>
            <w:vAlign w:val="center"/>
          </w:tcPr>
          <w:p w:rsidR="00501A91" w:rsidRPr="00931B45" w:rsidRDefault="00501A91" w:rsidP="00D415F5">
            <w:pPr>
              <w:spacing w:before="29" w:line="288" w:lineRule="auto"/>
              <w:jc w:val="right"/>
              <w:rPr>
                <w:szCs w:val="21"/>
              </w:rPr>
            </w:pPr>
            <w:r w:rsidRPr="00931B45">
              <w:rPr>
                <w:szCs w:val="21"/>
              </w:rPr>
              <w:t>-2,738,015.72</w:t>
            </w:r>
          </w:p>
        </w:tc>
        <w:tc>
          <w:tcPr>
            <w:tcW w:w="2194" w:type="dxa"/>
            <w:vAlign w:val="center"/>
          </w:tcPr>
          <w:p w:rsidR="00501A91" w:rsidRPr="00931B45" w:rsidRDefault="00501A91" w:rsidP="00D415F5">
            <w:pPr>
              <w:spacing w:before="29" w:line="288" w:lineRule="auto"/>
              <w:jc w:val="right"/>
              <w:rPr>
                <w:szCs w:val="21"/>
              </w:rPr>
            </w:pPr>
            <w:r w:rsidRPr="00931B45">
              <w:rPr>
                <w:szCs w:val="21"/>
              </w:rPr>
              <w:t>261,757,377.10</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0.0487</w:t>
            </w:r>
          </w:p>
        </w:tc>
        <w:tc>
          <w:tcPr>
            <w:tcW w:w="2268" w:type="dxa"/>
            <w:vAlign w:val="center"/>
          </w:tcPr>
          <w:p w:rsidR="00501A91" w:rsidRPr="00931B45" w:rsidRDefault="00501A91" w:rsidP="00D415F5">
            <w:pPr>
              <w:spacing w:before="29" w:line="288" w:lineRule="auto"/>
              <w:jc w:val="right"/>
              <w:rPr>
                <w:szCs w:val="21"/>
              </w:rPr>
            </w:pPr>
            <w:r w:rsidRPr="00931B45">
              <w:rPr>
                <w:szCs w:val="21"/>
              </w:rPr>
              <w:t>-0.0014</w:t>
            </w:r>
          </w:p>
        </w:tc>
        <w:tc>
          <w:tcPr>
            <w:tcW w:w="2194" w:type="dxa"/>
            <w:vAlign w:val="center"/>
          </w:tcPr>
          <w:p w:rsidR="00501A91" w:rsidRPr="00931B45" w:rsidRDefault="00501A91" w:rsidP="00D415F5">
            <w:pPr>
              <w:spacing w:before="29" w:line="288" w:lineRule="auto"/>
              <w:jc w:val="right"/>
              <w:rPr>
                <w:szCs w:val="21"/>
              </w:rPr>
            </w:pPr>
            <w:r w:rsidRPr="00931B45">
              <w:rPr>
                <w:szCs w:val="21"/>
              </w:rPr>
              <w:t>0.1381</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15.33%</w:t>
            </w:r>
          </w:p>
        </w:tc>
        <w:tc>
          <w:tcPr>
            <w:tcW w:w="2268" w:type="dxa"/>
            <w:vAlign w:val="center"/>
          </w:tcPr>
          <w:p w:rsidR="00501A91" w:rsidRPr="00931B45" w:rsidRDefault="00501A91" w:rsidP="00D415F5">
            <w:pPr>
              <w:spacing w:before="29" w:line="288" w:lineRule="auto"/>
              <w:jc w:val="right"/>
              <w:rPr>
                <w:szCs w:val="21"/>
              </w:rPr>
            </w:pPr>
            <w:r w:rsidRPr="00931B45">
              <w:rPr>
                <w:szCs w:val="21"/>
              </w:rPr>
              <w:t>-0.26%</w:t>
            </w:r>
          </w:p>
        </w:tc>
        <w:tc>
          <w:tcPr>
            <w:tcW w:w="2194" w:type="dxa"/>
            <w:vAlign w:val="center"/>
          </w:tcPr>
          <w:p w:rsidR="00501A91" w:rsidRPr="00931B45" w:rsidRDefault="00501A91" w:rsidP="00D415F5">
            <w:pPr>
              <w:spacing w:before="29" w:line="288" w:lineRule="auto"/>
              <w:jc w:val="right"/>
              <w:rPr>
                <w:szCs w:val="21"/>
              </w:rPr>
            </w:pPr>
            <w:r w:rsidRPr="00931B45">
              <w:rPr>
                <w:szCs w:val="21"/>
              </w:rPr>
              <w:t>14.24%</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2013</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2012</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0.108</w:t>
            </w:r>
          </w:p>
        </w:tc>
        <w:tc>
          <w:tcPr>
            <w:tcW w:w="2268" w:type="dxa"/>
            <w:vAlign w:val="center"/>
          </w:tcPr>
          <w:p w:rsidR="00501A91" w:rsidRPr="00931B45" w:rsidRDefault="00501A91" w:rsidP="00D415F5">
            <w:pPr>
              <w:spacing w:before="29" w:line="288" w:lineRule="auto"/>
              <w:jc w:val="right"/>
              <w:rPr>
                <w:szCs w:val="21"/>
              </w:rPr>
            </w:pPr>
            <w:r w:rsidRPr="00931B45">
              <w:rPr>
                <w:szCs w:val="21"/>
              </w:rPr>
              <w:t>0.031</w:t>
            </w:r>
          </w:p>
        </w:tc>
        <w:tc>
          <w:tcPr>
            <w:tcW w:w="2194" w:type="dxa"/>
            <w:vAlign w:val="center"/>
          </w:tcPr>
          <w:p w:rsidR="00501A91" w:rsidRPr="00931B45" w:rsidRDefault="00501A91" w:rsidP="00D415F5">
            <w:pPr>
              <w:spacing w:before="29" w:line="288" w:lineRule="auto"/>
              <w:jc w:val="right"/>
              <w:rPr>
                <w:szCs w:val="21"/>
              </w:rPr>
            </w:pPr>
            <w:r w:rsidRPr="00931B45">
              <w:rPr>
                <w:szCs w:val="21"/>
              </w:rPr>
              <w:t>0.068</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137,005,136.03</w:t>
            </w:r>
          </w:p>
        </w:tc>
        <w:tc>
          <w:tcPr>
            <w:tcW w:w="2268" w:type="dxa"/>
            <w:vAlign w:val="center"/>
          </w:tcPr>
          <w:p w:rsidR="00501A91" w:rsidRPr="00931B45" w:rsidRDefault="00501A91" w:rsidP="00D415F5">
            <w:pPr>
              <w:spacing w:before="29" w:line="288" w:lineRule="auto"/>
              <w:jc w:val="right"/>
              <w:rPr>
                <w:szCs w:val="21"/>
              </w:rPr>
            </w:pPr>
            <w:r w:rsidRPr="00931B45">
              <w:rPr>
                <w:szCs w:val="21"/>
              </w:rPr>
              <w:t>1,954,477,703.30</w:t>
            </w:r>
          </w:p>
        </w:tc>
        <w:tc>
          <w:tcPr>
            <w:tcW w:w="2194" w:type="dxa"/>
            <w:vAlign w:val="center"/>
          </w:tcPr>
          <w:p w:rsidR="00501A91" w:rsidRPr="00931B45" w:rsidRDefault="00501A91" w:rsidP="00D415F5">
            <w:pPr>
              <w:spacing w:before="29" w:line="288" w:lineRule="auto"/>
              <w:jc w:val="right"/>
              <w:rPr>
                <w:szCs w:val="21"/>
              </w:rPr>
            </w:pPr>
            <w:r w:rsidRPr="00931B45">
              <w:rPr>
                <w:szCs w:val="21"/>
              </w:rPr>
              <w:t>2,044,389,665.04</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1.153</w:t>
            </w:r>
          </w:p>
        </w:tc>
        <w:tc>
          <w:tcPr>
            <w:tcW w:w="2268" w:type="dxa"/>
            <w:vAlign w:val="center"/>
          </w:tcPr>
          <w:p w:rsidR="00501A91" w:rsidRPr="00931B45" w:rsidRDefault="00501A91" w:rsidP="00D415F5">
            <w:pPr>
              <w:spacing w:before="29" w:line="288" w:lineRule="auto"/>
              <w:jc w:val="right"/>
              <w:rPr>
                <w:szCs w:val="21"/>
              </w:rPr>
            </w:pPr>
            <w:r w:rsidRPr="00931B45">
              <w:rPr>
                <w:szCs w:val="21"/>
              </w:rPr>
              <w:t>1.031</w:t>
            </w:r>
          </w:p>
        </w:tc>
        <w:tc>
          <w:tcPr>
            <w:tcW w:w="2194" w:type="dxa"/>
            <w:vAlign w:val="center"/>
          </w:tcPr>
          <w:p w:rsidR="00501A91" w:rsidRPr="00931B45" w:rsidRDefault="00501A91" w:rsidP="00D415F5">
            <w:pPr>
              <w:spacing w:before="29" w:line="288" w:lineRule="auto"/>
              <w:jc w:val="right"/>
              <w:rPr>
                <w:szCs w:val="21"/>
              </w:rPr>
            </w:pPr>
            <w:r w:rsidRPr="00931B45">
              <w:rPr>
                <w:szCs w:val="21"/>
              </w:rPr>
              <w:t>1.079</w:t>
            </w:r>
          </w:p>
        </w:tc>
      </w:tr>
    </w:tbl>
    <w:p w:rsidR="00F31622" w:rsidRDefault="00346E0A">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r>
        <w:rPr>
          <w:kern w:val="0"/>
          <w:sz w:val="24"/>
        </w:rPr>
        <w:t xml:space="preserve"> </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F31622">
        <w:tc>
          <w:tcPr>
            <w:tcW w:w="1286" w:type="dxa"/>
            <w:vAlign w:val="center"/>
          </w:tcPr>
          <w:p w:rsidR="00F31622" w:rsidRDefault="00346E0A">
            <w:pPr>
              <w:jc w:val="left"/>
            </w:pPr>
            <w:r>
              <w:rPr>
                <w:color w:val="000000"/>
                <w:sz w:val="24"/>
              </w:rPr>
              <w:t>过去三个月</w:t>
            </w:r>
          </w:p>
        </w:tc>
        <w:tc>
          <w:tcPr>
            <w:tcW w:w="1286" w:type="dxa"/>
            <w:vAlign w:val="center"/>
          </w:tcPr>
          <w:p w:rsidR="00F31622" w:rsidRDefault="00346E0A">
            <w:pPr>
              <w:jc w:val="center"/>
            </w:pPr>
            <w:r>
              <w:rPr>
                <w:color w:val="000000"/>
                <w:sz w:val="24"/>
              </w:rPr>
              <w:t>7.26%</w:t>
            </w:r>
          </w:p>
        </w:tc>
        <w:tc>
          <w:tcPr>
            <w:tcW w:w="1286" w:type="dxa"/>
            <w:vAlign w:val="center"/>
          </w:tcPr>
          <w:p w:rsidR="00F31622" w:rsidRDefault="00346E0A">
            <w:pPr>
              <w:jc w:val="center"/>
            </w:pPr>
            <w:r>
              <w:rPr>
                <w:color w:val="000000"/>
                <w:sz w:val="24"/>
              </w:rPr>
              <w:t>0.37%</w:t>
            </w:r>
          </w:p>
        </w:tc>
        <w:tc>
          <w:tcPr>
            <w:tcW w:w="1285" w:type="dxa"/>
            <w:vAlign w:val="center"/>
          </w:tcPr>
          <w:p w:rsidR="00F31622" w:rsidRDefault="00346E0A">
            <w:pPr>
              <w:jc w:val="center"/>
            </w:pPr>
            <w:r>
              <w:rPr>
                <w:color w:val="000000"/>
                <w:sz w:val="24"/>
              </w:rPr>
              <w:t>0.84%</w:t>
            </w:r>
          </w:p>
        </w:tc>
        <w:tc>
          <w:tcPr>
            <w:tcW w:w="1285" w:type="dxa"/>
            <w:vAlign w:val="center"/>
          </w:tcPr>
          <w:p w:rsidR="00F31622" w:rsidRDefault="00346E0A">
            <w:pPr>
              <w:jc w:val="center"/>
            </w:pPr>
            <w:r>
              <w:rPr>
                <w:color w:val="000000"/>
                <w:sz w:val="24"/>
              </w:rPr>
              <w:t>0.20%</w:t>
            </w:r>
          </w:p>
        </w:tc>
        <w:tc>
          <w:tcPr>
            <w:tcW w:w="1285" w:type="dxa"/>
            <w:vAlign w:val="center"/>
          </w:tcPr>
          <w:p w:rsidR="00F31622" w:rsidRDefault="00346E0A">
            <w:pPr>
              <w:jc w:val="center"/>
            </w:pPr>
            <w:r>
              <w:rPr>
                <w:color w:val="000000"/>
                <w:sz w:val="24"/>
              </w:rPr>
              <w:t>6.42%</w:t>
            </w:r>
          </w:p>
        </w:tc>
        <w:tc>
          <w:tcPr>
            <w:tcW w:w="1285" w:type="dxa"/>
            <w:vAlign w:val="center"/>
          </w:tcPr>
          <w:p w:rsidR="00F31622" w:rsidRDefault="00346E0A">
            <w:pPr>
              <w:jc w:val="center"/>
            </w:pPr>
            <w:r>
              <w:rPr>
                <w:color w:val="000000"/>
                <w:sz w:val="24"/>
              </w:rPr>
              <w:t>0.17%</w:t>
            </w:r>
          </w:p>
        </w:tc>
      </w:tr>
      <w:tr w:rsidR="00F31622">
        <w:tc>
          <w:tcPr>
            <w:tcW w:w="1286" w:type="dxa"/>
            <w:vAlign w:val="center"/>
          </w:tcPr>
          <w:p w:rsidR="00F31622" w:rsidRDefault="00346E0A">
            <w:pPr>
              <w:jc w:val="left"/>
            </w:pPr>
            <w:r>
              <w:rPr>
                <w:color w:val="000000"/>
                <w:sz w:val="24"/>
              </w:rPr>
              <w:t>过去六个月</w:t>
            </w:r>
          </w:p>
        </w:tc>
        <w:tc>
          <w:tcPr>
            <w:tcW w:w="1286" w:type="dxa"/>
            <w:vAlign w:val="center"/>
          </w:tcPr>
          <w:p w:rsidR="00F31622" w:rsidRDefault="00346E0A">
            <w:pPr>
              <w:jc w:val="center"/>
            </w:pPr>
            <w:r>
              <w:rPr>
                <w:color w:val="000000"/>
                <w:sz w:val="24"/>
              </w:rPr>
              <w:t>11.62%</w:t>
            </w:r>
          </w:p>
        </w:tc>
        <w:tc>
          <w:tcPr>
            <w:tcW w:w="1286" w:type="dxa"/>
            <w:vAlign w:val="center"/>
          </w:tcPr>
          <w:p w:rsidR="00F31622" w:rsidRDefault="00346E0A">
            <w:pPr>
              <w:jc w:val="center"/>
            </w:pPr>
            <w:r>
              <w:rPr>
                <w:color w:val="000000"/>
                <w:sz w:val="24"/>
              </w:rPr>
              <w:t>0.28%</w:t>
            </w:r>
          </w:p>
        </w:tc>
        <w:tc>
          <w:tcPr>
            <w:tcW w:w="1285" w:type="dxa"/>
            <w:vAlign w:val="center"/>
          </w:tcPr>
          <w:p w:rsidR="00F31622" w:rsidRDefault="00346E0A">
            <w:pPr>
              <w:jc w:val="center"/>
            </w:pPr>
            <w:r>
              <w:rPr>
                <w:color w:val="000000"/>
                <w:sz w:val="24"/>
              </w:rPr>
              <w:t>2.00%</w:t>
            </w:r>
          </w:p>
        </w:tc>
        <w:tc>
          <w:tcPr>
            <w:tcW w:w="1285" w:type="dxa"/>
            <w:vAlign w:val="center"/>
          </w:tcPr>
          <w:p w:rsidR="00F31622" w:rsidRDefault="00346E0A">
            <w:pPr>
              <w:jc w:val="center"/>
            </w:pPr>
            <w:r>
              <w:rPr>
                <w:color w:val="000000"/>
                <w:sz w:val="24"/>
              </w:rPr>
              <w:t>0.15%</w:t>
            </w:r>
          </w:p>
        </w:tc>
        <w:tc>
          <w:tcPr>
            <w:tcW w:w="1285" w:type="dxa"/>
            <w:vAlign w:val="center"/>
          </w:tcPr>
          <w:p w:rsidR="00F31622" w:rsidRDefault="00346E0A">
            <w:pPr>
              <w:jc w:val="center"/>
            </w:pPr>
            <w:r>
              <w:rPr>
                <w:color w:val="000000"/>
                <w:sz w:val="24"/>
              </w:rPr>
              <w:t>9.62%</w:t>
            </w:r>
          </w:p>
        </w:tc>
        <w:tc>
          <w:tcPr>
            <w:tcW w:w="1285" w:type="dxa"/>
            <w:vAlign w:val="center"/>
          </w:tcPr>
          <w:p w:rsidR="00F31622" w:rsidRDefault="00346E0A">
            <w:pPr>
              <w:jc w:val="center"/>
            </w:pPr>
            <w:r>
              <w:rPr>
                <w:color w:val="000000"/>
                <w:sz w:val="24"/>
              </w:rPr>
              <w:t>0.13%</w:t>
            </w:r>
          </w:p>
        </w:tc>
      </w:tr>
      <w:tr w:rsidR="00F31622">
        <w:tc>
          <w:tcPr>
            <w:tcW w:w="1286" w:type="dxa"/>
            <w:vAlign w:val="center"/>
          </w:tcPr>
          <w:p w:rsidR="00F31622" w:rsidRDefault="00346E0A">
            <w:pPr>
              <w:jc w:val="left"/>
            </w:pPr>
            <w:r>
              <w:rPr>
                <w:color w:val="000000"/>
                <w:sz w:val="24"/>
              </w:rPr>
              <w:t>过去一年</w:t>
            </w:r>
          </w:p>
        </w:tc>
        <w:tc>
          <w:tcPr>
            <w:tcW w:w="1286" w:type="dxa"/>
            <w:vAlign w:val="center"/>
          </w:tcPr>
          <w:p w:rsidR="00F31622" w:rsidRDefault="00346E0A">
            <w:pPr>
              <w:jc w:val="center"/>
            </w:pPr>
            <w:r>
              <w:rPr>
                <w:color w:val="000000"/>
                <w:sz w:val="24"/>
              </w:rPr>
              <w:t>15.33%</w:t>
            </w:r>
          </w:p>
        </w:tc>
        <w:tc>
          <w:tcPr>
            <w:tcW w:w="1286" w:type="dxa"/>
            <w:vAlign w:val="center"/>
          </w:tcPr>
          <w:p w:rsidR="00F31622" w:rsidRDefault="00346E0A">
            <w:pPr>
              <w:jc w:val="center"/>
            </w:pPr>
            <w:r>
              <w:rPr>
                <w:color w:val="000000"/>
                <w:sz w:val="24"/>
              </w:rPr>
              <w:t>0.26%</w:t>
            </w:r>
          </w:p>
        </w:tc>
        <w:tc>
          <w:tcPr>
            <w:tcW w:w="1285" w:type="dxa"/>
            <w:vAlign w:val="center"/>
          </w:tcPr>
          <w:p w:rsidR="00F31622" w:rsidRDefault="00346E0A">
            <w:pPr>
              <w:jc w:val="center"/>
            </w:pPr>
            <w:r>
              <w:rPr>
                <w:color w:val="000000"/>
                <w:sz w:val="24"/>
              </w:rPr>
              <w:t>6.13%</w:t>
            </w:r>
          </w:p>
        </w:tc>
        <w:tc>
          <w:tcPr>
            <w:tcW w:w="1285" w:type="dxa"/>
            <w:vAlign w:val="center"/>
          </w:tcPr>
          <w:p w:rsidR="00F31622" w:rsidRDefault="00346E0A">
            <w:pPr>
              <w:jc w:val="center"/>
            </w:pPr>
            <w:r>
              <w:rPr>
                <w:color w:val="000000"/>
                <w:sz w:val="24"/>
              </w:rPr>
              <w:t>0.12%</w:t>
            </w:r>
          </w:p>
        </w:tc>
        <w:tc>
          <w:tcPr>
            <w:tcW w:w="1285" w:type="dxa"/>
            <w:vAlign w:val="center"/>
          </w:tcPr>
          <w:p w:rsidR="00F31622" w:rsidRDefault="00346E0A">
            <w:pPr>
              <w:jc w:val="center"/>
            </w:pPr>
            <w:r>
              <w:rPr>
                <w:color w:val="000000"/>
                <w:sz w:val="24"/>
              </w:rPr>
              <w:t>9.20%</w:t>
            </w:r>
          </w:p>
        </w:tc>
        <w:tc>
          <w:tcPr>
            <w:tcW w:w="1285" w:type="dxa"/>
            <w:vAlign w:val="center"/>
          </w:tcPr>
          <w:p w:rsidR="00F31622" w:rsidRDefault="00346E0A">
            <w:pPr>
              <w:jc w:val="center"/>
            </w:pPr>
            <w:r>
              <w:rPr>
                <w:color w:val="000000"/>
                <w:sz w:val="24"/>
              </w:rPr>
              <w:t>0.14%</w:t>
            </w:r>
          </w:p>
        </w:tc>
      </w:tr>
      <w:tr w:rsidR="00F31622">
        <w:tc>
          <w:tcPr>
            <w:tcW w:w="1286" w:type="dxa"/>
            <w:vAlign w:val="center"/>
          </w:tcPr>
          <w:p w:rsidR="00F31622" w:rsidRDefault="00346E0A">
            <w:pPr>
              <w:jc w:val="left"/>
            </w:pPr>
            <w:r>
              <w:rPr>
                <w:color w:val="000000"/>
                <w:sz w:val="24"/>
              </w:rPr>
              <w:t>过去三年</w:t>
            </w:r>
          </w:p>
        </w:tc>
        <w:tc>
          <w:tcPr>
            <w:tcW w:w="1286" w:type="dxa"/>
            <w:vAlign w:val="center"/>
          </w:tcPr>
          <w:p w:rsidR="00F31622" w:rsidRDefault="00346E0A">
            <w:pPr>
              <w:jc w:val="center"/>
            </w:pPr>
            <w:r>
              <w:rPr>
                <w:color w:val="000000"/>
                <w:sz w:val="24"/>
              </w:rPr>
              <w:t>31.40%</w:t>
            </w:r>
          </w:p>
        </w:tc>
        <w:tc>
          <w:tcPr>
            <w:tcW w:w="1286" w:type="dxa"/>
            <w:vAlign w:val="center"/>
          </w:tcPr>
          <w:p w:rsidR="00F31622" w:rsidRDefault="00346E0A">
            <w:pPr>
              <w:jc w:val="center"/>
            </w:pPr>
            <w:r>
              <w:rPr>
                <w:color w:val="000000"/>
                <w:sz w:val="24"/>
              </w:rPr>
              <w:t>0.24%</w:t>
            </w:r>
          </w:p>
        </w:tc>
        <w:tc>
          <w:tcPr>
            <w:tcW w:w="1285" w:type="dxa"/>
            <w:vAlign w:val="center"/>
          </w:tcPr>
          <w:p w:rsidR="00F31622" w:rsidRDefault="00346E0A">
            <w:pPr>
              <w:jc w:val="center"/>
            </w:pPr>
            <w:r>
              <w:rPr>
                <w:color w:val="000000"/>
                <w:sz w:val="24"/>
              </w:rPr>
              <w:t>4.50%</w:t>
            </w:r>
          </w:p>
        </w:tc>
        <w:tc>
          <w:tcPr>
            <w:tcW w:w="1285" w:type="dxa"/>
            <w:vAlign w:val="center"/>
          </w:tcPr>
          <w:p w:rsidR="00F31622" w:rsidRDefault="00346E0A">
            <w:pPr>
              <w:jc w:val="center"/>
            </w:pPr>
            <w:r>
              <w:rPr>
                <w:color w:val="000000"/>
                <w:sz w:val="24"/>
              </w:rPr>
              <w:t>0.10%</w:t>
            </w:r>
          </w:p>
        </w:tc>
        <w:tc>
          <w:tcPr>
            <w:tcW w:w="1285" w:type="dxa"/>
            <w:vAlign w:val="center"/>
          </w:tcPr>
          <w:p w:rsidR="00F31622" w:rsidRDefault="00346E0A">
            <w:pPr>
              <w:jc w:val="center"/>
            </w:pPr>
            <w:r>
              <w:rPr>
                <w:color w:val="000000"/>
                <w:sz w:val="24"/>
              </w:rPr>
              <w:t>26.90%</w:t>
            </w:r>
          </w:p>
        </w:tc>
        <w:tc>
          <w:tcPr>
            <w:tcW w:w="1285" w:type="dxa"/>
            <w:vAlign w:val="center"/>
          </w:tcPr>
          <w:p w:rsidR="00F31622" w:rsidRDefault="00346E0A">
            <w:pPr>
              <w:jc w:val="center"/>
            </w:pPr>
            <w:r>
              <w:rPr>
                <w:color w:val="000000"/>
                <w:sz w:val="24"/>
              </w:rPr>
              <w:t>0.14%</w:t>
            </w:r>
          </w:p>
        </w:tc>
      </w:tr>
      <w:tr w:rsidR="00F31622">
        <w:tc>
          <w:tcPr>
            <w:tcW w:w="1286" w:type="dxa"/>
            <w:vAlign w:val="center"/>
          </w:tcPr>
          <w:p w:rsidR="00F31622" w:rsidRDefault="00346E0A">
            <w:pPr>
              <w:jc w:val="left"/>
            </w:pPr>
            <w:r>
              <w:rPr>
                <w:color w:val="000000"/>
                <w:sz w:val="24"/>
              </w:rPr>
              <w:t>自基金合同生效起至今</w:t>
            </w:r>
          </w:p>
        </w:tc>
        <w:tc>
          <w:tcPr>
            <w:tcW w:w="1286" w:type="dxa"/>
            <w:vAlign w:val="center"/>
          </w:tcPr>
          <w:p w:rsidR="00F31622" w:rsidRDefault="00346E0A">
            <w:pPr>
              <w:jc w:val="center"/>
            </w:pPr>
            <w:r>
              <w:rPr>
                <w:color w:val="000000"/>
                <w:sz w:val="24"/>
              </w:rPr>
              <w:t>28.12%</w:t>
            </w:r>
          </w:p>
        </w:tc>
        <w:tc>
          <w:tcPr>
            <w:tcW w:w="1286" w:type="dxa"/>
            <w:vAlign w:val="center"/>
          </w:tcPr>
          <w:p w:rsidR="00F31622" w:rsidRDefault="00346E0A">
            <w:pPr>
              <w:jc w:val="center"/>
            </w:pPr>
            <w:r>
              <w:rPr>
                <w:color w:val="000000"/>
                <w:sz w:val="24"/>
              </w:rPr>
              <w:t>0.25%</w:t>
            </w:r>
          </w:p>
        </w:tc>
        <w:tc>
          <w:tcPr>
            <w:tcW w:w="1285" w:type="dxa"/>
            <w:vAlign w:val="center"/>
          </w:tcPr>
          <w:p w:rsidR="00F31622" w:rsidRDefault="00346E0A">
            <w:pPr>
              <w:jc w:val="center"/>
            </w:pPr>
            <w:r>
              <w:rPr>
                <w:color w:val="000000"/>
                <w:sz w:val="24"/>
              </w:rPr>
              <w:t>4.72%</w:t>
            </w:r>
          </w:p>
        </w:tc>
        <w:tc>
          <w:tcPr>
            <w:tcW w:w="1285" w:type="dxa"/>
            <w:vAlign w:val="center"/>
          </w:tcPr>
          <w:p w:rsidR="00F31622" w:rsidRDefault="00346E0A">
            <w:pPr>
              <w:jc w:val="center"/>
            </w:pPr>
            <w:r>
              <w:rPr>
                <w:color w:val="000000"/>
                <w:sz w:val="24"/>
              </w:rPr>
              <w:t>0.10%</w:t>
            </w:r>
          </w:p>
        </w:tc>
        <w:tc>
          <w:tcPr>
            <w:tcW w:w="1285" w:type="dxa"/>
            <w:vAlign w:val="center"/>
          </w:tcPr>
          <w:p w:rsidR="00F31622" w:rsidRDefault="00346E0A">
            <w:pPr>
              <w:jc w:val="center"/>
            </w:pPr>
            <w:r>
              <w:rPr>
                <w:color w:val="000000"/>
                <w:sz w:val="24"/>
              </w:rPr>
              <w:t>23.40%</w:t>
            </w:r>
          </w:p>
        </w:tc>
        <w:tc>
          <w:tcPr>
            <w:tcW w:w="1285" w:type="dxa"/>
            <w:vAlign w:val="center"/>
          </w:tcPr>
          <w:p w:rsidR="00F31622" w:rsidRDefault="00346E0A">
            <w:pPr>
              <w:jc w:val="center"/>
            </w:pPr>
            <w:r>
              <w:rPr>
                <w:color w:val="000000"/>
                <w:sz w:val="24"/>
              </w:rPr>
              <w:t>0.15%</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w:t>
      </w:r>
      <w:r w:rsidRPr="00FC45CB">
        <w:rPr>
          <w:kern w:val="0"/>
          <w:sz w:val="24"/>
        </w:rPr>
        <w:t>80%×</w:t>
      </w:r>
      <w:r w:rsidRPr="00FC45CB">
        <w:rPr>
          <w:kern w:val="0"/>
          <w:sz w:val="24"/>
        </w:rPr>
        <w:t>中债企业债总全价指数收益率</w:t>
      </w:r>
      <w:r w:rsidRPr="00FC45CB">
        <w:rPr>
          <w:kern w:val="0"/>
          <w:sz w:val="24"/>
        </w:rPr>
        <w:t>+20%×</w:t>
      </w:r>
      <w:r w:rsidRPr="00FC45CB">
        <w:rPr>
          <w:kern w:val="0"/>
          <w:sz w:val="24"/>
        </w:rPr>
        <w:t>中债国债总全价指数收益率，每日进行再平衡过程。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2011</w:t>
      </w:r>
      <w:r w:rsidRPr="00B05374">
        <w:rPr>
          <w:kern w:val="0"/>
          <w:sz w:val="24"/>
        </w:rPr>
        <w:t>年</w:t>
      </w:r>
      <w:r w:rsidRPr="00B05374">
        <w:rPr>
          <w:kern w:val="0"/>
          <w:sz w:val="24"/>
        </w:rPr>
        <w:t>1</w:t>
      </w:r>
      <w:r w:rsidRPr="00B05374">
        <w:rPr>
          <w:kern w:val="0"/>
          <w:sz w:val="24"/>
        </w:rPr>
        <w:t>月</w:t>
      </w:r>
      <w:r w:rsidRPr="00B05374">
        <w:rPr>
          <w:kern w:val="0"/>
          <w:sz w:val="24"/>
        </w:rPr>
        <w:t>27</w:t>
      </w:r>
      <w:r w:rsidRPr="00B05374">
        <w:rPr>
          <w:kern w:val="0"/>
          <w:sz w:val="24"/>
        </w:rPr>
        <w:t>日至</w:t>
      </w:r>
      <w:r w:rsidRPr="00B05374">
        <w:rPr>
          <w:kern w:val="0"/>
          <w:sz w:val="24"/>
        </w:rPr>
        <w:t>2014</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985"/>
        <w:gridCol w:w="1417"/>
        <w:gridCol w:w="1985"/>
        <w:gridCol w:w="776"/>
      </w:tblGrid>
      <w:tr w:rsidR="00E63239" w:rsidRPr="00C51C77" w:rsidTr="00E432BD">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985"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417"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985"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776"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F31622" w:rsidTr="00E432BD">
        <w:tc>
          <w:tcPr>
            <w:tcW w:w="1499" w:type="dxa"/>
            <w:vAlign w:val="center"/>
          </w:tcPr>
          <w:p w:rsidR="00F31622" w:rsidRDefault="00346E0A">
            <w:pPr>
              <w:jc w:val="center"/>
            </w:pPr>
            <w:r>
              <w:rPr>
                <w:color w:val="000000"/>
                <w:sz w:val="24"/>
              </w:rPr>
              <w:t>2014</w:t>
            </w:r>
            <w:r>
              <w:rPr>
                <w:color w:val="000000"/>
                <w:sz w:val="24"/>
              </w:rPr>
              <w:t>年</w:t>
            </w:r>
          </w:p>
        </w:tc>
        <w:tc>
          <w:tcPr>
            <w:tcW w:w="1336" w:type="dxa"/>
            <w:vAlign w:val="center"/>
          </w:tcPr>
          <w:p w:rsidR="00F31622" w:rsidRDefault="00346E0A">
            <w:pPr>
              <w:jc w:val="right"/>
            </w:pPr>
            <w:r>
              <w:rPr>
                <w:color w:val="000000"/>
                <w:sz w:val="24"/>
              </w:rPr>
              <w:t>0.310</w:t>
            </w:r>
          </w:p>
        </w:tc>
        <w:tc>
          <w:tcPr>
            <w:tcW w:w="1985" w:type="dxa"/>
            <w:vAlign w:val="center"/>
          </w:tcPr>
          <w:p w:rsidR="00F31622" w:rsidRDefault="00346E0A">
            <w:pPr>
              <w:jc w:val="right"/>
            </w:pPr>
            <w:r>
              <w:rPr>
                <w:color w:val="000000"/>
                <w:sz w:val="24"/>
              </w:rPr>
              <w:t>58,747,658.52</w:t>
            </w:r>
          </w:p>
        </w:tc>
        <w:tc>
          <w:tcPr>
            <w:tcW w:w="1417" w:type="dxa"/>
            <w:vAlign w:val="center"/>
          </w:tcPr>
          <w:p w:rsidR="00F31622" w:rsidRDefault="00346E0A">
            <w:pPr>
              <w:jc w:val="right"/>
            </w:pPr>
            <w:r>
              <w:rPr>
                <w:color w:val="000000"/>
                <w:sz w:val="24"/>
              </w:rPr>
              <w:t>-</w:t>
            </w:r>
          </w:p>
        </w:tc>
        <w:tc>
          <w:tcPr>
            <w:tcW w:w="1985" w:type="dxa"/>
            <w:vAlign w:val="center"/>
          </w:tcPr>
          <w:p w:rsidR="00F31622" w:rsidRDefault="00346E0A">
            <w:pPr>
              <w:jc w:val="right"/>
            </w:pPr>
            <w:r>
              <w:rPr>
                <w:color w:val="000000"/>
                <w:sz w:val="24"/>
              </w:rPr>
              <w:t>58,747,658.52</w:t>
            </w:r>
          </w:p>
        </w:tc>
        <w:tc>
          <w:tcPr>
            <w:tcW w:w="776" w:type="dxa"/>
            <w:vAlign w:val="center"/>
          </w:tcPr>
          <w:p w:rsidR="00F31622" w:rsidRDefault="00346E0A">
            <w:pPr>
              <w:jc w:val="left"/>
            </w:pPr>
            <w:r>
              <w:rPr>
                <w:color w:val="000000"/>
                <w:sz w:val="24"/>
              </w:rPr>
              <w:t>-</w:t>
            </w:r>
          </w:p>
        </w:tc>
      </w:tr>
      <w:tr w:rsidR="00F31622" w:rsidTr="00E432BD">
        <w:tc>
          <w:tcPr>
            <w:tcW w:w="1499" w:type="dxa"/>
            <w:vAlign w:val="center"/>
          </w:tcPr>
          <w:p w:rsidR="00F31622" w:rsidRDefault="00346E0A">
            <w:pPr>
              <w:jc w:val="center"/>
            </w:pPr>
            <w:r>
              <w:rPr>
                <w:color w:val="000000"/>
                <w:sz w:val="24"/>
              </w:rPr>
              <w:t>2013</w:t>
            </w:r>
            <w:r>
              <w:rPr>
                <w:color w:val="000000"/>
                <w:sz w:val="24"/>
              </w:rPr>
              <w:t>年</w:t>
            </w:r>
          </w:p>
        </w:tc>
        <w:tc>
          <w:tcPr>
            <w:tcW w:w="1336" w:type="dxa"/>
            <w:vAlign w:val="center"/>
          </w:tcPr>
          <w:p w:rsidR="00F31622" w:rsidRDefault="00346E0A">
            <w:pPr>
              <w:jc w:val="right"/>
            </w:pPr>
            <w:r>
              <w:rPr>
                <w:color w:val="000000"/>
                <w:sz w:val="24"/>
              </w:rPr>
              <w:t>0.460</w:t>
            </w:r>
          </w:p>
        </w:tc>
        <w:tc>
          <w:tcPr>
            <w:tcW w:w="1985" w:type="dxa"/>
            <w:vAlign w:val="center"/>
          </w:tcPr>
          <w:p w:rsidR="00F31622" w:rsidRDefault="00346E0A">
            <w:pPr>
              <w:jc w:val="right"/>
            </w:pPr>
            <w:r>
              <w:rPr>
                <w:color w:val="000000"/>
                <w:sz w:val="24"/>
              </w:rPr>
              <w:t>87,173,946.02</w:t>
            </w:r>
          </w:p>
        </w:tc>
        <w:tc>
          <w:tcPr>
            <w:tcW w:w="1417" w:type="dxa"/>
            <w:vAlign w:val="center"/>
          </w:tcPr>
          <w:p w:rsidR="00F31622" w:rsidRDefault="00346E0A">
            <w:pPr>
              <w:jc w:val="right"/>
            </w:pPr>
            <w:r>
              <w:rPr>
                <w:color w:val="000000"/>
                <w:sz w:val="24"/>
              </w:rPr>
              <w:t>-</w:t>
            </w:r>
          </w:p>
        </w:tc>
        <w:tc>
          <w:tcPr>
            <w:tcW w:w="1985" w:type="dxa"/>
            <w:vAlign w:val="center"/>
          </w:tcPr>
          <w:p w:rsidR="00F31622" w:rsidRDefault="00346E0A">
            <w:pPr>
              <w:jc w:val="right"/>
            </w:pPr>
            <w:r>
              <w:rPr>
                <w:color w:val="000000"/>
                <w:sz w:val="24"/>
              </w:rPr>
              <w:t>87,173,946.02</w:t>
            </w:r>
          </w:p>
        </w:tc>
        <w:tc>
          <w:tcPr>
            <w:tcW w:w="776" w:type="dxa"/>
            <w:vAlign w:val="center"/>
          </w:tcPr>
          <w:p w:rsidR="00F31622" w:rsidRDefault="00346E0A">
            <w:pPr>
              <w:jc w:val="left"/>
            </w:pPr>
            <w:r>
              <w:rPr>
                <w:color w:val="000000"/>
                <w:sz w:val="24"/>
              </w:rPr>
              <w:t>-</w:t>
            </w:r>
          </w:p>
        </w:tc>
      </w:tr>
      <w:tr w:rsidR="00F31622" w:rsidTr="00E432BD">
        <w:tc>
          <w:tcPr>
            <w:tcW w:w="1499" w:type="dxa"/>
            <w:vAlign w:val="center"/>
          </w:tcPr>
          <w:p w:rsidR="00F31622" w:rsidRDefault="00346E0A">
            <w:pPr>
              <w:jc w:val="center"/>
            </w:pPr>
            <w:r>
              <w:rPr>
                <w:color w:val="000000"/>
                <w:sz w:val="24"/>
              </w:rPr>
              <w:t>2012</w:t>
            </w:r>
            <w:r>
              <w:rPr>
                <w:color w:val="000000"/>
                <w:sz w:val="24"/>
              </w:rPr>
              <w:t>年</w:t>
            </w:r>
          </w:p>
        </w:tc>
        <w:tc>
          <w:tcPr>
            <w:tcW w:w="1336" w:type="dxa"/>
            <w:vAlign w:val="center"/>
          </w:tcPr>
          <w:p w:rsidR="00F31622" w:rsidRDefault="00346E0A">
            <w:pPr>
              <w:jc w:val="right"/>
            </w:pPr>
            <w:r>
              <w:rPr>
                <w:color w:val="000000"/>
                <w:sz w:val="24"/>
              </w:rPr>
              <w:t>0.340</w:t>
            </w:r>
          </w:p>
        </w:tc>
        <w:tc>
          <w:tcPr>
            <w:tcW w:w="1985" w:type="dxa"/>
            <w:vAlign w:val="center"/>
          </w:tcPr>
          <w:p w:rsidR="00F31622" w:rsidRDefault="00346E0A">
            <w:pPr>
              <w:jc w:val="right"/>
            </w:pPr>
            <w:r>
              <w:rPr>
                <w:color w:val="000000"/>
                <w:sz w:val="24"/>
              </w:rPr>
              <w:t>64,432,918.84</w:t>
            </w:r>
          </w:p>
        </w:tc>
        <w:tc>
          <w:tcPr>
            <w:tcW w:w="1417" w:type="dxa"/>
            <w:vAlign w:val="center"/>
          </w:tcPr>
          <w:p w:rsidR="00F31622" w:rsidRDefault="00346E0A">
            <w:pPr>
              <w:jc w:val="right"/>
            </w:pPr>
            <w:r>
              <w:rPr>
                <w:color w:val="000000"/>
                <w:sz w:val="24"/>
              </w:rPr>
              <w:t>-</w:t>
            </w:r>
          </w:p>
        </w:tc>
        <w:tc>
          <w:tcPr>
            <w:tcW w:w="1985" w:type="dxa"/>
            <w:vAlign w:val="center"/>
          </w:tcPr>
          <w:p w:rsidR="00F31622" w:rsidRDefault="00346E0A">
            <w:pPr>
              <w:jc w:val="right"/>
            </w:pPr>
            <w:r>
              <w:rPr>
                <w:color w:val="000000"/>
                <w:sz w:val="24"/>
              </w:rPr>
              <w:t>64,432,918.84</w:t>
            </w:r>
          </w:p>
        </w:tc>
        <w:tc>
          <w:tcPr>
            <w:tcW w:w="776" w:type="dxa"/>
            <w:vAlign w:val="center"/>
          </w:tcPr>
          <w:p w:rsidR="00F31622" w:rsidRDefault="00346E0A">
            <w:pPr>
              <w:jc w:val="left"/>
            </w:pPr>
            <w:r>
              <w:rPr>
                <w:color w:val="000000"/>
                <w:sz w:val="24"/>
              </w:rPr>
              <w:t>-</w:t>
            </w:r>
          </w:p>
        </w:tc>
      </w:tr>
      <w:tr w:rsidR="00E63239" w:rsidRPr="00C51C77" w:rsidTr="00E432BD">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1.110</w:t>
            </w:r>
          </w:p>
        </w:tc>
        <w:tc>
          <w:tcPr>
            <w:tcW w:w="1985" w:type="dxa"/>
            <w:vAlign w:val="center"/>
          </w:tcPr>
          <w:p w:rsidR="00E63239" w:rsidRPr="00C6200C" w:rsidRDefault="00E63239" w:rsidP="00294271">
            <w:pPr>
              <w:spacing w:before="29" w:line="288" w:lineRule="auto"/>
              <w:jc w:val="right"/>
              <w:rPr>
                <w:color w:val="000000"/>
                <w:sz w:val="24"/>
              </w:rPr>
            </w:pPr>
            <w:r w:rsidRPr="00C6200C">
              <w:rPr>
                <w:color w:val="000000"/>
                <w:sz w:val="24"/>
              </w:rPr>
              <w:t>210,354,523.38</w:t>
            </w:r>
          </w:p>
        </w:tc>
        <w:tc>
          <w:tcPr>
            <w:tcW w:w="1417"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985" w:type="dxa"/>
            <w:vAlign w:val="center"/>
          </w:tcPr>
          <w:p w:rsidR="00E63239" w:rsidRPr="00C6200C" w:rsidRDefault="00E63239" w:rsidP="00294271">
            <w:pPr>
              <w:spacing w:before="29" w:line="288" w:lineRule="auto"/>
              <w:jc w:val="right"/>
              <w:rPr>
                <w:color w:val="000000"/>
                <w:sz w:val="24"/>
              </w:rPr>
            </w:pPr>
            <w:r w:rsidRPr="00C6200C">
              <w:rPr>
                <w:color w:val="000000"/>
                <w:sz w:val="24"/>
              </w:rPr>
              <w:t>210,354,523.38</w:t>
            </w:r>
          </w:p>
        </w:tc>
        <w:tc>
          <w:tcPr>
            <w:tcW w:w="776"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F31622" w:rsidRDefault="00346E0A">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F31622">
        <w:tc>
          <w:tcPr>
            <w:tcW w:w="1499" w:type="dxa"/>
            <w:vAlign w:val="center"/>
          </w:tcPr>
          <w:p w:rsidR="00F31622" w:rsidRDefault="00346E0A">
            <w:pPr>
              <w:jc w:val="center"/>
            </w:pPr>
            <w:r>
              <w:rPr>
                <w:color w:val="000000"/>
                <w:sz w:val="24"/>
              </w:rPr>
              <w:t>林洪钧</w:t>
            </w:r>
          </w:p>
        </w:tc>
        <w:tc>
          <w:tcPr>
            <w:tcW w:w="1499" w:type="dxa"/>
            <w:vAlign w:val="center"/>
          </w:tcPr>
          <w:p w:rsidR="00F31622" w:rsidRDefault="00346E0A">
            <w:pPr>
              <w:jc w:val="center"/>
            </w:pPr>
            <w:r>
              <w:rPr>
                <w:color w:val="000000"/>
                <w:sz w:val="24"/>
              </w:rPr>
              <w:t>本基金、交银货币、交银增利债券、交银理财</w:t>
            </w:r>
            <w:r>
              <w:rPr>
                <w:color w:val="000000"/>
                <w:sz w:val="24"/>
              </w:rPr>
              <w:t>21</w:t>
            </w:r>
            <w:r>
              <w:rPr>
                <w:color w:val="000000"/>
                <w:sz w:val="24"/>
              </w:rPr>
              <w:t>天债券、交银纯债债券发起、交银现金宝货币的基金经理，公司固定收益部助理总经理</w:t>
            </w:r>
          </w:p>
        </w:tc>
        <w:tc>
          <w:tcPr>
            <w:tcW w:w="1500" w:type="dxa"/>
            <w:vAlign w:val="center"/>
          </w:tcPr>
          <w:p w:rsidR="00F31622" w:rsidRDefault="00346E0A">
            <w:pPr>
              <w:jc w:val="center"/>
            </w:pPr>
            <w:r>
              <w:rPr>
                <w:color w:val="000000"/>
                <w:sz w:val="24"/>
              </w:rPr>
              <w:t>2011-01-27</w:t>
            </w:r>
          </w:p>
        </w:tc>
        <w:tc>
          <w:tcPr>
            <w:tcW w:w="1500" w:type="dxa"/>
            <w:vAlign w:val="center"/>
          </w:tcPr>
          <w:p w:rsidR="00F31622" w:rsidRDefault="00346E0A">
            <w:pPr>
              <w:jc w:val="center"/>
            </w:pPr>
            <w:r>
              <w:rPr>
                <w:color w:val="000000"/>
                <w:sz w:val="24"/>
              </w:rPr>
              <w:t>-</w:t>
            </w:r>
          </w:p>
        </w:tc>
        <w:tc>
          <w:tcPr>
            <w:tcW w:w="1090" w:type="dxa"/>
            <w:vAlign w:val="center"/>
          </w:tcPr>
          <w:p w:rsidR="00F31622" w:rsidRDefault="00346E0A">
            <w:pPr>
              <w:jc w:val="center"/>
            </w:pPr>
            <w:r>
              <w:rPr>
                <w:color w:val="000000"/>
                <w:sz w:val="24"/>
              </w:rPr>
              <w:t>10</w:t>
            </w:r>
            <w:r>
              <w:rPr>
                <w:color w:val="000000"/>
                <w:sz w:val="24"/>
              </w:rPr>
              <w:t>年</w:t>
            </w:r>
          </w:p>
        </w:tc>
        <w:tc>
          <w:tcPr>
            <w:tcW w:w="1910" w:type="dxa"/>
            <w:vAlign w:val="center"/>
          </w:tcPr>
          <w:p w:rsidR="00F31622" w:rsidRDefault="00346E0A">
            <w:r>
              <w:rPr>
                <w:color w:val="000000"/>
                <w:sz w:val="24"/>
              </w:rPr>
              <w:t>林洪钧先生，复旦大学硕士。历任国泰君安证券股份有限公司上海分公司机构客户部客户经理，华安基金管理有限公司债券交易员，加拿大</w:t>
            </w:r>
            <w:r>
              <w:rPr>
                <w:color w:val="000000"/>
                <w:sz w:val="24"/>
              </w:rPr>
              <w:t>Financial Engineering Source Inc.</w:t>
            </w:r>
            <w:r>
              <w:rPr>
                <w:color w:val="000000"/>
                <w:sz w:val="24"/>
              </w:rPr>
              <w:t>金融研究员。</w:t>
            </w:r>
            <w:r>
              <w:rPr>
                <w:color w:val="000000"/>
                <w:sz w:val="24"/>
              </w:rPr>
              <w:t>2009</w:t>
            </w:r>
            <w:r>
              <w:rPr>
                <w:color w:val="000000"/>
                <w:sz w:val="24"/>
              </w:rPr>
              <w:t>年加入交银施罗德基金管理有限公司，历任专户投资部投资经理助理、专户投资经理、基金经理助理。</w:t>
            </w:r>
          </w:p>
        </w:tc>
      </w:tr>
      <w:tr w:rsidR="00F31622">
        <w:tc>
          <w:tcPr>
            <w:tcW w:w="1499" w:type="dxa"/>
            <w:vAlign w:val="center"/>
          </w:tcPr>
          <w:p w:rsidR="00F31622" w:rsidRDefault="00346E0A">
            <w:pPr>
              <w:jc w:val="center"/>
            </w:pPr>
            <w:r>
              <w:rPr>
                <w:color w:val="000000"/>
                <w:sz w:val="24"/>
              </w:rPr>
              <w:t>张靖爽</w:t>
            </w:r>
          </w:p>
        </w:tc>
        <w:tc>
          <w:tcPr>
            <w:tcW w:w="1499" w:type="dxa"/>
            <w:vAlign w:val="center"/>
          </w:tcPr>
          <w:p w:rsidR="00F31622" w:rsidRDefault="00346E0A">
            <w:pPr>
              <w:jc w:val="center"/>
            </w:pPr>
            <w:r>
              <w:rPr>
                <w:color w:val="000000"/>
                <w:sz w:val="24"/>
              </w:rPr>
              <w:t>本基金、交银货币、交银理财</w:t>
            </w:r>
            <w:r>
              <w:rPr>
                <w:color w:val="000000"/>
                <w:sz w:val="24"/>
              </w:rPr>
              <w:t>21</w:t>
            </w:r>
            <w:r>
              <w:rPr>
                <w:color w:val="000000"/>
                <w:sz w:val="24"/>
              </w:rPr>
              <w:t>天债券、交银纯债债券发起的基金经理助理</w:t>
            </w:r>
          </w:p>
        </w:tc>
        <w:tc>
          <w:tcPr>
            <w:tcW w:w="1500" w:type="dxa"/>
            <w:vAlign w:val="center"/>
          </w:tcPr>
          <w:p w:rsidR="00F31622" w:rsidRDefault="00346E0A">
            <w:pPr>
              <w:jc w:val="center"/>
            </w:pPr>
            <w:r>
              <w:rPr>
                <w:color w:val="000000"/>
                <w:sz w:val="24"/>
              </w:rPr>
              <w:t>2014-04-01</w:t>
            </w:r>
          </w:p>
        </w:tc>
        <w:tc>
          <w:tcPr>
            <w:tcW w:w="1500" w:type="dxa"/>
            <w:vAlign w:val="center"/>
          </w:tcPr>
          <w:p w:rsidR="00F31622" w:rsidRDefault="00346E0A">
            <w:pPr>
              <w:jc w:val="center"/>
            </w:pPr>
            <w:r>
              <w:rPr>
                <w:color w:val="000000"/>
                <w:sz w:val="24"/>
              </w:rPr>
              <w:t>-</w:t>
            </w:r>
          </w:p>
        </w:tc>
        <w:tc>
          <w:tcPr>
            <w:tcW w:w="1090" w:type="dxa"/>
            <w:vAlign w:val="center"/>
          </w:tcPr>
          <w:p w:rsidR="00F31622" w:rsidRDefault="00346E0A">
            <w:pPr>
              <w:jc w:val="center"/>
            </w:pPr>
            <w:r>
              <w:rPr>
                <w:color w:val="000000"/>
                <w:sz w:val="24"/>
              </w:rPr>
              <w:t>4</w:t>
            </w:r>
            <w:r>
              <w:rPr>
                <w:color w:val="000000"/>
                <w:sz w:val="24"/>
              </w:rPr>
              <w:t>年</w:t>
            </w:r>
          </w:p>
        </w:tc>
        <w:tc>
          <w:tcPr>
            <w:tcW w:w="1910" w:type="dxa"/>
            <w:vAlign w:val="center"/>
          </w:tcPr>
          <w:p w:rsidR="00F31622" w:rsidRDefault="00346E0A">
            <w:r>
              <w:rPr>
                <w:color w:val="000000"/>
                <w:sz w:val="24"/>
              </w:rPr>
              <w:t>张靖爽女士，美国北卡罗莱纳大学数量金融学硕士。历任中银基金固定收益部研究员。</w:t>
            </w:r>
            <w:r>
              <w:rPr>
                <w:color w:val="000000"/>
                <w:sz w:val="24"/>
              </w:rPr>
              <w:t>2011</w:t>
            </w:r>
            <w:r>
              <w:rPr>
                <w:color w:val="000000"/>
                <w:sz w:val="24"/>
              </w:rPr>
              <w:t>年加入交银施罗德基金管理有限公司，历任债券分析师。</w:t>
            </w:r>
          </w:p>
        </w:tc>
      </w:tr>
    </w:tbl>
    <w:p w:rsidR="00F31622" w:rsidRDefault="00346E0A">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F31622" w:rsidRDefault="00346E0A" w:rsidP="00393668">
      <w:pPr>
        <w:tabs>
          <w:tab w:val="left" w:pos="426"/>
        </w:tabs>
        <w:spacing w:before="29" w:line="288" w:lineRule="auto"/>
        <w:ind w:firstLineChars="200" w:firstLine="480"/>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C016E9" w:rsidRDefault="001A59F9" w:rsidP="00393668">
      <w:pPr>
        <w:tabs>
          <w:tab w:val="left" w:pos="426"/>
        </w:tabs>
        <w:spacing w:before="29" w:line="288" w:lineRule="auto"/>
        <w:ind w:firstLineChars="200" w:firstLine="480"/>
        <w:jc w:val="left"/>
        <w:rPr>
          <w:kern w:val="0"/>
          <w:sz w:val="24"/>
        </w:rPr>
      </w:pPr>
      <w:r w:rsidRPr="00C016E9">
        <w:rPr>
          <w:kern w:val="0"/>
          <w:sz w:val="24"/>
        </w:rPr>
        <w:t>3</w:t>
      </w:r>
      <w:r w:rsidRPr="00C016E9">
        <w:rPr>
          <w:kern w:val="0"/>
          <w:sz w:val="24"/>
        </w:rPr>
        <w:t>、</w:t>
      </w:r>
      <w:r w:rsidR="00A63D85" w:rsidRPr="003D4637">
        <w:rPr>
          <w:rFonts w:hint="eastAsia"/>
          <w:sz w:val="24"/>
        </w:rPr>
        <w:t>张靖爽女士于</w:t>
      </w:r>
      <w:r w:rsidR="00A63D85" w:rsidRPr="003D4637">
        <w:rPr>
          <w:rFonts w:hint="eastAsia"/>
          <w:sz w:val="24"/>
        </w:rPr>
        <w:t>2015</w:t>
      </w:r>
      <w:r w:rsidR="00A63D85" w:rsidRPr="003D4637">
        <w:rPr>
          <w:rFonts w:hint="eastAsia"/>
          <w:sz w:val="24"/>
        </w:rPr>
        <w:t>年</w:t>
      </w:r>
      <w:r w:rsidR="00A63D85" w:rsidRPr="003D4637">
        <w:rPr>
          <w:rFonts w:hint="eastAsia"/>
          <w:sz w:val="24"/>
        </w:rPr>
        <w:t>3</w:t>
      </w:r>
      <w:r w:rsidR="00A63D85" w:rsidRPr="003D4637">
        <w:rPr>
          <w:rFonts w:hint="eastAsia"/>
          <w:sz w:val="24"/>
        </w:rPr>
        <w:t>月</w:t>
      </w:r>
      <w:r w:rsidR="00A63D85" w:rsidRPr="003D4637">
        <w:rPr>
          <w:rFonts w:hint="eastAsia"/>
          <w:sz w:val="24"/>
        </w:rPr>
        <w:t>15</w:t>
      </w:r>
      <w:r w:rsidR="00A63D85" w:rsidRPr="003D4637">
        <w:rPr>
          <w:rFonts w:hint="eastAsia"/>
          <w:sz w:val="24"/>
        </w:rPr>
        <w:t>日不再担任本基金基金经理助理。除此之外基金经理（或基金经理小组）期后变动（如有）敬请关注基金管理人发布的相关公告。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F31622" w:rsidRDefault="00346E0A">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F31622" w:rsidRDefault="00346E0A">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F31622" w:rsidRDefault="00346E0A">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F31622" w:rsidRDefault="00346E0A">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F31622" w:rsidRDefault="00346E0A">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F31622" w:rsidRDefault="00346E0A">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F31622" w:rsidRDefault="00346E0A">
      <w:pPr>
        <w:spacing w:before="29" w:line="288" w:lineRule="auto"/>
        <w:ind w:firstLineChars="200" w:firstLine="480"/>
        <w:rPr>
          <w:color w:val="000000"/>
          <w:sz w:val="24"/>
        </w:rPr>
      </w:pPr>
      <w:r>
        <w:rPr>
          <w:color w:val="000000"/>
          <w:sz w:val="24"/>
        </w:rPr>
        <w:t>2014</w:t>
      </w:r>
      <w:r>
        <w:rPr>
          <w:color w:val="000000"/>
          <w:sz w:val="24"/>
        </w:rPr>
        <w:t>年，我国宏观经济增长动能疲弱，</w:t>
      </w:r>
      <w:r>
        <w:rPr>
          <w:color w:val="000000"/>
          <w:sz w:val="24"/>
        </w:rPr>
        <w:t>GDP</w:t>
      </w:r>
      <w:r>
        <w:rPr>
          <w:color w:val="000000"/>
          <w:sz w:val="24"/>
        </w:rPr>
        <w:t>全年同比增长</w:t>
      </w:r>
      <w:r>
        <w:rPr>
          <w:color w:val="000000"/>
          <w:sz w:val="24"/>
        </w:rPr>
        <w:t>7.4%</w:t>
      </w:r>
      <w:r>
        <w:rPr>
          <w:color w:val="000000"/>
          <w:sz w:val="24"/>
        </w:rPr>
        <w:t>，</w:t>
      </w:r>
      <w:r>
        <w:rPr>
          <w:color w:val="000000"/>
          <w:sz w:val="24"/>
        </w:rPr>
        <w:t>CPI</w:t>
      </w:r>
      <w:r>
        <w:rPr>
          <w:color w:val="000000"/>
          <w:sz w:val="24"/>
        </w:rPr>
        <w:t>与工业增加值也全年走低。总体来看，</w:t>
      </w:r>
      <w:r>
        <w:rPr>
          <w:color w:val="000000"/>
          <w:sz w:val="24"/>
        </w:rPr>
        <w:t>2014</w:t>
      </w:r>
      <w:r>
        <w:rPr>
          <w:color w:val="000000"/>
          <w:sz w:val="24"/>
        </w:rPr>
        <w:t>年我国经济通缩压力逐渐增大，同时</w:t>
      </w:r>
      <w:r>
        <w:rPr>
          <w:color w:val="000000"/>
          <w:sz w:val="24"/>
        </w:rPr>
        <w:t>PMI</w:t>
      </w:r>
      <w:r>
        <w:rPr>
          <w:color w:val="000000"/>
          <w:sz w:val="24"/>
        </w:rPr>
        <w:t>在四季度内连续三个月下滑。货币政策层面，货币当局保持较为稳健的货币政策，在外汇占款降低的背景下，</w:t>
      </w:r>
      <w:r>
        <w:rPr>
          <w:color w:val="000000"/>
          <w:sz w:val="24"/>
        </w:rPr>
        <w:t>MLF\SLO</w:t>
      </w:r>
      <w:r>
        <w:rPr>
          <w:color w:val="000000"/>
          <w:sz w:val="24"/>
        </w:rPr>
        <w:t>等工具的使用很好的补充了基础货币，市场流动性总体呈现较为宽松的局面。本报告期内，受通缩压力影响，</w:t>
      </w:r>
      <w:r>
        <w:rPr>
          <w:color w:val="000000"/>
          <w:sz w:val="24"/>
        </w:rPr>
        <w:t>11</w:t>
      </w:r>
      <w:r>
        <w:rPr>
          <w:color w:val="000000"/>
          <w:sz w:val="24"/>
        </w:rPr>
        <w:t>月</w:t>
      </w:r>
      <w:r>
        <w:rPr>
          <w:color w:val="000000"/>
          <w:sz w:val="24"/>
        </w:rPr>
        <w:t>22</w:t>
      </w:r>
      <w:r>
        <w:rPr>
          <w:color w:val="000000"/>
          <w:sz w:val="24"/>
        </w:rPr>
        <w:t>日央行不对称降息，但在</w:t>
      </w:r>
      <w:r>
        <w:rPr>
          <w:color w:val="000000"/>
          <w:sz w:val="24"/>
        </w:rPr>
        <w:t>11</w:t>
      </w:r>
      <w:r>
        <w:rPr>
          <w:color w:val="000000"/>
          <w:sz w:val="24"/>
        </w:rPr>
        <w:t>月底及</w:t>
      </w:r>
      <w:r>
        <w:rPr>
          <w:color w:val="000000"/>
          <w:sz w:val="24"/>
        </w:rPr>
        <w:t>12</w:t>
      </w:r>
      <w:r>
        <w:rPr>
          <w:color w:val="000000"/>
          <w:sz w:val="24"/>
        </w:rPr>
        <w:t>月份，市场资金面同样出现了较为紧张的情况。</w:t>
      </w:r>
    </w:p>
    <w:p w:rsidR="00F31622" w:rsidRDefault="00346E0A">
      <w:pPr>
        <w:spacing w:before="29" w:line="288" w:lineRule="auto"/>
        <w:ind w:firstLineChars="200" w:firstLine="480"/>
        <w:rPr>
          <w:color w:val="000000"/>
          <w:sz w:val="24"/>
        </w:rPr>
      </w:pPr>
      <w:r>
        <w:rPr>
          <w:color w:val="000000"/>
          <w:sz w:val="24"/>
        </w:rPr>
        <w:t>本报告期内，债券市场全年呈现较为强劲的牛市行情，受通缩压力影响，无风险利率大幅下行；同时，市场流动性较为充沛，信用产品收益率下行幅度在下半年更为明显。纵观全年，中债总财富总值指数上涨</w:t>
      </w:r>
      <w:r>
        <w:rPr>
          <w:color w:val="000000"/>
          <w:sz w:val="24"/>
        </w:rPr>
        <w:t>11.23%</w:t>
      </w:r>
      <w:r>
        <w:rPr>
          <w:color w:val="000000"/>
          <w:sz w:val="24"/>
        </w:rPr>
        <w:t>。值得注意的是，</w:t>
      </w:r>
      <w:r>
        <w:rPr>
          <w:color w:val="000000"/>
          <w:sz w:val="24"/>
        </w:rPr>
        <w:t>12</w:t>
      </w:r>
      <w:r>
        <w:rPr>
          <w:color w:val="000000"/>
          <w:sz w:val="24"/>
        </w:rPr>
        <w:t>月</w:t>
      </w:r>
      <w:r>
        <w:rPr>
          <w:color w:val="000000"/>
          <w:sz w:val="24"/>
        </w:rPr>
        <w:t>9</w:t>
      </w:r>
      <w:r>
        <w:rPr>
          <w:color w:val="000000"/>
          <w:sz w:val="24"/>
        </w:rPr>
        <w:t>日中证登对质押券调整的公告使得债券市场受到重挫，此后</w:t>
      </w:r>
      <w:r>
        <w:rPr>
          <w:color w:val="000000"/>
          <w:sz w:val="24"/>
        </w:rPr>
        <w:t>12</w:t>
      </w:r>
      <w:r>
        <w:rPr>
          <w:color w:val="000000"/>
          <w:sz w:val="24"/>
        </w:rPr>
        <w:t>月受</w:t>
      </w:r>
      <w:r>
        <w:rPr>
          <w:color w:val="000000"/>
          <w:sz w:val="24"/>
        </w:rPr>
        <w:t>IPO</w:t>
      </w:r>
      <w:r>
        <w:rPr>
          <w:color w:val="000000"/>
          <w:sz w:val="24"/>
        </w:rPr>
        <w:t>及年底因素影响，市场流动性一度极为紧张，债券收益率一路上行；另一方面，权益市场的火爆也对债券收益率产生了一定的推升，同时机构投资者对未来可能出现的宽信用的担忧也是债券收益率在</w:t>
      </w:r>
      <w:r>
        <w:rPr>
          <w:color w:val="000000"/>
          <w:sz w:val="24"/>
        </w:rPr>
        <w:t>11</w:t>
      </w:r>
      <w:r>
        <w:rPr>
          <w:color w:val="000000"/>
          <w:sz w:val="24"/>
        </w:rPr>
        <w:t>、</w:t>
      </w:r>
      <w:r>
        <w:rPr>
          <w:color w:val="000000"/>
          <w:sz w:val="24"/>
        </w:rPr>
        <w:t>12</w:t>
      </w:r>
      <w:r>
        <w:rPr>
          <w:color w:val="000000"/>
          <w:sz w:val="24"/>
        </w:rPr>
        <w:t>月份上行的重要因素。在本报告期末端，债券市场曲线结构呈现极度平坦化的走势。</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本基金本报告期内大部分时间保持较高的债券仓位，并于四季度降低了组合久期以及杠杆。报告期内基金净值上涨</w:t>
      </w:r>
      <w:r w:rsidRPr="0013437B">
        <w:rPr>
          <w:color w:val="000000"/>
          <w:sz w:val="24"/>
        </w:rPr>
        <w:t>15.33%</w:t>
      </w:r>
      <w:r w:rsidRPr="0013437B">
        <w:rPr>
          <w:color w:val="000000"/>
          <w:sz w:val="24"/>
        </w:rPr>
        <w:t>，贡献主要来自于组合在报告期前期较高的纯债仓位以及四季度可转债及股票的持仓。</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1.153</w:t>
      </w:r>
      <w:r w:rsidRPr="0013437B">
        <w:rPr>
          <w:color w:val="000000"/>
          <w:sz w:val="24"/>
        </w:rPr>
        <w:t>元，本报告期份额净值增长率为</w:t>
      </w:r>
      <w:r w:rsidRPr="0013437B">
        <w:rPr>
          <w:color w:val="000000"/>
          <w:sz w:val="24"/>
        </w:rPr>
        <w:t>15.33%</w:t>
      </w:r>
      <w:r w:rsidRPr="0013437B">
        <w:rPr>
          <w:color w:val="000000"/>
          <w:sz w:val="24"/>
        </w:rPr>
        <w:t>，同期业绩比较基准增长率为</w:t>
      </w:r>
      <w:r w:rsidRPr="0013437B">
        <w:rPr>
          <w:color w:val="000000"/>
          <w:sz w:val="24"/>
        </w:rPr>
        <w:t>6.13%</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1A59F9" w:rsidRPr="0013437B" w:rsidRDefault="001A59F9" w:rsidP="0013437B">
      <w:pPr>
        <w:spacing w:before="29" w:line="288" w:lineRule="auto"/>
        <w:ind w:firstLineChars="200" w:firstLine="480"/>
        <w:rPr>
          <w:color w:val="000000"/>
          <w:sz w:val="24"/>
        </w:rPr>
      </w:pPr>
      <w:r w:rsidRPr="0013437B">
        <w:rPr>
          <w:color w:val="000000"/>
          <w:sz w:val="24"/>
        </w:rPr>
        <w:t>展望</w:t>
      </w:r>
      <w:r w:rsidRPr="0013437B">
        <w:rPr>
          <w:color w:val="000000"/>
          <w:sz w:val="24"/>
        </w:rPr>
        <w:t>2015</w:t>
      </w:r>
      <w:r w:rsidRPr="0013437B">
        <w:rPr>
          <w:color w:val="000000"/>
          <w:sz w:val="24"/>
        </w:rPr>
        <w:t>年，房地产在</w:t>
      </w:r>
      <w:r w:rsidRPr="0013437B">
        <w:rPr>
          <w:color w:val="000000"/>
          <w:sz w:val="24"/>
        </w:rPr>
        <w:t>2014</w:t>
      </w:r>
      <w:r w:rsidRPr="0013437B">
        <w:rPr>
          <w:color w:val="000000"/>
          <w:sz w:val="24"/>
        </w:rPr>
        <w:t>年四季度的数据让投资者对地产在</w:t>
      </w:r>
      <w:r w:rsidRPr="0013437B">
        <w:rPr>
          <w:color w:val="000000"/>
          <w:sz w:val="24"/>
        </w:rPr>
        <w:t>2015</w:t>
      </w:r>
      <w:r w:rsidRPr="0013437B">
        <w:rPr>
          <w:color w:val="000000"/>
          <w:sz w:val="24"/>
        </w:rPr>
        <w:t>年的表现充满期待，宽信用的担忧对债券市场仍有一定不利的影响。然而，更为确定的是通缩压力目前看来仍是市场的主要矛盾，也是支持债券市场在上半年或有较好表现最重要的因素。另一方面，市场资金面情况预期好于</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月，也是支持债券市场在上半年可能仍有较好表现的一个重要因素。值得注意的是，连续</w:t>
      </w:r>
      <w:r w:rsidRPr="0013437B">
        <w:rPr>
          <w:color w:val="000000"/>
          <w:sz w:val="24"/>
        </w:rPr>
        <w:t>IPO</w:t>
      </w:r>
      <w:r w:rsidRPr="0013437B">
        <w:rPr>
          <w:color w:val="000000"/>
          <w:sz w:val="24"/>
        </w:rPr>
        <w:t>可能会对市场流动性及情绪有间歇性的冲击，而央行货币政策的态度仍较为稳健，受到资金面和短端利率的限制，降准等货币政策可能并不会给债券市场带来收益的快速下行。</w:t>
      </w:r>
      <w:r w:rsidRPr="0013437B">
        <w:rPr>
          <w:color w:val="000000"/>
          <w:sz w:val="24"/>
        </w:rPr>
        <w:t xml:space="preserve"> </w:t>
      </w:r>
      <w:r w:rsidRPr="0013437B">
        <w:rPr>
          <w:color w:val="000000"/>
          <w:sz w:val="24"/>
        </w:rPr>
        <w:t>因此，债券收益率应不会重现诸如</w:t>
      </w:r>
      <w:r w:rsidRPr="0013437B">
        <w:rPr>
          <w:color w:val="000000"/>
          <w:sz w:val="24"/>
        </w:rPr>
        <w:t>2014</w:t>
      </w:r>
      <w:r w:rsidRPr="0013437B">
        <w:rPr>
          <w:color w:val="000000"/>
          <w:sz w:val="24"/>
        </w:rPr>
        <w:t>年如此大幅度的下行，预计更大可能性是在一、二季度保持缓慢下行的态势。品种选择上，</w:t>
      </w:r>
      <w:r w:rsidRPr="0013437B">
        <w:rPr>
          <w:color w:val="000000"/>
          <w:sz w:val="24"/>
        </w:rPr>
        <w:t>3</w:t>
      </w:r>
      <w:r w:rsidRPr="0013437B">
        <w:rPr>
          <w:color w:val="000000"/>
          <w:sz w:val="24"/>
        </w:rPr>
        <w:t>年左右中短期的品种由于收益曲线的修复可能表现的会更好。总体说来，本基金对</w:t>
      </w:r>
      <w:r w:rsidRPr="0013437B">
        <w:rPr>
          <w:color w:val="000000"/>
          <w:sz w:val="24"/>
        </w:rPr>
        <w:t>2015</w:t>
      </w:r>
      <w:r w:rsidRPr="0013437B">
        <w:rPr>
          <w:color w:val="000000"/>
          <w:sz w:val="24"/>
        </w:rPr>
        <w:t>年一季度债券市场的中短端较为乐观。组合管理方面，保持较短的久期，期待获取曲线结构修复的超额收益；另一方面，更值得期待的是，在宽信用及地产可期的背景下，可转债或将是</w:t>
      </w:r>
      <w:r w:rsidRPr="0013437B">
        <w:rPr>
          <w:color w:val="000000"/>
          <w:sz w:val="24"/>
        </w:rPr>
        <w:t>2015</w:t>
      </w:r>
      <w:r w:rsidRPr="0013437B">
        <w:rPr>
          <w:color w:val="000000"/>
          <w:sz w:val="24"/>
        </w:rPr>
        <w:t>年一季度基金获取收益的主要来源。</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F31622" w:rsidRDefault="00346E0A">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F31622" w:rsidRDefault="00346E0A">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F31622" w:rsidRDefault="00346E0A">
      <w:pPr>
        <w:spacing w:before="29" w:line="288" w:lineRule="auto"/>
        <w:ind w:firstLineChars="200" w:firstLine="480"/>
        <w:rPr>
          <w:color w:val="000000"/>
          <w:sz w:val="24"/>
        </w:rPr>
      </w:pPr>
      <w:r>
        <w:rPr>
          <w:color w:val="000000"/>
          <w:sz w:val="24"/>
        </w:rPr>
        <w:t>根据相关法律法规和基金合同要求，本基金本报告期内对上一年度应分配的可分配利润进行了收益分配，具体情况参见</w:t>
      </w:r>
      <w:r>
        <w:rPr>
          <w:rFonts w:hint="eastAsia"/>
          <w:color w:val="000000"/>
          <w:sz w:val="24"/>
        </w:rPr>
        <w:t>年度</w:t>
      </w:r>
      <w:r>
        <w:rPr>
          <w:color w:val="000000"/>
          <w:sz w:val="24"/>
        </w:rPr>
        <w:t>报告正文</w:t>
      </w:r>
      <w:r w:rsidR="002B33D6" w:rsidRPr="002B33D6">
        <w:rPr>
          <w:color w:val="000000"/>
          <w:sz w:val="24"/>
        </w:rPr>
        <w:t>7.4.11</w:t>
      </w:r>
      <w:r w:rsidR="002B33D6" w:rsidRPr="002B33D6">
        <w:rPr>
          <w:color w:val="000000"/>
          <w:sz w:val="24"/>
        </w:rPr>
        <w:t>利润分配情况</w:t>
      </w:r>
      <w:r>
        <w:rPr>
          <w:color w:val="000000"/>
          <w:sz w:val="24"/>
        </w:rPr>
        <w:t>。</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本基金未对本报告期内利润进行分配。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在托管本基金的过程中，本基金托管人中国农业银行股份有限公司严格遵守《证券投资基金法》相关法律法规的规定以及基金合同、托管协议的约定，对本基金基金管理人</w:t>
      </w:r>
      <w:r w:rsidRPr="0013437B">
        <w:rPr>
          <w:color w:val="000000"/>
          <w:sz w:val="24"/>
        </w:rPr>
        <w:t>—</w:t>
      </w:r>
      <w:r w:rsidRPr="0013437B">
        <w:rPr>
          <w:color w:val="000000"/>
          <w:sz w:val="24"/>
        </w:rPr>
        <w:t>交银施罗德基金管理有限公司本报告期基金的投资运作，进行了认真、独立的会计核算和必要的投资监督，认真履行了托管人的义务，没有从事任何损害基金份额持有人利益的行为。</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1A59F9" w:rsidRPr="0013437B" w:rsidRDefault="001A59F9" w:rsidP="0013437B">
      <w:pPr>
        <w:spacing w:before="29" w:line="288" w:lineRule="auto"/>
        <w:ind w:firstLineChars="200" w:firstLine="480"/>
        <w:rPr>
          <w:color w:val="000000"/>
          <w:sz w:val="24"/>
        </w:rPr>
      </w:pPr>
      <w:r w:rsidRPr="0013437B">
        <w:rPr>
          <w:color w:val="000000"/>
          <w:sz w:val="24"/>
        </w:rPr>
        <w:t>本托管人认为</w:t>
      </w:r>
      <w:r w:rsidRPr="0013437B">
        <w:rPr>
          <w:color w:val="000000"/>
          <w:sz w:val="24"/>
        </w:rPr>
        <w:t xml:space="preserve">, </w:t>
      </w:r>
      <w:r w:rsidRPr="0013437B">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9E773E" w:rsidRPr="0013437B" w:rsidRDefault="009E773E"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交银施罗德信用添利债券证券投资基金（</w:t>
      </w:r>
      <w:r w:rsidRPr="003C6BFD">
        <w:rPr>
          <w:color w:val="000000"/>
          <w:sz w:val="24"/>
        </w:rPr>
        <w:t>LOF</w:t>
      </w:r>
      <w:r w:rsidRPr="003C6BFD">
        <w:rPr>
          <w:color w:val="000000"/>
          <w:sz w:val="24"/>
        </w:rPr>
        <w:t>）</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21509</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交银施罗德信用添利债券证券投资基金（</w:t>
      </w:r>
      <w:r w:rsidRPr="001C5FC7">
        <w:rPr>
          <w:color w:val="000000"/>
          <w:sz w:val="24"/>
        </w:rPr>
        <w:t>LOF</w:t>
      </w:r>
      <w:r w:rsidRPr="001C5FC7">
        <w:rPr>
          <w:color w:val="000000"/>
          <w:sz w:val="24"/>
        </w:rPr>
        <w:t>）</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2013</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372,072.25</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370,055,506.42</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9,980,761.59</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20,841,500.20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64,601.93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303,835.12</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201,007,742.00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1,800,111,573.18</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12,433,500.00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40,027,000.00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188,574,242.00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1,760,084,573.18</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4,689,716.97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32,395,844.16</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105,168.20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216,220,062.94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2,223,708,259.08</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2013</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77,999,730.00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214,499,296.25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32,210.17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48,041,666.19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253,936.02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78,308.95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1,000,132.57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26,102.99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333,377.53</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18,792.33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84,043.72</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570,143.97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4,867,912.42</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5,699.72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54,127.10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230,002.76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350,000.00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79,214,926.91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269,230,555.78</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118,796,383.24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1,895,085,749.23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18,208,752.79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59,391,954.07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137,005,136.03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1,954,477,703.30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216,220,062.94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2,223,708,259.08</w:t>
            </w:r>
          </w:p>
        </w:tc>
      </w:tr>
    </w:tbl>
    <w:p w:rsidR="001A59F9" w:rsidRPr="00AA0214" w:rsidRDefault="00AA0214" w:rsidP="00547EB1">
      <w:pPr>
        <w:tabs>
          <w:tab w:val="left" w:pos="426"/>
        </w:tabs>
        <w:spacing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2014</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1.153</w:t>
      </w:r>
      <w:r w:rsidR="001A59F9" w:rsidRPr="00AA0214">
        <w:rPr>
          <w:kern w:val="0"/>
          <w:sz w:val="24"/>
        </w:rPr>
        <w:t>元，基金份额总额</w:t>
      </w:r>
      <w:r w:rsidR="001A59F9" w:rsidRPr="00AA0214">
        <w:rPr>
          <w:kern w:val="0"/>
          <w:sz w:val="24"/>
        </w:rPr>
        <w:t xml:space="preserve"> 118,796,383.24</w:t>
      </w:r>
      <w:r w:rsidR="001A59F9" w:rsidRPr="00AA0214">
        <w:rPr>
          <w:kern w:val="0"/>
          <w:sz w:val="24"/>
        </w:rPr>
        <w:t>份。</w:t>
      </w:r>
    </w:p>
    <w:p w:rsidR="00AA0214" w:rsidRPr="00C51C77" w:rsidRDefault="00AA0214" w:rsidP="00547EB1">
      <w:pPr>
        <w:tabs>
          <w:tab w:val="left" w:pos="426"/>
        </w:tabs>
        <w:spacing w:line="288"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交银施罗德信用添利债券证券投资基金（</w:t>
      </w:r>
      <w:r w:rsidRPr="00DA21E1">
        <w:rPr>
          <w:color w:val="000000"/>
          <w:sz w:val="24"/>
        </w:rPr>
        <w:t>LOF</w:t>
      </w:r>
      <w:r w:rsidRPr="00DA21E1">
        <w:rPr>
          <w:color w:val="000000"/>
          <w:sz w:val="24"/>
        </w:rPr>
        <w:t>）</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32,638,860.68</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47,356,818.28</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31,072,670.54</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118,232,406.30</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2,048,202.21</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1,678,249.24</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27,033,419.52</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116,288,270.99</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216,166.74</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1,991,048.81</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49,719.33</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-64,530,923.95</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9,221,390.71</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-7,301,140.89</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-23,122,594.62</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-57,280,883.06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32,074,577.43</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56,377.90</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51,100.00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213,030.00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65,812,698.06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-80,134,746.92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284,416.03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37,768.19</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11,586,538.60</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50,094,834.00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2,687,986.59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12,111,797.68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895,995.63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4,037,265.94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130,438.82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362,818.43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7,338,641.21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32,803,226.81</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7,338,641.21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32,803,226.81</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533,476.35</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779,725.14</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21,052,322.08</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-2,738,015.72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21,052,322.08</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-2,738,015.72</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交银施罗德信用添利债券证券投资基金（</w:t>
      </w:r>
      <w:r w:rsidRPr="004C51A0">
        <w:rPr>
          <w:color w:val="000000"/>
          <w:sz w:val="24"/>
        </w:rPr>
        <w:t>LOF</w:t>
      </w:r>
      <w:r w:rsidRPr="004C51A0">
        <w:rPr>
          <w:color w:val="000000"/>
          <w:sz w:val="24"/>
        </w:rPr>
        <w:t>）</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1,895,085,749.23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59,391,954.07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1,954,477,703.30</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21,052,322.08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21,052,322.08</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-1,776,289,365.99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-3,487,864.84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-1,779,777,230.83</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67,560,117.41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6,101,554.32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73,661,671.73</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-1,843,849,483.40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-9,589,419.16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-1,853,438,902.56</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-58,747,658.52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-58,747,658.52</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118,796,383.24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18,208,752.79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137,005,136.03</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1,895,085,749.23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149,303,915.81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2,044,389,665.04</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-2,738,015.72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-2,738,015.72</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-87,173,946.02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-87,173,946.02</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1,895,085,749.23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59,391,954.07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1,954,477,703.30</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负责人：苏奋（代任），主管会计工作负责人：许珊燕，会计机构负责人：朱鸣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F31622" w:rsidRDefault="00346E0A">
      <w:pPr>
        <w:spacing w:before="29" w:line="288" w:lineRule="auto"/>
        <w:ind w:firstLineChars="200" w:firstLine="480"/>
        <w:rPr>
          <w:color w:val="000000"/>
          <w:sz w:val="24"/>
        </w:rPr>
      </w:pPr>
      <w:r>
        <w:rPr>
          <w:color w:val="000000"/>
          <w:sz w:val="24"/>
        </w:rPr>
        <w:t>交银施罗德信用添利债券证券投资基金</w:t>
      </w:r>
      <w:r>
        <w:rPr>
          <w:color w:val="000000"/>
          <w:sz w:val="24"/>
        </w:rPr>
        <w:t>(LOF)(</w:t>
      </w:r>
      <w:r>
        <w:rPr>
          <w:color w:val="000000"/>
          <w:sz w:val="24"/>
        </w:rPr>
        <w:t>以下简称</w:t>
      </w:r>
      <w:r>
        <w:rPr>
          <w:color w:val="000000"/>
          <w:sz w:val="24"/>
        </w:rPr>
        <w:t>“</w:t>
      </w:r>
      <w:r>
        <w:rPr>
          <w:color w:val="000000"/>
          <w:sz w:val="24"/>
        </w:rPr>
        <w:t>本基金</w:t>
      </w:r>
      <w:r>
        <w:rPr>
          <w:color w:val="000000"/>
          <w:sz w:val="24"/>
        </w:rPr>
        <w:t>”)</w:t>
      </w:r>
      <w:r>
        <w:rPr>
          <w:color w:val="000000"/>
          <w:sz w:val="24"/>
        </w:rPr>
        <w:t>是由交银施罗德信用添利债券证券投资基金</w:t>
      </w:r>
      <w:r>
        <w:rPr>
          <w:color w:val="000000"/>
          <w:sz w:val="24"/>
        </w:rPr>
        <w:t>(</w:t>
      </w:r>
      <w:r>
        <w:rPr>
          <w:color w:val="000000"/>
          <w:sz w:val="24"/>
        </w:rPr>
        <w:t>以下简称</w:t>
      </w:r>
      <w:r>
        <w:rPr>
          <w:color w:val="000000"/>
          <w:sz w:val="24"/>
        </w:rPr>
        <w:t>“</w:t>
      </w:r>
      <w:r>
        <w:rPr>
          <w:color w:val="000000"/>
          <w:sz w:val="24"/>
        </w:rPr>
        <w:t>原基金</w:t>
      </w:r>
      <w:r>
        <w:rPr>
          <w:color w:val="000000"/>
          <w:sz w:val="24"/>
        </w:rPr>
        <w:t>”)</w:t>
      </w:r>
      <w:r>
        <w:rPr>
          <w:color w:val="000000"/>
          <w:sz w:val="24"/>
        </w:rPr>
        <w:t>根据《交银施罗德信用添利债券证券投资基金基金合同》的有关规定变更运作模式后而来。原基金经中国证券监督管理委员会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[2010]</w:t>
      </w:r>
      <w:r>
        <w:rPr>
          <w:color w:val="000000"/>
          <w:sz w:val="24"/>
        </w:rPr>
        <w:t>第</w:t>
      </w:r>
      <w:r>
        <w:rPr>
          <w:color w:val="000000"/>
          <w:sz w:val="24"/>
        </w:rPr>
        <w:t>1601</w:t>
      </w:r>
      <w:r>
        <w:rPr>
          <w:color w:val="000000"/>
          <w:sz w:val="24"/>
        </w:rPr>
        <w:t>号《关于核准交银施罗德信用添利债券证券投资基金募集的批复》核准，由交银施罗德基金管理有限公司依照《中华人民共和国证券投资基金法》和《交银施罗德信用添利债券证券投资基金基金合同》负责公开募集。本基金为契约型基金，本基金在基金合同生效之日起三年</w:t>
      </w:r>
      <w:r>
        <w:rPr>
          <w:color w:val="000000"/>
          <w:sz w:val="24"/>
        </w:rPr>
        <w:t>(</w:t>
      </w:r>
      <w:r>
        <w:rPr>
          <w:color w:val="000000"/>
          <w:sz w:val="24"/>
        </w:rPr>
        <w:t>含三年</w:t>
      </w:r>
      <w:r>
        <w:rPr>
          <w:color w:val="000000"/>
          <w:sz w:val="24"/>
        </w:rPr>
        <w:t>)</w:t>
      </w:r>
      <w:r>
        <w:rPr>
          <w:color w:val="000000"/>
          <w:sz w:val="24"/>
        </w:rPr>
        <w:t>的期间</w:t>
      </w:r>
      <w:r>
        <w:rPr>
          <w:color w:val="000000"/>
          <w:sz w:val="24"/>
        </w:rPr>
        <w:t>(</w:t>
      </w:r>
      <w:r>
        <w:rPr>
          <w:color w:val="000000"/>
          <w:sz w:val="24"/>
        </w:rPr>
        <w:t>即自</w:t>
      </w:r>
      <w:r>
        <w:rPr>
          <w:color w:val="000000"/>
          <w:sz w:val="24"/>
        </w:rPr>
        <w:t>2011</w:t>
      </w:r>
      <w:r>
        <w:rPr>
          <w:color w:val="000000"/>
          <w:sz w:val="24"/>
        </w:rPr>
        <w:t>年</w:t>
      </w:r>
      <w:r>
        <w:rPr>
          <w:color w:val="000000"/>
          <w:sz w:val="24"/>
        </w:rPr>
        <w:t>1</w:t>
      </w:r>
      <w:r>
        <w:rPr>
          <w:color w:val="000000"/>
          <w:sz w:val="24"/>
        </w:rPr>
        <w:t>月</w:t>
      </w:r>
      <w:r>
        <w:rPr>
          <w:color w:val="000000"/>
          <w:sz w:val="24"/>
        </w:rPr>
        <w:t>27</w:t>
      </w:r>
      <w:r>
        <w:rPr>
          <w:color w:val="000000"/>
          <w:sz w:val="24"/>
        </w:rPr>
        <w:t>日</w:t>
      </w:r>
      <w:r>
        <w:rPr>
          <w:color w:val="000000"/>
          <w:sz w:val="24"/>
        </w:rPr>
        <w:t>(</w:t>
      </w:r>
      <w:r>
        <w:rPr>
          <w:color w:val="000000"/>
          <w:sz w:val="24"/>
        </w:rPr>
        <w:t>基金合同生效日</w:t>
      </w:r>
      <w:r>
        <w:rPr>
          <w:color w:val="000000"/>
          <w:sz w:val="24"/>
        </w:rPr>
        <w:t>)</w:t>
      </w:r>
      <w:r>
        <w:rPr>
          <w:color w:val="000000"/>
          <w:sz w:val="24"/>
        </w:rPr>
        <w:t>起至</w:t>
      </w:r>
      <w:r>
        <w:rPr>
          <w:color w:val="000000"/>
          <w:sz w:val="24"/>
        </w:rPr>
        <w:t>2014</w:t>
      </w:r>
      <w:r>
        <w:rPr>
          <w:color w:val="000000"/>
          <w:sz w:val="24"/>
        </w:rPr>
        <w:t>年</w:t>
      </w:r>
      <w:r>
        <w:rPr>
          <w:color w:val="000000"/>
          <w:sz w:val="24"/>
        </w:rPr>
        <w:t>1</w:t>
      </w:r>
      <w:r>
        <w:rPr>
          <w:color w:val="000000"/>
          <w:sz w:val="24"/>
        </w:rPr>
        <w:t>月</w:t>
      </w:r>
      <w:r>
        <w:rPr>
          <w:color w:val="000000"/>
          <w:sz w:val="24"/>
        </w:rPr>
        <w:t>27</w:t>
      </w:r>
      <w:r>
        <w:rPr>
          <w:color w:val="000000"/>
          <w:sz w:val="24"/>
        </w:rPr>
        <w:t>日止的期间</w:t>
      </w:r>
      <w:r>
        <w:rPr>
          <w:color w:val="000000"/>
          <w:sz w:val="24"/>
        </w:rPr>
        <w:t>)</w:t>
      </w:r>
      <w:r>
        <w:rPr>
          <w:color w:val="000000"/>
          <w:sz w:val="24"/>
        </w:rPr>
        <w:t>内，采取封闭式运作</w:t>
      </w:r>
      <w:r>
        <w:rPr>
          <w:color w:val="000000"/>
          <w:sz w:val="24"/>
        </w:rPr>
        <w:t>(</w:t>
      </w:r>
      <w:r>
        <w:rPr>
          <w:color w:val="000000"/>
          <w:sz w:val="24"/>
        </w:rPr>
        <w:t>按照基金合同的约定提前转换基金运作方式的除外</w:t>
      </w:r>
      <w:r>
        <w:rPr>
          <w:color w:val="000000"/>
          <w:sz w:val="24"/>
        </w:rPr>
        <w:t>)</w:t>
      </w:r>
      <w:r>
        <w:rPr>
          <w:color w:val="000000"/>
          <w:sz w:val="24"/>
        </w:rPr>
        <w:t>，在深圳证券交易所上市交易，封闭期满后转为上市开放式基金</w:t>
      </w:r>
      <w:r>
        <w:rPr>
          <w:color w:val="000000"/>
          <w:sz w:val="24"/>
        </w:rPr>
        <w:t>(LOF)</w:t>
      </w:r>
      <w:r>
        <w:rPr>
          <w:color w:val="000000"/>
          <w:sz w:val="24"/>
        </w:rPr>
        <w:t>。原基金首次设立募集不包括认购资金利息共募集资本人民币</w:t>
      </w:r>
      <w:r>
        <w:rPr>
          <w:color w:val="000000"/>
          <w:sz w:val="24"/>
        </w:rPr>
        <w:t>1,894,760,542.88</w:t>
      </w:r>
      <w:r>
        <w:rPr>
          <w:color w:val="000000"/>
          <w:sz w:val="24"/>
        </w:rPr>
        <w:t>元，业经普华永道中天会计师事务所有限公司普华永道中天验字</w:t>
      </w:r>
      <w:r>
        <w:rPr>
          <w:color w:val="000000"/>
          <w:sz w:val="24"/>
        </w:rPr>
        <w:t>(2011)</w:t>
      </w:r>
      <w:r>
        <w:rPr>
          <w:color w:val="000000"/>
          <w:sz w:val="24"/>
        </w:rPr>
        <w:t>第</w:t>
      </w:r>
      <w:r>
        <w:rPr>
          <w:color w:val="000000"/>
          <w:sz w:val="24"/>
        </w:rPr>
        <w:t>13</w:t>
      </w:r>
      <w:r>
        <w:rPr>
          <w:color w:val="000000"/>
          <w:sz w:val="24"/>
        </w:rPr>
        <w:t>号验资报告予以验证。经向中国证监会备案，《交银施罗德信用添利债券证券投资基金基金合同》于</w:t>
      </w:r>
      <w:r>
        <w:rPr>
          <w:color w:val="000000"/>
          <w:sz w:val="24"/>
        </w:rPr>
        <w:t>2011</w:t>
      </w:r>
      <w:r>
        <w:rPr>
          <w:color w:val="000000"/>
          <w:sz w:val="24"/>
        </w:rPr>
        <w:t>年</w:t>
      </w:r>
      <w:r>
        <w:rPr>
          <w:color w:val="000000"/>
          <w:sz w:val="24"/>
        </w:rPr>
        <w:t>1</w:t>
      </w:r>
      <w:r>
        <w:rPr>
          <w:color w:val="000000"/>
          <w:sz w:val="24"/>
        </w:rPr>
        <w:t>月</w:t>
      </w:r>
      <w:r>
        <w:rPr>
          <w:color w:val="000000"/>
          <w:sz w:val="24"/>
        </w:rPr>
        <w:t>27</w:t>
      </w:r>
      <w:r>
        <w:rPr>
          <w:color w:val="000000"/>
          <w:sz w:val="24"/>
        </w:rPr>
        <w:t>日正式生效，基金合同生效日的基金份额总额为</w:t>
      </w:r>
      <w:r>
        <w:rPr>
          <w:color w:val="000000"/>
          <w:sz w:val="24"/>
        </w:rPr>
        <w:t>1,895,085,749.23</w:t>
      </w:r>
      <w:r>
        <w:rPr>
          <w:color w:val="000000"/>
          <w:sz w:val="24"/>
        </w:rPr>
        <w:t>份，其中认购资金利息折合</w:t>
      </w:r>
      <w:r>
        <w:rPr>
          <w:color w:val="000000"/>
          <w:sz w:val="24"/>
        </w:rPr>
        <w:t>325,206.35</w:t>
      </w:r>
      <w:r>
        <w:rPr>
          <w:color w:val="000000"/>
          <w:sz w:val="24"/>
        </w:rPr>
        <w:t>份。本基金的基金管理人为交银施罗德基金管理有限公司，基金托管人为中国农业银行股份有限公司。</w:t>
      </w:r>
    </w:p>
    <w:p w:rsidR="00F31622" w:rsidRDefault="00346E0A">
      <w:pPr>
        <w:spacing w:before="29" w:line="288" w:lineRule="auto"/>
        <w:ind w:firstLineChars="200" w:firstLine="480"/>
        <w:rPr>
          <w:color w:val="000000"/>
          <w:sz w:val="24"/>
        </w:rPr>
      </w:pPr>
      <w:r>
        <w:rPr>
          <w:color w:val="000000"/>
          <w:sz w:val="24"/>
        </w:rPr>
        <w:t>根据《交银施罗德信用添利债券证券投资基金基金合同》和《交银施罗德基金管理有限公司关于交银施罗德信用添利债券证券投资基金转为上市开放式（</w:t>
      </w:r>
      <w:r>
        <w:rPr>
          <w:color w:val="000000"/>
          <w:sz w:val="24"/>
        </w:rPr>
        <w:t>LOF</w:t>
      </w:r>
      <w:r>
        <w:rPr>
          <w:color w:val="000000"/>
          <w:sz w:val="24"/>
        </w:rPr>
        <w:t>）运作暨开放日常申购、赎回业务并参与部分代销机构前端申购费率优惠活动的公告》的有关规定，本基金自</w:t>
      </w:r>
      <w:r>
        <w:rPr>
          <w:color w:val="000000"/>
          <w:sz w:val="24"/>
        </w:rPr>
        <w:t>2014</w:t>
      </w:r>
      <w:r>
        <w:rPr>
          <w:color w:val="000000"/>
          <w:sz w:val="24"/>
        </w:rPr>
        <w:t>年</w:t>
      </w:r>
      <w:r>
        <w:rPr>
          <w:color w:val="000000"/>
          <w:sz w:val="24"/>
        </w:rPr>
        <w:t>1</w:t>
      </w:r>
      <w:r>
        <w:rPr>
          <w:color w:val="000000"/>
          <w:sz w:val="24"/>
        </w:rPr>
        <w:t>月</w:t>
      </w:r>
      <w:r>
        <w:rPr>
          <w:color w:val="000000"/>
          <w:sz w:val="24"/>
        </w:rPr>
        <w:t>28</w:t>
      </w:r>
      <w:r>
        <w:rPr>
          <w:color w:val="000000"/>
          <w:sz w:val="24"/>
        </w:rPr>
        <w:t>日起基金运作方式转为</w:t>
      </w:r>
      <w:r>
        <w:rPr>
          <w:color w:val="000000"/>
          <w:sz w:val="24"/>
        </w:rPr>
        <w:t>“</w:t>
      </w:r>
      <w:r>
        <w:rPr>
          <w:color w:val="000000"/>
          <w:sz w:val="24"/>
        </w:rPr>
        <w:t>上市契约型开放式</w:t>
      </w:r>
      <w:r>
        <w:rPr>
          <w:color w:val="000000"/>
          <w:sz w:val="24"/>
        </w:rPr>
        <w:t>”</w:t>
      </w:r>
      <w:r>
        <w:rPr>
          <w:color w:val="000000"/>
          <w:sz w:val="24"/>
        </w:rPr>
        <w:t>，并于同日起开放本基金的申购、赎回业务。本基金转为上市开放式基金</w:t>
      </w:r>
      <w:r>
        <w:rPr>
          <w:color w:val="000000"/>
          <w:sz w:val="24"/>
        </w:rPr>
        <w:t>(LOF)</w:t>
      </w:r>
      <w:r>
        <w:rPr>
          <w:color w:val="000000"/>
          <w:sz w:val="24"/>
        </w:rPr>
        <w:t>后同时开通前端基金份额和后端基金份额的申购和赎回。</w:t>
      </w:r>
    </w:p>
    <w:p w:rsidR="00F31622" w:rsidRDefault="00346E0A">
      <w:pPr>
        <w:spacing w:before="29" w:line="288" w:lineRule="auto"/>
        <w:ind w:firstLineChars="200" w:firstLine="480"/>
        <w:rPr>
          <w:color w:val="000000"/>
          <w:sz w:val="24"/>
        </w:rPr>
      </w:pPr>
      <w:r>
        <w:rPr>
          <w:color w:val="000000"/>
          <w:sz w:val="24"/>
        </w:rPr>
        <w:t>经深圳证券交易所</w:t>
      </w:r>
      <w:r>
        <w:rPr>
          <w:color w:val="000000"/>
          <w:sz w:val="24"/>
        </w:rPr>
        <w:t>(</w:t>
      </w:r>
      <w:r>
        <w:rPr>
          <w:color w:val="000000"/>
          <w:sz w:val="24"/>
        </w:rPr>
        <w:t>以下简称</w:t>
      </w:r>
      <w:r>
        <w:rPr>
          <w:color w:val="000000"/>
          <w:sz w:val="24"/>
        </w:rPr>
        <w:t>“</w:t>
      </w:r>
      <w:r>
        <w:rPr>
          <w:color w:val="000000"/>
          <w:sz w:val="24"/>
        </w:rPr>
        <w:t>深交所</w:t>
      </w:r>
      <w:r>
        <w:rPr>
          <w:color w:val="000000"/>
          <w:sz w:val="24"/>
        </w:rPr>
        <w:t>”)</w:t>
      </w:r>
      <w:r>
        <w:rPr>
          <w:color w:val="000000"/>
          <w:sz w:val="24"/>
        </w:rPr>
        <w:t>深证上</w:t>
      </w:r>
      <w:r>
        <w:rPr>
          <w:color w:val="000000"/>
          <w:sz w:val="24"/>
        </w:rPr>
        <w:t>[2011]</w:t>
      </w:r>
      <w:r>
        <w:rPr>
          <w:color w:val="000000"/>
          <w:sz w:val="24"/>
        </w:rPr>
        <w:t>第</w:t>
      </w:r>
      <w:r>
        <w:rPr>
          <w:color w:val="000000"/>
          <w:sz w:val="24"/>
        </w:rPr>
        <w:t>117</w:t>
      </w:r>
      <w:r>
        <w:rPr>
          <w:color w:val="000000"/>
          <w:sz w:val="24"/>
        </w:rPr>
        <w:t>号文审核同意，原基金</w:t>
      </w:r>
      <w:r>
        <w:rPr>
          <w:color w:val="000000"/>
          <w:sz w:val="24"/>
        </w:rPr>
        <w:t>211,820,433.00</w:t>
      </w:r>
      <w:r>
        <w:rPr>
          <w:color w:val="000000"/>
          <w:sz w:val="24"/>
        </w:rPr>
        <w:t>份基金份额于</w:t>
      </w:r>
      <w:r>
        <w:rPr>
          <w:color w:val="000000"/>
          <w:sz w:val="24"/>
        </w:rPr>
        <w:t>2011</w:t>
      </w:r>
      <w:r>
        <w:rPr>
          <w:color w:val="000000"/>
          <w:sz w:val="24"/>
        </w:rPr>
        <w:t>年</w:t>
      </w:r>
      <w:r>
        <w:rPr>
          <w:color w:val="000000"/>
          <w:sz w:val="24"/>
        </w:rPr>
        <w:t>4</w:t>
      </w:r>
      <w:r>
        <w:rPr>
          <w:color w:val="000000"/>
          <w:sz w:val="24"/>
        </w:rPr>
        <w:t>月</w:t>
      </w:r>
      <w:r>
        <w:rPr>
          <w:color w:val="000000"/>
          <w:sz w:val="24"/>
        </w:rPr>
        <w:t>20</w:t>
      </w:r>
      <w:r>
        <w:rPr>
          <w:color w:val="000000"/>
          <w:sz w:val="24"/>
        </w:rPr>
        <w:t>日在深交所挂牌交易。未上市交易的基金份额托管在场外，基金份额持有人可通过跨系统转托管业务将其转至深交所场内后即可上市流通。本基金变更为上市开放式基金</w:t>
      </w:r>
      <w:r>
        <w:rPr>
          <w:color w:val="000000"/>
          <w:sz w:val="24"/>
        </w:rPr>
        <w:t>(LOF)</w:t>
      </w:r>
      <w:r>
        <w:rPr>
          <w:color w:val="000000"/>
          <w:sz w:val="24"/>
        </w:rPr>
        <w:t>后，上市交易的基金份额仍然登记在证券登记系统中并仍将在深圳证券交易所上市交易，未上市交易的份额仍然登记在基金登记系统中，其中前端收费模式的未上市交易的基金份额可通过跨系统转托管转入场内上市交易。</w:t>
      </w:r>
    </w:p>
    <w:p w:rsidR="00F31622" w:rsidRDefault="00346E0A">
      <w:pPr>
        <w:spacing w:before="29" w:line="288" w:lineRule="auto"/>
        <w:ind w:firstLineChars="200" w:firstLine="480"/>
        <w:rPr>
          <w:color w:val="000000"/>
          <w:sz w:val="24"/>
        </w:rPr>
      </w:pPr>
      <w:r>
        <w:rPr>
          <w:color w:val="000000"/>
          <w:sz w:val="24"/>
        </w:rPr>
        <w:t>根据《中华人民共和国证券投资基金法》和《交银施罗德信用添利债券证券投资基金基金合同》的有关规定，本基金的投资范围为具有良好流动性的金融工具，主要投资于固定收益类资产，包括国债、金融债、央行票据、地方政府债、企业债、公司债、短期融资券、可转换债券及可分离转债、资产支持证券、次级债和债券回购等金融工具。本基金可同时投资于股票、权证等权益类产品以及法律法规或中国证监会允许基金投资的其他金融工具。本基金不直接从二级市场买入股票、权证等权益类金融工具，但可以参与一级市场股票首次公开发行或新股增发，并可持有因所持可转换公司债券转股形成的股票、因持有股票被派发的权证、因投资于分离交易可转债而产生的权证。本基金在封闭期内，对债券等固定收益类资产的投资比例不低于基金资产的</w:t>
      </w:r>
      <w:r>
        <w:rPr>
          <w:color w:val="000000"/>
          <w:sz w:val="24"/>
        </w:rPr>
        <w:t>80%</w:t>
      </w:r>
      <w:r>
        <w:rPr>
          <w:color w:val="000000"/>
          <w:sz w:val="24"/>
        </w:rPr>
        <w:t>，其中对信用债券的投资比例不低于固定收益类资产的</w:t>
      </w:r>
      <w:r>
        <w:rPr>
          <w:color w:val="000000"/>
          <w:sz w:val="24"/>
        </w:rPr>
        <w:t>80%</w:t>
      </w:r>
      <w:r>
        <w:rPr>
          <w:color w:val="000000"/>
          <w:sz w:val="24"/>
        </w:rPr>
        <w:t>；对股票、权证等非固定收益类资产的投资比例不高于基金资产的</w:t>
      </w:r>
      <w:r>
        <w:rPr>
          <w:color w:val="000000"/>
          <w:sz w:val="24"/>
        </w:rPr>
        <w:t>20%</w:t>
      </w:r>
      <w:r>
        <w:rPr>
          <w:color w:val="000000"/>
          <w:sz w:val="24"/>
        </w:rPr>
        <w:t>。本基金在开放期内，对债券等固定收益类资产的投资比例不低于基金资产的</w:t>
      </w:r>
      <w:r>
        <w:rPr>
          <w:color w:val="000000"/>
          <w:sz w:val="24"/>
        </w:rPr>
        <w:t>80%</w:t>
      </w:r>
      <w:r>
        <w:rPr>
          <w:color w:val="000000"/>
          <w:sz w:val="24"/>
        </w:rPr>
        <w:t>，其中对信用债券的投资比例不低于固定收益类资产的</w:t>
      </w:r>
      <w:r>
        <w:rPr>
          <w:color w:val="000000"/>
          <w:sz w:val="24"/>
        </w:rPr>
        <w:t>80%</w:t>
      </w:r>
      <w:r>
        <w:rPr>
          <w:color w:val="000000"/>
          <w:sz w:val="24"/>
        </w:rPr>
        <w:t>；对股票、权证等非固定收益类资产的投资比例不高于基金资产的</w:t>
      </w:r>
      <w:r>
        <w:rPr>
          <w:color w:val="000000"/>
          <w:sz w:val="24"/>
        </w:rPr>
        <w:t>20%</w:t>
      </w:r>
      <w:r>
        <w:rPr>
          <w:color w:val="000000"/>
          <w:sz w:val="24"/>
        </w:rPr>
        <w:t>；其中现金及到期日在一年以内的政府债券的投资比例合计不低于基金资产净值的</w:t>
      </w:r>
      <w:r>
        <w:rPr>
          <w:color w:val="000000"/>
          <w:sz w:val="24"/>
        </w:rPr>
        <w:t>5%</w:t>
      </w:r>
      <w:r>
        <w:rPr>
          <w:color w:val="000000"/>
          <w:sz w:val="24"/>
        </w:rPr>
        <w:t>。本基金的业绩比较基准为：</w:t>
      </w:r>
      <w:r>
        <w:rPr>
          <w:color w:val="000000"/>
          <w:sz w:val="24"/>
        </w:rPr>
        <w:t>80%×</w:t>
      </w:r>
      <w:r>
        <w:rPr>
          <w:color w:val="000000"/>
          <w:sz w:val="24"/>
        </w:rPr>
        <w:t>中债企业债总全价指数收益率</w:t>
      </w:r>
      <w:r>
        <w:rPr>
          <w:color w:val="000000"/>
          <w:sz w:val="24"/>
        </w:rPr>
        <w:t>+20%×</w:t>
      </w:r>
      <w:r>
        <w:rPr>
          <w:color w:val="000000"/>
          <w:sz w:val="24"/>
        </w:rPr>
        <w:t>中债国债总全价指数收益率。</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》、中国证券投资基金业协会颁布的《证券投资基金会计核算业务指引》、《交银施罗德信用添利债券证券投资基金基金合同》和在财务报表附注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年度财务报表符合企业会计准则的要求，真实、完整地反映了本基金</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547EB1" w:rsidRPr="006F0404" w:rsidRDefault="00547EB1" w:rsidP="00547EB1">
      <w:pPr>
        <w:spacing w:before="29" w:line="288" w:lineRule="auto"/>
        <w:ind w:firstLineChars="200" w:firstLine="480"/>
        <w:rPr>
          <w:color w:val="000000"/>
          <w:sz w:val="24"/>
        </w:rPr>
      </w:pPr>
      <w:r w:rsidRPr="006F0404">
        <w:rPr>
          <w:rFonts w:hint="eastAsia"/>
          <w:color w:val="000000"/>
          <w:sz w:val="24"/>
        </w:rPr>
        <w:t>本报告期所采用的会计政策与最近一期年度报告</w:t>
      </w:r>
      <w:r>
        <w:rPr>
          <w:rFonts w:hint="eastAsia"/>
          <w:color w:val="000000"/>
          <w:sz w:val="24"/>
        </w:rPr>
        <w:t>不</w:t>
      </w:r>
      <w:r w:rsidRPr="006F0404">
        <w:rPr>
          <w:rFonts w:hint="eastAsia"/>
          <w:color w:val="000000"/>
          <w:sz w:val="24"/>
        </w:rPr>
        <w:t>一致，所采用的会计估计与最近一</w:t>
      </w:r>
      <w:r>
        <w:rPr>
          <w:rFonts w:hint="eastAsia"/>
          <w:color w:val="000000"/>
          <w:sz w:val="24"/>
        </w:rPr>
        <w:t>期年度报告</w:t>
      </w:r>
      <w:r w:rsidRPr="006F0404">
        <w:rPr>
          <w:rFonts w:hint="eastAsia"/>
          <w:color w:val="000000"/>
          <w:sz w:val="24"/>
        </w:rPr>
        <w:t>一致。</w:t>
      </w:r>
    </w:p>
    <w:p w:rsidR="002F6772" w:rsidRPr="00547EB1"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F31622" w:rsidRDefault="00346E0A">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F31622" w:rsidRDefault="00346E0A">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F31622" w:rsidRDefault="00346E0A">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p>
    <w:p w:rsidR="00F31622" w:rsidRDefault="00346E0A">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(4)</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F31622">
        <w:tc>
          <w:tcPr>
            <w:tcW w:w="5220" w:type="dxa"/>
            <w:vAlign w:val="center"/>
          </w:tcPr>
          <w:p w:rsidR="00F31622" w:rsidRDefault="00346E0A">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F31622" w:rsidRDefault="00346E0A">
            <w:pPr>
              <w:jc w:val="center"/>
            </w:pPr>
            <w:r>
              <w:rPr>
                <w:color w:val="000000"/>
                <w:sz w:val="24"/>
              </w:rPr>
              <w:t>基金管理人、基金销售机构</w:t>
            </w:r>
          </w:p>
        </w:tc>
      </w:tr>
      <w:tr w:rsidR="00F31622">
        <w:tc>
          <w:tcPr>
            <w:tcW w:w="5220" w:type="dxa"/>
            <w:vAlign w:val="center"/>
          </w:tcPr>
          <w:p w:rsidR="00F31622" w:rsidRDefault="00346E0A">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80" w:type="dxa"/>
            <w:vAlign w:val="center"/>
          </w:tcPr>
          <w:p w:rsidR="00F31622" w:rsidRDefault="00346E0A">
            <w:pPr>
              <w:jc w:val="center"/>
            </w:pPr>
            <w:r>
              <w:rPr>
                <w:color w:val="000000"/>
                <w:sz w:val="24"/>
              </w:rPr>
              <w:t>基金托管人、基金销售机构</w:t>
            </w:r>
          </w:p>
        </w:tc>
      </w:tr>
      <w:tr w:rsidR="00F31622">
        <w:tc>
          <w:tcPr>
            <w:tcW w:w="5220" w:type="dxa"/>
            <w:vAlign w:val="center"/>
          </w:tcPr>
          <w:p w:rsidR="00F31622" w:rsidRDefault="00346E0A">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F31622" w:rsidRDefault="00346E0A">
            <w:pPr>
              <w:jc w:val="center"/>
            </w:pPr>
            <w:r>
              <w:rPr>
                <w:color w:val="000000"/>
                <w:sz w:val="24"/>
              </w:rPr>
              <w:t>基金管理人的股东、基金销售机构</w:t>
            </w:r>
          </w:p>
        </w:tc>
      </w:tr>
      <w:tr w:rsidR="00F31622">
        <w:tc>
          <w:tcPr>
            <w:tcW w:w="5220" w:type="dxa"/>
            <w:vAlign w:val="center"/>
          </w:tcPr>
          <w:p w:rsidR="00F31622" w:rsidRDefault="00346E0A">
            <w:pPr>
              <w:jc w:val="left"/>
            </w:pPr>
            <w:r>
              <w:rPr>
                <w:color w:val="000000"/>
                <w:sz w:val="24"/>
              </w:rPr>
              <w:t>施罗德投资管理有限公司</w:t>
            </w:r>
          </w:p>
        </w:tc>
        <w:tc>
          <w:tcPr>
            <w:tcW w:w="3780" w:type="dxa"/>
            <w:vAlign w:val="center"/>
          </w:tcPr>
          <w:p w:rsidR="00F31622" w:rsidRDefault="00346E0A">
            <w:pPr>
              <w:jc w:val="center"/>
            </w:pPr>
            <w:r>
              <w:rPr>
                <w:color w:val="000000"/>
                <w:sz w:val="24"/>
              </w:rPr>
              <w:t>基金管理人的股东</w:t>
            </w:r>
          </w:p>
        </w:tc>
      </w:tr>
      <w:tr w:rsidR="00F31622">
        <w:tc>
          <w:tcPr>
            <w:tcW w:w="5220" w:type="dxa"/>
            <w:vAlign w:val="center"/>
          </w:tcPr>
          <w:p w:rsidR="00F31622" w:rsidRDefault="00346E0A">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F31622" w:rsidRDefault="00346E0A">
            <w:pPr>
              <w:jc w:val="center"/>
            </w:pPr>
            <w:r>
              <w:rPr>
                <w:color w:val="000000"/>
                <w:sz w:val="24"/>
              </w:rPr>
              <w:t>基金管理人的股东</w:t>
            </w:r>
          </w:p>
        </w:tc>
      </w:tr>
      <w:tr w:rsidR="00F31622">
        <w:tc>
          <w:tcPr>
            <w:tcW w:w="5220" w:type="dxa"/>
            <w:vAlign w:val="center"/>
          </w:tcPr>
          <w:p w:rsidR="00F31622" w:rsidRDefault="00346E0A">
            <w:pPr>
              <w:jc w:val="left"/>
            </w:pPr>
            <w:r>
              <w:rPr>
                <w:color w:val="000000"/>
                <w:sz w:val="24"/>
              </w:rPr>
              <w:t>交银施罗德资产管理有限公司</w:t>
            </w:r>
          </w:p>
        </w:tc>
        <w:tc>
          <w:tcPr>
            <w:tcW w:w="3780" w:type="dxa"/>
            <w:vAlign w:val="center"/>
          </w:tcPr>
          <w:p w:rsidR="00F31622" w:rsidRDefault="00346E0A">
            <w:pPr>
              <w:jc w:val="center"/>
            </w:pPr>
            <w:r>
              <w:rPr>
                <w:color w:val="000000"/>
                <w:sz w:val="24"/>
              </w:rPr>
              <w:t>基金管理人的子公司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2,687,986.59</w:t>
            </w:r>
          </w:p>
        </w:tc>
        <w:tc>
          <w:tcPr>
            <w:tcW w:w="2657" w:type="dxa"/>
            <w:vAlign w:val="center"/>
          </w:tcPr>
          <w:p w:rsidR="001A59F9" w:rsidRPr="00924183" w:rsidRDefault="001A59F9" w:rsidP="00924183">
            <w:pPr>
              <w:spacing w:before="29" w:line="288" w:lineRule="auto"/>
              <w:jc w:val="right"/>
              <w:rPr>
                <w:sz w:val="24"/>
              </w:rPr>
            </w:pPr>
            <w:r w:rsidRPr="00924183">
              <w:rPr>
                <w:sz w:val="24"/>
              </w:rPr>
              <w:t>12,111,797.68</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456,134.74</w:t>
            </w:r>
          </w:p>
        </w:tc>
        <w:tc>
          <w:tcPr>
            <w:tcW w:w="2657" w:type="dxa"/>
            <w:vAlign w:val="center"/>
          </w:tcPr>
          <w:p w:rsidR="001A59F9" w:rsidRPr="00924183" w:rsidRDefault="001A59F9" w:rsidP="00924183">
            <w:pPr>
              <w:spacing w:before="29" w:line="288" w:lineRule="auto"/>
              <w:jc w:val="right"/>
              <w:rPr>
                <w:sz w:val="24"/>
              </w:rPr>
            </w:pPr>
            <w:r w:rsidRPr="00924183">
              <w:rPr>
                <w:sz w:val="24"/>
              </w:rPr>
              <w:t>1,282,467.99</w:t>
            </w:r>
          </w:p>
        </w:tc>
      </w:tr>
    </w:tbl>
    <w:p w:rsidR="00F31622" w:rsidRDefault="00346E0A">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0.6%</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×0.6%÷</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895,995.63</w:t>
            </w:r>
          </w:p>
        </w:tc>
        <w:tc>
          <w:tcPr>
            <w:tcW w:w="2657" w:type="dxa"/>
            <w:vAlign w:val="center"/>
          </w:tcPr>
          <w:p w:rsidR="001A59F9" w:rsidRPr="00243BD8" w:rsidRDefault="001A59F9" w:rsidP="00243BD8">
            <w:pPr>
              <w:spacing w:before="29" w:line="288" w:lineRule="auto"/>
              <w:jc w:val="right"/>
              <w:rPr>
                <w:sz w:val="24"/>
              </w:rPr>
            </w:pPr>
            <w:r w:rsidRPr="00243BD8">
              <w:rPr>
                <w:sz w:val="24"/>
              </w:rPr>
              <w:t>4,037,265.94</w:t>
            </w:r>
          </w:p>
        </w:tc>
      </w:tr>
    </w:tbl>
    <w:p w:rsidR="00F31622" w:rsidRDefault="00346E0A">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×0.2%÷</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5F72CF" w:rsidRDefault="003828F5"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22"/>
        <w:gridCol w:w="1818"/>
        <w:gridCol w:w="1260"/>
        <w:gridCol w:w="1260"/>
        <w:gridCol w:w="1080"/>
        <w:gridCol w:w="1512"/>
        <w:gridCol w:w="1083"/>
      </w:tblGrid>
      <w:tr w:rsidR="003828F5" w:rsidRPr="00D564C7" w:rsidTr="005531B6">
        <w:tc>
          <w:tcPr>
            <w:tcW w:w="9435" w:type="dxa"/>
            <w:gridSpan w:val="7"/>
            <w:vAlign w:val="center"/>
          </w:tcPr>
          <w:p w:rsidR="003828F5" w:rsidRPr="002C6C89" w:rsidRDefault="003828F5"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3828F5" w:rsidRPr="00D564C7" w:rsidRDefault="003828F5" w:rsidP="002C6C89">
            <w:pPr>
              <w:autoSpaceDE w:val="0"/>
              <w:autoSpaceDN w:val="0"/>
              <w:spacing w:before="29" w:line="288" w:lineRule="auto"/>
              <w:jc w:val="center"/>
              <w:textAlignment w:val="bottom"/>
              <w:rPr>
                <w:rFonts w:asciiTheme="minorEastAsia" w:eastAsiaTheme="minorEastAsia" w:hAnsiTheme="minorEastAsia"/>
                <w:bCs/>
                <w:color w:val="000000"/>
                <w:szCs w:val="21"/>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3828F5" w:rsidRPr="00D564C7" w:rsidTr="005531B6">
        <w:tc>
          <w:tcPr>
            <w:tcW w:w="1422" w:type="dxa"/>
            <w:vMerge w:val="restart"/>
            <w:vAlign w:val="center"/>
          </w:tcPr>
          <w:p w:rsidR="003828F5" w:rsidRPr="002C6C89" w:rsidRDefault="003828F5"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银行间市场交易的各关联方名称</w:t>
            </w:r>
          </w:p>
        </w:tc>
        <w:tc>
          <w:tcPr>
            <w:tcW w:w="3078" w:type="dxa"/>
            <w:gridSpan w:val="2"/>
            <w:vAlign w:val="center"/>
          </w:tcPr>
          <w:p w:rsidR="003828F5" w:rsidRPr="002C6C89" w:rsidRDefault="003828F5" w:rsidP="002C6C89">
            <w:pPr>
              <w:autoSpaceDE w:val="0"/>
              <w:autoSpaceDN w:val="0"/>
              <w:spacing w:before="29" w:line="288" w:lineRule="auto"/>
              <w:jc w:val="center"/>
              <w:textAlignment w:val="bottom"/>
              <w:rPr>
                <w:bCs/>
                <w:color w:val="000000"/>
                <w:sz w:val="24"/>
              </w:rPr>
            </w:pPr>
            <w:r w:rsidRPr="002C6C89">
              <w:rPr>
                <w:rFonts w:hint="eastAsia"/>
                <w:bCs/>
                <w:color w:val="000000"/>
                <w:sz w:val="24"/>
              </w:rPr>
              <w:t>债券交易金额</w:t>
            </w:r>
          </w:p>
        </w:tc>
        <w:tc>
          <w:tcPr>
            <w:tcW w:w="2340" w:type="dxa"/>
            <w:gridSpan w:val="2"/>
            <w:vAlign w:val="center"/>
          </w:tcPr>
          <w:p w:rsidR="003828F5" w:rsidRPr="002C6C89" w:rsidRDefault="003828F5" w:rsidP="002C6C89">
            <w:pPr>
              <w:autoSpaceDE w:val="0"/>
              <w:autoSpaceDN w:val="0"/>
              <w:spacing w:before="29" w:line="288" w:lineRule="auto"/>
              <w:jc w:val="center"/>
              <w:textAlignment w:val="bottom"/>
              <w:rPr>
                <w:bCs/>
                <w:color w:val="000000"/>
                <w:sz w:val="24"/>
              </w:rPr>
            </w:pPr>
            <w:r w:rsidRPr="002C6C89">
              <w:rPr>
                <w:rFonts w:hint="eastAsia"/>
                <w:bCs/>
                <w:color w:val="000000"/>
                <w:sz w:val="24"/>
              </w:rPr>
              <w:t>基金逆回购</w:t>
            </w:r>
          </w:p>
        </w:tc>
        <w:tc>
          <w:tcPr>
            <w:tcW w:w="2595" w:type="dxa"/>
            <w:gridSpan w:val="2"/>
            <w:vAlign w:val="center"/>
          </w:tcPr>
          <w:p w:rsidR="003828F5" w:rsidRPr="002C6C89" w:rsidRDefault="003828F5" w:rsidP="002C6C89">
            <w:pPr>
              <w:autoSpaceDE w:val="0"/>
              <w:autoSpaceDN w:val="0"/>
              <w:spacing w:before="29" w:line="288" w:lineRule="auto"/>
              <w:jc w:val="center"/>
              <w:textAlignment w:val="bottom"/>
              <w:rPr>
                <w:bCs/>
                <w:color w:val="000000"/>
                <w:sz w:val="24"/>
              </w:rPr>
            </w:pPr>
            <w:r w:rsidRPr="002C6C89">
              <w:rPr>
                <w:rFonts w:hint="eastAsia"/>
                <w:bCs/>
                <w:color w:val="000000"/>
                <w:sz w:val="24"/>
              </w:rPr>
              <w:t>基金正回购</w:t>
            </w:r>
          </w:p>
        </w:tc>
      </w:tr>
      <w:tr w:rsidR="003828F5" w:rsidRPr="00D564C7" w:rsidTr="005531B6">
        <w:tc>
          <w:tcPr>
            <w:tcW w:w="1422" w:type="dxa"/>
            <w:vMerge/>
            <w:vAlign w:val="center"/>
          </w:tcPr>
          <w:p w:rsidR="003828F5" w:rsidRPr="002C6C89" w:rsidRDefault="003828F5" w:rsidP="002C6C89">
            <w:pPr>
              <w:autoSpaceDE w:val="0"/>
              <w:autoSpaceDN w:val="0"/>
              <w:spacing w:before="29" w:line="288" w:lineRule="auto"/>
              <w:jc w:val="center"/>
              <w:textAlignment w:val="bottom"/>
              <w:rPr>
                <w:bCs/>
                <w:color w:val="000000"/>
                <w:sz w:val="24"/>
              </w:rPr>
            </w:pPr>
          </w:p>
        </w:tc>
        <w:tc>
          <w:tcPr>
            <w:tcW w:w="1818" w:type="dxa"/>
            <w:vAlign w:val="center"/>
          </w:tcPr>
          <w:p w:rsidR="003828F5" w:rsidRPr="002C6C89" w:rsidRDefault="003828F5" w:rsidP="002C6C89">
            <w:pPr>
              <w:autoSpaceDE w:val="0"/>
              <w:autoSpaceDN w:val="0"/>
              <w:spacing w:before="29" w:line="288" w:lineRule="auto"/>
              <w:jc w:val="center"/>
              <w:textAlignment w:val="bottom"/>
              <w:rPr>
                <w:bCs/>
                <w:color w:val="000000"/>
                <w:sz w:val="24"/>
              </w:rPr>
            </w:pPr>
            <w:r w:rsidRPr="002C6C89">
              <w:rPr>
                <w:rFonts w:hint="eastAsia"/>
                <w:bCs/>
                <w:color w:val="000000"/>
                <w:sz w:val="24"/>
              </w:rPr>
              <w:t>基金买入</w:t>
            </w:r>
          </w:p>
        </w:tc>
        <w:tc>
          <w:tcPr>
            <w:tcW w:w="1260" w:type="dxa"/>
            <w:vAlign w:val="center"/>
          </w:tcPr>
          <w:p w:rsidR="003828F5" w:rsidRPr="002C6C89" w:rsidRDefault="003828F5" w:rsidP="002C6C89">
            <w:pPr>
              <w:autoSpaceDE w:val="0"/>
              <w:autoSpaceDN w:val="0"/>
              <w:spacing w:before="29" w:line="288" w:lineRule="auto"/>
              <w:jc w:val="center"/>
              <w:textAlignment w:val="bottom"/>
              <w:rPr>
                <w:bCs/>
                <w:color w:val="000000"/>
                <w:sz w:val="24"/>
              </w:rPr>
            </w:pPr>
            <w:r w:rsidRPr="002C6C89">
              <w:rPr>
                <w:rFonts w:hint="eastAsia"/>
                <w:bCs/>
                <w:color w:val="000000"/>
                <w:sz w:val="24"/>
              </w:rPr>
              <w:t>基金卖出</w:t>
            </w:r>
          </w:p>
        </w:tc>
        <w:tc>
          <w:tcPr>
            <w:tcW w:w="1260" w:type="dxa"/>
            <w:vAlign w:val="center"/>
          </w:tcPr>
          <w:p w:rsidR="003828F5" w:rsidRPr="002C6C89" w:rsidRDefault="003828F5"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交易金额</w:t>
            </w:r>
          </w:p>
        </w:tc>
        <w:tc>
          <w:tcPr>
            <w:tcW w:w="1080" w:type="dxa"/>
            <w:vAlign w:val="center"/>
          </w:tcPr>
          <w:p w:rsidR="003828F5" w:rsidRPr="002C6C89" w:rsidRDefault="003828F5" w:rsidP="002C6C89">
            <w:pPr>
              <w:autoSpaceDE w:val="0"/>
              <w:autoSpaceDN w:val="0"/>
              <w:spacing w:before="29" w:line="288" w:lineRule="auto"/>
              <w:jc w:val="center"/>
              <w:textAlignment w:val="bottom"/>
              <w:rPr>
                <w:bCs/>
                <w:color w:val="000000"/>
                <w:sz w:val="24"/>
              </w:rPr>
            </w:pPr>
            <w:r w:rsidRPr="002C6C89">
              <w:rPr>
                <w:rFonts w:hint="eastAsia"/>
                <w:bCs/>
                <w:color w:val="000000"/>
                <w:sz w:val="24"/>
              </w:rPr>
              <w:t>利息收入</w:t>
            </w:r>
          </w:p>
        </w:tc>
        <w:tc>
          <w:tcPr>
            <w:tcW w:w="1512" w:type="dxa"/>
            <w:vAlign w:val="center"/>
          </w:tcPr>
          <w:p w:rsidR="003828F5" w:rsidRPr="002C6C89" w:rsidRDefault="003828F5"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交易金额</w:t>
            </w:r>
          </w:p>
        </w:tc>
        <w:tc>
          <w:tcPr>
            <w:tcW w:w="1083" w:type="dxa"/>
            <w:vAlign w:val="center"/>
          </w:tcPr>
          <w:p w:rsidR="003828F5" w:rsidRPr="002C6C89" w:rsidRDefault="003828F5" w:rsidP="002C6C89">
            <w:pPr>
              <w:autoSpaceDE w:val="0"/>
              <w:autoSpaceDN w:val="0"/>
              <w:spacing w:before="29" w:line="288" w:lineRule="auto"/>
              <w:jc w:val="center"/>
              <w:textAlignment w:val="bottom"/>
              <w:rPr>
                <w:bCs/>
                <w:color w:val="000000"/>
                <w:sz w:val="24"/>
              </w:rPr>
            </w:pPr>
            <w:r w:rsidRPr="002C6C89">
              <w:rPr>
                <w:rFonts w:hint="eastAsia"/>
                <w:bCs/>
                <w:color w:val="000000"/>
                <w:sz w:val="24"/>
              </w:rPr>
              <w:t>利息支出</w:t>
            </w:r>
          </w:p>
        </w:tc>
      </w:tr>
      <w:tr w:rsidR="00F31622">
        <w:tc>
          <w:tcPr>
            <w:tcW w:w="1422" w:type="dxa"/>
            <w:vAlign w:val="center"/>
          </w:tcPr>
          <w:p w:rsidR="00F31622" w:rsidRDefault="00346E0A">
            <w:pPr>
              <w:jc w:val="center"/>
            </w:pPr>
            <w:r>
              <w:rPr>
                <w:bCs/>
                <w:color w:val="000000"/>
                <w:sz w:val="24"/>
              </w:rPr>
              <w:t>-</w:t>
            </w:r>
          </w:p>
        </w:tc>
        <w:tc>
          <w:tcPr>
            <w:tcW w:w="1818" w:type="dxa"/>
            <w:vAlign w:val="center"/>
          </w:tcPr>
          <w:p w:rsidR="00F31622" w:rsidRDefault="00346E0A">
            <w:pPr>
              <w:jc w:val="center"/>
            </w:pPr>
            <w:r>
              <w:rPr>
                <w:bCs/>
                <w:color w:val="000000"/>
                <w:sz w:val="24"/>
              </w:rPr>
              <w:t>-</w:t>
            </w:r>
          </w:p>
        </w:tc>
        <w:tc>
          <w:tcPr>
            <w:tcW w:w="1260" w:type="dxa"/>
            <w:vAlign w:val="center"/>
          </w:tcPr>
          <w:p w:rsidR="00F31622" w:rsidRDefault="00346E0A">
            <w:pPr>
              <w:jc w:val="center"/>
            </w:pPr>
            <w:r>
              <w:rPr>
                <w:bCs/>
                <w:color w:val="000000"/>
                <w:sz w:val="24"/>
              </w:rPr>
              <w:t>-</w:t>
            </w:r>
          </w:p>
        </w:tc>
        <w:tc>
          <w:tcPr>
            <w:tcW w:w="1260" w:type="dxa"/>
            <w:vAlign w:val="center"/>
          </w:tcPr>
          <w:p w:rsidR="00F31622" w:rsidRDefault="00346E0A">
            <w:pPr>
              <w:jc w:val="center"/>
            </w:pPr>
            <w:r>
              <w:rPr>
                <w:bCs/>
                <w:color w:val="000000"/>
                <w:sz w:val="24"/>
              </w:rPr>
              <w:t>-</w:t>
            </w:r>
          </w:p>
        </w:tc>
        <w:tc>
          <w:tcPr>
            <w:tcW w:w="1080" w:type="dxa"/>
            <w:vAlign w:val="center"/>
          </w:tcPr>
          <w:p w:rsidR="00F31622" w:rsidRDefault="00346E0A">
            <w:pPr>
              <w:jc w:val="center"/>
            </w:pPr>
            <w:r>
              <w:rPr>
                <w:bCs/>
                <w:color w:val="000000"/>
                <w:sz w:val="24"/>
              </w:rPr>
              <w:t>-</w:t>
            </w:r>
          </w:p>
        </w:tc>
        <w:tc>
          <w:tcPr>
            <w:tcW w:w="1512" w:type="dxa"/>
            <w:vAlign w:val="center"/>
          </w:tcPr>
          <w:p w:rsidR="00F31622" w:rsidRDefault="00346E0A">
            <w:pPr>
              <w:jc w:val="center"/>
            </w:pPr>
            <w:r>
              <w:rPr>
                <w:bCs/>
                <w:color w:val="000000"/>
                <w:sz w:val="24"/>
              </w:rPr>
              <w:t>-</w:t>
            </w:r>
          </w:p>
        </w:tc>
        <w:tc>
          <w:tcPr>
            <w:tcW w:w="1083" w:type="dxa"/>
            <w:vAlign w:val="center"/>
          </w:tcPr>
          <w:p w:rsidR="00F31622" w:rsidRDefault="00346E0A">
            <w:pPr>
              <w:jc w:val="center"/>
            </w:pPr>
            <w:r>
              <w:rPr>
                <w:bCs/>
                <w:color w:val="000000"/>
                <w:sz w:val="24"/>
              </w:rPr>
              <w:t>-</w:t>
            </w:r>
          </w:p>
        </w:tc>
      </w:tr>
      <w:tr w:rsidR="003828F5" w:rsidRPr="00D564C7" w:rsidTr="005531B6">
        <w:tc>
          <w:tcPr>
            <w:tcW w:w="9435" w:type="dxa"/>
            <w:gridSpan w:val="7"/>
            <w:vAlign w:val="center"/>
          </w:tcPr>
          <w:p w:rsidR="003828F5" w:rsidRPr="002C6C89" w:rsidRDefault="003828F5"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3828F5" w:rsidRPr="002C6C89" w:rsidRDefault="003828F5"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3828F5" w:rsidRPr="00D564C7" w:rsidTr="005531B6">
        <w:tc>
          <w:tcPr>
            <w:tcW w:w="1422" w:type="dxa"/>
            <w:vMerge w:val="restart"/>
            <w:vAlign w:val="center"/>
          </w:tcPr>
          <w:p w:rsidR="003828F5" w:rsidRPr="002C6C89" w:rsidRDefault="003828F5"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银行间市场交易的各关联方名称</w:t>
            </w:r>
          </w:p>
        </w:tc>
        <w:tc>
          <w:tcPr>
            <w:tcW w:w="3078" w:type="dxa"/>
            <w:gridSpan w:val="2"/>
            <w:vAlign w:val="center"/>
          </w:tcPr>
          <w:p w:rsidR="003828F5" w:rsidRPr="002C6C89" w:rsidRDefault="003828F5" w:rsidP="002C6C89">
            <w:pPr>
              <w:autoSpaceDE w:val="0"/>
              <w:autoSpaceDN w:val="0"/>
              <w:spacing w:before="29" w:line="288" w:lineRule="auto"/>
              <w:jc w:val="center"/>
              <w:textAlignment w:val="bottom"/>
              <w:rPr>
                <w:bCs/>
                <w:color w:val="000000"/>
                <w:sz w:val="24"/>
              </w:rPr>
            </w:pPr>
            <w:r w:rsidRPr="002C6C89">
              <w:rPr>
                <w:rFonts w:hint="eastAsia"/>
                <w:bCs/>
                <w:color w:val="000000"/>
                <w:sz w:val="24"/>
              </w:rPr>
              <w:t>债券交易金额</w:t>
            </w:r>
          </w:p>
        </w:tc>
        <w:tc>
          <w:tcPr>
            <w:tcW w:w="2340" w:type="dxa"/>
            <w:gridSpan w:val="2"/>
            <w:vAlign w:val="center"/>
          </w:tcPr>
          <w:p w:rsidR="003828F5" w:rsidRPr="002C6C89" w:rsidRDefault="003828F5" w:rsidP="002C6C89">
            <w:pPr>
              <w:autoSpaceDE w:val="0"/>
              <w:autoSpaceDN w:val="0"/>
              <w:spacing w:before="29" w:line="288" w:lineRule="auto"/>
              <w:jc w:val="center"/>
              <w:textAlignment w:val="bottom"/>
              <w:rPr>
                <w:bCs/>
                <w:color w:val="000000"/>
                <w:sz w:val="24"/>
              </w:rPr>
            </w:pPr>
            <w:r w:rsidRPr="002C6C89">
              <w:rPr>
                <w:rFonts w:hint="eastAsia"/>
                <w:bCs/>
                <w:color w:val="000000"/>
                <w:sz w:val="24"/>
              </w:rPr>
              <w:t>基金逆回购</w:t>
            </w:r>
          </w:p>
        </w:tc>
        <w:tc>
          <w:tcPr>
            <w:tcW w:w="2595" w:type="dxa"/>
            <w:gridSpan w:val="2"/>
            <w:vAlign w:val="center"/>
          </w:tcPr>
          <w:p w:rsidR="003828F5" w:rsidRPr="002C6C89" w:rsidRDefault="003828F5" w:rsidP="002C6C89">
            <w:pPr>
              <w:autoSpaceDE w:val="0"/>
              <w:autoSpaceDN w:val="0"/>
              <w:spacing w:before="29" w:line="288" w:lineRule="auto"/>
              <w:jc w:val="center"/>
              <w:textAlignment w:val="bottom"/>
              <w:rPr>
                <w:bCs/>
                <w:color w:val="000000"/>
                <w:sz w:val="24"/>
              </w:rPr>
            </w:pPr>
            <w:r w:rsidRPr="002C6C89">
              <w:rPr>
                <w:rFonts w:hint="eastAsia"/>
                <w:bCs/>
                <w:color w:val="000000"/>
                <w:sz w:val="24"/>
              </w:rPr>
              <w:t>基金正回购</w:t>
            </w:r>
          </w:p>
        </w:tc>
      </w:tr>
      <w:tr w:rsidR="003828F5" w:rsidRPr="00D564C7" w:rsidTr="005531B6">
        <w:tc>
          <w:tcPr>
            <w:tcW w:w="1422" w:type="dxa"/>
            <w:vMerge/>
            <w:vAlign w:val="center"/>
          </w:tcPr>
          <w:p w:rsidR="003828F5" w:rsidRPr="002C6C89" w:rsidRDefault="003828F5" w:rsidP="002C6C89">
            <w:pPr>
              <w:autoSpaceDE w:val="0"/>
              <w:autoSpaceDN w:val="0"/>
              <w:spacing w:before="29" w:line="288" w:lineRule="auto"/>
              <w:jc w:val="center"/>
              <w:textAlignment w:val="bottom"/>
              <w:rPr>
                <w:bCs/>
                <w:color w:val="000000"/>
                <w:sz w:val="24"/>
              </w:rPr>
            </w:pPr>
          </w:p>
        </w:tc>
        <w:tc>
          <w:tcPr>
            <w:tcW w:w="1818" w:type="dxa"/>
            <w:vAlign w:val="center"/>
          </w:tcPr>
          <w:p w:rsidR="003828F5" w:rsidRPr="002C6C89" w:rsidRDefault="003828F5" w:rsidP="002C6C89">
            <w:pPr>
              <w:autoSpaceDE w:val="0"/>
              <w:autoSpaceDN w:val="0"/>
              <w:spacing w:before="29" w:line="288" w:lineRule="auto"/>
              <w:jc w:val="center"/>
              <w:textAlignment w:val="bottom"/>
              <w:rPr>
                <w:bCs/>
                <w:color w:val="000000"/>
                <w:sz w:val="24"/>
              </w:rPr>
            </w:pPr>
            <w:r w:rsidRPr="002C6C89">
              <w:rPr>
                <w:rFonts w:hint="eastAsia"/>
                <w:bCs/>
                <w:color w:val="000000"/>
                <w:sz w:val="24"/>
              </w:rPr>
              <w:t>基金买入</w:t>
            </w:r>
          </w:p>
        </w:tc>
        <w:tc>
          <w:tcPr>
            <w:tcW w:w="1260" w:type="dxa"/>
            <w:vAlign w:val="center"/>
          </w:tcPr>
          <w:p w:rsidR="003828F5" w:rsidRPr="002C6C89" w:rsidRDefault="003828F5" w:rsidP="002C6C89">
            <w:pPr>
              <w:autoSpaceDE w:val="0"/>
              <w:autoSpaceDN w:val="0"/>
              <w:spacing w:before="29" w:line="288" w:lineRule="auto"/>
              <w:jc w:val="center"/>
              <w:textAlignment w:val="bottom"/>
              <w:rPr>
                <w:bCs/>
                <w:color w:val="000000"/>
                <w:sz w:val="24"/>
              </w:rPr>
            </w:pPr>
            <w:r w:rsidRPr="002C6C89">
              <w:rPr>
                <w:rFonts w:hint="eastAsia"/>
                <w:bCs/>
                <w:color w:val="000000"/>
                <w:sz w:val="24"/>
              </w:rPr>
              <w:t>基金卖出</w:t>
            </w:r>
          </w:p>
        </w:tc>
        <w:tc>
          <w:tcPr>
            <w:tcW w:w="1260" w:type="dxa"/>
            <w:vAlign w:val="center"/>
          </w:tcPr>
          <w:p w:rsidR="003828F5" w:rsidRPr="002C6C89" w:rsidRDefault="003828F5"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交易金额</w:t>
            </w:r>
          </w:p>
        </w:tc>
        <w:tc>
          <w:tcPr>
            <w:tcW w:w="1080" w:type="dxa"/>
            <w:vAlign w:val="center"/>
          </w:tcPr>
          <w:p w:rsidR="003828F5" w:rsidRPr="002C6C89" w:rsidRDefault="003828F5" w:rsidP="002C6C89">
            <w:pPr>
              <w:autoSpaceDE w:val="0"/>
              <w:autoSpaceDN w:val="0"/>
              <w:spacing w:before="29" w:line="288" w:lineRule="auto"/>
              <w:jc w:val="center"/>
              <w:textAlignment w:val="bottom"/>
              <w:rPr>
                <w:bCs/>
                <w:color w:val="000000"/>
                <w:sz w:val="24"/>
              </w:rPr>
            </w:pPr>
            <w:r w:rsidRPr="002C6C89">
              <w:rPr>
                <w:rFonts w:hint="eastAsia"/>
                <w:bCs/>
                <w:color w:val="000000"/>
                <w:sz w:val="24"/>
              </w:rPr>
              <w:t>利息收入</w:t>
            </w:r>
          </w:p>
        </w:tc>
        <w:tc>
          <w:tcPr>
            <w:tcW w:w="1512" w:type="dxa"/>
            <w:vAlign w:val="center"/>
          </w:tcPr>
          <w:p w:rsidR="003828F5" w:rsidRPr="002C6C89" w:rsidRDefault="003828F5"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交易金额</w:t>
            </w:r>
          </w:p>
        </w:tc>
        <w:tc>
          <w:tcPr>
            <w:tcW w:w="1083" w:type="dxa"/>
            <w:vAlign w:val="center"/>
          </w:tcPr>
          <w:p w:rsidR="003828F5" w:rsidRPr="002C6C89" w:rsidRDefault="003828F5" w:rsidP="002C6C89">
            <w:pPr>
              <w:autoSpaceDE w:val="0"/>
              <w:autoSpaceDN w:val="0"/>
              <w:spacing w:before="29" w:line="288" w:lineRule="auto"/>
              <w:jc w:val="center"/>
              <w:textAlignment w:val="bottom"/>
              <w:rPr>
                <w:bCs/>
                <w:color w:val="000000"/>
                <w:sz w:val="24"/>
              </w:rPr>
            </w:pPr>
            <w:r w:rsidRPr="002C6C89">
              <w:rPr>
                <w:rFonts w:hint="eastAsia"/>
                <w:bCs/>
                <w:color w:val="000000"/>
                <w:sz w:val="24"/>
              </w:rPr>
              <w:t>利息支出</w:t>
            </w:r>
          </w:p>
        </w:tc>
      </w:tr>
      <w:tr w:rsidR="00F31622">
        <w:tc>
          <w:tcPr>
            <w:tcW w:w="1422" w:type="dxa"/>
            <w:vAlign w:val="center"/>
          </w:tcPr>
          <w:p w:rsidR="00F31622" w:rsidRDefault="00346E0A">
            <w:pPr>
              <w:jc w:val="left"/>
            </w:pPr>
            <w:r>
              <w:rPr>
                <w:bCs/>
                <w:color w:val="000000"/>
                <w:sz w:val="24"/>
              </w:rPr>
              <w:t>中国农业银行</w:t>
            </w:r>
          </w:p>
        </w:tc>
        <w:tc>
          <w:tcPr>
            <w:tcW w:w="1818" w:type="dxa"/>
            <w:vAlign w:val="center"/>
          </w:tcPr>
          <w:p w:rsidR="00F31622" w:rsidRDefault="00346E0A">
            <w:pPr>
              <w:jc w:val="right"/>
            </w:pPr>
            <w:r>
              <w:rPr>
                <w:bCs/>
                <w:color w:val="000000"/>
                <w:sz w:val="24"/>
              </w:rPr>
              <w:t>9,944,877.53</w:t>
            </w:r>
          </w:p>
        </w:tc>
        <w:tc>
          <w:tcPr>
            <w:tcW w:w="1260" w:type="dxa"/>
            <w:vAlign w:val="center"/>
          </w:tcPr>
          <w:p w:rsidR="00F31622" w:rsidRDefault="00346E0A">
            <w:pPr>
              <w:jc w:val="right"/>
            </w:pPr>
            <w:r>
              <w:rPr>
                <w:bCs/>
                <w:color w:val="000000"/>
                <w:sz w:val="24"/>
              </w:rPr>
              <w:t>-</w:t>
            </w:r>
          </w:p>
        </w:tc>
        <w:tc>
          <w:tcPr>
            <w:tcW w:w="1260" w:type="dxa"/>
            <w:vAlign w:val="center"/>
          </w:tcPr>
          <w:p w:rsidR="00F31622" w:rsidRDefault="00346E0A">
            <w:pPr>
              <w:jc w:val="right"/>
            </w:pPr>
            <w:r>
              <w:rPr>
                <w:bCs/>
                <w:color w:val="000000"/>
                <w:sz w:val="24"/>
              </w:rPr>
              <w:t>-</w:t>
            </w:r>
          </w:p>
        </w:tc>
        <w:tc>
          <w:tcPr>
            <w:tcW w:w="1080" w:type="dxa"/>
            <w:vAlign w:val="center"/>
          </w:tcPr>
          <w:p w:rsidR="00F31622" w:rsidRDefault="00346E0A">
            <w:pPr>
              <w:jc w:val="right"/>
            </w:pPr>
            <w:r>
              <w:rPr>
                <w:bCs/>
                <w:color w:val="000000"/>
                <w:sz w:val="24"/>
              </w:rPr>
              <w:t>-</w:t>
            </w:r>
          </w:p>
        </w:tc>
        <w:tc>
          <w:tcPr>
            <w:tcW w:w="1512" w:type="dxa"/>
            <w:vAlign w:val="center"/>
          </w:tcPr>
          <w:p w:rsidR="00F31622" w:rsidRDefault="00346E0A">
            <w:pPr>
              <w:jc w:val="right"/>
            </w:pPr>
            <w:r>
              <w:rPr>
                <w:bCs/>
                <w:color w:val="000000"/>
                <w:sz w:val="24"/>
              </w:rPr>
              <w:t>-</w:t>
            </w:r>
          </w:p>
        </w:tc>
        <w:tc>
          <w:tcPr>
            <w:tcW w:w="1083" w:type="dxa"/>
            <w:vAlign w:val="center"/>
          </w:tcPr>
          <w:p w:rsidR="00F31622" w:rsidRDefault="00346E0A">
            <w:pPr>
              <w:jc w:val="right"/>
            </w:pPr>
            <w:r>
              <w:rPr>
                <w:bCs/>
                <w:color w:val="000000"/>
                <w:sz w:val="24"/>
              </w:rPr>
              <w:t>-</w:t>
            </w:r>
          </w:p>
        </w:tc>
      </w:tr>
    </w:tbl>
    <w:p w:rsidR="003E1E98" w:rsidRDefault="003E1E98" w:rsidP="005F72CF">
      <w:pPr>
        <w:autoSpaceDE w:val="0"/>
        <w:autoSpaceDN w:val="0"/>
        <w:adjustRightInd w:val="0"/>
        <w:spacing w:before="29" w:line="288" w:lineRule="auto"/>
        <w:ind w:left="15"/>
        <w:jc w:val="right"/>
        <w:rPr>
          <w:color w:val="000000"/>
          <w:sz w:val="24"/>
        </w:rPr>
      </w:pP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本基金本报告期内及上年度可比期间未发生基金管理人运用固有资金投资本基金的情况。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2C6161" w:rsidRPr="00BF4BF3" w:rsidRDefault="002C6161" w:rsidP="00BF4BF3">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2013</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2013</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F31622">
        <w:tc>
          <w:tcPr>
            <w:tcW w:w="1701" w:type="dxa"/>
            <w:vAlign w:val="center"/>
          </w:tcPr>
          <w:p w:rsidR="00F31622" w:rsidRDefault="00346E0A">
            <w:pPr>
              <w:jc w:val="left"/>
            </w:pPr>
            <w:r>
              <w:rPr>
                <w:color w:val="000000"/>
                <w:szCs w:val="21"/>
              </w:rPr>
              <w:t>中国农业银行</w:t>
            </w:r>
          </w:p>
        </w:tc>
        <w:tc>
          <w:tcPr>
            <w:tcW w:w="1985" w:type="dxa"/>
            <w:vAlign w:val="center"/>
          </w:tcPr>
          <w:p w:rsidR="00F31622" w:rsidRDefault="00346E0A">
            <w:pPr>
              <w:jc w:val="right"/>
            </w:pPr>
            <w:r>
              <w:rPr>
                <w:color w:val="000000"/>
                <w:szCs w:val="21"/>
              </w:rPr>
              <w:t>372,072.25</w:t>
            </w:r>
          </w:p>
        </w:tc>
        <w:tc>
          <w:tcPr>
            <w:tcW w:w="1701" w:type="dxa"/>
            <w:vAlign w:val="center"/>
          </w:tcPr>
          <w:p w:rsidR="00F31622" w:rsidRDefault="00346E0A">
            <w:pPr>
              <w:jc w:val="right"/>
            </w:pPr>
            <w:r>
              <w:rPr>
                <w:color w:val="000000"/>
                <w:szCs w:val="21"/>
              </w:rPr>
              <w:t>153,394.63</w:t>
            </w:r>
          </w:p>
        </w:tc>
        <w:tc>
          <w:tcPr>
            <w:tcW w:w="1843" w:type="dxa"/>
            <w:vAlign w:val="center"/>
          </w:tcPr>
          <w:p w:rsidR="00F31622" w:rsidRDefault="00346E0A">
            <w:pPr>
              <w:jc w:val="right"/>
            </w:pPr>
            <w:r>
              <w:rPr>
                <w:color w:val="000000"/>
                <w:szCs w:val="21"/>
              </w:rPr>
              <w:t>50,055,506.42</w:t>
            </w:r>
          </w:p>
        </w:tc>
        <w:tc>
          <w:tcPr>
            <w:tcW w:w="1768" w:type="dxa"/>
            <w:vAlign w:val="center"/>
          </w:tcPr>
          <w:p w:rsidR="00F31622" w:rsidRDefault="00346E0A">
            <w:pPr>
              <w:jc w:val="right"/>
            </w:pPr>
            <w:r>
              <w:rPr>
                <w:color w:val="000000"/>
                <w:szCs w:val="21"/>
              </w:rPr>
              <w:t>298,811.89</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Default="001A59F9" w:rsidP="001A2A8C">
      <w:pPr>
        <w:tabs>
          <w:tab w:val="left" w:pos="426"/>
        </w:tabs>
        <w:spacing w:before="29" w:line="288" w:lineRule="auto"/>
        <w:jc w:val="left"/>
        <w:rPr>
          <w:kern w:val="0"/>
          <w:sz w:val="24"/>
        </w:rPr>
      </w:pPr>
      <w:r w:rsidRPr="001A2A8C">
        <w:rPr>
          <w:kern w:val="0"/>
          <w:sz w:val="24"/>
        </w:rPr>
        <w:t>本基金本报告期末未持有暂时停牌等流通受限股票。</w:t>
      </w:r>
    </w:p>
    <w:p w:rsidR="00917C5A" w:rsidRPr="001A2A8C" w:rsidRDefault="00917C5A" w:rsidP="001A2A8C">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银行间市场债券正回购</w:t>
      </w:r>
    </w:p>
    <w:p w:rsidR="001A59F9" w:rsidRPr="001A2A8C" w:rsidRDefault="001A59F9" w:rsidP="001A2A8C">
      <w:pPr>
        <w:spacing w:before="29" w:line="288" w:lineRule="auto"/>
        <w:rPr>
          <w:color w:val="000000"/>
          <w:sz w:val="24"/>
        </w:rPr>
      </w:pPr>
      <w:r w:rsidRPr="001A2A8C">
        <w:rPr>
          <w:color w:val="000000"/>
          <w:sz w:val="24"/>
        </w:rPr>
        <w:t>截至本报告期末</w:t>
      </w:r>
      <w:r w:rsidRPr="001A2A8C">
        <w:rPr>
          <w:color w:val="000000"/>
          <w:sz w:val="24"/>
        </w:rPr>
        <w:t>2014</w:t>
      </w:r>
      <w:r w:rsidRPr="001A2A8C">
        <w:rPr>
          <w:color w:val="000000"/>
          <w:sz w:val="24"/>
        </w:rPr>
        <w:t>年</w:t>
      </w:r>
      <w:r w:rsidRPr="001A2A8C">
        <w:rPr>
          <w:color w:val="000000"/>
          <w:sz w:val="24"/>
        </w:rPr>
        <w:t>12</w:t>
      </w:r>
      <w:r w:rsidRPr="001A2A8C">
        <w:rPr>
          <w:color w:val="000000"/>
          <w:sz w:val="24"/>
        </w:rPr>
        <w:t>月</w:t>
      </w:r>
      <w:r w:rsidRPr="001A2A8C">
        <w:rPr>
          <w:color w:val="000000"/>
          <w:sz w:val="24"/>
        </w:rPr>
        <w:t>31</w:t>
      </w:r>
      <w:r w:rsidRPr="001A2A8C">
        <w:rPr>
          <w:color w:val="000000"/>
          <w:sz w:val="24"/>
        </w:rPr>
        <w:t>日止，本基金从事银行间市场债券正回购交易形成的卖出回购证券款余额</w:t>
      </w:r>
      <w:r w:rsidRPr="001A2A8C">
        <w:rPr>
          <w:color w:val="000000"/>
          <w:sz w:val="24"/>
        </w:rPr>
        <w:t>19,999,730.00</w:t>
      </w:r>
      <w:r w:rsidRPr="001A2A8C">
        <w:rPr>
          <w:color w:val="000000"/>
          <w:sz w:val="24"/>
        </w:rPr>
        <w:t>元，是以如下债券作为抵押：</w:t>
      </w:r>
    </w:p>
    <w:p w:rsidR="001A59F9" w:rsidRPr="00E20B2A" w:rsidRDefault="001A59F9" w:rsidP="00026C9C">
      <w:pPr>
        <w:autoSpaceDE w:val="0"/>
        <w:autoSpaceDN w:val="0"/>
        <w:adjustRightInd w:val="0"/>
        <w:spacing w:before="29" w:line="360" w:lineRule="auto"/>
        <w:ind w:left="15"/>
        <w:jc w:val="right"/>
        <w:rPr>
          <w:color w:val="000000"/>
          <w:sz w:val="24"/>
        </w:rPr>
      </w:pPr>
      <w:r w:rsidRPr="00E20B2A">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00"/>
        <w:gridCol w:w="1500"/>
        <w:gridCol w:w="1500"/>
        <w:gridCol w:w="1260"/>
        <w:gridCol w:w="1440"/>
        <w:gridCol w:w="1836"/>
      </w:tblGrid>
      <w:tr w:rsidR="001A59F9" w:rsidRPr="00C51C77" w:rsidTr="006D141C">
        <w:tc>
          <w:tcPr>
            <w:tcW w:w="150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债券代码</w:t>
            </w:r>
          </w:p>
        </w:tc>
        <w:tc>
          <w:tcPr>
            <w:tcW w:w="150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债券名称</w:t>
            </w:r>
          </w:p>
        </w:tc>
        <w:tc>
          <w:tcPr>
            <w:tcW w:w="150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回购到期日</w:t>
            </w:r>
          </w:p>
        </w:tc>
        <w:tc>
          <w:tcPr>
            <w:tcW w:w="126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期末估值单价</w:t>
            </w:r>
          </w:p>
        </w:tc>
        <w:tc>
          <w:tcPr>
            <w:tcW w:w="1440"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数量（张）</w:t>
            </w:r>
          </w:p>
        </w:tc>
        <w:tc>
          <w:tcPr>
            <w:tcW w:w="1836" w:type="dxa"/>
            <w:vAlign w:val="center"/>
          </w:tcPr>
          <w:p w:rsidR="001A59F9" w:rsidRPr="00E20B2A" w:rsidRDefault="001A59F9" w:rsidP="00E20B2A">
            <w:pPr>
              <w:spacing w:before="29" w:line="288" w:lineRule="auto"/>
              <w:jc w:val="center"/>
              <w:rPr>
                <w:color w:val="000000"/>
                <w:sz w:val="24"/>
              </w:rPr>
            </w:pPr>
            <w:r w:rsidRPr="00E20B2A">
              <w:rPr>
                <w:rFonts w:hint="eastAsia"/>
                <w:color w:val="000000"/>
                <w:sz w:val="24"/>
              </w:rPr>
              <w:t>期末估值总额</w:t>
            </w:r>
          </w:p>
        </w:tc>
      </w:tr>
      <w:tr w:rsidR="00F31622">
        <w:tc>
          <w:tcPr>
            <w:tcW w:w="1500" w:type="dxa"/>
            <w:vAlign w:val="center"/>
          </w:tcPr>
          <w:p w:rsidR="00F31622" w:rsidRDefault="00346E0A">
            <w:pPr>
              <w:jc w:val="center"/>
            </w:pPr>
            <w:r>
              <w:rPr>
                <w:color w:val="000000"/>
                <w:kern w:val="0"/>
                <w:sz w:val="24"/>
              </w:rPr>
              <w:t>1282093</w:t>
            </w:r>
          </w:p>
        </w:tc>
        <w:tc>
          <w:tcPr>
            <w:tcW w:w="1500" w:type="dxa"/>
            <w:vAlign w:val="center"/>
          </w:tcPr>
          <w:p w:rsidR="00F31622" w:rsidRDefault="00346E0A">
            <w:pPr>
              <w:jc w:val="center"/>
            </w:pPr>
            <w:r>
              <w:rPr>
                <w:color w:val="000000"/>
                <w:kern w:val="0"/>
                <w:sz w:val="24"/>
              </w:rPr>
              <w:t>12</w:t>
            </w:r>
            <w:r>
              <w:rPr>
                <w:color w:val="000000"/>
                <w:kern w:val="0"/>
                <w:sz w:val="24"/>
              </w:rPr>
              <w:t>熔盛</w:t>
            </w:r>
            <w:r>
              <w:rPr>
                <w:color w:val="000000"/>
                <w:kern w:val="0"/>
                <w:sz w:val="24"/>
              </w:rPr>
              <w:t>MTN1</w:t>
            </w:r>
          </w:p>
        </w:tc>
        <w:tc>
          <w:tcPr>
            <w:tcW w:w="1500" w:type="dxa"/>
            <w:vAlign w:val="center"/>
          </w:tcPr>
          <w:p w:rsidR="00F31622" w:rsidRDefault="00346E0A">
            <w:pPr>
              <w:jc w:val="center"/>
            </w:pPr>
            <w:r>
              <w:rPr>
                <w:color w:val="000000"/>
                <w:kern w:val="0"/>
                <w:sz w:val="24"/>
              </w:rPr>
              <w:t>2015-01-07</w:t>
            </w:r>
          </w:p>
        </w:tc>
        <w:tc>
          <w:tcPr>
            <w:tcW w:w="1260" w:type="dxa"/>
            <w:vAlign w:val="center"/>
          </w:tcPr>
          <w:p w:rsidR="00F31622" w:rsidRDefault="00346E0A">
            <w:pPr>
              <w:jc w:val="right"/>
            </w:pPr>
            <w:r>
              <w:rPr>
                <w:color w:val="000000"/>
                <w:kern w:val="0"/>
                <w:sz w:val="24"/>
              </w:rPr>
              <w:t>97.67</w:t>
            </w:r>
          </w:p>
        </w:tc>
        <w:tc>
          <w:tcPr>
            <w:tcW w:w="1440" w:type="dxa"/>
            <w:vAlign w:val="center"/>
          </w:tcPr>
          <w:p w:rsidR="00F31622" w:rsidRDefault="00346E0A">
            <w:pPr>
              <w:jc w:val="right"/>
            </w:pPr>
            <w:r>
              <w:rPr>
                <w:color w:val="000000"/>
                <w:kern w:val="0"/>
                <w:sz w:val="24"/>
              </w:rPr>
              <w:t>100,000</w:t>
            </w:r>
          </w:p>
        </w:tc>
        <w:tc>
          <w:tcPr>
            <w:tcW w:w="1836" w:type="dxa"/>
            <w:vAlign w:val="center"/>
          </w:tcPr>
          <w:p w:rsidR="00F31622" w:rsidRDefault="00346E0A">
            <w:pPr>
              <w:jc w:val="right"/>
            </w:pPr>
            <w:r>
              <w:rPr>
                <w:color w:val="000000"/>
                <w:kern w:val="0"/>
                <w:sz w:val="24"/>
              </w:rPr>
              <w:t>9,767,000.00</w:t>
            </w:r>
          </w:p>
        </w:tc>
      </w:tr>
      <w:tr w:rsidR="00F31622">
        <w:tc>
          <w:tcPr>
            <w:tcW w:w="1500" w:type="dxa"/>
            <w:vAlign w:val="center"/>
          </w:tcPr>
          <w:p w:rsidR="00F31622" w:rsidRDefault="00346E0A">
            <w:pPr>
              <w:jc w:val="center"/>
            </w:pPr>
            <w:r>
              <w:rPr>
                <w:color w:val="000000"/>
                <w:kern w:val="0"/>
                <w:sz w:val="24"/>
              </w:rPr>
              <w:t>140213</w:t>
            </w:r>
          </w:p>
        </w:tc>
        <w:tc>
          <w:tcPr>
            <w:tcW w:w="1500" w:type="dxa"/>
            <w:vAlign w:val="center"/>
          </w:tcPr>
          <w:p w:rsidR="00F31622" w:rsidRDefault="00346E0A">
            <w:pPr>
              <w:jc w:val="center"/>
            </w:pPr>
            <w:r>
              <w:rPr>
                <w:color w:val="000000"/>
                <w:kern w:val="0"/>
                <w:sz w:val="24"/>
              </w:rPr>
              <w:t>14</w:t>
            </w:r>
            <w:r>
              <w:rPr>
                <w:color w:val="000000"/>
                <w:kern w:val="0"/>
                <w:sz w:val="24"/>
              </w:rPr>
              <w:t>国开</w:t>
            </w:r>
            <w:r>
              <w:rPr>
                <w:color w:val="000000"/>
                <w:kern w:val="0"/>
                <w:sz w:val="24"/>
              </w:rPr>
              <w:t>13</w:t>
            </w:r>
          </w:p>
        </w:tc>
        <w:tc>
          <w:tcPr>
            <w:tcW w:w="1500" w:type="dxa"/>
            <w:vAlign w:val="center"/>
          </w:tcPr>
          <w:p w:rsidR="00F31622" w:rsidRDefault="00346E0A">
            <w:pPr>
              <w:jc w:val="center"/>
            </w:pPr>
            <w:r>
              <w:rPr>
                <w:color w:val="000000"/>
                <w:kern w:val="0"/>
                <w:sz w:val="24"/>
              </w:rPr>
              <w:t>2015-01-06</w:t>
            </w:r>
          </w:p>
        </w:tc>
        <w:tc>
          <w:tcPr>
            <w:tcW w:w="1260" w:type="dxa"/>
            <w:vAlign w:val="center"/>
          </w:tcPr>
          <w:p w:rsidR="00F31622" w:rsidRDefault="00346E0A">
            <w:pPr>
              <w:jc w:val="right"/>
            </w:pPr>
            <w:r>
              <w:rPr>
                <w:color w:val="000000"/>
                <w:kern w:val="0"/>
                <w:sz w:val="24"/>
              </w:rPr>
              <w:t>100.00</w:t>
            </w:r>
          </w:p>
        </w:tc>
        <w:tc>
          <w:tcPr>
            <w:tcW w:w="1440" w:type="dxa"/>
            <w:vAlign w:val="center"/>
          </w:tcPr>
          <w:p w:rsidR="00F31622" w:rsidRDefault="00346E0A">
            <w:pPr>
              <w:jc w:val="right"/>
            </w:pPr>
            <w:r>
              <w:rPr>
                <w:color w:val="000000"/>
                <w:kern w:val="0"/>
                <w:sz w:val="24"/>
              </w:rPr>
              <w:t>100,000</w:t>
            </w:r>
          </w:p>
        </w:tc>
        <w:tc>
          <w:tcPr>
            <w:tcW w:w="1836" w:type="dxa"/>
            <w:vAlign w:val="center"/>
          </w:tcPr>
          <w:p w:rsidR="00F31622" w:rsidRDefault="00346E0A">
            <w:pPr>
              <w:jc w:val="right"/>
            </w:pPr>
            <w:r>
              <w:rPr>
                <w:color w:val="000000"/>
                <w:kern w:val="0"/>
                <w:sz w:val="24"/>
              </w:rPr>
              <w:t>10,000,000.00</w:t>
            </w:r>
          </w:p>
        </w:tc>
      </w:tr>
      <w:tr w:rsidR="001A59F9" w:rsidRPr="00C51C77" w:rsidTr="00E20B2A">
        <w:tc>
          <w:tcPr>
            <w:tcW w:w="1500" w:type="dxa"/>
            <w:vAlign w:val="center"/>
          </w:tcPr>
          <w:p w:rsidR="001A59F9" w:rsidRPr="00E20B2A" w:rsidRDefault="001A59F9" w:rsidP="00E20B2A">
            <w:pPr>
              <w:spacing w:before="29" w:line="288" w:lineRule="auto"/>
              <w:rPr>
                <w:sz w:val="24"/>
              </w:rPr>
            </w:pPr>
            <w:r w:rsidRPr="00E20B2A">
              <w:rPr>
                <w:rFonts w:hint="eastAsia"/>
                <w:sz w:val="24"/>
              </w:rPr>
              <w:t>合计</w:t>
            </w:r>
          </w:p>
        </w:tc>
        <w:tc>
          <w:tcPr>
            <w:tcW w:w="1500" w:type="dxa"/>
          </w:tcPr>
          <w:p w:rsidR="001A59F9" w:rsidRPr="00E20B2A" w:rsidRDefault="001A59F9" w:rsidP="00E20B2A">
            <w:pPr>
              <w:autoSpaceDE w:val="0"/>
              <w:autoSpaceDN w:val="0"/>
              <w:adjustRightInd w:val="0"/>
              <w:spacing w:before="29" w:line="288" w:lineRule="auto"/>
              <w:ind w:left="15"/>
              <w:jc w:val="center"/>
              <w:rPr>
                <w:sz w:val="24"/>
              </w:rPr>
            </w:pPr>
          </w:p>
        </w:tc>
        <w:tc>
          <w:tcPr>
            <w:tcW w:w="1500" w:type="dxa"/>
          </w:tcPr>
          <w:p w:rsidR="001A59F9" w:rsidRPr="00E20B2A" w:rsidRDefault="001A59F9" w:rsidP="00E20B2A">
            <w:pPr>
              <w:autoSpaceDE w:val="0"/>
              <w:autoSpaceDN w:val="0"/>
              <w:adjustRightInd w:val="0"/>
              <w:spacing w:before="29" w:line="288" w:lineRule="auto"/>
              <w:ind w:left="15"/>
              <w:jc w:val="center"/>
              <w:rPr>
                <w:sz w:val="24"/>
              </w:rPr>
            </w:pPr>
          </w:p>
        </w:tc>
        <w:tc>
          <w:tcPr>
            <w:tcW w:w="1260" w:type="dxa"/>
          </w:tcPr>
          <w:p w:rsidR="001A59F9" w:rsidRPr="00E20B2A" w:rsidRDefault="001A59F9" w:rsidP="00E20B2A">
            <w:pPr>
              <w:autoSpaceDE w:val="0"/>
              <w:autoSpaceDN w:val="0"/>
              <w:adjustRightInd w:val="0"/>
              <w:spacing w:before="29" w:line="288" w:lineRule="auto"/>
              <w:ind w:left="15"/>
              <w:jc w:val="right"/>
              <w:rPr>
                <w:sz w:val="24"/>
              </w:rPr>
            </w:pPr>
          </w:p>
        </w:tc>
        <w:tc>
          <w:tcPr>
            <w:tcW w:w="1440" w:type="dxa"/>
          </w:tcPr>
          <w:p w:rsidR="001A59F9" w:rsidRPr="00E20B2A" w:rsidRDefault="001A59F9" w:rsidP="00E20B2A">
            <w:pPr>
              <w:spacing w:before="29" w:line="288" w:lineRule="auto"/>
              <w:jc w:val="right"/>
              <w:rPr>
                <w:sz w:val="24"/>
              </w:rPr>
            </w:pPr>
            <w:r w:rsidRPr="00E20B2A">
              <w:rPr>
                <w:sz w:val="24"/>
              </w:rPr>
              <w:t>200,000</w:t>
            </w:r>
          </w:p>
        </w:tc>
        <w:tc>
          <w:tcPr>
            <w:tcW w:w="1836" w:type="dxa"/>
            <w:vAlign w:val="center"/>
          </w:tcPr>
          <w:p w:rsidR="001A59F9" w:rsidRPr="00E20B2A" w:rsidRDefault="001A59F9" w:rsidP="00E20B2A">
            <w:pPr>
              <w:spacing w:before="29" w:line="288" w:lineRule="auto"/>
              <w:jc w:val="right"/>
              <w:rPr>
                <w:sz w:val="24"/>
              </w:rPr>
            </w:pPr>
            <w:r w:rsidRPr="00E20B2A">
              <w:rPr>
                <w:sz w:val="24"/>
              </w:rPr>
              <w:t>19,767,000.00</w:t>
            </w:r>
          </w:p>
        </w:tc>
      </w:tr>
    </w:tbl>
    <w:p w:rsidR="00917C5A" w:rsidRDefault="00917C5A" w:rsidP="00917C5A">
      <w:pPr>
        <w:spacing w:before="29" w:line="288" w:lineRule="auto"/>
        <w:ind w:firstLineChars="200" w:firstLine="420"/>
        <w:rPr>
          <w:kern w:val="0"/>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交易所市场债券正回购</w:t>
      </w:r>
    </w:p>
    <w:p w:rsidR="001A59F9" w:rsidRPr="001C0A9E" w:rsidRDefault="001A59F9" w:rsidP="001C0A9E">
      <w:pPr>
        <w:spacing w:before="29" w:line="288" w:lineRule="auto"/>
        <w:ind w:firstLineChars="200" w:firstLine="480"/>
        <w:rPr>
          <w:color w:val="000000"/>
          <w:sz w:val="24"/>
        </w:rPr>
      </w:pPr>
      <w:r w:rsidRPr="0004616F">
        <w:rPr>
          <w:color w:val="000000"/>
          <w:sz w:val="24"/>
        </w:rPr>
        <w:t>截至本报告期末</w:t>
      </w:r>
      <w:r w:rsidRPr="0004616F">
        <w:rPr>
          <w:color w:val="000000"/>
          <w:sz w:val="24"/>
        </w:rPr>
        <w:t>2014</w:t>
      </w:r>
      <w:r w:rsidRPr="0004616F">
        <w:rPr>
          <w:color w:val="000000"/>
          <w:sz w:val="24"/>
        </w:rPr>
        <w:t>年</w:t>
      </w:r>
      <w:r w:rsidRPr="0004616F">
        <w:rPr>
          <w:color w:val="000000"/>
          <w:sz w:val="24"/>
        </w:rPr>
        <w:t>12</w:t>
      </w:r>
      <w:r w:rsidRPr="0004616F">
        <w:rPr>
          <w:color w:val="000000"/>
          <w:sz w:val="24"/>
        </w:rPr>
        <w:t>月</w:t>
      </w:r>
      <w:r w:rsidRPr="0004616F">
        <w:rPr>
          <w:color w:val="000000"/>
          <w:sz w:val="24"/>
        </w:rPr>
        <w:t>31</w:t>
      </w:r>
      <w:r w:rsidRPr="0004616F">
        <w:rPr>
          <w:color w:val="000000"/>
          <w:sz w:val="24"/>
        </w:rPr>
        <w:t>日止，本基金从事证券交易所债券正回购交易形成的卖出回购证券款余额</w:t>
      </w:r>
      <w:r w:rsidRPr="0004616F">
        <w:rPr>
          <w:color w:val="000000"/>
          <w:sz w:val="24"/>
        </w:rPr>
        <w:t xml:space="preserve">58,000,000.00 </w:t>
      </w:r>
      <w:r w:rsidRPr="0004616F">
        <w:rPr>
          <w:color w:val="000000"/>
          <w:sz w:val="24"/>
        </w:rPr>
        <w:t>元，于</w:t>
      </w:r>
      <w:r w:rsidRPr="0004616F">
        <w:rPr>
          <w:color w:val="000000"/>
          <w:sz w:val="24"/>
        </w:rPr>
        <w:t>2015</w:t>
      </w:r>
      <w:r w:rsidRPr="0004616F">
        <w:rPr>
          <w:color w:val="000000"/>
          <w:sz w:val="24"/>
        </w:rPr>
        <w:t>年</w:t>
      </w:r>
      <w:r w:rsidRPr="0004616F">
        <w:rPr>
          <w:color w:val="000000"/>
          <w:sz w:val="24"/>
        </w:rPr>
        <w:t>1</w:t>
      </w:r>
      <w:r w:rsidRPr="0004616F">
        <w:rPr>
          <w:color w:val="000000"/>
          <w:sz w:val="24"/>
        </w:rPr>
        <w:t>月</w:t>
      </w:r>
      <w:r w:rsidRPr="0004616F">
        <w:rPr>
          <w:color w:val="000000"/>
          <w:sz w:val="24"/>
        </w:rPr>
        <w:t>5</w:t>
      </w:r>
      <w:r w:rsidRPr="0004616F">
        <w:rPr>
          <w:color w:val="000000"/>
          <w:sz w:val="24"/>
        </w:rPr>
        <w:t>日到期。该类交易要求本基金转入质押库的债券，按证券交易所规定的比例折算为标准券后，不低于债券回购交易的余额。</w:t>
      </w:r>
      <w:r w:rsidR="001C0A9E">
        <w:rPr>
          <w:rFonts w:hint="eastAsia"/>
          <w:color w:val="00000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F31622" w:rsidRDefault="00346E0A">
      <w:pPr>
        <w:spacing w:before="29" w:line="288" w:lineRule="auto"/>
        <w:ind w:firstLineChars="200" w:firstLine="480"/>
        <w:rPr>
          <w:color w:val="000000"/>
          <w:sz w:val="24"/>
        </w:rPr>
      </w:pPr>
      <w:r>
        <w:rPr>
          <w:color w:val="000000"/>
          <w:sz w:val="24"/>
        </w:rPr>
        <w:t>(1)</w:t>
      </w:r>
      <w:r>
        <w:rPr>
          <w:color w:val="000000"/>
          <w:sz w:val="24"/>
        </w:rPr>
        <w:t>公允价值</w:t>
      </w:r>
    </w:p>
    <w:p w:rsidR="00F31622" w:rsidRDefault="00346E0A">
      <w:pPr>
        <w:spacing w:before="29" w:line="288" w:lineRule="auto"/>
        <w:ind w:firstLineChars="200" w:firstLine="480"/>
        <w:rPr>
          <w:color w:val="000000"/>
          <w:sz w:val="24"/>
        </w:rPr>
      </w:pPr>
      <w:r>
        <w:rPr>
          <w:color w:val="000000"/>
          <w:sz w:val="24"/>
        </w:rPr>
        <w:t>(a)</w:t>
      </w:r>
      <w:r>
        <w:rPr>
          <w:color w:val="000000"/>
          <w:sz w:val="24"/>
        </w:rPr>
        <w:t>金融工具公允价值计量的方法</w:t>
      </w:r>
    </w:p>
    <w:p w:rsidR="00F31622" w:rsidRDefault="00346E0A">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F31622" w:rsidRDefault="00346E0A">
      <w:pPr>
        <w:spacing w:before="29" w:line="288" w:lineRule="auto"/>
        <w:ind w:firstLineChars="200" w:firstLine="480"/>
        <w:rPr>
          <w:color w:val="000000"/>
          <w:sz w:val="24"/>
        </w:rPr>
      </w:pPr>
      <w:r>
        <w:rPr>
          <w:color w:val="000000"/>
          <w:sz w:val="24"/>
        </w:rPr>
        <w:t>第一层次：相同资产或负债在活跃市场上未经调整的报价。</w:t>
      </w:r>
    </w:p>
    <w:p w:rsidR="00F31622" w:rsidRDefault="00346E0A">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F31622" w:rsidRDefault="00346E0A">
      <w:pPr>
        <w:spacing w:before="29" w:line="288" w:lineRule="auto"/>
        <w:ind w:firstLineChars="200" w:firstLine="480"/>
        <w:rPr>
          <w:color w:val="000000"/>
          <w:sz w:val="24"/>
        </w:rPr>
      </w:pPr>
      <w:r>
        <w:rPr>
          <w:color w:val="000000"/>
          <w:sz w:val="24"/>
        </w:rPr>
        <w:t>第三层次：相关资产或负债的不可观察输入值。</w:t>
      </w:r>
    </w:p>
    <w:p w:rsidR="00F31622" w:rsidRDefault="00346E0A">
      <w:pPr>
        <w:spacing w:before="29" w:line="288" w:lineRule="auto"/>
        <w:ind w:firstLineChars="200" w:firstLine="480"/>
        <w:rPr>
          <w:color w:val="000000"/>
          <w:sz w:val="24"/>
        </w:rPr>
      </w:pPr>
      <w:r>
        <w:rPr>
          <w:color w:val="000000"/>
          <w:sz w:val="24"/>
        </w:rPr>
        <w:t>(b)</w:t>
      </w:r>
      <w:r>
        <w:rPr>
          <w:color w:val="000000"/>
          <w:sz w:val="24"/>
        </w:rPr>
        <w:t>持续的以公允价值计量的金融工具</w:t>
      </w:r>
    </w:p>
    <w:p w:rsidR="00F31622" w:rsidRDefault="00346E0A">
      <w:pPr>
        <w:spacing w:before="29" w:line="288" w:lineRule="auto"/>
        <w:ind w:firstLineChars="200" w:firstLine="480"/>
        <w:rPr>
          <w:color w:val="000000"/>
          <w:sz w:val="24"/>
        </w:rPr>
      </w:pPr>
      <w:r>
        <w:rPr>
          <w:color w:val="000000"/>
          <w:sz w:val="24"/>
        </w:rPr>
        <w:t>(i)</w:t>
      </w:r>
      <w:r>
        <w:rPr>
          <w:color w:val="000000"/>
          <w:sz w:val="24"/>
        </w:rPr>
        <w:t>各层次金融工具公允价值</w:t>
      </w:r>
    </w:p>
    <w:p w:rsidR="00F31622" w:rsidRDefault="00346E0A">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日，本基金持有的以公允价值计量且其变动计入当期损益的金融工具中属于第一层次的余额为</w:t>
      </w:r>
      <w:r>
        <w:rPr>
          <w:color w:val="000000"/>
          <w:sz w:val="24"/>
        </w:rPr>
        <w:t>111,812,742.00</w:t>
      </w:r>
      <w:r>
        <w:rPr>
          <w:color w:val="000000"/>
          <w:sz w:val="24"/>
        </w:rPr>
        <w:t>元，属于第二层次的余额为</w:t>
      </w:r>
      <w:r>
        <w:rPr>
          <w:color w:val="000000"/>
          <w:sz w:val="24"/>
        </w:rPr>
        <w:t>89,195,000.00</w:t>
      </w:r>
      <w:r>
        <w:rPr>
          <w:color w:val="000000"/>
          <w:sz w:val="24"/>
        </w:rPr>
        <w:t>元，无属于第三层次的余额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620,543,619.76</w:t>
      </w:r>
      <w:r>
        <w:rPr>
          <w:color w:val="000000"/>
          <w:sz w:val="24"/>
        </w:rPr>
        <w:t>元，第二层次</w:t>
      </w:r>
      <w:r>
        <w:rPr>
          <w:color w:val="000000"/>
          <w:sz w:val="24"/>
        </w:rPr>
        <w:t>1,179,567,953.42</w:t>
      </w:r>
      <w:r>
        <w:rPr>
          <w:color w:val="000000"/>
          <w:sz w:val="24"/>
        </w:rPr>
        <w:t>元，无第三层次</w:t>
      </w:r>
      <w:r>
        <w:rPr>
          <w:color w:val="000000"/>
          <w:sz w:val="24"/>
        </w:rPr>
        <w:t>)</w:t>
      </w:r>
      <w:r>
        <w:rPr>
          <w:color w:val="000000"/>
          <w:sz w:val="24"/>
        </w:rPr>
        <w:t>。</w:t>
      </w:r>
    </w:p>
    <w:p w:rsidR="00F31622" w:rsidRDefault="00346E0A">
      <w:pPr>
        <w:spacing w:before="29" w:line="288" w:lineRule="auto"/>
        <w:ind w:firstLineChars="200" w:firstLine="480"/>
        <w:rPr>
          <w:color w:val="000000"/>
          <w:sz w:val="24"/>
        </w:rPr>
      </w:pPr>
      <w:r>
        <w:rPr>
          <w:color w:val="000000"/>
          <w:sz w:val="24"/>
        </w:rPr>
        <w:t>(ii)</w:t>
      </w:r>
      <w:r>
        <w:rPr>
          <w:color w:val="000000"/>
          <w:sz w:val="24"/>
        </w:rPr>
        <w:t>公允价值所属层次间的重大变动</w:t>
      </w:r>
    </w:p>
    <w:p w:rsidR="00F31622" w:rsidRDefault="00346E0A">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F31622" w:rsidRDefault="00346E0A">
      <w:pPr>
        <w:spacing w:before="29" w:line="288" w:lineRule="auto"/>
        <w:ind w:firstLineChars="200" w:firstLine="480"/>
        <w:rPr>
          <w:color w:val="000000"/>
          <w:sz w:val="24"/>
        </w:rPr>
      </w:pPr>
      <w:r>
        <w:rPr>
          <w:color w:val="000000"/>
          <w:sz w:val="24"/>
        </w:rPr>
        <w:t>(iii)</w:t>
      </w:r>
      <w:r>
        <w:rPr>
          <w:color w:val="000000"/>
          <w:sz w:val="24"/>
        </w:rPr>
        <w:t>第三层次公允价值余额和本期变动金额</w:t>
      </w:r>
    </w:p>
    <w:p w:rsidR="00F31622" w:rsidRDefault="00346E0A">
      <w:pPr>
        <w:spacing w:before="29" w:line="288" w:lineRule="auto"/>
        <w:ind w:firstLineChars="200" w:firstLine="480"/>
        <w:rPr>
          <w:color w:val="000000"/>
          <w:sz w:val="24"/>
        </w:rPr>
      </w:pPr>
      <w:r>
        <w:rPr>
          <w:color w:val="000000"/>
          <w:sz w:val="24"/>
        </w:rPr>
        <w:t>无。</w:t>
      </w:r>
    </w:p>
    <w:p w:rsidR="00F31622" w:rsidRDefault="00346E0A">
      <w:pPr>
        <w:spacing w:before="29" w:line="288" w:lineRule="auto"/>
        <w:ind w:firstLineChars="200" w:firstLine="480"/>
        <w:rPr>
          <w:color w:val="000000"/>
          <w:sz w:val="24"/>
        </w:rPr>
      </w:pPr>
      <w:r>
        <w:rPr>
          <w:color w:val="000000"/>
          <w:sz w:val="24"/>
        </w:rPr>
        <w:t>(c)</w:t>
      </w:r>
      <w:r>
        <w:rPr>
          <w:color w:val="000000"/>
          <w:sz w:val="24"/>
        </w:rPr>
        <w:t>非持续的以公允价值计量的金融工具</w:t>
      </w:r>
    </w:p>
    <w:p w:rsidR="00F31622" w:rsidRDefault="00346E0A">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F31622" w:rsidRDefault="00346E0A">
      <w:pPr>
        <w:spacing w:before="29" w:line="288" w:lineRule="auto"/>
        <w:ind w:firstLineChars="200" w:firstLine="480"/>
        <w:rPr>
          <w:color w:val="000000"/>
          <w:sz w:val="24"/>
        </w:rPr>
      </w:pPr>
      <w:r>
        <w:rPr>
          <w:color w:val="000000"/>
          <w:sz w:val="24"/>
        </w:rPr>
        <w:t>(d)</w:t>
      </w:r>
      <w:r>
        <w:rPr>
          <w:color w:val="000000"/>
          <w:sz w:val="24"/>
        </w:rPr>
        <w:t>不以公允价值计量的金融工具</w:t>
      </w:r>
    </w:p>
    <w:p w:rsidR="00F31622" w:rsidRDefault="00346E0A">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(2)</w:t>
      </w:r>
      <w:r w:rsidRPr="0004616F">
        <w:rPr>
          <w:color w:val="000000"/>
          <w:sz w:val="24"/>
        </w:rPr>
        <w:t>除公允价值外，截至资产负债表日本基金无需要说明的其他重要事项。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60" w:name="_Toc225498272"/>
      <w:bookmarkStart w:id="61"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0"/>
      <w:bookmarkEnd w:id="61"/>
    </w:p>
    <w:p w:rsidR="001A59F9" w:rsidRPr="00245C29"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2"/>
      <w:bookmarkEnd w:id="63"/>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12,433,500.00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5.75</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12,433,500.00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5.75</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188,574,242.00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87.21</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188,574,242.00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87.21</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917C5A">
            <w:pPr>
              <w:spacing w:before="29" w:line="288" w:lineRule="auto"/>
              <w:ind w:leftChars="50" w:left="105" w:firstLineChars="300" w:firstLine="720"/>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10,352,833.84</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4.79</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4,859,487.10</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2.25</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216,220,062.94</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4" w:name="_Toc225498274"/>
      <w:bookmarkStart w:id="65"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4"/>
      <w:bookmarkEnd w:id="65"/>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12,433,500.00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9.08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12,433,500.00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9.08</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6"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6"/>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F31622">
        <w:trPr>
          <w:jc w:val="center"/>
        </w:trPr>
        <w:tc>
          <w:tcPr>
            <w:tcW w:w="817" w:type="dxa"/>
            <w:vAlign w:val="center"/>
          </w:tcPr>
          <w:p w:rsidR="00F31622" w:rsidRDefault="00346E0A">
            <w:pPr>
              <w:jc w:val="center"/>
            </w:pPr>
            <w:r>
              <w:rPr>
                <w:color w:val="000000"/>
                <w:sz w:val="24"/>
              </w:rPr>
              <w:t>1</w:t>
            </w:r>
          </w:p>
        </w:tc>
        <w:tc>
          <w:tcPr>
            <w:tcW w:w="1276" w:type="dxa"/>
            <w:vAlign w:val="center"/>
          </w:tcPr>
          <w:p w:rsidR="00F31622" w:rsidRDefault="00346E0A">
            <w:pPr>
              <w:jc w:val="center"/>
            </w:pPr>
            <w:r>
              <w:rPr>
                <w:color w:val="000000"/>
                <w:sz w:val="24"/>
              </w:rPr>
              <w:t>601989</w:t>
            </w:r>
          </w:p>
        </w:tc>
        <w:tc>
          <w:tcPr>
            <w:tcW w:w="1701" w:type="dxa"/>
            <w:vAlign w:val="center"/>
          </w:tcPr>
          <w:p w:rsidR="00F31622" w:rsidRDefault="00346E0A">
            <w:pPr>
              <w:jc w:val="center"/>
            </w:pPr>
            <w:r>
              <w:rPr>
                <w:color w:val="000000"/>
                <w:sz w:val="24"/>
              </w:rPr>
              <w:t>中国重工</w:t>
            </w:r>
          </w:p>
        </w:tc>
        <w:tc>
          <w:tcPr>
            <w:tcW w:w="1559" w:type="dxa"/>
            <w:vAlign w:val="center"/>
          </w:tcPr>
          <w:p w:rsidR="00F31622" w:rsidRDefault="00346E0A">
            <w:pPr>
              <w:jc w:val="right"/>
            </w:pPr>
            <w:r>
              <w:rPr>
                <w:color w:val="000000"/>
                <w:sz w:val="24"/>
              </w:rPr>
              <w:t>1,350,000</w:t>
            </w:r>
          </w:p>
        </w:tc>
        <w:tc>
          <w:tcPr>
            <w:tcW w:w="1701" w:type="dxa"/>
            <w:vAlign w:val="center"/>
          </w:tcPr>
          <w:p w:rsidR="00F31622" w:rsidRDefault="00346E0A">
            <w:pPr>
              <w:jc w:val="right"/>
            </w:pPr>
            <w:r>
              <w:rPr>
                <w:color w:val="000000"/>
                <w:sz w:val="24"/>
              </w:rPr>
              <w:t>12,433,500.00</w:t>
            </w:r>
          </w:p>
        </w:tc>
        <w:tc>
          <w:tcPr>
            <w:tcW w:w="1843" w:type="dxa"/>
            <w:vAlign w:val="center"/>
          </w:tcPr>
          <w:p w:rsidR="00F31622" w:rsidRDefault="00346E0A">
            <w:pPr>
              <w:jc w:val="right"/>
            </w:pPr>
            <w:r>
              <w:rPr>
                <w:color w:val="000000"/>
                <w:sz w:val="24"/>
              </w:rPr>
              <w:t>9.08</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2"/>
      <w:r w:rsidRPr="00245C29">
        <w:rPr>
          <w:rFonts w:ascii="Times New Roman" w:hAnsi="Times New Roman"/>
          <w:kern w:val="0"/>
          <w:szCs w:val="24"/>
        </w:rPr>
        <w:t>8.4</w:t>
      </w:r>
      <w:bookmarkStart w:id="68"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7"/>
      <w:bookmarkEnd w:id="68"/>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F31622">
        <w:tc>
          <w:tcPr>
            <w:tcW w:w="870" w:type="dxa"/>
            <w:vAlign w:val="center"/>
          </w:tcPr>
          <w:p w:rsidR="00F31622" w:rsidRDefault="00346E0A">
            <w:pPr>
              <w:jc w:val="center"/>
            </w:pPr>
            <w:r>
              <w:rPr>
                <w:color w:val="000000"/>
                <w:sz w:val="24"/>
              </w:rPr>
              <w:t>1</w:t>
            </w:r>
          </w:p>
        </w:tc>
        <w:tc>
          <w:tcPr>
            <w:tcW w:w="1650" w:type="dxa"/>
            <w:vAlign w:val="center"/>
          </w:tcPr>
          <w:p w:rsidR="00F31622" w:rsidRDefault="00346E0A">
            <w:pPr>
              <w:jc w:val="center"/>
            </w:pPr>
            <w:r>
              <w:rPr>
                <w:color w:val="000000"/>
                <w:sz w:val="24"/>
              </w:rPr>
              <w:t>601989</w:t>
            </w:r>
          </w:p>
        </w:tc>
        <w:tc>
          <w:tcPr>
            <w:tcW w:w="1980" w:type="dxa"/>
            <w:vAlign w:val="center"/>
          </w:tcPr>
          <w:p w:rsidR="00F31622" w:rsidRDefault="00346E0A">
            <w:pPr>
              <w:jc w:val="center"/>
            </w:pPr>
            <w:r>
              <w:rPr>
                <w:color w:val="000000"/>
                <w:sz w:val="24"/>
              </w:rPr>
              <w:t>中国重工</w:t>
            </w:r>
          </w:p>
        </w:tc>
        <w:tc>
          <w:tcPr>
            <w:tcW w:w="2880" w:type="dxa"/>
            <w:vAlign w:val="center"/>
          </w:tcPr>
          <w:p w:rsidR="00F31622" w:rsidRDefault="00346E0A">
            <w:pPr>
              <w:jc w:val="right"/>
            </w:pPr>
            <w:r>
              <w:rPr>
                <w:color w:val="000000"/>
                <w:sz w:val="24"/>
              </w:rPr>
              <w:t>13,143,455.92</w:t>
            </w:r>
          </w:p>
        </w:tc>
        <w:tc>
          <w:tcPr>
            <w:tcW w:w="1620" w:type="dxa"/>
            <w:vAlign w:val="center"/>
          </w:tcPr>
          <w:p w:rsidR="00F31622" w:rsidRDefault="00346E0A">
            <w:pPr>
              <w:jc w:val="right"/>
            </w:pPr>
            <w:r>
              <w:rPr>
                <w:color w:val="000000"/>
                <w:sz w:val="24"/>
              </w:rPr>
              <w:t>0.67</w:t>
            </w:r>
          </w:p>
        </w:tc>
      </w:tr>
      <w:tr w:rsidR="00F31622">
        <w:tc>
          <w:tcPr>
            <w:tcW w:w="870" w:type="dxa"/>
            <w:vAlign w:val="center"/>
          </w:tcPr>
          <w:p w:rsidR="00F31622" w:rsidRDefault="00346E0A">
            <w:pPr>
              <w:jc w:val="center"/>
            </w:pPr>
            <w:r>
              <w:rPr>
                <w:color w:val="000000"/>
                <w:sz w:val="24"/>
              </w:rPr>
              <w:t>2</w:t>
            </w:r>
          </w:p>
        </w:tc>
        <w:tc>
          <w:tcPr>
            <w:tcW w:w="1650" w:type="dxa"/>
            <w:vAlign w:val="center"/>
          </w:tcPr>
          <w:p w:rsidR="00F31622" w:rsidRDefault="00346E0A">
            <w:pPr>
              <w:jc w:val="center"/>
            </w:pPr>
            <w:r>
              <w:rPr>
                <w:color w:val="000000"/>
                <w:sz w:val="24"/>
              </w:rPr>
              <w:t>000887</w:t>
            </w:r>
          </w:p>
        </w:tc>
        <w:tc>
          <w:tcPr>
            <w:tcW w:w="1980" w:type="dxa"/>
            <w:vAlign w:val="center"/>
          </w:tcPr>
          <w:p w:rsidR="00F31622" w:rsidRDefault="00346E0A">
            <w:pPr>
              <w:jc w:val="center"/>
            </w:pPr>
            <w:r>
              <w:rPr>
                <w:color w:val="000000"/>
                <w:sz w:val="24"/>
              </w:rPr>
              <w:t>中鼎股份</w:t>
            </w:r>
          </w:p>
        </w:tc>
        <w:tc>
          <w:tcPr>
            <w:tcW w:w="2880" w:type="dxa"/>
            <w:vAlign w:val="center"/>
          </w:tcPr>
          <w:p w:rsidR="00F31622" w:rsidRDefault="00346E0A">
            <w:pPr>
              <w:jc w:val="right"/>
            </w:pPr>
            <w:r>
              <w:rPr>
                <w:color w:val="000000"/>
                <w:sz w:val="24"/>
              </w:rPr>
              <w:t>6,787,148.20</w:t>
            </w:r>
          </w:p>
        </w:tc>
        <w:tc>
          <w:tcPr>
            <w:tcW w:w="1620" w:type="dxa"/>
            <w:vAlign w:val="center"/>
          </w:tcPr>
          <w:p w:rsidR="00F31622" w:rsidRDefault="00346E0A">
            <w:pPr>
              <w:jc w:val="right"/>
            </w:pPr>
            <w:r>
              <w:rPr>
                <w:color w:val="000000"/>
                <w:sz w:val="24"/>
              </w:rPr>
              <w:t>0.35</w:t>
            </w:r>
          </w:p>
        </w:tc>
      </w:tr>
      <w:tr w:rsidR="00F31622">
        <w:tc>
          <w:tcPr>
            <w:tcW w:w="870" w:type="dxa"/>
            <w:vAlign w:val="center"/>
          </w:tcPr>
          <w:p w:rsidR="00F31622" w:rsidRDefault="00346E0A">
            <w:pPr>
              <w:jc w:val="center"/>
            </w:pPr>
            <w:r>
              <w:rPr>
                <w:color w:val="000000"/>
                <w:sz w:val="24"/>
              </w:rPr>
              <w:t>3</w:t>
            </w:r>
          </w:p>
        </w:tc>
        <w:tc>
          <w:tcPr>
            <w:tcW w:w="1650" w:type="dxa"/>
            <w:vAlign w:val="center"/>
          </w:tcPr>
          <w:p w:rsidR="00F31622" w:rsidRDefault="00346E0A">
            <w:pPr>
              <w:jc w:val="center"/>
            </w:pPr>
            <w:r>
              <w:rPr>
                <w:color w:val="000000"/>
                <w:sz w:val="24"/>
              </w:rPr>
              <w:t>603369</w:t>
            </w:r>
          </w:p>
        </w:tc>
        <w:tc>
          <w:tcPr>
            <w:tcW w:w="1980" w:type="dxa"/>
            <w:vAlign w:val="center"/>
          </w:tcPr>
          <w:p w:rsidR="00F31622" w:rsidRDefault="00346E0A">
            <w:pPr>
              <w:jc w:val="center"/>
            </w:pPr>
            <w:r>
              <w:rPr>
                <w:color w:val="000000"/>
                <w:sz w:val="24"/>
              </w:rPr>
              <w:t>今世缘</w:t>
            </w:r>
          </w:p>
        </w:tc>
        <w:tc>
          <w:tcPr>
            <w:tcW w:w="2880" w:type="dxa"/>
            <w:vAlign w:val="center"/>
          </w:tcPr>
          <w:p w:rsidR="00F31622" w:rsidRDefault="00346E0A">
            <w:pPr>
              <w:jc w:val="right"/>
            </w:pPr>
            <w:r>
              <w:rPr>
                <w:color w:val="000000"/>
                <w:sz w:val="24"/>
              </w:rPr>
              <w:t>16,930.00</w:t>
            </w:r>
          </w:p>
        </w:tc>
        <w:tc>
          <w:tcPr>
            <w:tcW w:w="1620" w:type="dxa"/>
            <w:vAlign w:val="center"/>
          </w:tcPr>
          <w:p w:rsidR="00F31622" w:rsidRDefault="00346E0A">
            <w:pPr>
              <w:jc w:val="right"/>
            </w:pPr>
            <w:r>
              <w:rPr>
                <w:color w:val="000000"/>
                <w:sz w:val="24"/>
              </w:rPr>
              <w:t>0.00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F31622">
        <w:tc>
          <w:tcPr>
            <w:tcW w:w="870" w:type="dxa"/>
            <w:vAlign w:val="center"/>
          </w:tcPr>
          <w:p w:rsidR="00F31622" w:rsidRDefault="00346E0A">
            <w:pPr>
              <w:jc w:val="center"/>
            </w:pPr>
            <w:r>
              <w:t>1</w:t>
            </w:r>
          </w:p>
        </w:tc>
        <w:tc>
          <w:tcPr>
            <w:tcW w:w="1650" w:type="dxa"/>
            <w:vAlign w:val="center"/>
          </w:tcPr>
          <w:p w:rsidR="00F31622" w:rsidRDefault="00346E0A">
            <w:pPr>
              <w:jc w:val="center"/>
            </w:pPr>
            <w:r>
              <w:t>600085</w:t>
            </w:r>
          </w:p>
        </w:tc>
        <w:tc>
          <w:tcPr>
            <w:tcW w:w="1980" w:type="dxa"/>
            <w:vAlign w:val="center"/>
          </w:tcPr>
          <w:p w:rsidR="00F31622" w:rsidRDefault="00346E0A">
            <w:pPr>
              <w:jc w:val="center"/>
            </w:pPr>
            <w:r>
              <w:t>同仁堂</w:t>
            </w:r>
          </w:p>
        </w:tc>
        <w:tc>
          <w:tcPr>
            <w:tcW w:w="2880" w:type="dxa"/>
            <w:vAlign w:val="center"/>
          </w:tcPr>
          <w:p w:rsidR="00F31622" w:rsidRDefault="00346E0A">
            <w:pPr>
              <w:jc w:val="right"/>
            </w:pPr>
            <w:r>
              <w:t>19,675,599.22</w:t>
            </w:r>
          </w:p>
        </w:tc>
        <w:tc>
          <w:tcPr>
            <w:tcW w:w="1620" w:type="dxa"/>
            <w:vAlign w:val="center"/>
          </w:tcPr>
          <w:p w:rsidR="00F31622" w:rsidRDefault="00346E0A">
            <w:pPr>
              <w:jc w:val="right"/>
            </w:pPr>
            <w:r>
              <w:t>1.01</w:t>
            </w:r>
          </w:p>
        </w:tc>
      </w:tr>
      <w:tr w:rsidR="00F31622">
        <w:tc>
          <w:tcPr>
            <w:tcW w:w="870" w:type="dxa"/>
            <w:vAlign w:val="center"/>
          </w:tcPr>
          <w:p w:rsidR="00F31622" w:rsidRDefault="00346E0A">
            <w:pPr>
              <w:jc w:val="center"/>
            </w:pPr>
            <w:r>
              <w:t>2</w:t>
            </w:r>
          </w:p>
        </w:tc>
        <w:tc>
          <w:tcPr>
            <w:tcW w:w="1650" w:type="dxa"/>
            <w:vAlign w:val="center"/>
          </w:tcPr>
          <w:p w:rsidR="00F31622" w:rsidRDefault="00346E0A">
            <w:pPr>
              <w:jc w:val="center"/>
            </w:pPr>
            <w:r>
              <w:t>002106</w:t>
            </w:r>
          </w:p>
        </w:tc>
        <w:tc>
          <w:tcPr>
            <w:tcW w:w="1980" w:type="dxa"/>
            <w:vAlign w:val="center"/>
          </w:tcPr>
          <w:p w:rsidR="00F31622" w:rsidRDefault="00346E0A">
            <w:pPr>
              <w:jc w:val="center"/>
            </w:pPr>
            <w:r>
              <w:t>莱宝高科</w:t>
            </w:r>
          </w:p>
        </w:tc>
        <w:tc>
          <w:tcPr>
            <w:tcW w:w="2880" w:type="dxa"/>
            <w:vAlign w:val="center"/>
          </w:tcPr>
          <w:p w:rsidR="00F31622" w:rsidRDefault="00346E0A">
            <w:pPr>
              <w:jc w:val="right"/>
            </w:pPr>
            <w:r>
              <w:t>11,386,679.04</w:t>
            </w:r>
          </w:p>
        </w:tc>
        <w:tc>
          <w:tcPr>
            <w:tcW w:w="1620" w:type="dxa"/>
            <w:vAlign w:val="center"/>
          </w:tcPr>
          <w:p w:rsidR="00F31622" w:rsidRDefault="00346E0A">
            <w:pPr>
              <w:jc w:val="right"/>
            </w:pPr>
            <w:r>
              <w:t>0.58</w:t>
            </w:r>
          </w:p>
        </w:tc>
      </w:tr>
      <w:tr w:rsidR="00F31622">
        <w:tc>
          <w:tcPr>
            <w:tcW w:w="870" w:type="dxa"/>
            <w:vAlign w:val="center"/>
          </w:tcPr>
          <w:p w:rsidR="00F31622" w:rsidRDefault="00346E0A">
            <w:pPr>
              <w:jc w:val="center"/>
            </w:pPr>
            <w:r>
              <w:t>3</w:t>
            </w:r>
          </w:p>
        </w:tc>
        <w:tc>
          <w:tcPr>
            <w:tcW w:w="1650" w:type="dxa"/>
            <w:vAlign w:val="center"/>
          </w:tcPr>
          <w:p w:rsidR="00F31622" w:rsidRDefault="00346E0A">
            <w:pPr>
              <w:jc w:val="center"/>
            </w:pPr>
            <w:r>
              <w:t>600422</w:t>
            </w:r>
          </w:p>
        </w:tc>
        <w:tc>
          <w:tcPr>
            <w:tcW w:w="1980" w:type="dxa"/>
            <w:vAlign w:val="center"/>
          </w:tcPr>
          <w:p w:rsidR="00F31622" w:rsidRDefault="00346E0A">
            <w:pPr>
              <w:jc w:val="center"/>
            </w:pPr>
            <w:r>
              <w:t>昆药集团</w:t>
            </w:r>
          </w:p>
        </w:tc>
        <w:tc>
          <w:tcPr>
            <w:tcW w:w="2880" w:type="dxa"/>
            <w:vAlign w:val="center"/>
          </w:tcPr>
          <w:p w:rsidR="00F31622" w:rsidRDefault="00346E0A">
            <w:pPr>
              <w:jc w:val="right"/>
            </w:pPr>
            <w:r>
              <w:t>7,731,370.17</w:t>
            </w:r>
          </w:p>
        </w:tc>
        <w:tc>
          <w:tcPr>
            <w:tcW w:w="1620" w:type="dxa"/>
            <w:vAlign w:val="center"/>
          </w:tcPr>
          <w:p w:rsidR="00F31622" w:rsidRDefault="00346E0A">
            <w:pPr>
              <w:jc w:val="right"/>
            </w:pPr>
            <w:r>
              <w:t>0.40</w:t>
            </w:r>
          </w:p>
        </w:tc>
      </w:tr>
      <w:tr w:rsidR="00F31622">
        <w:tc>
          <w:tcPr>
            <w:tcW w:w="870" w:type="dxa"/>
            <w:vAlign w:val="center"/>
          </w:tcPr>
          <w:p w:rsidR="00F31622" w:rsidRDefault="00346E0A">
            <w:pPr>
              <w:jc w:val="center"/>
            </w:pPr>
            <w:r>
              <w:t>4</w:t>
            </w:r>
          </w:p>
        </w:tc>
        <w:tc>
          <w:tcPr>
            <w:tcW w:w="1650" w:type="dxa"/>
            <w:vAlign w:val="center"/>
          </w:tcPr>
          <w:p w:rsidR="00F31622" w:rsidRDefault="00346E0A">
            <w:pPr>
              <w:jc w:val="center"/>
            </w:pPr>
            <w:r>
              <w:t>000887</w:t>
            </w:r>
          </w:p>
        </w:tc>
        <w:tc>
          <w:tcPr>
            <w:tcW w:w="1980" w:type="dxa"/>
            <w:vAlign w:val="center"/>
          </w:tcPr>
          <w:p w:rsidR="00F31622" w:rsidRDefault="00346E0A">
            <w:pPr>
              <w:jc w:val="center"/>
            </w:pPr>
            <w:r>
              <w:t>中鼎股份</w:t>
            </w:r>
          </w:p>
        </w:tc>
        <w:tc>
          <w:tcPr>
            <w:tcW w:w="2880" w:type="dxa"/>
            <w:vAlign w:val="center"/>
          </w:tcPr>
          <w:p w:rsidR="00F31622" w:rsidRDefault="00346E0A">
            <w:pPr>
              <w:jc w:val="right"/>
            </w:pPr>
            <w:r>
              <w:t>7,658,830.20</w:t>
            </w:r>
          </w:p>
        </w:tc>
        <w:tc>
          <w:tcPr>
            <w:tcW w:w="1620" w:type="dxa"/>
            <w:vAlign w:val="center"/>
          </w:tcPr>
          <w:p w:rsidR="00F31622" w:rsidRDefault="00346E0A">
            <w:pPr>
              <w:jc w:val="right"/>
            </w:pPr>
            <w:r>
              <w:t>0.39</w:t>
            </w:r>
          </w:p>
        </w:tc>
      </w:tr>
      <w:tr w:rsidR="00F31622">
        <w:tc>
          <w:tcPr>
            <w:tcW w:w="870" w:type="dxa"/>
            <w:vAlign w:val="center"/>
          </w:tcPr>
          <w:p w:rsidR="00F31622" w:rsidRDefault="00346E0A">
            <w:pPr>
              <w:jc w:val="center"/>
            </w:pPr>
            <w:r>
              <w:t>5</w:t>
            </w:r>
          </w:p>
        </w:tc>
        <w:tc>
          <w:tcPr>
            <w:tcW w:w="1650" w:type="dxa"/>
            <w:vAlign w:val="center"/>
          </w:tcPr>
          <w:p w:rsidR="00F31622" w:rsidRDefault="00346E0A">
            <w:pPr>
              <w:jc w:val="center"/>
            </w:pPr>
            <w:r>
              <w:t>601989</w:t>
            </w:r>
          </w:p>
        </w:tc>
        <w:tc>
          <w:tcPr>
            <w:tcW w:w="1980" w:type="dxa"/>
            <w:vAlign w:val="center"/>
          </w:tcPr>
          <w:p w:rsidR="00F31622" w:rsidRDefault="00346E0A">
            <w:pPr>
              <w:jc w:val="center"/>
            </w:pPr>
            <w:r>
              <w:t>中国重工</w:t>
            </w:r>
          </w:p>
        </w:tc>
        <w:tc>
          <w:tcPr>
            <w:tcW w:w="2880" w:type="dxa"/>
            <w:vAlign w:val="center"/>
          </w:tcPr>
          <w:p w:rsidR="00F31622" w:rsidRDefault="00346E0A">
            <w:pPr>
              <w:jc w:val="right"/>
            </w:pPr>
            <w:r>
              <w:t>6,093,514.60</w:t>
            </w:r>
          </w:p>
        </w:tc>
        <w:tc>
          <w:tcPr>
            <w:tcW w:w="1620" w:type="dxa"/>
            <w:vAlign w:val="center"/>
          </w:tcPr>
          <w:p w:rsidR="00F31622" w:rsidRDefault="00346E0A">
            <w:pPr>
              <w:jc w:val="right"/>
            </w:pPr>
            <w:r>
              <w:t>0.31</w:t>
            </w:r>
          </w:p>
        </w:tc>
      </w:tr>
      <w:tr w:rsidR="00F31622">
        <w:tc>
          <w:tcPr>
            <w:tcW w:w="870" w:type="dxa"/>
            <w:vAlign w:val="center"/>
          </w:tcPr>
          <w:p w:rsidR="00F31622" w:rsidRDefault="00346E0A">
            <w:pPr>
              <w:jc w:val="center"/>
            </w:pPr>
            <w:r>
              <w:t>6</w:t>
            </w:r>
          </w:p>
        </w:tc>
        <w:tc>
          <w:tcPr>
            <w:tcW w:w="1650" w:type="dxa"/>
            <w:vAlign w:val="center"/>
          </w:tcPr>
          <w:p w:rsidR="00F31622" w:rsidRDefault="00346E0A">
            <w:pPr>
              <w:jc w:val="center"/>
            </w:pPr>
            <w:r>
              <w:t>603369</w:t>
            </w:r>
          </w:p>
        </w:tc>
        <w:tc>
          <w:tcPr>
            <w:tcW w:w="1980" w:type="dxa"/>
            <w:vAlign w:val="center"/>
          </w:tcPr>
          <w:p w:rsidR="00F31622" w:rsidRDefault="00346E0A">
            <w:pPr>
              <w:jc w:val="center"/>
            </w:pPr>
            <w:r>
              <w:t>今世缘</w:t>
            </w:r>
          </w:p>
        </w:tc>
        <w:tc>
          <w:tcPr>
            <w:tcW w:w="2880" w:type="dxa"/>
            <w:vAlign w:val="center"/>
          </w:tcPr>
          <w:p w:rsidR="00F31622" w:rsidRDefault="00346E0A">
            <w:pPr>
              <w:jc w:val="right"/>
            </w:pPr>
            <w:r>
              <w:t>30,900.00</w:t>
            </w:r>
          </w:p>
        </w:tc>
        <w:tc>
          <w:tcPr>
            <w:tcW w:w="1620" w:type="dxa"/>
            <w:vAlign w:val="center"/>
          </w:tcPr>
          <w:p w:rsidR="00F31622" w:rsidRDefault="00346E0A">
            <w:pPr>
              <w:jc w:val="right"/>
            </w:pPr>
            <w:r>
              <w:t>0.00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19,947,534.12</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52,576,893.23</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9" w:name="_Toc234814104"/>
      <w:bookmarkStart w:id="70"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69"/>
      <w:bookmarkEnd w:id="70"/>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60,000,000.00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43.79</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10,000,000.00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7.30</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98,798,582.00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72.11</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r w:rsidR="000C0A18" w:rsidRPr="00C234F0">
              <w:rPr>
                <w:rFonts w:hint="eastAsia"/>
                <w:color w:val="000000"/>
                <w:sz w:val="24"/>
              </w:rPr>
              <w:t>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29,195,000.00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21.31</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7</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可转债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580,660.00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0.42</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8</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188,574,242.00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137.64</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1" w:name="_Toc361324884"/>
      <w:r w:rsidRPr="00245C29">
        <w:rPr>
          <w:rFonts w:ascii="Times New Roman" w:hAnsi="Times New Roman"/>
          <w:kern w:val="0"/>
          <w:szCs w:val="24"/>
        </w:rPr>
        <w:t>8.6</w:t>
      </w:r>
      <w:bookmarkStart w:id="72"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1"/>
      <w:bookmarkEnd w:id="72"/>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F31622">
        <w:tc>
          <w:tcPr>
            <w:tcW w:w="1499" w:type="dxa"/>
            <w:vAlign w:val="center"/>
          </w:tcPr>
          <w:p w:rsidR="00F31622" w:rsidRDefault="00346E0A">
            <w:pPr>
              <w:jc w:val="center"/>
            </w:pPr>
            <w:r>
              <w:rPr>
                <w:color w:val="000000"/>
                <w:sz w:val="24"/>
              </w:rPr>
              <w:t>1</w:t>
            </w:r>
          </w:p>
        </w:tc>
        <w:tc>
          <w:tcPr>
            <w:tcW w:w="1499" w:type="dxa"/>
            <w:vAlign w:val="center"/>
          </w:tcPr>
          <w:p w:rsidR="00F31622" w:rsidRDefault="00346E0A">
            <w:pPr>
              <w:jc w:val="center"/>
            </w:pPr>
            <w:r>
              <w:rPr>
                <w:color w:val="000000"/>
                <w:sz w:val="24"/>
              </w:rPr>
              <w:t>120000A</w:t>
            </w:r>
          </w:p>
        </w:tc>
        <w:tc>
          <w:tcPr>
            <w:tcW w:w="1500" w:type="dxa"/>
            <w:vAlign w:val="center"/>
          </w:tcPr>
          <w:p w:rsidR="00F31622" w:rsidRDefault="00346E0A">
            <w:pPr>
              <w:jc w:val="center"/>
            </w:pPr>
            <w:r>
              <w:rPr>
                <w:color w:val="000000"/>
                <w:sz w:val="24"/>
              </w:rPr>
              <w:t>12</w:t>
            </w:r>
            <w:r>
              <w:rPr>
                <w:color w:val="000000"/>
                <w:sz w:val="24"/>
              </w:rPr>
              <w:t>光大永明次级债务</w:t>
            </w:r>
          </w:p>
        </w:tc>
        <w:tc>
          <w:tcPr>
            <w:tcW w:w="1500" w:type="dxa"/>
            <w:vAlign w:val="center"/>
          </w:tcPr>
          <w:p w:rsidR="00F31622" w:rsidRDefault="00346E0A">
            <w:pPr>
              <w:jc w:val="right"/>
            </w:pPr>
            <w:r>
              <w:rPr>
                <w:color w:val="000000"/>
                <w:sz w:val="24"/>
              </w:rPr>
              <w:t>500,000</w:t>
            </w:r>
          </w:p>
        </w:tc>
        <w:tc>
          <w:tcPr>
            <w:tcW w:w="1500" w:type="dxa"/>
            <w:vAlign w:val="center"/>
          </w:tcPr>
          <w:p w:rsidR="00F31622" w:rsidRDefault="00346E0A">
            <w:pPr>
              <w:jc w:val="right"/>
            </w:pPr>
            <w:r>
              <w:rPr>
                <w:color w:val="000000"/>
                <w:sz w:val="24"/>
              </w:rPr>
              <w:t>50,000,000.00</w:t>
            </w:r>
          </w:p>
        </w:tc>
        <w:tc>
          <w:tcPr>
            <w:tcW w:w="1500" w:type="dxa"/>
            <w:vAlign w:val="center"/>
          </w:tcPr>
          <w:p w:rsidR="00F31622" w:rsidRDefault="00346E0A">
            <w:pPr>
              <w:jc w:val="right"/>
            </w:pPr>
            <w:r>
              <w:rPr>
                <w:color w:val="000000"/>
                <w:sz w:val="24"/>
              </w:rPr>
              <w:t>36.49</w:t>
            </w:r>
          </w:p>
        </w:tc>
      </w:tr>
      <w:tr w:rsidR="00F31622">
        <w:tc>
          <w:tcPr>
            <w:tcW w:w="1499" w:type="dxa"/>
            <w:vAlign w:val="center"/>
          </w:tcPr>
          <w:p w:rsidR="00F31622" w:rsidRDefault="00346E0A">
            <w:pPr>
              <w:jc w:val="center"/>
            </w:pPr>
            <w:r>
              <w:rPr>
                <w:color w:val="000000"/>
                <w:sz w:val="24"/>
              </w:rPr>
              <w:t>2</w:t>
            </w:r>
          </w:p>
        </w:tc>
        <w:tc>
          <w:tcPr>
            <w:tcW w:w="1499" w:type="dxa"/>
            <w:vAlign w:val="center"/>
          </w:tcPr>
          <w:p w:rsidR="00F31622" w:rsidRDefault="00346E0A">
            <w:pPr>
              <w:jc w:val="center"/>
            </w:pPr>
            <w:r>
              <w:rPr>
                <w:color w:val="000000"/>
                <w:sz w:val="24"/>
              </w:rPr>
              <w:t>122826</w:t>
            </w:r>
          </w:p>
        </w:tc>
        <w:tc>
          <w:tcPr>
            <w:tcW w:w="1500" w:type="dxa"/>
            <w:vAlign w:val="center"/>
          </w:tcPr>
          <w:p w:rsidR="00F31622" w:rsidRDefault="00346E0A">
            <w:pPr>
              <w:jc w:val="center"/>
            </w:pPr>
            <w:r>
              <w:rPr>
                <w:color w:val="000000"/>
                <w:sz w:val="24"/>
              </w:rPr>
              <w:t>11</w:t>
            </w:r>
            <w:r>
              <w:rPr>
                <w:color w:val="000000"/>
                <w:sz w:val="24"/>
              </w:rPr>
              <w:t>北港债</w:t>
            </w:r>
          </w:p>
        </w:tc>
        <w:tc>
          <w:tcPr>
            <w:tcW w:w="1500" w:type="dxa"/>
            <w:vAlign w:val="center"/>
          </w:tcPr>
          <w:p w:rsidR="00F31622" w:rsidRDefault="00346E0A">
            <w:pPr>
              <w:jc w:val="right"/>
            </w:pPr>
            <w:r>
              <w:rPr>
                <w:color w:val="000000"/>
                <w:sz w:val="24"/>
              </w:rPr>
              <w:t>200,000</w:t>
            </w:r>
          </w:p>
        </w:tc>
        <w:tc>
          <w:tcPr>
            <w:tcW w:w="1500" w:type="dxa"/>
            <w:vAlign w:val="center"/>
          </w:tcPr>
          <w:p w:rsidR="00F31622" w:rsidRDefault="00346E0A">
            <w:pPr>
              <w:jc w:val="right"/>
            </w:pPr>
            <w:r>
              <w:rPr>
                <w:color w:val="000000"/>
                <w:sz w:val="24"/>
              </w:rPr>
              <w:t>20,286,000.00</w:t>
            </w:r>
          </w:p>
        </w:tc>
        <w:tc>
          <w:tcPr>
            <w:tcW w:w="1500" w:type="dxa"/>
            <w:vAlign w:val="center"/>
          </w:tcPr>
          <w:p w:rsidR="00F31622" w:rsidRDefault="00346E0A">
            <w:pPr>
              <w:jc w:val="right"/>
            </w:pPr>
            <w:r>
              <w:rPr>
                <w:color w:val="000000"/>
                <w:sz w:val="24"/>
              </w:rPr>
              <w:t>14.81</w:t>
            </w:r>
          </w:p>
        </w:tc>
      </w:tr>
      <w:tr w:rsidR="00F31622">
        <w:tc>
          <w:tcPr>
            <w:tcW w:w="1499" w:type="dxa"/>
            <w:vAlign w:val="center"/>
          </w:tcPr>
          <w:p w:rsidR="00F31622" w:rsidRDefault="00346E0A">
            <w:pPr>
              <w:jc w:val="center"/>
            </w:pPr>
            <w:r>
              <w:rPr>
                <w:color w:val="000000"/>
                <w:sz w:val="24"/>
              </w:rPr>
              <w:t>3</w:t>
            </w:r>
          </w:p>
        </w:tc>
        <w:tc>
          <w:tcPr>
            <w:tcW w:w="1499" w:type="dxa"/>
            <w:vAlign w:val="center"/>
          </w:tcPr>
          <w:p w:rsidR="00F31622" w:rsidRDefault="00346E0A">
            <w:pPr>
              <w:jc w:val="center"/>
            </w:pPr>
            <w:r>
              <w:rPr>
                <w:color w:val="000000"/>
                <w:sz w:val="24"/>
              </w:rPr>
              <w:t>1382136</w:t>
            </w:r>
          </w:p>
        </w:tc>
        <w:tc>
          <w:tcPr>
            <w:tcW w:w="1500" w:type="dxa"/>
            <w:vAlign w:val="center"/>
          </w:tcPr>
          <w:p w:rsidR="00F31622" w:rsidRDefault="00346E0A">
            <w:pPr>
              <w:jc w:val="center"/>
            </w:pPr>
            <w:r>
              <w:rPr>
                <w:color w:val="000000"/>
                <w:sz w:val="24"/>
              </w:rPr>
              <w:t>13</w:t>
            </w:r>
            <w:r>
              <w:rPr>
                <w:color w:val="000000"/>
                <w:sz w:val="24"/>
              </w:rPr>
              <w:t>乌兰煤</w:t>
            </w:r>
            <w:r>
              <w:rPr>
                <w:color w:val="000000"/>
                <w:sz w:val="24"/>
              </w:rPr>
              <w:t>MTN1</w:t>
            </w:r>
          </w:p>
        </w:tc>
        <w:tc>
          <w:tcPr>
            <w:tcW w:w="1500" w:type="dxa"/>
            <w:vAlign w:val="center"/>
          </w:tcPr>
          <w:p w:rsidR="00F31622" w:rsidRDefault="00346E0A">
            <w:pPr>
              <w:jc w:val="right"/>
            </w:pPr>
            <w:r>
              <w:rPr>
                <w:color w:val="000000"/>
                <w:sz w:val="24"/>
              </w:rPr>
              <w:t>200,000</w:t>
            </w:r>
          </w:p>
        </w:tc>
        <w:tc>
          <w:tcPr>
            <w:tcW w:w="1500" w:type="dxa"/>
            <w:vAlign w:val="center"/>
          </w:tcPr>
          <w:p w:rsidR="00F31622" w:rsidRDefault="00346E0A">
            <w:pPr>
              <w:jc w:val="right"/>
            </w:pPr>
            <w:r>
              <w:rPr>
                <w:color w:val="000000"/>
                <w:sz w:val="24"/>
              </w:rPr>
              <w:t>19,428,000.00</w:t>
            </w:r>
          </w:p>
        </w:tc>
        <w:tc>
          <w:tcPr>
            <w:tcW w:w="1500" w:type="dxa"/>
            <w:vAlign w:val="center"/>
          </w:tcPr>
          <w:p w:rsidR="00F31622" w:rsidRDefault="00346E0A">
            <w:pPr>
              <w:jc w:val="right"/>
            </w:pPr>
            <w:r>
              <w:rPr>
                <w:color w:val="000000"/>
                <w:sz w:val="24"/>
              </w:rPr>
              <w:t>14.18</w:t>
            </w:r>
          </w:p>
        </w:tc>
      </w:tr>
      <w:tr w:rsidR="00F31622">
        <w:tc>
          <w:tcPr>
            <w:tcW w:w="1499" w:type="dxa"/>
            <w:vAlign w:val="center"/>
          </w:tcPr>
          <w:p w:rsidR="00F31622" w:rsidRDefault="00346E0A">
            <w:pPr>
              <w:jc w:val="center"/>
            </w:pPr>
            <w:r>
              <w:rPr>
                <w:color w:val="000000"/>
                <w:sz w:val="24"/>
              </w:rPr>
              <w:t>4</w:t>
            </w:r>
          </w:p>
        </w:tc>
        <w:tc>
          <w:tcPr>
            <w:tcW w:w="1499" w:type="dxa"/>
            <w:vAlign w:val="center"/>
          </w:tcPr>
          <w:p w:rsidR="00F31622" w:rsidRDefault="00346E0A">
            <w:pPr>
              <w:jc w:val="center"/>
            </w:pPr>
            <w:r>
              <w:rPr>
                <w:color w:val="000000"/>
                <w:sz w:val="24"/>
              </w:rPr>
              <w:t>124517</w:t>
            </w:r>
          </w:p>
        </w:tc>
        <w:tc>
          <w:tcPr>
            <w:tcW w:w="1500" w:type="dxa"/>
            <w:vAlign w:val="center"/>
          </w:tcPr>
          <w:p w:rsidR="00F31622" w:rsidRDefault="00346E0A">
            <w:pPr>
              <w:jc w:val="center"/>
            </w:pPr>
            <w:r>
              <w:rPr>
                <w:color w:val="000000"/>
                <w:sz w:val="24"/>
              </w:rPr>
              <w:t>14</w:t>
            </w:r>
            <w:r>
              <w:rPr>
                <w:color w:val="000000"/>
                <w:sz w:val="24"/>
              </w:rPr>
              <w:t>怀化</w:t>
            </w:r>
            <w:r>
              <w:rPr>
                <w:color w:val="000000"/>
                <w:sz w:val="24"/>
              </w:rPr>
              <w:t>02</w:t>
            </w:r>
          </w:p>
        </w:tc>
        <w:tc>
          <w:tcPr>
            <w:tcW w:w="1500" w:type="dxa"/>
            <w:vAlign w:val="center"/>
          </w:tcPr>
          <w:p w:rsidR="00F31622" w:rsidRDefault="00346E0A">
            <w:pPr>
              <w:jc w:val="right"/>
            </w:pPr>
            <w:r>
              <w:rPr>
                <w:color w:val="000000"/>
                <w:sz w:val="24"/>
              </w:rPr>
              <w:t>160,000</w:t>
            </w:r>
          </w:p>
        </w:tc>
        <w:tc>
          <w:tcPr>
            <w:tcW w:w="1500" w:type="dxa"/>
            <w:vAlign w:val="center"/>
          </w:tcPr>
          <w:p w:rsidR="00F31622" w:rsidRDefault="00346E0A">
            <w:pPr>
              <w:jc w:val="right"/>
            </w:pPr>
            <w:r>
              <w:rPr>
                <w:color w:val="000000"/>
                <w:sz w:val="24"/>
              </w:rPr>
              <w:t>16,798,400.00</w:t>
            </w:r>
          </w:p>
        </w:tc>
        <w:tc>
          <w:tcPr>
            <w:tcW w:w="1500" w:type="dxa"/>
            <w:vAlign w:val="center"/>
          </w:tcPr>
          <w:p w:rsidR="00F31622" w:rsidRDefault="00346E0A">
            <w:pPr>
              <w:jc w:val="right"/>
            </w:pPr>
            <w:r>
              <w:rPr>
                <w:color w:val="000000"/>
                <w:sz w:val="24"/>
              </w:rPr>
              <w:t>12.26</w:t>
            </w:r>
          </w:p>
        </w:tc>
      </w:tr>
      <w:tr w:rsidR="00F31622">
        <w:tc>
          <w:tcPr>
            <w:tcW w:w="1499" w:type="dxa"/>
            <w:vAlign w:val="center"/>
          </w:tcPr>
          <w:p w:rsidR="00F31622" w:rsidRDefault="00346E0A">
            <w:pPr>
              <w:jc w:val="center"/>
            </w:pPr>
            <w:r>
              <w:rPr>
                <w:color w:val="000000"/>
                <w:sz w:val="24"/>
              </w:rPr>
              <w:t>5</w:t>
            </w:r>
          </w:p>
        </w:tc>
        <w:tc>
          <w:tcPr>
            <w:tcW w:w="1499" w:type="dxa"/>
            <w:vAlign w:val="center"/>
          </w:tcPr>
          <w:p w:rsidR="00F31622" w:rsidRDefault="00346E0A">
            <w:pPr>
              <w:jc w:val="center"/>
            </w:pPr>
            <w:r>
              <w:rPr>
                <w:color w:val="000000"/>
                <w:sz w:val="24"/>
              </w:rPr>
              <w:t>122302</w:t>
            </w:r>
          </w:p>
        </w:tc>
        <w:tc>
          <w:tcPr>
            <w:tcW w:w="1500" w:type="dxa"/>
            <w:vAlign w:val="center"/>
          </w:tcPr>
          <w:p w:rsidR="00F31622" w:rsidRDefault="00346E0A">
            <w:pPr>
              <w:jc w:val="center"/>
            </w:pPr>
            <w:r>
              <w:rPr>
                <w:color w:val="000000"/>
                <w:sz w:val="24"/>
              </w:rPr>
              <w:t>13</w:t>
            </w:r>
            <w:r>
              <w:rPr>
                <w:color w:val="000000"/>
                <w:sz w:val="24"/>
              </w:rPr>
              <w:t>天房债</w:t>
            </w:r>
          </w:p>
        </w:tc>
        <w:tc>
          <w:tcPr>
            <w:tcW w:w="1500" w:type="dxa"/>
            <w:vAlign w:val="center"/>
          </w:tcPr>
          <w:p w:rsidR="00F31622" w:rsidRDefault="00346E0A">
            <w:pPr>
              <w:jc w:val="right"/>
            </w:pPr>
            <w:r>
              <w:rPr>
                <w:color w:val="000000"/>
                <w:sz w:val="24"/>
              </w:rPr>
              <w:t>100,000</w:t>
            </w:r>
          </w:p>
        </w:tc>
        <w:tc>
          <w:tcPr>
            <w:tcW w:w="1500" w:type="dxa"/>
            <w:vAlign w:val="center"/>
          </w:tcPr>
          <w:p w:rsidR="00F31622" w:rsidRDefault="00346E0A">
            <w:pPr>
              <w:jc w:val="right"/>
            </w:pPr>
            <w:r>
              <w:rPr>
                <w:color w:val="000000"/>
                <w:sz w:val="24"/>
              </w:rPr>
              <w:t>10,625,000.00</w:t>
            </w:r>
          </w:p>
        </w:tc>
        <w:tc>
          <w:tcPr>
            <w:tcW w:w="1500" w:type="dxa"/>
            <w:vAlign w:val="center"/>
          </w:tcPr>
          <w:p w:rsidR="00F31622" w:rsidRDefault="00346E0A">
            <w:pPr>
              <w:jc w:val="right"/>
            </w:pPr>
            <w:r>
              <w:rPr>
                <w:color w:val="000000"/>
                <w:sz w:val="24"/>
              </w:rPr>
              <w:t>7.76</w:t>
            </w:r>
          </w:p>
        </w:tc>
      </w:tr>
    </w:tbl>
    <w:p w:rsidR="001A59F9" w:rsidRDefault="001A59F9" w:rsidP="00BE4E5D">
      <w:pPr>
        <w:tabs>
          <w:tab w:val="left" w:pos="426"/>
        </w:tabs>
        <w:spacing w:before="29" w:line="288" w:lineRule="auto"/>
        <w:jc w:val="left"/>
        <w:rPr>
          <w:kern w:val="0"/>
          <w:sz w:val="24"/>
        </w:rPr>
      </w:pPr>
      <w:r w:rsidRPr="005F057B">
        <w:rPr>
          <w:kern w:val="0"/>
          <w:sz w:val="24"/>
        </w:rPr>
        <w:t>注：因</w:t>
      </w:r>
      <w:r w:rsidRPr="005F057B">
        <w:rPr>
          <w:kern w:val="0"/>
          <w:sz w:val="24"/>
        </w:rPr>
        <w:t>“12</w:t>
      </w:r>
      <w:r w:rsidRPr="005F057B">
        <w:rPr>
          <w:kern w:val="0"/>
          <w:sz w:val="24"/>
        </w:rPr>
        <w:t>光大永明次级债</w:t>
      </w:r>
      <w:r w:rsidRPr="005F057B">
        <w:rPr>
          <w:kern w:val="0"/>
          <w:sz w:val="24"/>
        </w:rPr>
        <w:t>”</w:t>
      </w:r>
      <w:r w:rsidRPr="005F057B">
        <w:rPr>
          <w:kern w:val="0"/>
          <w:sz w:val="24"/>
        </w:rPr>
        <w:t>暂无市场代码，上表中债券代码</w:t>
      </w:r>
      <w:r w:rsidRPr="005F057B">
        <w:rPr>
          <w:kern w:val="0"/>
          <w:sz w:val="24"/>
        </w:rPr>
        <w:t>“120000A”</w:t>
      </w:r>
      <w:r w:rsidRPr="005F057B">
        <w:rPr>
          <w:kern w:val="0"/>
          <w:sz w:val="24"/>
        </w:rPr>
        <w:t>为系统虚拟代码。</w:t>
      </w:r>
    </w:p>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3"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3"/>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4"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4"/>
    </w:p>
    <w:p w:rsidR="001A59F9" w:rsidRPr="00BE4E5D" w:rsidRDefault="001A59F9" w:rsidP="00A32911">
      <w:pPr>
        <w:tabs>
          <w:tab w:val="left" w:pos="426"/>
        </w:tabs>
        <w:spacing w:before="29" w:line="288"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5"/>
    </w:p>
    <w:p w:rsidR="002D174A" w:rsidRPr="00463BF5"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463BF5" w:rsidRPr="00463BF5" w:rsidRDefault="001A59F9" w:rsidP="00EE0143">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64,601.93</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4,689,716.97</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105,168.20</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4,859,487.10</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273FD9" w:rsidRDefault="001A59F9" w:rsidP="00273FD9">
      <w:pPr>
        <w:autoSpaceDE w:val="0"/>
        <w:autoSpaceDN w:val="0"/>
        <w:adjustRightInd w:val="0"/>
        <w:spacing w:before="29" w:line="288" w:lineRule="auto"/>
        <w:ind w:left="15"/>
        <w:jc w:val="right"/>
        <w:rPr>
          <w:color w:val="000000"/>
          <w:sz w:val="24"/>
        </w:rPr>
      </w:pPr>
      <w:r w:rsidRPr="00273FD9">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6"/>
        <w:gridCol w:w="1698"/>
        <w:gridCol w:w="1628"/>
        <w:gridCol w:w="2182"/>
        <w:gridCol w:w="1714"/>
      </w:tblGrid>
      <w:tr w:rsidR="001A59F9" w:rsidRPr="00C51C77" w:rsidTr="00273FD9">
        <w:tc>
          <w:tcPr>
            <w:tcW w:w="1808"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序号</w:t>
            </w:r>
          </w:p>
        </w:tc>
        <w:tc>
          <w:tcPr>
            <w:tcW w:w="1729"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债券代码</w:t>
            </w:r>
          </w:p>
        </w:tc>
        <w:tc>
          <w:tcPr>
            <w:tcW w:w="1658"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债券名称</w:t>
            </w:r>
          </w:p>
        </w:tc>
        <w:tc>
          <w:tcPr>
            <w:tcW w:w="2224"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公允价值</w:t>
            </w:r>
          </w:p>
        </w:tc>
        <w:tc>
          <w:tcPr>
            <w:tcW w:w="1746"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占基金资产净值比例</w:t>
            </w:r>
            <w:r w:rsidRPr="00273FD9">
              <w:rPr>
                <w:color w:val="000000"/>
                <w:sz w:val="24"/>
              </w:rPr>
              <w:t>(%)</w:t>
            </w:r>
          </w:p>
        </w:tc>
      </w:tr>
      <w:tr w:rsidR="00F31622">
        <w:tc>
          <w:tcPr>
            <w:tcW w:w="1776" w:type="dxa"/>
            <w:vAlign w:val="center"/>
          </w:tcPr>
          <w:p w:rsidR="00F31622" w:rsidRDefault="00346E0A">
            <w:pPr>
              <w:jc w:val="center"/>
            </w:pPr>
            <w:r>
              <w:rPr>
                <w:color w:val="000000"/>
                <w:sz w:val="24"/>
              </w:rPr>
              <w:t>1</w:t>
            </w:r>
          </w:p>
        </w:tc>
        <w:tc>
          <w:tcPr>
            <w:tcW w:w="1698" w:type="dxa"/>
            <w:vAlign w:val="center"/>
          </w:tcPr>
          <w:p w:rsidR="00F31622" w:rsidRDefault="00346E0A">
            <w:pPr>
              <w:jc w:val="center"/>
            </w:pPr>
            <w:r>
              <w:rPr>
                <w:color w:val="000000"/>
                <w:sz w:val="24"/>
              </w:rPr>
              <w:t>113001</w:t>
            </w:r>
          </w:p>
        </w:tc>
        <w:tc>
          <w:tcPr>
            <w:tcW w:w="1628" w:type="dxa"/>
            <w:vAlign w:val="center"/>
          </w:tcPr>
          <w:p w:rsidR="00F31622" w:rsidRDefault="00346E0A">
            <w:pPr>
              <w:jc w:val="center"/>
            </w:pPr>
            <w:r>
              <w:rPr>
                <w:color w:val="000000"/>
                <w:sz w:val="24"/>
              </w:rPr>
              <w:t>中行转债</w:t>
            </w:r>
          </w:p>
        </w:tc>
        <w:tc>
          <w:tcPr>
            <w:tcW w:w="2182" w:type="dxa"/>
            <w:vAlign w:val="center"/>
          </w:tcPr>
          <w:p w:rsidR="00F31622" w:rsidRDefault="00346E0A">
            <w:pPr>
              <w:jc w:val="right"/>
            </w:pPr>
            <w:r>
              <w:rPr>
                <w:color w:val="000000"/>
                <w:sz w:val="24"/>
              </w:rPr>
              <w:t>156,590.00</w:t>
            </w:r>
          </w:p>
        </w:tc>
        <w:tc>
          <w:tcPr>
            <w:tcW w:w="1714" w:type="dxa"/>
            <w:vAlign w:val="center"/>
          </w:tcPr>
          <w:p w:rsidR="00F31622" w:rsidRDefault="00346E0A">
            <w:pPr>
              <w:jc w:val="right"/>
            </w:pPr>
            <w:r>
              <w:rPr>
                <w:color w:val="000000"/>
                <w:sz w:val="24"/>
              </w:rPr>
              <w:t>0.11</w:t>
            </w:r>
          </w:p>
        </w:tc>
      </w:tr>
      <w:tr w:rsidR="00F31622">
        <w:tc>
          <w:tcPr>
            <w:tcW w:w="1776" w:type="dxa"/>
            <w:vAlign w:val="center"/>
          </w:tcPr>
          <w:p w:rsidR="00F31622" w:rsidRDefault="00346E0A">
            <w:pPr>
              <w:jc w:val="center"/>
            </w:pPr>
            <w:r>
              <w:rPr>
                <w:color w:val="000000"/>
                <w:sz w:val="24"/>
              </w:rPr>
              <w:t>2</w:t>
            </w:r>
          </w:p>
        </w:tc>
        <w:tc>
          <w:tcPr>
            <w:tcW w:w="1698" w:type="dxa"/>
            <w:vAlign w:val="center"/>
          </w:tcPr>
          <w:p w:rsidR="00F31622" w:rsidRDefault="00346E0A">
            <w:pPr>
              <w:jc w:val="center"/>
            </w:pPr>
            <w:r>
              <w:rPr>
                <w:color w:val="000000"/>
                <w:sz w:val="24"/>
              </w:rPr>
              <w:t>113002</w:t>
            </w:r>
          </w:p>
        </w:tc>
        <w:tc>
          <w:tcPr>
            <w:tcW w:w="1628" w:type="dxa"/>
            <w:vAlign w:val="center"/>
          </w:tcPr>
          <w:p w:rsidR="00F31622" w:rsidRDefault="00346E0A">
            <w:pPr>
              <w:jc w:val="center"/>
            </w:pPr>
            <w:r>
              <w:rPr>
                <w:color w:val="000000"/>
                <w:sz w:val="24"/>
              </w:rPr>
              <w:t>工行转债</w:t>
            </w:r>
          </w:p>
        </w:tc>
        <w:tc>
          <w:tcPr>
            <w:tcW w:w="2182" w:type="dxa"/>
            <w:vAlign w:val="center"/>
          </w:tcPr>
          <w:p w:rsidR="00F31622" w:rsidRDefault="00346E0A">
            <w:pPr>
              <w:jc w:val="right"/>
            </w:pPr>
            <w:r>
              <w:rPr>
                <w:color w:val="000000"/>
                <w:sz w:val="24"/>
              </w:rPr>
              <w:t>149,190.00</w:t>
            </w:r>
          </w:p>
        </w:tc>
        <w:tc>
          <w:tcPr>
            <w:tcW w:w="1714" w:type="dxa"/>
            <w:vAlign w:val="center"/>
          </w:tcPr>
          <w:p w:rsidR="00F31622" w:rsidRDefault="00346E0A">
            <w:pPr>
              <w:jc w:val="right"/>
            </w:pPr>
            <w:r>
              <w:rPr>
                <w:color w:val="000000"/>
                <w:sz w:val="24"/>
              </w:rPr>
              <w:t>0.11</w:t>
            </w:r>
          </w:p>
        </w:tc>
      </w:tr>
      <w:tr w:rsidR="00F31622">
        <w:tc>
          <w:tcPr>
            <w:tcW w:w="1776" w:type="dxa"/>
            <w:vAlign w:val="center"/>
          </w:tcPr>
          <w:p w:rsidR="00F31622" w:rsidRDefault="00346E0A">
            <w:pPr>
              <w:jc w:val="center"/>
            </w:pPr>
            <w:r>
              <w:rPr>
                <w:color w:val="000000"/>
                <w:sz w:val="24"/>
              </w:rPr>
              <w:t>3</w:t>
            </w:r>
          </w:p>
        </w:tc>
        <w:tc>
          <w:tcPr>
            <w:tcW w:w="1698" w:type="dxa"/>
            <w:vAlign w:val="center"/>
          </w:tcPr>
          <w:p w:rsidR="00F31622" w:rsidRDefault="00346E0A">
            <w:pPr>
              <w:jc w:val="center"/>
            </w:pPr>
            <w:r>
              <w:rPr>
                <w:color w:val="000000"/>
                <w:sz w:val="24"/>
              </w:rPr>
              <w:t>110015</w:t>
            </w:r>
          </w:p>
        </w:tc>
        <w:tc>
          <w:tcPr>
            <w:tcW w:w="1628" w:type="dxa"/>
            <w:vAlign w:val="center"/>
          </w:tcPr>
          <w:p w:rsidR="00F31622" w:rsidRDefault="00346E0A">
            <w:pPr>
              <w:jc w:val="center"/>
            </w:pPr>
            <w:r>
              <w:rPr>
                <w:color w:val="000000"/>
                <w:sz w:val="24"/>
              </w:rPr>
              <w:t>石化转债</w:t>
            </w:r>
          </w:p>
        </w:tc>
        <w:tc>
          <w:tcPr>
            <w:tcW w:w="2182" w:type="dxa"/>
            <w:vAlign w:val="center"/>
          </w:tcPr>
          <w:p w:rsidR="00F31622" w:rsidRDefault="00346E0A">
            <w:pPr>
              <w:jc w:val="right"/>
            </w:pPr>
            <w:r>
              <w:rPr>
                <w:color w:val="000000"/>
                <w:sz w:val="24"/>
              </w:rPr>
              <w:t>134,920.00</w:t>
            </w:r>
          </w:p>
        </w:tc>
        <w:tc>
          <w:tcPr>
            <w:tcW w:w="1714" w:type="dxa"/>
            <w:vAlign w:val="center"/>
          </w:tcPr>
          <w:p w:rsidR="00F31622" w:rsidRDefault="00346E0A">
            <w:pPr>
              <w:jc w:val="right"/>
            </w:pPr>
            <w:r>
              <w:rPr>
                <w:color w:val="000000"/>
                <w:sz w:val="24"/>
              </w:rPr>
              <w:t>0.10</w:t>
            </w:r>
          </w:p>
        </w:tc>
      </w:tr>
    </w:tbl>
    <w:p w:rsidR="00EE0143" w:rsidRDefault="00EE0143" w:rsidP="00EE0143">
      <w:pPr>
        <w:tabs>
          <w:tab w:val="left" w:pos="426"/>
        </w:tabs>
        <w:spacing w:before="29" w:line="288" w:lineRule="auto"/>
        <w:jc w:val="left"/>
        <w:rPr>
          <w:kern w:val="0"/>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Default="001A59F9" w:rsidP="00273FD9">
      <w:pPr>
        <w:tabs>
          <w:tab w:val="left" w:pos="426"/>
        </w:tabs>
        <w:spacing w:before="29" w:line="288" w:lineRule="auto"/>
        <w:jc w:val="left"/>
        <w:rPr>
          <w:kern w:val="0"/>
          <w:sz w:val="24"/>
        </w:rPr>
      </w:pPr>
      <w:r w:rsidRPr="00273FD9">
        <w:rPr>
          <w:kern w:val="0"/>
          <w:sz w:val="24"/>
        </w:rPr>
        <w:t>本基金本报告期末前十名股票中不存在流通受限情况。</w:t>
      </w:r>
    </w:p>
    <w:p w:rsidR="00EE0143" w:rsidRPr="00273FD9" w:rsidRDefault="00EE0143" w:rsidP="00273FD9">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76" w:name="_Toc225500050"/>
      <w:bookmarkStart w:id="77"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6"/>
      <w:bookmarkEnd w:id="77"/>
    </w:p>
    <w:p w:rsidR="001A59F9" w:rsidRPr="00245C29" w:rsidRDefault="001A59F9" w:rsidP="00245C29">
      <w:pPr>
        <w:pStyle w:val="20"/>
        <w:spacing w:before="29" w:after="0" w:line="288" w:lineRule="auto"/>
        <w:rPr>
          <w:rFonts w:ascii="Times New Roman" w:hAnsi="Times New Roman"/>
          <w:kern w:val="0"/>
          <w:szCs w:val="24"/>
        </w:rPr>
      </w:pPr>
      <w:bookmarkStart w:id="78" w:name="_Toc225500051"/>
      <w:bookmarkStart w:id="79"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8"/>
      <w:bookmarkEnd w:id="79"/>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346E0A" w:rsidRPr="004B25B0" w:rsidTr="00346E0A">
        <w:tc>
          <w:tcPr>
            <w:tcW w:w="964" w:type="pct"/>
            <w:vMerge w:val="restart"/>
            <w:tcBorders>
              <w:top w:val="single" w:sz="8" w:space="0" w:color="000000"/>
              <w:left w:val="single" w:sz="8" w:space="0" w:color="000000"/>
              <w:right w:val="single" w:sz="8" w:space="0" w:color="000000"/>
            </w:tcBorders>
            <w:vAlign w:val="center"/>
          </w:tcPr>
          <w:p w:rsidR="00F31622" w:rsidRDefault="00346E0A">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346E0A" w:rsidRPr="004B25B0" w:rsidTr="00346E0A">
        <w:tc>
          <w:tcPr>
            <w:tcW w:w="964" w:type="pct"/>
            <w:vMerge/>
            <w:tcBorders>
              <w:left w:val="single" w:sz="8" w:space="0" w:color="000000"/>
              <w:right w:val="single" w:sz="8" w:space="0" w:color="000000"/>
            </w:tcBorders>
          </w:tcPr>
          <w:p w:rsidR="00F31622" w:rsidRDefault="00F31622">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346E0A" w:rsidRPr="004B25B0" w:rsidTr="00346E0A">
        <w:tc>
          <w:tcPr>
            <w:tcW w:w="964" w:type="pct"/>
            <w:vMerge/>
            <w:tcBorders>
              <w:left w:val="single" w:sz="8" w:space="0" w:color="000000"/>
              <w:bottom w:val="single" w:sz="8" w:space="0" w:color="000000"/>
              <w:right w:val="single" w:sz="8" w:space="0" w:color="000000"/>
            </w:tcBorders>
          </w:tcPr>
          <w:p w:rsidR="00F31622" w:rsidRDefault="00F31622">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346E0A" w:rsidRPr="004B25B0" w:rsidTr="00346E0A">
        <w:tc>
          <w:tcPr>
            <w:tcW w:w="964" w:type="pct"/>
            <w:tcBorders>
              <w:top w:val="single" w:sz="8" w:space="0" w:color="000000"/>
              <w:left w:val="single" w:sz="8" w:space="0" w:color="000000"/>
              <w:bottom w:val="single" w:sz="8" w:space="0" w:color="000000"/>
              <w:right w:val="single" w:sz="8" w:space="0" w:color="000000"/>
            </w:tcBorders>
            <w:vAlign w:val="center"/>
          </w:tcPr>
          <w:p w:rsidR="00F31622" w:rsidRDefault="00346E0A">
            <w:pPr>
              <w:jc w:val="center"/>
            </w:pPr>
            <w:r>
              <w:rPr>
                <w:bCs/>
                <w:color w:val="000000"/>
                <w:szCs w:val="21"/>
              </w:rPr>
              <w:t>3,122</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38,051.37</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11,205,163.66</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9.43%</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107,591,219.58</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90.57%</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0" w:name="_Toc361324890"/>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期末上市基金前十名持有人</w:t>
      </w:r>
      <w:bookmarkEnd w:id="80"/>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7"/>
        <w:gridCol w:w="2583"/>
        <w:gridCol w:w="2286"/>
        <w:gridCol w:w="3238"/>
      </w:tblGrid>
      <w:tr w:rsidR="001A59F9" w:rsidRPr="00C51C77" w:rsidTr="00A32911">
        <w:tc>
          <w:tcPr>
            <w:tcW w:w="1107" w:type="dxa"/>
            <w:vAlign w:val="center"/>
          </w:tcPr>
          <w:p w:rsidR="001A59F9" w:rsidRPr="00FD3AB2" w:rsidRDefault="001A59F9" w:rsidP="00FD3AB2">
            <w:pPr>
              <w:spacing w:before="29" w:line="288" w:lineRule="auto"/>
              <w:ind w:left="17"/>
              <w:jc w:val="center"/>
              <w:rPr>
                <w:color w:val="000000"/>
                <w:sz w:val="24"/>
              </w:rPr>
            </w:pPr>
            <w:r w:rsidRPr="00FD3AB2">
              <w:rPr>
                <w:rFonts w:hint="eastAsia"/>
                <w:color w:val="000000"/>
                <w:sz w:val="24"/>
              </w:rPr>
              <w:t>序号</w:t>
            </w:r>
          </w:p>
        </w:tc>
        <w:tc>
          <w:tcPr>
            <w:tcW w:w="2583" w:type="dxa"/>
            <w:vAlign w:val="center"/>
          </w:tcPr>
          <w:p w:rsidR="001A59F9" w:rsidRPr="00FD3AB2" w:rsidRDefault="001A59F9" w:rsidP="00FD3AB2">
            <w:pPr>
              <w:spacing w:before="29" w:line="288" w:lineRule="auto"/>
              <w:ind w:left="17"/>
              <w:jc w:val="center"/>
              <w:rPr>
                <w:color w:val="000000"/>
                <w:sz w:val="24"/>
              </w:rPr>
            </w:pPr>
            <w:r w:rsidRPr="00FD3AB2">
              <w:rPr>
                <w:rFonts w:hint="eastAsia"/>
                <w:color w:val="000000"/>
                <w:sz w:val="24"/>
              </w:rPr>
              <w:t>持有人名称</w:t>
            </w:r>
          </w:p>
        </w:tc>
        <w:tc>
          <w:tcPr>
            <w:tcW w:w="2286" w:type="dxa"/>
            <w:vAlign w:val="center"/>
          </w:tcPr>
          <w:p w:rsidR="001A59F9" w:rsidRPr="00FD3AB2" w:rsidRDefault="001A59F9" w:rsidP="00FD3AB2">
            <w:pPr>
              <w:spacing w:before="29" w:line="288" w:lineRule="auto"/>
              <w:ind w:left="17"/>
              <w:jc w:val="center"/>
              <w:rPr>
                <w:color w:val="000000"/>
                <w:sz w:val="24"/>
              </w:rPr>
            </w:pPr>
            <w:r w:rsidRPr="00FD3AB2">
              <w:rPr>
                <w:rFonts w:hint="eastAsia"/>
                <w:color w:val="000000"/>
                <w:sz w:val="24"/>
              </w:rPr>
              <w:t>持有份额（份）</w:t>
            </w:r>
          </w:p>
        </w:tc>
        <w:tc>
          <w:tcPr>
            <w:tcW w:w="3238" w:type="dxa"/>
            <w:vAlign w:val="center"/>
          </w:tcPr>
          <w:p w:rsidR="001A59F9" w:rsidRPr="00FD3AB2" w:rsidRDefault="001A59F9" w:rsidP="00FD3AB2">
            <w:pPr>
              <w:spacing w:before="29" w:line="288" w:lineRule="auto"/>
              <w:ind w:left="17"/>
              <w:jc w:val="center"/>
              <w:rPr>
                <w:color w:val="000000"/>
                <w:sz w:val="24"/>
              </w:rPr>
            </w:pPr>
            <w:r w:rsidRPr="00FD3AB2">
              <w:rPr>
                <w:rFonts w:hint="eastAsia"/>
                <w:color w:val="000000"/>
                <w:sz w:val="24"/>
              </w:rPr>
              <w:t>占上市总份额比例</w:t>
            </w:r>
          </w:p>
        </w:tc>
      </w:tr>
      <w:tr w:rsidR="00F31622" w:rsidTr="00A32911">
        <w:tc>
          <w:tcPr>
            <w:tcW w:w="1107" w:type="dxa"/>
            <w:vAlign w:val="center"/>
          </w:tcPr>
          <w:p w:rsidR="00F31622" w:rsidRDefault="00346E0A">
            <w:pPr>
              <w:jc w:val="center"/>
            </w:pPr>
            <w:r>
              <w:rPr>
                <w:color w:val="000000"/>
                <w:sz w:val="24"/>
              </w:rPr>
              <w:t>1</w:t>
            </w:r>
          </w:p>
        </w:tc>
        <w:tc>
          <w:tcPr>
            <w:tcW w:w="2583" w:type="dxa"/>
            <w:vAlign w:val="center"/>
          </w:tcPr>
          <w:p w:rsidR="00F31622" w:rsidRDefault="00346E0A">
            <w:pPr>
              <w:jc w:val="left"/>
            </w:pPr>
            <w:r>
              <w:rPr>
                <w:color w:val="000000"/>
                <w:sz w:val="24"/>
              </w:rPr>
              <w:t>东北证券－建行－东北证券</w:t>
            </w:r>
            <w:r>
              <w:rPr>
                <w:color w:val="000000"/>
                <w:sz w:val="24"/>
              </w:rPr>
              <w:t>3</w:t>
            </w:r>
            <w:r>
              <w:rPr>
                <w:color w:val="000000"/>
                <w:sz w:val="24"/>
              </w:rPr>
              <w:t>号主题投资集合资产管理计划</w:t>
            </w:r>
          </w:p>
        </w:tc>
        <w:tc>
          <w:tcPr>
            <w:tcW w:w="2286" w:type="dxa"/>
            <w:vAlign w:val="center"/>
          </w:tcPr>
          <w:p w:rsidR="00F31622" w:rsidRDefault="00346E0A">
            <w:pPr>
              <w:jc w:val="right"/>
            </w:pPr>
            <w:r>
              <w:rPr>
                <w:color w:val="000000"/>
                <w:sz w:val="24"/>
              </w:rPr>
              <w:t>2,380,700.00</w:t>
            </w:r>
          </w:p>
        </w:tc>
        <w:tc>
          <w:tcPr>
            <w:tcW w:w="3238" w:type="dxa"/>
            <w:vAlign w:val="center"/>
          </w:tcPr>
          <w:p w:rsidR="00F31622" w:rsidRDefault="00346E0A">
            <w:pPr>
              <w:jc w:val="right"/>
            </w:pPr>
            <w:r>
              <w:rPr>
                <w:color w:val="000000"/>
                <w:sz w:val="24"/>
              </w:rPr>
              <w:t>18.64%</w:t>
            </w:r>
          </w:p>
        </w:tc>
      </w:tr>
      <w:tr w:rsidR="00F31622" w:rsidTr="00A32911">
        <w:tc>
          <w:tcPr>
            <w:tcW w:w="1107" w:type="dxa"/>
            <w:vAlign w:val="center"/>
          </w:tcPr>
          <w:p w:rsidR="00F31622" w:rsidRDefault="00346E0A">
            <w:pPr>
              <w:jc w:val="center"/>
            </w:pPr>
            <w:r>
              <w:rPr>
                <w:color w:val="000000"/>
                <w:sz w:val="24"/>
              </w:rPr>
              <w:t>2</w:t>
            </w:r>
          </w:p>
        </w:tc>
        <w:tc>
          <w:tcPr>
            <w:tcW w:w="2583" w:type="dxa"/>
            <w:vAlign w:val="center"/>
          </w:tcPr>
          <w:p w:rsidR="00F31622" w:rsidRDefault="00346E0A">
            <w:pPr>
              <w:jc w:val="left"/>
            </w:pPr>
            <w:r>
              <w:rPr>
                <w:color w:val="000000"/>
                <w:sz w:val="24"/>
              </w:rPr>
              <w:t>中国建设银行股份有限公司企业年金计划－中国工商银行股份有限</w:t>
            </w:r>
          </w:p>
        </w:tc>
        <w:tc>
          <w:tcPr>
            <w:tcW w:w="2286" w:type="dxa"/>
            <w:vAlign w:val="center"/>
          </w:tcPr>
          <w:p w:rsidR="00F31622" w:rsidRDefault="00346E0A">
            <w:pPr>
              <w:jc w:val="right"/>
            </w:pPr>
            <w:r>
              <w:rPr>
                <w:color w:val="000000"/>
                <w:sz w:val="24"/>
              </w:rPr>
              <w:t>1,817,289.00</w:t>
            </w:r>
          </w:p>
        </w:tc>
        <w:tc>
          <w:tcPr>
            <w:tcW w:w="3238" w:type="dxa"/>
            <w:vAlign w:val="center"/>
          </w:tcPr>
          <w:p w:rsidR="00F31622" w:rsidRDefault="00346E0A">
            <w:pPr>
              <w:jc w:val="right"/>
            </w:pPr>
            <w:r>
              <w:rPr>
                <w:color w:val="000000"/>
                <w:sz w:val="24"/>
              </w:rPr>
              <w:t>14.23%</w:t>
            </w:r>
          </w:p>
        </w:tc>
      </w:tr>
      <w:tr w:rsidR="00F31622" w:rsidTr="00A32911">
        <w:tc>
          <w:tcPr>
            <w:tcW w:w="1107" w:type="dxa"/>
            <w:vAlign w:val="center"/>
          </w:tcPr>
          <w:p w:rsidR="00F31622" w:rsidRDefault="00346E0A">
            <w:pPr>
              <w:jc w:val="center"/>
            </w:pPr>
            <w:r>
              <w:rPr>
                <w:color w:val="000000"/>
                <w:sz w:val="24"/>
              </w:rPr>
              <w:t>3</w:t>
            </w:r>
          </w:p>
        </w:tc>
        <w:tc>
          <w:tcPr>
            <w:tcW w:w="2583" w:type="dxa"/>
            <w:vAlign w:val="center"/>
          </w:tcPr>
          <w:p w:rsidR="00F31622" w:rsidRDefault="00346E0A">
            <w:pPr>
              <w:jc w:val="left"/>
            </w:pPr>
            <w:r>
              <w:rPr>
                <w:color w:val="000000"/>
                <w:sz w:val="24"/>
              </w:rPr>
              <w:t>广东省粤电集团有限公司企业年金计划－中国工商银行股份有限公</w:t>
            </w:r>
          </w:p>
        </w:tc>
        <w:tc>
          <w:tcPr>
            <w:tcW w:w="2286" w:type="dxa"/>
            <w:vAlign w:val="center"/>
          </w:tcPr>
          <w:p w:rsidR="00F31622" w:rsidRDefault="00346E0A">
            <w:pPr>
              <w:jc w:val="right"/>
            </w:pPr>
            <w:r>
              <w:rPr>
                <w:color w:val="000000"/>
                <w:sz w:val="24"/>
              </w:rPr>
              <w:t>1,084,516.00</w:t>
            </w:r>
          </w:p>
        </w:tc>
        <w:tc>
          <w:tcPr>
            <w:tcW w:w="3238" w:type="dxa"/>
            <w:vAlign w:val="center"/>
          </w:tcPr>
          <w:p w:rsidR="00F31622" w:rsidRDefault="00346E0A">
            <w:pPr>
              <w:jc w:val="right"/>
            </w:pPr>
            <w:r>
              <w:rPr>
                <w:color w:val="000000"/>
                <w:sz w:val="24"/>
              </w:rPr>
              <w:t>8.49%</w:t>
            </w:r>
          </w:p>
        </w:tc>
      </w:tr>
      <w:tr w:rsidR="00F31622" w:rsidTr="00A32911">
        <w:tc>
          <w:tcPr>
            <w:tcW w:w="1107" w:type="dxa"/>
            <w:vAlign w:val="center"/>
          </w:tcPr>
          <w:p w:rsidR="00F31622" w:rsidRDefault="00346E0A">
            <w:pPr>
              <w:jc w:val="center"/>
            </w:pPr>
            <w:r>
              <w:rPr>
                <w:color w:val="000000"/>
                <w:sz w:val="24"/>
              </w:rPr>
              <w:t>4</w:t>
            </w:r>
          </w:p>
        </w:tc>
        <w:tc>
          <w:tcPr>
            <w:tcW w:w="2583" w:type="dxa"/>
            <w:vAlign w:val="center"/>
          </w:tcPr>
          <w:p w:rsidR="00F31622" w:rsidRDefault="00346E0A">
            <w:pPr>
              <w:jc w:val="left"/>
            </w:pPr>
            <w:r>
              <w:rPr>
                <w:color w:val="000000"/>
                <w:sz w:val="24"/>
              </w:rPr>
              <w:t>成都铁路局企业年金计划－中国建设银行股份有限公司</w:t>
            </w:r>
          </w:p>
        </w:tc>
        <w:tc>
          <w:tcPr>
            <w:tcW w:w="2286" w:type="dxa"/>
            <w:vAlign w:val="center"/>
          </w:tcPr>
          <w:p w:rsidR="00F31622" w:rsidRDefault="00346E0A">
            <w:pPr>
              <w:jc w:val="right"/>
            </w:pPr>
            <w:r>
              <w:rPr>
                <w:color w:val="000000"/>
                <w:sz w:val="24"/>
              </w:rPr>
              <w:t>1,000,000.00</w:t>
            </w:r>
          </w:p>
        </w:tc>
        <w:tc>
          <w:tcPr>
            <w:tcW w:w="3238" w:type="dxa"/>
            <w:vAlign w:val="center"/>
          </w:tcPr>
          <w:p w:rsidR="00F31622" w:rsidRDefault="00346E0A">
            <w:pPr>
              <w:jc w:val="right"/>
            </w:pPr>
            <w:r>
              <w:rPr>
                <w:color w:val="000000"/>
                <w:sz w:val="24"/>
              </w:rPr>
              <w:t>7.83%</w:t>
            </w:r>
          </w:p>
        </w:tc>
      </w:tr>
      <w:tr w:rsidR="00F31622" w:rsidTr="00A32911">
        <w:tc>
          <w:tcPr>
            <w:tcW w:w="1107" w:type="dxa"/>
            <w:vAlign w:val="center"/>
          </w:tcPr>
          <w:p w:rsidR="00F31622" w:rsidRDefault="00346E0A">
            <w:pPr>
              <w:jc w:val="center"/>
            </w:pPr>
            <w:r>
              <w:rPr>
                <w:color w:val="000000"/>
                <w:sz w:val="24"/>
              </w:rPr>
              <w:t>5</w:t>
            </w:r>
          </w:p>
        </w:tc>
        <w:tc>
          <w:tcPr>
            <w:tcW w:w="2583" w:type="dxa"/>
            <w:vAlign w:val="center"/>
          </w:tcPr>
          <w:p w:rsidR="00F31622" w:rsidRDefault="00346E0A">
            <w:pPr>
              <w:jc w:val="left"/>
            </w:pPr>
            <w:r>
              <w:rPr>
                <w:color w:val="000000"/>
                <w:sz w:val="24"/>
              </w:rPr>
              <w:t>江苏省苏豪控股集团有限公司企业年金计划－招商银行股份有限公</w:t>
            </w:r>
          </w:p>
        </w:tc>
        <w:tc>
          <w:tcPr>
            <w:tcW w:w="2286" w:type="dxa"/>
            <w:vAlign w:val="center"/>
          </w:tcPr>
          <w:p w:rsidR="00F31622" w:rsidRDefault="00346E0A">
            <w:pPr>
              <w:jc w:val="right"/>
            </w:pPr>
            <w:r>
              <w:rPr>
                <w:color w:val="000000"/>
                <w:sz w:val="24"/>
              </w:rPr>
              <w:t>1,000,000.00</w:t>
            </w:r>
          </w:p>
        </w:tc>
        <w:tc>
          <w:tcPr>
            <w:tcW w:w="3238" w:type="dxa"/>
            <w:vAlign w:val="center"/>
          </w:tcPr>
          <w:p w:rsidR="00F31622" w:rsidRDefault="00346E0A">
            <w:pPr>
              <w:jc w:val="right"/>
            </w:pPr>
            <w:r>
              <w:rPr>
                <w:color w:val="000000"/>
                <w:sz w:val="24"/>
              </w:rPr>
              <w:t>7.83%</w:t>
            </w:r>
          </w:p>
        </w:tc>
      </w:tr>
      <w:tr w:rsidR="00F31622" w:rsidTr="00A32911">
        <w:tc>
          <w:tcPr>
            <w:tcW w:w="1107" w:type="dxa"/>
            <w:vAlign w:val="center"/>
          </w:tcPr>
          <w:p w:rsidR="00F31622" w:rsidRDefault="00346E0A">
            <w:pPr>
              <w:jc w:val="center"/>
            </w:pPr>
            <w:r>
              <w:rPr>
                <w:color w:val="000000"/>
                <w:sz w:val="24"/>
              </w:rPr>
              <w:t>6</w:t>
            </w:r>
          </w:p>
        </w:tc>
        <w:tc>
          <w:tcPr>
            <w:tcW w:w="2583" w:type="dxa"/>
            <w:vAlign w:val="center"/>
          </w:tcPr>
          <w:p w:rsidR="00F31622" w:rsidRDefault="00346E0A">
            <w:pPr>
              <w:jc w:val="left"/>
            </w:pPr>
            <w:r>
              <w:rPr>
                <w:color w:val="000000"/>
                <w:sz w:val="24"/>
              </w:rPr>
              <w:t>中国第一汽车集团公司企业年金计划－中国工商银行股份有限公司</w:t>
            </w:r>
          </w:p>
        </w:tc>
        <w:tc>
          <w:tcPr>
            <w:tcW w:w="2286" w:type="dxa"/>
            <w:vAlign w:val="center"/>
          </w:tcPr>
          <w:p w:rsidR="00F31622" w:rsidRDefault="00346E0A">
            <w:pPr>
              <w:jc w:val="right"/>
            </w:pPr>
            <w:r>
              <w:rPr>
                <w:color w:val="000000"/>
                <w:sz w:val="24"/>
              </w:rPr>
              <w:t>1,000,000.00</w:t>
            </w:r>
          </w:p>
        </w:tc>
        <w:tc>
          <w:tcPr>
            <w:tcW w:w="3238" w:type="dxa"/>
            <w:vAlign w:val="center"/>
          </w:tcPr>
          <w:p w:rsidR="00F31622" w:rsidRDefault="00346E0A">
            <w:pPr>
              <w:jc w:val="right"/>
            </w:pPr>
            <w:r>
              <w:rPr>
                <w:color w:val="000000"/>
                <w:sz w:val="24"/>
              </w:rPr>
              <w:t>7.83%</w:t>
            </w:r>
          </w:p>
        </w:tc>
      </w:tr>
      <w:tr w:rsidR="00F31622" w:rsidTr="00A32911">
        <w:tc>
          <w:tcPr>
            <w:tcW w:w="1107" w:type="dxa"/>
            <w:vAlign w:val="center"/>
          </w:tcPr>
          <w:p w:rsidR="00F31622" w:rsidRDefault="00346E0A">
            <w:pPr>
              <w:jc w:val="center"/>
            </w:pPr>
            <w:r>
              <w:rPr>
                <w:color w:val="000000"/>
                <w:sz w:val="24"/>
              </w:rPr>
              <w:t>7</w:t>
            </w:r>
          </w:p>
        </w:tc>
        <w:tc>
          <w:tcPr>
            <w:tcW w:w="2583" w:type="dxa"/>
            <w:vAlign w:val="center"/>
          </w:tcPr>
          <w:p w:rsidR="00F31622" w:rsidRDefault="00346E0A">
            <w:pPr>
              <w:jc w:val="left"/>
            </w:pPr>
            <w:r>
              <w:rPr>
                <w:color w:val="000000"/>
                <w:sz w:val="24"/>
              </w:rPr>
              <w:t>海航集团有限公司企业年金计划－中国工商银行股份有限公司</w:t>
            </w:r>
          </w:p>
        </w:tc>
        <w:tc>
          <w:tcPr>
            <w:tcW w:w="2286" w:type="dxa"/>
            <w:vAlign w:val="center"/>
          </w:tcPr>
          <w:p w:rsidR="00F31622" w:rsidRDefault="00346E0A">
            <w:pPr>
              <w:jc w:val="right"/>
            </w:pPr>
            <w:r>
              <w:rPr>
                <w:color w:val="000000"/>
                <w:sz w:val="24"/>
              </w:rPr>
              <w:t>794,346.00</w:t>
            </w:r>
          </w:p>
        </w:tc>
        <w:tc>
          <w:tcPr>
            <w:tcW w:w="3238" w:type="dxa"/>
            <w:vAlign w:val="center"/>
          </w:tcPr>
          <w:p w:rsidR="00F31622" w:rsidRDefault="00346E0A">
            <w:pPr>
              <w:jc w:val="right"/>
            </w:pPr>
            <w:r>
              <w:rPr>
                <w:color w:val="000000"/>
                <w:sz w:val="24"/>
              </w:rPr>
              <w:t>6.22%</w:t>
            </w:r>
          </w:p>
        </w:tc>
      </w:tr>
      <w:tr w:rsidR="00F31622" w:rsidTr="00A32911">
        <w:tc>
          <w:tcPr>
            <w:tcW w:w="1107" w:type="dxa"/>
            <w:vAlign w:val="center"/>
          </w:tcPr>
          <w:p w:rsidR="00F31622" w:rsidRDefault="00346E0A">
            <w:pPr>
              <w:jc w:val="center"/>
            </w:pPr>
            <w:r>
              <w:rPr>
                <w:color w:val="000000"/>
                <w:sz w:val="24"/>
              </w:rPr>
              <w:t>8</w:t>
            </w:r>
          </w:p>
        </w:tc>
        <w:tc>
          <w:tcPr>
            <w:tcW w:w="2583" w:type="dxa"/>
            <w:vAlign w:val="center"/>
          </w:tcPr>
          <w:p w:rsidR="00F31622" w:rsidRDefault="00346E0A">
            <w:pPr>
              <w:jc w:val="left"/>
            </w:pPr>
            <w:r>
              <w:rPr>
                <w:color w:val="000000"/>
                <w:sz w:val="24"/>
              </w:rPr>
              <w:t>中国电力工程顾问集团公司企业年金计划－中国银行股份有限公司</w:t>
            </w:r>
          </w:p>
        </w:tc>
        <w:tc>
          <w:tcPr>
            <w:tcW w:w="2286" w:type="dxa"/>
            <w:vAlign w:val="center"/>
          </w:tcPr>
          <w:p w:rsidR="00F31622" w:rsidRDefault="00346E0A">
            <w:pPr>
              <w:jc w:val="right"/>
            </w:pPr>
            <w:r>
              <w:rPr>
                <w:color w:val="000000"/>
                <w:sz w:val="24"/>
              </w:rPr>
              <w:t>757,026.00</w:t>
            </w:r>
          </w:p>
        </w:tc>
        <w:tc>
          <w:tcPr>
            <w:tcW w:w="3238" w:type="dxa"/>
            <w:vAlign w:val="center"/>
          </w:tcPr>
          <w:p w:rsidR="00F31622" w:rsidRDefault="00346E0A">
            <w:pPr>
              <w:jc w:val="right"/>
            </w:pPr>
            <w:r>
              <w:rPr>
                <w:color w:val="000000"/>
                <w:sz w:val="24"/>
              </w:rPr>
              <w:t>5.93%</w:t>
            </w:r>
          </w:p>
        </w:tc>
      </w:tr>
      <w:tr w:rsidR="00F31622" w:rsidTr="00A32911">
        <w:tc>
          <w:tcPr>
            <w:tcW w:w="1107" w:type="dxa"/>
            <w:vAlign w:val="center"/>
          </w:tcPr>
          <w:p w:rsidR="00F31622" w:rsidRDefault="00346E0A">
            <w:pPr>
              <w:jc w:val="center"/>
            </w:pPr>
            <w:r>
              <w:rPr>
                <w:color w:val="000000"/>
                <w:sz w:val="24"/>
              </w:rPr>
              <w:t>9</w:t>
            </w:r>
          </w:p>
        </w:tc>
        <w:tc>
          <w:tcPr>
            <w:tcW w:w="2583" w:type="dxa"/>
            <w:vAlign w:val="center"/>
          </w:tcPr>
          <w:p w:rsidR="00F31622" w:rsidRDefault="00346E0A">
            <w:pPr>
              <w:jc w:val="left"/>
            </w:pPr>
            <w:r>
              <w:rPr>
                <w:color w:val="000000"/>
                <w:sz w:val="24"/>
              </w:rPr>
              <w:t>陕西省邮政公司企业年金计划－中国建设银行股份有限公司</w:t>
            </w:r>
          </w:p>
        </w:tc>
        <w:tc>
          <w:tcPr>
            <w:tcW w:w="2286" w:type="dxa"/>
            <w:vAlign w:val="center"/>
          </w:tcPr>
          <w:p w:rsidR="00F31622" w:rsidRDefault="00346E0A">
            <w:pPr>
              <w:jc w:val="right"/>
            </w:pPr>
            <w:r>
              <w:rPr>
                <w:color w:val="000000"/>
                <w:sz w:val="24"/>
              </w:rPr>
              <w:t>647,360.00</w:t>
            </w:r>
          </w:p>
        </w:tc>
        <w:tc>
          <w:tcPr>
            <w:tcW w:w="3238" w:type="dxa"/>
            <w:vAlign w:val="center"/>
          </w:tcPr>
          <w:p w:rsidR="00F31622" w:rsidRDefault="00346E0A">
            <w:pPr>
              <w:jc w:val="right"/>
            </w:pPr>
            <w:r>
              <w:rPr>
                <w:color w:val="000000"/>
                <w:sz w:val="24"/>
              </w:rPr>
              <w:t>5.07%</w:t>
            </w:r>
          </w:p>
        </w:tc>
      </w:tr>
      <w:tr w:rsidR="00F31622" w:rsidTr="00A32911">
        <w:tc>
          <w:tcPr>
            <w:tcW w:w="1107" w:type="dxa"/>
            <w:vAlign w:val="center"/>
          </w:tcPr>
          <w:p w:rsidR="00F31622" w:rsidRDefault="00346E0A">
            <w:pPr>
              <w:jc w:val="center"/>
            </w:pPr>
            <w:r>
              <w:rPr>
                <w:color w:val="000000"/>
                <w:sz w:val="24"/>
              </w:rPr>
              <w:t>10</w:t>
            </w:r>
          </w:p>
        </w:tc>
        <w:tc>
          <w:tcPr>
            <w:tcW w:w="2583" w:type="dxa"/>
            <w:vAlign w:val="center"/>
          </w:tcPr>
          <w:p w:rsidR="00F31622" w:rsidRDefault="00346E0A">
            <w:pPr>
              <w:jc w:val="left"/>
            </w:pPr>
            <w:r>
              <w:rPr>
                <w:color w:val="000000"/>
                <w:sz w:val="24"/>
              </w:rPr>
              <w:t>东营银行股份有限公司企业年金计划－招商银行股份有限公司</w:t>
            </w:r>
          </w:p>
        </w:tc>
        <w:tc>
          <w:tcPr>
            <w:tcW w:w="2286" w:type="dxa"/>
            <w:vAlign w:val="center"/>
          </w:tcPr>
          <w:p w:rsidR="00F31622" w:rsidRDefault="00346E0A">
            <w:pPr>
              <w:jc w:val="right"/>
            </w:pPr>
            <w:r>
              <w:rPr>
                <w:color w:val="000000"/>
                <w:sz w:val="24"/>
              </w:rPr>
              <w:t>499,000.00</w:t>
            </w:r>
          </w:p>
        </w:tc>
        <w:tc>
          <w:tcPr>
            <w:tcW w:w="3238" w:type="dxa"/>
            <w:vAlign w:val="center"/>
          </w:tcPr>
          <w:p w:rsidR="00F31622" w:rsidRDefault="00346E0A">
            <w:pPr>
              <w:jc w:val="right"/>
            </w:pPr>
            <w:r>
              <w:rPr>
                <w:color w:val="000000"/>
                <w:sz w:val="24"/>
              </w:rPr>
              <w:t>3.91%</w:t>
            </w:r>
          </w:p>
        </w:tc>
      </w:tr>
    </w:tbl>
    <w:p w:rsidR="001A59F9" w:rsidRPr="00273FD9" w:rsidRDefault="001A59F9" w:rsidP="00273FD9">
      <w:pPr>
        <w:tabs>
          <w:tab w:val="left" w:pos="426"/>
        </w:tabs>
        <w:spacing w:before="29" w:line="288" w:lineRule="auto"/>
        <w:jc w:val="left"/>
        <w:rPr>
          <w:kern w:val="0"/>
          <w:sz w:val="24"/>
        </w:rPr>
      </w:pPr>
      <w:r w:rsidRPr="00273FD9">
        <w:rPr>
          <w:kern w:val="0"/>
          <w:sz w:val="24"/>
        </w:rPr>
        <w:t>注：持有人为场内持有人。</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1" w:name="_Toc361324891"/>
      <w:r w:rsidRPr="00245C29">
        <w:rPr>
          <w:rFonts w:ascii="Times New Roman" w:hAnsi="Times New Roman"/>
          <w:kern w:val="0"/>
          <w:szCs w:val="24"/>
        </w:rPr>
        <w:t>9.3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1"/>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376"/>
      </w:tblGrid>
      <w:tr w:rsidR="001A59F9" w:rsidRPr="00C51C77" w:rsidTr="00A32911">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376"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A32911">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EE0619" w:rsidP="00BF787C">
            <w:pPr>
              <w:widowControl/>
              <w:spacing w:before="29" w:line="288" w:lineRule="auto"/>
              <w:jc w:val="right"/>
              <w:rPr>
                <w:color w:val="000000"/>
                <w:kern w:val="0"/>
                <w:sz w:val="24"/>
              </w:rPr>
            </w:pPr>
            <w:r>
              <w:rPr>
                <w:color w:val="000000"/>
                <w:kern w:val="0"/>
                <w:sz w:val="24"/>
              </w:rPr>
              <w:t>-</w:t>
            </w:r>
          </w:p>
        </w:tc>
        <w:tc>
          <w:tcPr>
            <w:tcW w:w="2376" w:type="dxa"/>
            <w:vAlign w:val="center"/>
          </w:tcPr>
          <w:p w:rsidR="001A59F9" w:rsidRPr="00BF787C" w:rsidRDefault="00EE0619" w:rsidP="00BF787C">
            <w:pPr>
              <w:widowControl/>
              <w:spacing w:before="29" w:line="288" w:lineRule="auto"/>
              <w:jc w:val="right"/>
              <w:rPr>
                <w:color w:val="000000"/>
                <w:kern w:val="0"/>
                <w:sz w:val="24"/>
              </w:rPr>
            </w:pPr>
            <w:r>
              <w:rPr>
                <w:color w:val="000000"/>
                <w:kern w:val="0"/>
                <w:sz w:val="24"/>
              </w:rPr>
              <w:t>-</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9.4</w:t>
      </w:r>
      <w:r w:rsidRPr="00245C29">
        <w:rPr>
          <w:rFonts w:ascii="Times New Roman" w:hAnsi="Times New Roman" w:hint="eastAsia"/>
          <w:kern w:val="0"/>
          <w:szCs w:val="24"/>
        </w:rPr>
        <w:t>期末基金管理人的从业人员持有本开放式基金份额总量区间的情况</w:t>
      </w:r>
    </w:p>
    <w:tbl>
      <w:tblPr>
        <w:tblW w:w="921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6011"/>
      </w:tblGrid>
      <w:tr w:rsidR="00DB4544" w:rsidRPr="00E77BEC" w:rsidTr="00A32911">
        <w:trPr>
          <w:trHeight w:val="285"/>
        </w:trPr>
        <w:tc>
          <w:tcPr>
            <w:tcW w:w="1738"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62"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A32911">
        <w:trPr>
          <w:trHeight w:val="713"/>
        </w:trPr>
        <w:tc>
          <w:tcPr>
            <w:tcW w:w="1738"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62"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bookmarkStart w:id="82" w:name="_GoBack"/>
        <w:bookmarkEnd w:id="82"/>
      </w:tr>
      <w:tr w:rsidR="00DB4544" w:rsidRPr="00E77BEC" w:rsidTr="00A32911">
        <w:trPr>
          <w:trHeight w:val="285"/>
        </w:trPr>
        <w:tc>
          <w:tcPr>
            <w:tcW w:w="1738"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62"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3" w:name="_Toc225500053"/>
      <w:bookmarkStart w:id="84"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3"/>
      <w:bookmarkEnd w:id="84"/>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2011</w:t>
            </w:r>
            <w:r w:rsidR="00146153" w:rsidRPr="00300454">
              <w:rPr>
                <w:sz w:val="24"/>
              </w:rPr>
              <w:t>年</w:t>
            </w:r>
            <w:r w:rsidR="00146153" w:rsidRPr="00300454">
              <w:rPr>
                <w:sz w:val="24"/>
              </w:rPr>
              <w:t>1</w:t>
            </w:r>
            <w:r w:rsidR="00146153" w:rsidRPr="00300454">
              <w:rPr>
                <w:sz w:val="24"/>
              </w:rPr>
              <w:t>月</w:t>
            </w:r>
            <w:r w:rsidR="00146153" w:rsidRPr="00300454">
              <w:rPr>
                <w:sz w:val="24"/>
              </w:rPr>
              <w:t>27</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1,895,085,749.23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1,895,085,749.23</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67,560,117.41</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1,843,849,483.40</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118,796,383.24</w:t>
            </w:r>
          </w:p>
        </w:tc>
      </w:tr>
    </w:tbl>
    <w:p w:rsidR="00F31622" w:rsidRDefault="00346E0A">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273FD9">
      <w:pPr>
        <w:tabs>
          <w:tab w:val="left" w:pos="426"/>
        </w:tabs>
        <w:spacing w:before="29" w:line="288" w:lineRule="auto"/>
        <w:jc w:val="left"/>
        <w:rPr>
          <w:kern w:val="0"/>
          <w:sz w:val="24"/>
        </w:rPr>
      </w:pPr>
      <w:r w:rsidRPr="00273FD9">
        <w:rPr>
          <w:kern w:val="0"/>
          <w:sz w:val="24"/>
        </w:rPr>
        <w:t xml:space="preserve">　　</w:t>
      </w:r>
      <w:r w:rsidRPr="00273FD9">
        <w:rPr>
          <w:kern w:val="0"/>
          <w:sz w:val="24"/>
        </w:rPr>
        <w:t>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85" w:name="_Toc225500054"/>
      <w:bookmarkStart w:id="86"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5"/>
      <w:bookmarkEnd w:id="86"/>
    </w:p>
    <w:p w:rsidR="001A59F9" w:rsidRPr="00245C29" w:rsidRDefault="001A59F9" w:rsidP="00245C29">
      <w:pPr>
        <w:pStyle w:val="20"/>
        <w:spacing w:before="29" w:after="0" w:line="288" w:lineRule="auto"/>
        <w:rPr>
          <w:rFonts w:ascii="Times New Roman" w:hAnsi="Times New Roman"/>
          <w:kern w:val="0"/>
          <w:szCs w:val="24"/>
        </w:rPr>
      </w:pPr>
      <w:bookmarkStart w:id="87"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7"/>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8"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8"/>
    </w:p>
    <w:p w:rsidR="00F31622" w:rsidRDefault="00346E0A">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3D66BF" w:rsidRPr="00E86DF3">
        <w:rPr>
          <w:rFonts w:hint="eastAsia"/>
          <w:color w:val="000000"/>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、基金托管人的基金托管部门的重大人事变动：因中国农业银行股份有限公司（以下简称</w:t>
      </w:r>
      <w:r w:rsidRPr="00700C00">
        <w:rPr>
          <w:color w:val="000000"/>
          <w:sz w:val="24"/>
        </w:rPr>
        <w:t>“</w:t>
      </w:r>
      <w:r w:rsidRPr="00700C00">
        <w:rPr>
          <w:color w:val="000000"/>
          <w:sz w:val="24"/>
        </w:rPr>
        <w:t>中国农业银行</w:t>
      </w:r>
      <w:r w:rsidRPr="00700C00">
        <w:rPr>
          <w:color w:val="000000"/>
          <w:sz w:val="24"/>
        </w:rPr>
        <w:t>”</w:t>
      </w:r>
      <w:r w:rsidRPr="00700C00">
        <w:rPr>
          <w:color w:val="000000"/>
          <w:sz w:val="24"/>
        </w:rPr>
        <w:t>）工作需要，任命余晓晨先生主持中国农业银行托管业务部</w:t>
      </w:r>
      <w:r w:rsidRPr="00700C00">
        <w:rPr>
          <w:color w:val="000000"/>
          <w:sz w:val="24"/>
        </w:rPr>
        <w:t>/</w:t>
      </w:r>
      <w:r w:rsidRPr="00700C00">
        <w:rPr>
          <w:color w:val="000000"/>
          <w:sz w:val="24"/>
        </w:rPr>
        <w:t>养老金管理中心工作。余晓晨先生的基金行业高级管理人员任职资格已在中国基金业协会备案。</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90"/>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1" w:name="_Toc361324898"/>
      <w:r w:rsidRPr="00245C29">
        <w:rPr>
          <w:rFonts w:ascii="Times New Roman" w:hAnsi="Times New Roman"/>
          <w:kern w:val="0"/>
          <w:szCs w:val="24"/>
        </w:rPr>
        <w:t>11.5</w:t>
      </w:r>
      <w:bookmarkEnd w:id="91"/>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2" w:name="OLE_LINK3"/>
      <w:r w:rsidRPr="00700C00">
        <w:rPr>
          <w:color w:val="000000"/>
          <w:sz w:val="24"/>
        </w:rPr>
        <w:t>本报告期内，为本基金提供审计服务的会计师事务所为普华永道中天会计师事务所（特殊普通合伙）（特殊普通合伙），本期审计费为</w:t>
      </w:r>
      <w:r w:rsidRPr="00700C00">
        <w:rPr>
          <w:color w:val="000000"/>
          <w:sz w:val="24"/>
        </w:rPr>
        <w:t>60,000</w:t>
      </w:r>
      <w:r w:rsidRPr="00700C00">
        <w:rPr>
          <w:color w:val="000000"/>
          <w:sz w:val="24"/>
        </w:rPr>
        <w:t>元。自本基金合同生效以来，本基金未改聘为其审计的会计师事务所。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899"/>
      <w:bookmarkEnd w:id="92"/>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3"/>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4"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4"/>
    </w:p>
    <w:p w:rsidR="001A59F9" w:rsidRPr="00245C29" w:rsidRDefault="001A59F9" w:rsidP="00245C29">
      <w:pPr>
        <w:pStyle w:val="20"/>
        <w:spacing w:before="29" w:after="0" w:line="288" w:lineRule="auto"/>
        <w:rPr>
          <w:rFonts w:ascii="Times New Roman" w:hAnsi="Times New Roman"/>
          <w:kern w:val="0"/>
          <w:szCs w:val="24"/>
        </w:rPr>
      </w:pPr>
      <w:bookmarkStart w:id="95"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5"/>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6"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F31622">
        <w:tc>
          <w:tcPr>
            <w:tcW w:w="1559" w:type="dxa"/>
            <w:vAlign w:val="center"/>
          </w:tcPr>
          <w:p w:rsidR="00F31622" w:rsidRDefault="00346E0A">
            <w:pPr>
              <w:jc w:val="left"/>
            </w:pPr>
            <w:r>
              <w:rPr>
                <w:color w:val="000000"/>
                <w:szCs w:val="21"/>
              </w:rPr>
              <w:t>招商证券股份有限公司</w:t>
            </w:r>
          </w:p>
        </w:tc>
        <w:tc>
          <w:tcPr>
            <w:tcW w:w="779" w:type="dxa"/>
            <w:vAlign w:val="center"/>
          </w:tcPr>
          <w:p w:rsidR="00F31622" w:rsidRDefault="00346E0A">
            <w:pPr>
              <w:jc w:val="right"/>
            </w:pPr>
            <w:r>
              <w:rPr>
                <w:color w:val="000000"/>
                <w:szCs w:val="21"/>
              </w:rPr>
              <w:t>1</w:t>
            </w:r>
          </w:p>
        </w:tc>
        <w:tc>
          <w:tcPr>
            <w:tcW w:w="1800" w:type="dxa"/>
            <w:vAlign w:val="center"/>
          </w:tcPr>
          <w:p w:rsidR="00F31622" w:rsidRDefault="00346E0A">
            <w:pPr>
              <w:jc w:val="right"/>
            </w:pPr>
            <w:r>
              <w:rPr>
                <w:color w:val="000000"/>
                <w:szCs w:val="21"/>
              </w:rPr>
              <w:t>33,531,383.99</w:t>
            </w:r>
          </w:p>
        </w:tc>
        <w:tc>
          <w:tcPr>
            <w:tcW w:w="1080" w:type="dxa"/>
            <w:vAlign w:val="center"/>
          </w:tcPr>
          <w:p w:rsidR="00F31622" w:rsidRDefault="00346E0A">
            <w:pPr>
              <w:jc w:val="right"/>
            </w:pPr>
            <w:r>
              <w:rPr>
                <w:color w:val="000000"/>
                <w:szCs w:val="21"/>
              </w:rPr>
              <w:t>63.78%</w:t>
            </w:r>
          </w:p>
        </w:tc>
        <w:tc>
          <w:tcPr>
            <w:tcW w:w="1620" w:type="dxa"/>
            <w:vAlign w:val="center"/>
          </w:tcPr>
          <w:p w:rsidR="00F31622" w:rsidRDefault="00346E0A">
            <w:pPr>
              <w:jc w:val="right"/>
            </w:pPr>
            <w:r>
              <w:rPr>
                <w:color w:val="000000"/>
                <w:szCs w:val="21"/>
              </w:rPr>
              <w:t>30,526.56</w:t>
            </w:r>
          </w:p>
        </w:tc>
        <w:tc>
          <w:tcPr>
            <w:tcW w:w="1080" w:type="dxa"/>
            <w:vAlign w:val="center"/>
          </w:tcPr>
          <w:p w:rsidR="00F31622" w:rsidRDefault="00346E0A">
            <w:pPr>
              <w:jc w:val="right"/>
            </w:pPr>
            <w:r>
              <w:rPr>
                <w:color w:val="000000"/>
                <w:szCs w:val="21"/>
              </w:rPr>
              <w:t>63.78%</w:t>
            </w:r>
          </w:p>
        </w:tc>
        <w:tc>
          <w:tcPr>
            <w:tcW w:w="1080" w:type="dxa"/>
            <w:vAlign w:val="center"/>
          </w:tcPr>
          <w:p w:rsidR="00F31622" w:rsidRDefault="00346E0A">
            <w:pPr>
              <w:jc w:val="left"/>
            </w:pPr>
            <w:r>
              <w:rPr>
                <w:color w:val="000000"/>
                <w:szCs w:val="21"/>
              </w:rPr>
              <w:t>-</w:t>
            </w:r>
          </w:p>
        </w:tc>
      </w:tr>
      <w:tr w:rsidR="00F31622">
        <w:tc>
          <w:tcPr>
            <w:tcW w:w="1559" w:type="dxa"/>
            <w:vAlign w:val="center"/>
          </w:tcPr>
          <w:p w:rsidR="00F31622" w:rsidRDefault="00346E0A">
            <w:pPr>
              <w:jc w:val="left"/>
            </w:pPr>
            <w:r>
              <w:rPr>
                <w:color w:val="000000"/>
                <w:szCs w:val="21"/>
              </w:rPr>
              <w:t>光大证券股份有限公司</w:t>
            </w:r>
          </w:p>
        </w:tc>
        <w:tc>
          <w:tcPr>
            <w:tcW w:w="779" w:type="dxa"/>
            <w:vAlign w:val="center"/>
          </w:tcPr>
          <w:p w:rsidR="00F31622" w:rsidRDefault="00346E0A">
            <w:pPr>
              <w:jc w:val="right"/>
            </w:pPr>
            <w:r>
              <w:rPr>
                <w:color w:val="000000"/>
                <w:szCs w:val="21"/>
              </w:rPr>
              <w:t>1</w:t>
            </w:r>
          </w:p>
        </w:tc>
        <w:tc>
          <w:tcPr>
            <w:tcW w:w="1800" w:type="dxa"/>
            <w:vAlign w:val="center"/>
          </w:tcPr>
          <w:p w:rsidR="00F31622" w:rsidRDefault="00346E0A">
            <w:pPr>
              <w:jc w:val="right"/>
            </w:pPr>
            <w:r>
              <w:rPr>
                <w:color w:val="000000"/>
                <w:szCs w:val="21"/>
              </w:rPr>
              <w:t>19,045,509.24</w:t>
            </w:r>
          </w:p>
        </w:tc>
        <w:tc>
          <w:tcPr>
            <w:tcW w:w="1080" w:type="dxa"/>
            <w:vAlign w:val="center"/>
          </w:tcPr>
          <w:p w:rsidR="00F31622" w:rsidRDefault="00346E0A">
            <w:pPr>
              <w:jc w:val="right"/>
            </w:pPr>
            <w:r>
              <w:rPr>
                <w:color w:val="000000"/>
                <w:szCs w:val="21"/>
              </w:rPr>
              <w:t>36.22%</w:t>
            </w:r>
          </w:p>
        </w:tc>
        <w:tc>
          <w:tcPr>
            <w:tcW w:w="1620" w:type="dxa"/>
            <w:vAlign w:val="center"/>
          </w:tcPr>
          <w:p w:rsidR="00F31622" w:rsidRDefault="00346E0A">
            <w:pPr>
              <w:jc w:val="right"/>
            </w:pPr>
            <w:r>
              <w:rPr>
                <w:color w:val="000000"/>
                <w:szCs w:val="21"/>
              </w:rPr>
              <w:t>17,339.03</w:t>
            </w:r>
          </w:p>
        </w:tc>
        <w:tc>
          <w:tcPr>
            <w:tcW w:w="1080" w:type="dxa"/>
            <w:vAlign w:val="center"/>
          </w:tcPr>
          <w:p w:rsidR="00F31622" w:rsidRDefault="00346E0A">
            <w:pPr>
              <w:jc w:val="right"/>
            </w:pPr>
            <w:r>
              <w:rPr>
                <w:color w:val="000000"/>
                <w:szCs w:val="21"/>
              </w:rPr>
              <w:t>36.22%</w:t>
            </w:r>
          </w:p>
        </w:tc>
        <w:tc>
          <w:tcPr>
            <w:tcW w:w="1080" w:type="dxa"/>
            <w:vAlign w:val="center"/>
          </w:tcPr>
          <w:p w:rsidR="00F31622" w:rsidRDefault="00346E0A">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6"/>
    </w:p>
    <w:p w:rsidR="001A59F9" w:rsidRPr="00FC1A5A" w:rsidRDefault="001A59F9" w:rsidP="00FC1A5A">
      <w:pPr>
        <w:autoSpaceDE w:val="0"/>
        <w:autoSpaceDN w:val="0"/>
        <w:adjustRightInd w:val="0"/>
        <w:spacing w:before="29" w:line="288" w:lineRule="auto"/>
        <w:ind w:left="15"/>
        <w:jc w:val="right"/>
        <w:rPr>
          <w:color w:val="000000"/>
          <w:sz w:val="24"/>
        </w:rPr>
      </w:pPr>
      <w:bookmarkStart w:id="97" w:name="_Toc249707408"/>
      <w:r w:rsidRPr="00FC1A5A">
        <w:rPr>
          <w:rFonts w:hint="eastAsia"/>
          <w:color w:val="000000"/>
          <w:sz w:val="24"/>
        </w:rPr>
        <w:t>金额单位：人民币元</w:t>
      </w:r>
      <w:bookmarkEnd w:id="9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bookmarkStart w:id="98" w:name="_Toc361324902"/>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F31622">
        <w:tc>
          <w:tcPr>
            <w:tcW w:w="1559" w:type="dxa"/>
            <w:vAlign w:val="center"/>
          </w:tcPr>
          <w:p w:rsidR="00F31622" w:rsidRDefault="00346E0A">
            <w:pPr>
              <w:jc w:val="left"/>
            </w:pPr>
            <w:r>
              <w:rPr>
                <w:color w:val="000000"/>
                <w:szCs w:val="21"/>
              </w:rPr>
              <w:t>招商证券股份有限公司</w:t>
            </w:r>
          </w:p>
        </w:tc>
        <w:tc>
          <w:tcPr>
            <w:tcW w:w="1319" w:type="dxa"/>
            <w:vAlign w:val="center"/>
          </w:tcPr>
          <w:p w:rsidR="00F31622" w:rsidRDefault="00346E0A">
            <w:pPr>
              <w:jc w:val="right"/>
            </w:pPr>
            <w:r>
              <w:rPr>
                <w:color w:val="000000"/>
                <w:szCs w:val="21"/>
              </w:rPr>
              <w:t>2,086,542,386.35</w:t>
            </w:r>
          </w:p>
        </w:tc>
        <w:tc>
          <w:tcPr>
            <w:tcW w:w="1080" w:type="dxa"/>
            <w:vAlign w:val="center"/>
          </w:tcPr>
          <w:p w:rsidR="00F31622" w:rsidRDefault="00346E0A">
            <w:pPr>
              <w:jc w:val="right"/>
            </w:pPr>
            <w:r>
              <w:rPr>
                <w:color w:val="000000"/>
                <w:szCs w:val="21"/>
              </w:rPr>
              <w:t>96.93%</w:t>
            </w:r>
          </w:p>
        </w:tc>
        <w:tc>
          <w:tcPr>
            <w:tcW w:w="1143" w:type="dxa"/>
            <w:vAlign w:val="center"/>
          </w:tcPr>
          <w:p w:rsidR="00F31622" w:rsidRDefault="00346E0A">
            <w:pPr>
              <w:jc w:val="right"/>
            </w:pPr>
            <w:r>
              <w:rPr>
                <w:color w:val="000000"/>
                <w:szCs w:val="21"/>
              </w:rPr>
              <w:t>34,702,800,000.00</w:t>
            </w:r>
          </w:p>
        </w:tc>
        <w:tc>
          <w:tcPr>
            <w:tcW w:w="1197" w:type="dxa"/>
            <w:vAlign w:val="center"/>
          </w:tcPr>
          <w:p w:rsidR="00F31622" w:rsidRDefault="00346E0A">
            <w:pPr>
              <w:jc w:val="right"/>
            </w:pPr>
            <w:r>
              <w:rPr>
                <w:color w:val="000000"/>
                <w:szCs w:val="21"/>
              </w:rPr>
              <w:t>99.87%</w:t>
            </w:r>
          </w:p>
        </w:tc>
        <w:tc>
          <w:tcPr>
            <w:tcW w:w="1497" w:type="dxa"/>
            <w:vAlign w:val="center"/>
          </w:tcPr>
          <w:p w:rsidR="00F31622" w:rsidRDefault="00346E0A">
            <w:pPr>
              <w:jc w:val="right"/>
            </w:pPr>
            <w:r>
              <w:rPr>
                <w:color w:val="000000"/>
                <w:szCs w:val="21"/>
              </w:rPr>
              <w:t>-</w:t>
            </w:r>
          </w:p>
        </w:tc>
        <w:tc>
          <w:tcPr>
            <w:tcW w:w="1203" w:type="dxa"/>
            <w:vAlign w:val="center"/>
          </w:tcPr>
          <w:p w:rsidR="00F31622" w:rsidRDefault="00346E0A">
            <w:pPr>
              <w:jc w:val="right"/>
            </w:pPr>
            <w:r>
              <w:rPr>
                <w:color w:val="000000"/>
                <w:szCs w:val="21"/>
              </w:rPr>
              <w:t>-</w:t>
            </w:r>
          </w:p>
        </w:tc>
      </w:tr>
      <w:tr w:rsidR="00F31622">
        <w:tc>
          <w:tcPr>
            <w:tcW w:w="1559" w:type="dxa"/>
            <w:vAlign w:val="center"/>
          </w:tcPr>
          <w:p w:rsidR="00F31622" w:rsidRDefault="00346E0A">
            <w:pPr>
              <w:jc w:val="left"/>
            </w:pPr>
            <w:r>
              <w:rPr>
                <w:color w:val="000000"/>
                <w:szCs w:val="21"/>
              </w:rPr>
              <w:t>光大证券股份有限公司</w:t>
            </w:r>
          </w:p>
        </w:tc>
        <w:tc>
          <w:tcPr>
            <w:tcW w:w="1319" w:type="dxa"/>
            <w:vAlign w:val="center"/>
          </w:tcPr>
          <w:p w:rsidR="00F31622" w:rsidRDefault="00346E0A">
            <w:pPr>
              <w:jc w:val="right"/>
            </w:pPr>
            <w:r>
              <w:rPr>
                <w:color w:val="000000"/>
                <w:szCs w:val="21"/>
              </w:rPr>
              <w:t>66,111,717.25</w:t>
            </w:r>
          </w:p>
        </w:tc>
        <w:tc>
          <w:tcPr>
            <w:tcW w:w="1080" w:type="dxa"/>
            <w:vAlign w:val="center"/>
          </w:tcPr>
          <w:p w:rsidR="00F31622" w:rsidRDefault="00346E0A">
            <w:pPr>
              <w:jc w:val="right"/>
            </w:pPr>
            <w:r>
              <w:rPr>
                <w:color w:val="000000"/>
                <w:szCs w:val="21"/>
              </w:rPr>
              <w:t>3.07%</w:t>
            </w:r>
          </w:p>
        </w:tc>
        <w:tc>
          <w:tcPr>
            <w:tcW w:w="1143" w:type="dxa"/>
            <w:vAlign w:val="center"/>
          </w:tcPr>
          <w:p w:rsidR="00F31622" w:rsidRDefault="00346E0A">
            <w:pPr>
              <w:jc w:val="right"/>
            </w:pPr>
            <w:r>
              <w:rPr>
                <w:color w:val="000000"/>
                <w:szCs w:val="21"/>
              </w:rPr>
              <w:t>45,000,000.00</w:t>
            </w:r>
          </w:p>
        </w:tc>
        <w:tc>
          <w:tcPr>
            <w:tcW w:w="1197" w:type="dxa"/>
            <w:vAlign w:val="center"/>
          </w:tcPr>
          <w:p w:rsidR="00F31622" w:rsidRDefault="00346E0A">
            <w:pPr>
              <w:jc w:val="right"/>
            </w:pPr>
            <w:r>
              <w:rPr>
                <w:color w:val="000000"/>
                <w:szCs w:val="21"/>
              </w:rPr>
              <w:t>0.13%</w:t>
            </w:r>
          </w:p>
        </w:tc>
        <w:tc>
          <w:tcPr>
            <w:tcW w:w="1497" w:type="dxa"/>
            <w:vAlign w:val="center"/>
          </w:tcPr>
          <w:p w:rsidR="00F31622" w:rsidRDefault="00346E0A">
            <w:pPr>
              <w:jc w:val="right"/>
            </w:pPr>
            <w:r>
              <w:rPr>
                <w:color w:val="000000"/>
                <w:szCs w:val="21"/>
              </w:rPr>
              <w:t>-</w:t>
            </w:r>
          </w:p>
        </w:tc>
        <w:tc>
          <w:tcPr>
            <w:tcW w:w="1203" w:type="dxa"/>
            <w:vAlign w:val="center"/>
          </w:tcPr>
          <w:p w:rsidR="00F31622" w:rsidRDefault="00346E0A">
            <w:pPr>
              <w:jc w:val="right"/>
            </w:pPr>
            <w:r>
              <w:rPr>
                <w:color w:val="000000"/>
                <w:szCs w:val="21"/>
              </w:rPr>
              <w:t>-</w:t>
            </w:r>
          </w:p>
        </w:tc>
      </w:tr>
    </w:tbl>
    <w:p w:rsidR="00F31622" w:rsidRDefault="00346E0A">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F31622" w:rsidRDefault="00346E0A">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、租用证券公司交易单元的程序：首先根据租用证券公司交易单元的选择标准进行综合评价，然后根据评价选择基金交易单元。研究部提交方案，并上报公司批准。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color w:val="000000"/>
          <w:szCs w:val="24"/>
        </w:rPr>
      </w:pPr>
      <w:r w:rsidRPr="00EA2417">
        <w:rPr>
          <w:rFonts w:hint="eastAsia"/>
          <w:b/>
          <w:bCs/>
          <w:color w:val="000000"/>
          <w:szCs w:val="24"/>
        </w:rPr>
        <w:t>§</w:t>
      </w:r>
      <w:r w:rsidRPr="00EA2417">
        <w:rPr>
          <w:b/>
          <w:bCs/>
          <w:color w:val="000000"/>
          <w:szCs w:val="24"/>
        </w:rPr>
        <w:t>12</w:t>
      </w:r>
      <w:r w:rsidR="009153A3" w:rsidRPr="00EA2417">
        <w:rPr>
          <w:rFonts w:hint="eastAsia"/>
          <w:b/>
          <w:bCs/>
          <w:color w:val="000000"/>
          <w:szCs w:val="24"/>
        </w:rPr>
        <w:t xml:space="preserve">  </w:t>
      </w:r>
      <w:r w:rsidRPr="00EA2417">
        <w:rPr>
          <w:rFonts w:hint="eastAsia"/>
          <w:b/>
          <w:bCs/>
          <w:color w:val="000000"/>
          <w:szCs w:val="24"/>
        </w:rPr>
        <w:t>影响投资者决策的其他重要信息</w:t>
      </w:r>
      <w:bookmarkEnd w:id="98"/>
    </w:p>
    <w:p w:rsidR="00F31622" w:rsidRDefault="00346E0A">
      <w:pPr>
        <w:spacing w:before="29" w:line="288" w:lineRule="auto"/>
        <w:ind w:firstLineChars="200" w:firstLine="480"/>
        <w:rPr>
          <w:color w:val="000000"/>
          <w:sz w:val="24"/>
        </w:rPr>
      </w:pPr>
      <w:r>
        <w:rPr>
          <w:color w:val="000000"/>
          <w:sz w:val="24"/>
        </w:rPr>
        <w:t>1</w:t>
      </w:r>
      <w:r>
        <w:rPr>
          <w:color w:val="000000"/>
          <w:sz w:val="24"/>
        </w:rPr>
        <w:t>、本基金经中国证监会证监许可【</w:t>
      </w:r>
      <w:r>
        <w:rPr>
          <w:color w:val="000000"/>
          <w:sz w:val="24"/>
        </w:rPr>
        <w:t>2010</w:t>
      </w:r>
      <w:r>
        <w:rPr>
          <w:color w:val="000000"/>
          <w:sz w:val="24"/>
        </w:rPr>
        <w:t>】</w:t>
      </w:r>
      <w:r>
        <w:rPr>
          <w:color w:val="000000"/>
          <w:sz w:val="24"/>
        </w:rPr>
        <w:t>1601</w:t>
      </w:r>
      <w:r>
        <w:rPr>
          <w:color w:val="000000"/>
          <w:sz w:val="24"/>
        </w:rPr>
        <w:t>号文批准募集，并已于</w:t>
      </w:r>
      <w:r>
        <w:rPr>
          <w:color w:val="000000"/>
          <w:sz w:val="24"/>
        </w:rPr>
        <w:t>2011</w:t>
      </w:r>
      <w:r>
        <w:rPr>
          <w:color w:val="000000"/>
          <w:sz w:val="24"/>
        </w:rPr>
        <w:t>年</w:t>
      </w:r>
      <w:r>
        <w:rPr>
          <w:color w:val="000000"/>
          <w:sz w:val="24"/>
        </w:rPr>
        <w:t>1</w:t>
      </w:r>
      <w:r>
        <w:rPr>
          <w:color w:val="000000"/>
          <w:sz w:val="24"/>
        </w:rPr>
        <w:t>月</w:t>
      </w:r>
      <w:r>
        <w:rPr>
          <w:color w:val="000000"/>
          <w:sz w:val="24"/>
        </w:rPr>
        <w:t>27</w:t>
      </w:r>
      <w:r>
        <w:rPr>
          <w:color w:val="000000"/>
          <w:sz w:val="24"/>
        </w:rPr>
        <w:t>日基金合同生效。根据本基金基金合同及招募说明书的相关规定，本基金自基金合同生效之日起三年（含三年）的期间内，采取封闭式运作，在深圳证券交易所上市交易。封闭期结束，自</w:t>
      </w:r>
      <w:r>
        <w:rPr>
          <w:color w:val="000000"/>
          <w:sz w:val="24"/>
        </w:rPr>
        <w:t>2014</w:t>
      </w:r>
      <w:r>
        <w:rPr>
          <w:color w:val="000000"/>
          <w:sz w:val="24"/>
        </w:rPr>
        <w:t>年</w:t>
      </w:r>
      <w:r>
        <w:rPr>
          <w:color w:val="000000"/>
          <w:sz w:val="24"/>
        </w:rPr>
        <w:t>1</w:t>
      </w:r>
      <w:r>
        <w:rPr>
          <w:color w:val="000000"/>
          <w:sz w:val="24"/>
        </w:rPr>
        <w:t>月</w:t>
      </w:r>
      <w:r>
        <w:rPr>
          <w:color w:val="000000"/>
          <w:sz w:val="24"/>
        </w:rPr>
        <w:t>28</w:t>
      </w:r>
      <w:r>
        <w:rPr>
          <w:color w:val="000000"/>
          <w:sz w:val="24"/>
        </w:rPr>
        <w:t>日起自动转为上市开放式基金</w:t>
      </w:r>
      <w:r>
        <w:rPr>
          <w:color w:val="000000"/>
          <w:sz w:val="24"/>
        </w:rPr>
        <w:t>(LOF</w:t>
      </w:r>
      <w:r>
        <w:rPr>
          <w:color w:val="000000"/>
          <w:sz w:val="24"/>
        </w:rPr>
        <w:t>）。详情请见相关公告。</w:t>
      </w:r>
    </w:p>
    <w:p w:rsidR="001A59F9" w:rsidRPr="00EA2417" w:rsidRDefault="001A59F9" w:rsidP="00EA2417">
      <w:pPr>
        <w:spacing w:before="29" w:line="288" w:lineRule="auto"/>
        <w:ind w:firstLineChars="200" w:firstLine="480"/>
        <w:rPr>
          <w:color w:val="000000"/>
          <w:sz w:val="24"/>
        </w:rPr>
      </w:pPr>
      <w:r w:rsidRPr="00EA2417">
        <w:rPr>
          <w:color w:val="000000"/>
          <w:sz w:val="24"/>
        </w:rPr>
        <w:t>2</w:t>
      </w:r>
      <w:r w:rsidRPr="00EA2417">
        <w:rPr>
          <w:color w:val="000000"/>
          <w:sz w:val="24"/>
        </w:rPr>
        <w:t>、报告期内，本基金持有的</w:t>
      </w:r>
      <w:r w:rsidRPr="00EA2417">
        <w:rPr>
          <w:color w:val="000000"/>
          <w:sz w:val="24"/>
        </w:rPr>
        <w:t>“13</w:t>
      </w:r>
      <w:r w:rsidRPr="00EA2417">
        <w:rPr>
          <w:color w:val="000000"/>
          <w:sz w:val="24"/>
        </w:rPr>
        <w:t>宛城投</w:t>
      </w:r>
      <w:r w:rsidRPr="00EA2417">
        <w:rPr>
          <w:color w:val="000000"/>
          <w:sz w:val="24"/>
        </w:rPr>
        <w:t>”</w:t>
      </w:r>
      <w:r w:rsidRPr="00EA2417">
        <w:rPr>
          <w:color w:val="000000"/>
          <w:sz w:val="24"/>
        </w:rPr>
        <w:t>债券（代码：</w:t>
      </w:r>
      <w:r w:rsidRPr="00EA2417">
        <w:rPr>
          <w:color w:val="000000"/>
          <w:sz w:val="24"/>
        </w:rPr>
        <w:t>124408</w:t>
      </w:r>
      <w:r w:rsidRPr="00EA2417">
        <w:rPr>
          <w:color w:val="000000"/>
          <w:sz w:val="24"/>
        </w:rPr>
        <w:t>）</w:t>
      </w:r>
      <w:r w:rsidRPr="00EA2417">
        <w:rPr>
          <w:color w:val="000000"/>
          <w:sz w:val="24"/>
        </w:rPr>
        <w:t>2014</w:t>
      </w:r>
      <w:r w:rsidRPr="00EA2417">
        <w:rPr>
          <w:color w:val="000000"/>
          <w:sz w:val="24"/>
        </w:rPr>
        <w:t>年</w:t>
      </w:r>
      <w:r w:rsidRPr="00EA2417">
        <w:rPr>
          <w:color w:val="000000"/>
          <w:sz w:val="24"/>
        </w:rPr>
        <w:t>5</w:t>
      </w:r>
      <w:r w:rsidRPr="00EA2417">
        <w:rPr>
          <w:color w:val="000000"/>
          <w:sz w:val="24"/>
        </w:rPr>
        <w:t>月</w:t>
      </w:r>
      <w:r w:rsidRPr="00EA2417">
        <w:rPr>
          <w:color w:val="000000"/>
          <w:sz w:val="24"/>
        </w:rPr>
        <w:t>28</w:t>
      </w:r>
      <w:r w:rsidRPr="00EA2417">
        <w:rPr>
          <w:color w:val="000000"/>
          <w:sz w:val="24"/>
        </w:rPr>
        <w:t>日交易不活跃，成交价格严重偏离。为使持有该债券的基金估值更加公平、合理，依据中国证监会《关于进一步规范证券投资基金估值业务的指导意见》（证监会公告</w:t>
      </w:r>
      <w:r w:rsidRPr="00EA2417">
        <w:rPr>
          <w:color w:val="000000"/>
          <w:sz w:val="24"/>
        </w:rPr>
        <w:t>[2008]38</w:t>
      </w:r>
      <w:r w:rsidRPr="00EA2417">
        <w:rPr>
          <w:color w:val="000000"/>
          <w:sz w:val="24"/>
        </w:rPr>
        <w:t>号）的有关规定及本基金管理人的估值政策和程序，经和基金托管人协商，本基金管理人决定于</w:t>
      </w:r>
      <w:r w:rsidRPr="00EA2417">
        <w:rPr>
          <w:color w:val="000000"/>
          <w:sz w:val="24"/>
        </w:rPr>
        <w:t>2014</w:t>
      </w:r>
      <w:r w:rsidRPr="00EA2417">
        <w:rPr>
          <w:color w:val="000000"/>
          <w:sz w:val="24"/>
        </w:rPr>
        <w:t>年</w:t>
      </w:r>
      <w:r w:rsidRPr="00EA2417">
        <w:rPr>
          <w:color w:val="000000"/>
          <w:sz w:val="24"/>
        </w:rPr>
        <w:t>5</w:t>
      </w:r>
      <w:r w:rsidRPr="00EA2417">
        <w:rPr>
          <w:color w:val="000000"/>
          <w:sz w:val="24"/>
        </w:rPr>
        <w:t>月</w:t>
      </w:r>
      <w:r w:rsidRPr="00EA2417">
        <w:rPr>
          <w:color w:val="000000"/>
          <w:sz w:val="24"/>
        </w:rPr>
        <w:t>28</w:t>
      </w:r>
      <w:r w:rsidRPr="00EA2417">
        <w:rPr>
          <w:color w:val="000000"/>
          <w:sz w:val="24"/>
        </w:rPr>
        <w:t>日起对本基金持有的</w:t>
      </w:r>
      <w:r w:rsidRPr="00EA2417">
        <w:rPr>
          <w:color w:val="000000"/>
          <w:sz w:val="24"/>
        </w:rPr>
        <w:t>“13</w:t>
      </w:r>
      <w:r w:rsidRPr="00EA2417">
        <w:rPr>
          <w:color w:val="000000"/>
          <w:sz w:val="24"/>
        </w:rPr>
        <w:t>宛城投</w:t>
      </w:r>
      <w:r w:rsidRPr="00EA2417">
        <w:rPr>
          <w:color w:val="000000"/>
          <w:sz w:val="24"/>
        </w:rPr>
        <w:t>”</w:t>
      </w:r>
      <w:r w:rsidRPr="00EA2417">
        <w:rPr>
          <w:color w:val="000000"/>
          <w:sz w:val="24"/>
        </w:rPr>
        <w:t>债券的估值价按前一交易日的收盘价计算。在</w:t>
      </w:r>
      <w:r w:rsidRPr="00EA2417">
        <w:rPr>
          <w:color w:val="000000"/>
          <w:sz w:val="24"/>
        </w:rPr>
        <w:t>“13</w:t>
      </w:r>
      <w:r w:rsidRPr="00EA2417">
        <w:rPr>
          <w:color w:val="000000"/>
          <w:sz w:val="24"/>
        </w:rPr>
        <w:t>宛城投</w:t>
      </w:r>
      <w:r w:rsidRPr="00EA2417">
        <w:rPr>
          <w:color w:val="000000"/>
          <w:sz w:val="24"/>
        </w:rPr>
        <w:t>”</w:t>
      </w:r>
      <w:r w:rsidRPr="00EA2417">
        <w:rPr>
          <w:color w:val="000000"/>
          <w:sz w:val="24"/>
        </w:rPr>
        <w:t>的交易体现了活跃市场交易特征当日（</w:t>
      </w:r>
      <w:r w:rsidRPr="00EA2417">
        <w:rPr>
          <w:color w:val="000000"/>
          <w:sz w:val="24"/>
        </w:rPr>
        <w:t>2014</w:t>
      </w:r>
      <w:r w:rsidRPr="00EA2417">
        <w:rPr>
          <w:color w:val="000000"/>
          <w:sz w:val="24"/>
        </w:rPr>
        <w:t>年</w:t>
      </w:r>
      <w:r w:rsidRPr="00EA2417">
        <w:rPr>
          <w:color w:val="000000"/>
          <w:sz w:val="24"/>
        </w:rPr>
        <w:t>5</w:t>
      </w:r>
      <w:r w:rsidRPr="00EA2417">
        <w:rPr>
          <w:color w:val="000000"/>
          <w:sz w:val="24"/>
        </w:rPr>
        <w:t>月</w:t>
      </w:r>
      <w:r w:rsidRPr="00EA2417">
        <w:rPr>
          <w:color w:val="000000"/>
          <w:sz w:val="24"/>
        </w:rPr>
        <w:t>29</w:t>
      </w:r>
      <w:r w:rsidRPr="00EA2417">
        <w:rPr>
          <w:color w:val="000000"/>
          <w:sz w:val="24"/>
        </w:rPr>
        <w:t>日），本基金管理人已恢复按市场价格对其进行估值。</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66F" w:rsidRDefault="0053666F">
      <w:r>
        <w:separator/>
      </w:r>
    </w:p>
  </w:endnote>
  <w:endnote w:type="continuationSeparator" w:id="0">
    <w:p w:rsidR="0053666F" w:rsidRDefault="0053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CA2670"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CA2670">
      <w:rPr>
        <w:kern w:val="0"/>
        <w:szCs w:val="21"/>
      </w:rPr>
      <w:fldChar w:fldCharType="begin"/>
    </w:r>
    <w:r>
      <w:rPr>
        <w:kern w:val="0"/>
        <w:szCs w:val="21"/>
      </w:rPr>
      <w:instrText xml:space="preserve"> PAGE </w:instrText>
    </w:r>
    <w:r w:rsidR="00CA2670">
      <w:rPr>
        <w:kern w:val="0"/>
        <w:szCs w:val="21"/>
      </w:rPr>
      <w:fldChar w:fldCharType="separate"/>
    </w:r>
    <w:r w:rsidR="00A32911">
      <w:rPr>
        <w:noProof/>
        <w:kern w:val="0"/>
        <w:szCs w:val="21"/>
      </w:rPr>
      <w:t>29</w:t>
    </w:r>
    <w:r w:rsidR="00CA2670">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CA2670">
      <w:rPr>
        <w:kern w:val="0"/>
        <w:szCs w:val="21"/>
      </w:rPr>
      <w:fldChar w:fldCharType="begin"/>
    </w:r>
    <w:r>
      <w:rPr>
        <w:kern w:val="0"/>
        <w:szCs w:val="21"/>
      </w:rPr>
      <w:instrText xml:space="preserve"> NUMPAGES </w:instrText>
    </w:r>
    <w:r w:rsidR="00CA2670">
      <w:rPr>
        <w:kern w:val="0"/>
        <w:szCs w:val="21"/>
      </w:rPr>
      <w:fldChar w:fldCharType="separate"/>
    </w:r>
    <w:r w:rsidR="00A32911">
      <w:rPr>
        <w:noProof/>
        <w:kern w:val="0"/>
        <w:szCs w:val="21"/>
      </w:rPr>
      <w:t>32</w:t>
    </w:r>
    <w:r w:rsidR="00CA2670">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66F" w:rsidRDefault="0053666F">
      <w:r>
        <w:separator/>
      </w:r>
    </w:p>
  </w:footnote>
  <w:footnote w:type="continuationSeparator" w:id="0">
    <w:p w:rsidR="0053666F" w:rsidRDefault="00536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271"/>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543"/>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33D6"/>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161"/>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46E0A"/>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3668"/>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BF"/>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43FF"/>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66F"/>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47EB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B69"/>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1BB"/>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4A9A"/>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17C5A"/>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118"/>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2911"/>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3D85"/>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654"/>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32BD"/>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143"/>
    <w:rsid w:val="00EE0619"/>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22"/>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EAC9F69-2301-4154-B7A8-6932B995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584</TotalTime>
  <Pages>32</Pages>
  <Words>3566</Words>
  <Characters>20331</Characters>
  <Application>Microsoft Office Word</Application>
  <DocSecurity>0</DocSecurity>
  <Lines>169</Lines>
  <Paragraphs>47</Paragraphs>
  <ScaleCrop>false</ScaleCrop>
  <Company/>
  <LinksUpToDate>false</LinksUpToDate>
  <CharactersWithSpaces>23850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562</cp:revision>
  <cp:lastPrinted>2007-07-19T00:46:00Z</cp:lastPrinted>
  <dcterms:created xsi:type="dcterms:W3CDTF">2013-10-15T01:57:00Z</dcterms:created>
  <dcterms:modified xsi:type="dcterms:W3CDTF">2015-03-27T13:15:00Z</dcterms:modified>
</cp:coreProperties>
</file>