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bookmarkStart w:id="0" w:name="_GoBack"/>
      <w:bookmarkEnd w:id="0"/>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交银施罗德理财</w:t>
      </w:r>
      <w:r w:rsidRPr="004D2C6A">
        <w:rPr>
          <w:rFonts w:hint="eastAsia"/>
          <w:b/>
          <w:sz w:val="36"/>
          <w:szCs w:val="36"/>
        </w:rPr>
        <w:t>60</w:t>
      </w:r>
      <w:r w:rsidRPr="004D2C6A">
        <w:rPr>
          <w:rFonts w:hint="eastAsia"/>
          <w:b/>
          <w:sz w:val="36"/>
          <w:szCs w:val="36"/>
        </w:rPr>
        <w:t>天债券型证券投资基金</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2014</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基金托管人：中国建设银行股份有限公司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二〇一五年三月三十一日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headerReference w:type="default" r:id="rId8"/>
          <w:pgSz w:w="11926" w:h="15840"/>
          <w:pgMar w:top="1418" w:right="1418" w:bottom="851" w:left="1418" w:header="851" w:footer="992" w:gutter="0"/>
          <w:cols w:space="720"/>
        </w:sectPr>
      </w:pP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中国建设银行股份有限公司</w:t>
      </w:r>
      <w:r w:rsidR="002813BD">
        <w:rPr>
          <w:rFonts w:hint="eastAsia"/>
          <w:color w:val="000000"/>
          <w:sz w:val="24"/>
        </w:rPr>
        <w:t>(</w:t>
      </w:r>
      <w:r w:rsidR="002813BD">
        <w:rPr>
          <w:rFonts w:hint="eastAsia"/>
          <w:color w:val="000000"/>
          <w:sz w:val="24"/>
        </w:rPr>
        <w:t>以下简称“中国建设银行”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2015</w:t>
      </w:r>
      <w:r w:rsidRPr="00F834A5">
        <w:rPr>
          <w:color w:val="000000"/>
          <w:sz w:val="24"/>
        </w:rPr>
        <w:t>年</w:t>
      </w:r>
      <w:r w:rsidRPr="00F834A5">
        <w:rPr>
          <w:color w:val="000000"/>
          <w:sz w:val="24"/>
        </w:rPr>
        <w:t>3</w:t>
      </w:r>
      <w:r w:rsidRPr="00F834A5">
        <w:rPr>
          <w:color w:val="000000"/>
          <w:sz w:val="24"/>
        </w:rPr>
        <w:t>月</w:t>
      </w:r>
      <w:r w:rsidRPr="00F834A5">
        <w:rPr>
          <w:color w:val="000000"/>
          <w:sz w:val="24"/>
        </w:rPr>
        <w:t>30</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2014</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lastRenderedPageBreak/>
        <w:t>§</w:t>
      </w:r>
      <w:r w:rsidRPr="00EE436E">
        <w:rPr>
          <w:rFonts w:hint="eastAsia"/>
          <w:b/>
          <w:bCs/>
          <w:szCs w:val="24"/>
          <w:lang w:val="en-US"/>
        </w:rPr>
        <w:t xml:space="preserve">2  </w:t>
      </w:r>
      <w:r w:rsidRPr="00EE436E">
        <w:rPr>
          <w:rFonts w:hint="eastAsia"/>
          <w:b/>
          <w:bCs/>
          <w:szCs w:val="24"/>
          <w:lang w:val="en-US"/>
        </w:rPr>
        <w:t>基金简介</w:t>
      </w:r>
    </w:p>
    <w:p w:rsidR="00C067D3" w:rsidRPr="00C067D3" w:rsidRDefault="00C067D3" w:rsidP="00C067D3"/>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交银理财</w:t>
            </w:r>
            <w:r w:rsidRPr="004C79A3">
              <w:rPr>
                <w:rFonts w:hint="eastAsia"/>
                <w:sz w:val="24"/>
              </w:rPr>
              <w:t>60</w:t>
            </w:r>
            <w:r w:rsidRPr="004C79A3">
              <w:rPr>
                <w:rFonts w:hint="eastAsia"/>
                <w:sz w:val="24"/>
              </w:rPr>
              <w:t>天债券</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519721</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2013</w:t>
            </w:r>
            <w:r w:rsidRPr="004C79A3">
              <w:rPr>
                <w:sz w:val="24"/>
              </w:rPr>
              <w:t>年</w:t>
            </w:r>
            <w:r w:rsidRPr="004C79A3">
              <w:rPr>
                <w:sz w:val="24"/>
              </w:rPr>
              <w:t>3</w:t>
            </w:r>
            <w:r w:rsidRPr="004C79A3">
              <w:rPr>
                <w:sz w:val="24"/>
              </w:rPr>
              <w:t>月</w:t>
            </w:r>
            <w:r w:rsidRPr="004C79A3">
              <w:rPr>
                <w:sz w:val="24"/>
              </w:rPr>
              <w:t>13</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中国建设银行股份有限公司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236,301,902.14</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60</w:t>
            </w:r>
            <w:r w:rsidRPr="004C79A3">
              <w:rPr>
                <w:rFonts w:hint="eastAsia"/>
                <w:sz w:val="24"/>
              </w:rPr>
              <w:t>天债券</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60</w:t>
            </w:r>
            <w:r w:rsidRPr="004C79A3">
              <w:rPr>
                <w:rFonts w:hint="eastAsia"/>
                <w:sz w:val="24"/>
              </w:rPr>
              <w:t>天债券</w:t>
            </w:r>
            <w:r w:rsidRPr="004C79A3">
              <w:rPr>
                <w:rFonts w:hint="eastAsia"/>
                <w:sz w:val="24"/>
              </w:rPr>
              <w:t>B</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519721</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519722</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14,928,628.72</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221,373,273.42</w:t>
            </w:r>
            <w:r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本基金在追求本金安全、保持资产流动性的基础上，努力追求绝对收益，为基金份额持有人谋求资产的稳定增值。</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人民币七天通知存款税后利率</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本基金属于短期理财债券型证券投资基金，长期风险收益水平低于股票型基金、混合型基金及普通债券型基金，高于货币市场型证券投资基金。</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中国建设银行股份有限公司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lastRenderedPageBreak/>
              <w:t>信息披露负责人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孙艳</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田青</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010-67595096</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tianqing1.zh@ccb.com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010-67595096</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021-61055054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010-66275853</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670602">
            <w:pPr>
              <w:tabs>
                <w:tab w:val="left" w:pos="1740"/>
              </w:tabs>
              <w:spacing w:before="29" w:line="288" w:lineRule="auto"/>
              <w:jc w:val="left"/>
              <w:rPr>
                <w:sz w:val="24"/>
              </w:rPr>
            </w:pPr>
            <w:r w:rsidRPr="007032E6">
              <w:rPr>
                <w:rFonts w:hint="eastAsia"/>
                <w:sz w:val="24"/>
              </w:rPr>
              <w:t>www.fund001.com</w:t>
            </w:r>
            <w:r w:rsidRPr="007032E6">
              <w:rPr>
                <w:rFonts w:hint="eastAsia"/>
                <w:sz w:val="24"/>
              </w:rPr>
              <w:t>，</w:t>
            </w:r>
            <w:r w:rsidRPr="007032E6">
              <w:rPr>
                <w:rFonts w:hint="eastAsia"/>
                <w:sz w:val="24"/>
              </w:rPr>
              <w:t>www.bocomschroder.com</w:t>
            </w:r>
          </w:p>
        </w:tc>
      </w:tr>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6E2B7D" w:rsidRPr="006E2B7D" w:rsidRDefault="006E2B7D" w:rsidP="006E2B7D">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1781"/>
        <w:gridCol w:w="1781"/>
        <w:gridCol w:w="1781"/>
        <w:gridCol w:w="1979"/>
      </w:tblGrid>
      <w:tr w:rsidR="00670602" w:rsidRPr="00D0515B" w:rsidTr="00670602">
        <w:trPr>
          <w:trHeight w:val="487"/>
        </w:trPr>
        <w:tc>
          <w:tcPr>
            <w:tcW w:w="959" w:type="pct"/>
            <w:vMerge w:val="restart"/>
            <w:tcBorders>
              <w:top w:val="single" w:sz="4" w:space="0" w:color="000000"/>
              <w:left w:val="single" w:sz="4" w:space="0" w:color="000000"/>
              <w:bottom w:val="single" w:sz="4" w:space="0" w:color="000000"/>
              <w:right w:val="single" w:sz="4" w:space="0" w:color="000000"/>
            </w:tcBorders>
            <w:vAlign w:val="center"/>
            <w:hideMark/>
          </w:tcPr>
          <w:p w:rsidR="00670602" w:rsidRPr="00D0515B" w:rsidRDefault="00670602" w:rsidP="00477D87">
            <w:pPr>
              <w:spacing w:before="29" w:line="288" w:lineRule="auto"/>
              <w:ind w:leftChars="-51" w:left="-107" w:rightChars="-51" w:right="-107"/>
              <w:jc w:val="center"/>
              <w:rPr>
                <w:rFonts w:asciiTheme="minorEastAsia" w:eastAsiaTheme="minorEastAsia" w:hAnsiTheme="minorEastAsia"/>
                <w:b/>
                <w:szCs w:val="21"/>
              </w:rPr>
            </w:pPr>
            <w:r w:rsidRPr="00804D95">
              <w:rPr>
                <w:rFonts w:hint="eastAsia"/>
                <w:b/>
                <w:sz w:val="24"/>
              </w:rPr>
              <w:t>3.</w:t>
            </w:r>
            <w:r w:rsidRPr="00D16011">
              <w:rPr>
                <w:rFonts w:hint="eastAsia"/>
                <w:b/>
                <w:sz w:val="24"/>
              </w:rPr>
              <w:t>1.1</w:t>
            </w:r>
            <w:r w:rsidRPr="00D16011">
              <w:rPr>
                <w:rFonts w:hint="eastAsia"/>
                <w:b/>
                <w:sz w:val="24"/>
              </w:rPr>
              <w:t>期间数据和指标</w:t>
            </w:r>
          </w:p>
        </w:tc>
        <w:tc>
          <w:tcPr>
            <w:tcW w:w="1966" w:type="pct"/>
            <w:gridSpan w:val="2"/>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center"/>
              <w:rPr>
                <w:b/>
                <w:sz w:val="24"/>
              </w:rPr>
            </w:pPr>
            <w:r w:rsidRPr="00335056">
              <w:rPr>
                <w:b/>
                <w:sz w:val="24"/>
              </w:rPr>
              <w:t>2014</w:t>
            </w:r>
            <w:r w:rsidRPr="00335056">
              <w:rPr>
                <w:b/>
                <w:sz w:val="24"/>
              </w:rPr>
              <w:t>年</w:t>
            </w:r>
          </w:p>
        </w:tc>
        <w:tc>
          <w:tcPr>
            <w:tcW w:w="2075" w:type="pct"/>
            <w:gridSpan w:val="2"/>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center"/>
              <w:rPr>
                <w:b/>
                <w:sz w:val="24"/>
              </w:rPr>
            </w:pPr>
            <w:r w:rsidRPr="00335056">
              <w:rPr>
                <w:rFonts w:hint="eastAsia"/>
                <w:b/>
                <w:sz w:val="24"/>
              </w:rPr>
              <w:t>2013</w:t>
            </w:r>
            <w:r w:rsidRPr="00335056">
              <w:rPr>
                <w:rFonts w:hint="eastAsia"/>
                <w:b/>
                <w:sz w:val="24"/>
              </w:rPr>
              <w:t>年</w:t>
            </w:r>
            <w:r w:rsidRPr="00335056">
              <w:rPr>
                <w:rFonts w:hint="eastAsia"/>
                <w:b/>
                <w:sz w:val="24"/>
              </w:rPr>
              <w:t>3</w:t>
            </w:r>
            <w:r w:rsidRPr="00335056">
              <w:rPr>
                <w:rFonts w:hint="eastAsia"/>
                <w:b/>
                <w:sz w:val="24"/>
              </w:rPr>
              <w:t>月</w:t>
            </w:r>
            <w:r w:rsidRPr="00335056">
              <w:rPr>
                <w:rFonts w:hint="eastAsia"/>
                <w:b/>
                <w:sz w:val="24"/>
              </w:rPr>
              <w:t>13</w:t>
            </w:r>
            <w:r w:rsidRPr="00335056">
              <w:rPr>
                <w:rFonts w:hint="eastAsia"/>
                <w:b/>
                <w:sz w:val="24"/>
              </w:rPr>
              <w:t>日（基金合同生效日）至</w:t>
            </w:r>
            <w:r w:rsidRPr="00335056">
              <w:rPr>
                <w:rFonts w:hint="eastAsia"/>
                <w:b/>
                <w:sz w:val="24"/>
              </w:rPr>
              <w:t>2013</w:t>
            </w:r>
            <w:r w:rsidRPr="00335056">
              <w:rPr>
                <w:rFonts w:hint="eastAsia"/>
                <w:b/>
                <w:sz w:val="24"/>
              </w:rPr>
              <w:t>年</w:t>
            </w:r>
            <w:r w:rsidRPr="00335056">
              <w:rPr>
                <w:rFonts w:hint="eastAsia"/>
                <w:b/>
                <w:sz w:val="24"/>
              </w:rPr>
              <w:t>12</w:t>
            </w:r>
            <w:r w:rsidRPr="00335056">
              <w:rPr>
                <w:rFonts w:hint="eastAsia"/>
                <w:b/>
                <w:sz w:val="24"/>
              </w:rPr>
              <w:t>月</w:t>
            </w:r>
            <w:r w:rsidRPr="00335056">
              <w:rPr>
                <w:rFonts w:hint="eastAsia"/>
                <w:b/>
                <w:sz w:val="24"/>
              </w:rPr>
              <w:t>31</w:t>
            </w:r>
            <w:r w:rsidRPr="00335056">
              <w:rPr>
                <w:rFonts w:hint="eastAsia"/>
                <w:b/>
                <w:sz w:val="24"/>
              </w:rPr>
              <w:t>日</w:t>
            </w:r>
          </w:p>
        </w:tc>
      </w:tr>
      <w:tr w:rsidR="00670602" w:rsidRPr="00D0515B" w:rsidTr="00670602">
        <w:trPr>
          <w:trHeight w:val="487"/>
        </w:trPr>
        <w:tc>
          <w:tcPr>
            <w:tcW w:w="959" w:type="pct"/>
            <w:vMerge/>
            <w:tcBorders>
              <w:top w:val="single" w:sz="4" w:space="0" w:color="000000"/>
              <w:left w:val="single" w:sz="4" w:space="0" w:color="000000"/>
              <w:bottom w:val="single" w:sz="4" w:space="0" w:color="000000"/>
              <w:right w:val="single" w:sz="4" w:space="0" w:color="000000"/>
            </w:tcBorders>
            <w:vAlign w:val="center"/>
            <w:hideMark/>
          </w:tcPr>
          <w:p w:rsidR="00670602" w:rsidRPr="00D0515B" w:rsidRDefault="00670602" w:rsidP="00477D87">
            <w:pPr>
              <w:widowControl/>
              <w:spacing w:line="360" w:lineRule="auto"/>
              <w:jc w:val="left"/>
              <w:rPr>
                <w:rFonts w:asciiTheme="minorEastAsia" w:eastAsiaTheme="minorEastAsia" w:hAnsiTheme="minorEastAsia"/>
                <w:b/>
                <w:szCs w:val="21"/>
              </w:rPr>
            </w:pP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A</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B</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A</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B</w:t>
            </w:r>
          </w:p>
        </w:tc>
      </w:tr>
      <w:tr w:rsidR="00670602" w:rsidRPr="00D0515B" w:rsidTr="00670602">
        <w:tc>
          <w:tcPr>
            <w:tcW w:w="959" w:type="pct"/>
            <w:tcBorders>
              <w:top w:val="single" w:sz="4" w:space="0" w:color="000000"/>
              <w:left w:val="single" w:sz="4" w:space="0" w:color="000000"/>
              <w:bottom w:val="single" w:sz="4" w:space="0" w:color="000000"/>
              <w:right w:val="single" w:sz="4" w:space="0" w:color="000000"/>
            </w:tcBorders>
            <w:vAlign w:val="center"/>
            <w:hideMark/>
          </w:tcPr>
          <w:p w:rsidR="00670602" w:rsidRPr="001271C4" w:rsidRDefault="00670602" w:rsidP="00477D87">
            <w:pPr>
              <w:spacing w:before="29" w:line="288" w:lineRule="auto"/>
              <w:rPr>
                <w:sz w:val="24"/>
              </w:rPr>
            </w:pPr>
            <w:r w:rsidRPr="001271C4">
              <w:rPr>
                <w:rFonts w:hint="eastAsia"/>
                <w:sz w:val="24"/>
              </w:rPr>
              <w:t>本期已实现收益</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707,366.26</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1,502,900.71</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6,212,617.72</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1,236,476.87</w:t>
            </w:r>
          </w:p>
        </w:tc>
      </w:tr>
      <w:tr w:rsidR="00670602" w:rsidRPr="00D0515B" w:rsidTr="00670602">
        <w:trPr>
          <w:trHeight w:val="754"/>
        </w:trPr>
        <w:tc>
          <w:tcPr>
            <w:tcW w:w="959" w:type="pct"/>
            <w:tcBorders>
              <w:top w:val="single" w:sz="4" w:space="0" w:color="000000"/>
              <w:left w:val="single" w:sz="4" w:space="0" w:color="000000"/>
              <w:bottom w:val="single" w:sz="4" w:space="0" w:color="000000"/>
              <w:right w:val="single" w:sz="4" w:space="0" w:color="000000"/>
            </w:tcBorders>
            <w:vAlign w:val="center"/>
            <w:hideMark/>
          </w:tcPr>
          <w:p w:rsidR="00670602" w:rsidRPr="001271C4" w:rsidRDefault="00670602" w:rsidP="00477D87">
            <w:pPr>
              <w:spacing w:before="29" w:line="288" w:lineRule="auto"/>
              <w:rPr>
                <w:sz w:val="24"/>
              </w:rPr>
            </w:pPr>
            <w:r w:rsidRPr="001271C4">
              <w:rPr>
                <w:rFonts w:hint="eastAsia"/>
                <w:sz w:val="24"/>
              </w:rPr>
              <w:t>本期利润</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707,366.26</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1,502,900.71</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6,212,617.72</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1,236,476.87</w:t>
            </w:r>
          </w:p>
        </w:tc>
      </w:tr>
      <w:tr w:rsidR="00670602" w:rsidRPr="00D0515B" w:rsidTr="00670602">
        <w:tc>
          <w:tcPr>
            <w:tcW w:w="959" w:type="pct"/>
            <w:tcBorders>
              <w:top w:val="single" w:sz="4" w:space="0" w:color="000000"/>
              <w:left w:val="single" w:sz="4" w:space="0" w:color="000000"/>
              <w:bottom w:val="single" w:sz="4" w:space="0" w:color="000000"/>
              <w:right w:val="single" w:sz="4" w:space="0" w:color="000000"/>
            </w:tcBorders>
            <w:vAlign w:val="center"/>
            <w:hideMark/>
          </w:tcPr>
          <w:p w:rsidR="00670602" w:rsidRPr="001271C4" w:rsidRDefault="00670602" w:rsidP="00477D87">
            <w:pPr>
              <w:spacing w:before="29" w:line="288" w:lineRule="auto"/>
              <w:rPr>
                <w:sz w:val="24"/>
              </w:rPr>
            </w:pPr>
            <w:r w:rsidRPr="001271C4">
              <w:rPr>
                <w:rFonts w:hint="eastAsia"/>
                <w:sz w:val="24"/>
              </w:rPr>
              <w:t>本期净值收益率</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3.92%</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2.21%</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2.93%</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2.59%</w:t>
            </w:r>
          </w:p>
        </w:tc>
      </w:tr>
      <w:tr w:rsidR="00670602" w:rsidRPr="00D0515B" w:rsidTr="00670602">
        <w:tc>
          <w:tcPr>
            <w:tcW w:w="959" w:type="pct"/>
            <w:vMerge w:val="restart"/>
            <w:tcBorders>
              <w:top w:val="single" w:sz="4" w:space="0" w:color="000000"/>
              <w:left w:val="single" w:sz="4" w:space="0" w:color="000000"/>
              <w:bottom w:val="single" w:sz="4" w:space="0" w:color="000000"/>
              <w:right w:val="single" w:sz="4" w:space="0" w:color="000000"/>
            </w:tcBorders>
            <w:vAlign w:val="center"/>
            <w:hideMark/>
          </w:tcPr>
          <w:p w:rsidR="00670602" w:rsidRPr="00D0515B" w:rsidRDefault="00670602" w:rsidP="00477D87">
            <w:pPr>
              <w:spacing w:before="29" w:line="288" w:lineRule="auto"/>
              <w:ind w:leftChars="-51" w:left="-107" w:rightChars="-51" w:right="-107"/>
              <w:rPr>
                <w:rFonts w:asciiTheme="minorEastAsia" w:eastAsiaTheme="minorEastAsia" w:hAnsiTheme="minorEastAsia"/>
                <w:b/>
                <w:szCs w:val="21"/>
              </w:rPr>
            </w:pPr>
            <w:r w:rsidRPr="00517197">
              <w:rPr>
                <w:rFonts w:hint="eastAsia"/>
                <w:b/>
                <w:sz w:val="24"/>
              </w:rPr>
              <w:t>3.1.2</w:t>
            </w:r>
            <w:r w:rsidRPr="00517197">
              <w:rPr>
                <w:rFonts w:hint="eastAsia"/>
                <w:b/>
                <w:sz w:val="24"/>
              </w:rPr>
              <w:t>期末数据和指标</w:t>
            </w:r>
          </w:p>
        </w:tc>
        <w:tc>
          <w:tcPr>
            <w:tcW w:w="1966" w:type="pct"/>
            <w:gridSpan w:val="2"/>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center"/>
              <w:rPr>
                <w:b/>
                <w:sz w:val="24"/>
              </w:rPr>
            </w:pPr>
            <w:r w:rsidRPr="00335056">
              <w:rPr>
                <w:b/>
                <w:sz w:val="24"/>
              </w:rPr>
              <w:t>2014</w:t>
            </w:r>
            <w:r w:rsidRPr="00335056">
              <w:rPr>
                <w:rFonts w:hint="eastAsia"/>
                <w:b/>
                <w:sz w:val="24"/>
              </w:rPr>
              <w:t>年末</w:t>
            </w:r>
          </w:p>
        </w:tc>
        <w:tc>
          <w:tcPr>
            <w:tcW w:w="2075" w:type="pct"/>
            <w:gridSpan w:val="2"/>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center"/>
              <w:rPr>
                <w:b/>
                <w:sz w:val="24"/>
              </w:rPr>
            </w:pPr>
            <w:r w:rsidRPr="00335056">
              <w:rPr>
                <w:b/>
                <w:sz w:val="24"/>
              </w:rPr>
              <w:t>2013</w:t>
            </w:r>
            <w:r w:rsidRPr="00335056">
              <w:rPr>
                <w:rFonts w:hint="eastAsia"/>
                <w:b/>
                <w:sz w:val="24"/>
              </w:rPr>
              <w:t>年末</w:t>
            </w:r>
          </w:p>
        </w:tc>
      </w:tr>
      <w:tr w:rsidR="00670602" w:rsidRPr="00D0515B" w:rsidTr="00670602">
        <w:trPr>
          <w:trHeight w:val="373"/>
        </w:trPr>
        <w:tc>
          <w:tcPr>
            <w:tcW w:w="959" w:type="pct"/>
            <w:vMerge/>
            <w:tcBorders>
              <w:top w:val="single" w:sz="4" w:space="0" w:color="000000"/>
              <w:left w:val="single" w:sz="4" w:space="0" w:color="000000"/>
              <w:bottom w:val="single" w:sz="4" w:space="0" w:color="000000"/>
              <w:right w:val="single" w:sz="4" w:space="0" w:color="000000"/>
            </w:tcBorders>
            <w:vAlign w:val="center"/>
            <w:hideMark/>
          </w:tcPr>
          <w:p w:rsidR="00670602" w:rsidRPr="00D0515B" w:rsidRDefault="00670602" w:rsidP="00477D87">
            <w:pPr>
              <w:widowControl/>
              <w:spacing w:line="360" w:lineRule="auto"/>
              <w:jc w:val="left"/>
              <w:rPr>
                <w:rFonts w:asciiTheme="minorEastAsia" w:eastAsiaTheme="minorEastAsia" w:hAnsiTheme="minorEastAsia"/>
                <w:b/>
                <w:szCs w:val="21"/>
              </w:rPr>
            </w:pP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A</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B</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A</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rPr>
                <w:sz w:val="24"/>
              </w:rPr>
            </w:pPr>
            <w:r w:rsidRPr="00335056">
              <w:rPr>
                <w:rFonts w:hint="eastAsia"/>
                <w:sz w:val="24"/>
              </w:rPr>
              <w:t>交银理财</w:t>
            </w:r>
            <w:r w:rsidRPr="00335056">
              <w:rPr>
                <w:rFonts w:hint="eastAsia"/>
                <w:sz w:val="24"/>
              </w:rPr>
              <w:t>60</w:t>
            </w:r>
            <w:r w:rsidRPr="00335056">
              <w:rPr>
                <w:rFonts w:hint="eastAsia"/>
                <w:sz w:val="24"/>
              </w:rPr>
              <w:t>天债券</w:t>
            </w:r>
            <w:r w:rsidRPr="00335056">
              <w:rPr>
                <w:rFonts w:hint="eastAsia"/>
                <w:sz w:val="24"/>
              </w:rPr>
              <w:t>B</w:t>
            </w:r>
          </w:p>
        </w:tc>
      </w:tr>
      <w:tr w:rsidR="00670602" w:rsidRPr="00D0515B" w:rsidTr="00670602">
        <w:tc>
          <w:tcPr>
            <w:tcW w:w="959" w:type="pct"/>
            <w:tcBorders>
              <w:top w:val="single" w:sz="4" w:space="0" w:color="000000"/>
              <w:left w:val="single" w:sz="4" w:space="0" w:color="000000"/>
              <w:bottom w:val="single" w:sz="4" w:space="0" w:color="000000"/>
              <w:right w:val="single" w:sz="4" w:space="0" w:color="000000"/>
            </w:tcBorders>
            <w:vAlign w:val="center"/>
            <w:hideMark/>
          </w:tcPr>
          <w:p w:rsidR="00670602" w:rsidRPr="00825793" w:rsidRDefault="00670602" w:rsidP="00477D87">
            <w:pPr>
              <w:spacing w:before="29" w:line="288" w:lineRule="auto"/>
              <w:rPr>
                <w:sz w:val="24"/>
              </w:rPr>
            </w:pPr>
            <w:r w:rsidRPr="00825793">
              <w:rPr>
                <w:rFonts w:hint="eastAsia"/>
                <w:sz w:val="24"/>
              </w:rPr>
              <w:t>期末基金资产净值</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14,928,628.72</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221,373,273.42</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37,692,092.20</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50,000,000.00</w:t>
            </w:r>
          </w:p>
        </w:tc>
      </w:tr>
      <w:tr w:rsidR="00670602" w:rsidRPr="00D0515B" w:rsidTr="00670602">
        <w:tc>
          <w:tcPr>
            <w:tcW w:w="959" w:type="pct"/>
            <w:tcBorders>
              <w:top w:val="single" w:sz="4" w:space="0" w:color="000000"/>
              <w:left w:val="single" w:sz="4" w:space="0" w:color="000000"/>
              <w:bottom w:val="single" w:sz="4" w:space="0" w:color="000000"/>
              <w:right w:val="single" w:sz="4" w:space="0" w:color="000000"/>
            </w:tcBorders>
            <w:vAlign w:val="center"/>
            <w:hideMark/>
          </w:tcPr>
          <w:p w:rsidR="00670602" w:rsidRPr="00825793" w:rsidRDefault="00670602" w:rsidP="00477D87">
            <w:pPr>
              <w:spacing w:before="29" w:line="288" w:lineRule="auto"/>
              <w:rPr>
                <w:sz w:val="24"/>
              </w:rPr>
            </w:pPr>
            <w:r w:rsidRPr="00825793">
              <w:rPr>
                <w:rFonts w:hint="eastAsia"/>
                <w:sz w:val="24"/>
              </w:rPr>
              <w:t>期末基金份额净值</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1.0000</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1.0000</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1.0000</w:t>
            </w:r>
          </w:p>
        </w:tc>
        <w:tc>
          <w:tcPr>
            <w:tcW w:w="1092" w:type="pct"/>
            <w:tcBorders>
              <w:top w:val="single" w:sz="4" w:space="0" w:color="000000"/>
              <w:left w:val="single" w:sz="4" w:space="0" w:color="000000"/>
              <w:bottom w:val="single" w:sz="4" w:space="0" w:color="000000"/>
              <w:right w:val="single" w:sz="4" w:space="0" w:color="000000"/>
            </w:tcBorders>
            <w:vAlign w:val="center"/>
            <w:hideMark/>
          </w:tcPr>
          <w:p w:rsidR="00670602" w:rsidRPr="00335056" w:rsidRDefault="00670602" w:rsidP="00477D87">
            <w:pPr>
              <w:spacing w:before="29" w:line="288" w:lineRule="auto"/>
              <w:jc w:val="right"/>
              <w:rPr>
                <w:sz w:val="24"/>
              </w:rPr>
            </w:pPr>
            <w:r w:rsidRPr="00335056">
              <w:rPr>
                <w:rFonts w:hint="eastAsia"/>
                <w:sz w:val="24"/>
              </w:rPr>
              <w:t>1.0000</w:t>
            </w:r>
          </w:p>
        </w:tc>
      </w:tr>
    </w:tbl>
    <w:p w:rsidR="003768CA" w:rsidRDefault="007529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3768CA" w:rsidRDefault="007529CB">
      <w:pPr>
        <w:spacing w:before="29" w:line="288" w:lineRule="auto"/>
        <w:jc w:val="left"/>
        <w:rPr>
          <w:kern w:val="0"/>
          <w:sz w:val="24"/>
        </w:rPr>
      </w:pPr>
      <w:r>
        <w:rPr>
          <w:rFonts w:hint="eastAsia"/>
          <w:kern w:val="0"/>
          <w:sz w:val="24"/>
        </w:rPr>
        <w:t xml:space="preserve">    2</w:t>
      </w:r>
      <w:r>
        <w:rPr>
          <w:rFonts w:hint="eastAsia"/>
          <w:kern w:val="0"/>
          <w:sz w:val="24"/>
        </w:rPr>
        <w:t>、本基金收益分配按运作期结转份额。</w:t>
      </w:r>
    </w:p>
    <w:p w:rsidR="003768CA" w:rsidRDefault="007529CB">
      <w:pPr>
        <w:spacing w:before="29" w:line="288" w:lineRule="auto"/>
        <w:jc w:val="left"/>
        <w:rPr>
          <w:kern w:val="0"/>
          <w:sz w:val="24"/>
        </w:rPr>
      </w:pPr>
      <w:r>
        <w:rPr>
          <w:rFonts w:hint="eastAsia"/>
          <w:kern w:val="0"/>
          <w:sz w:val="24"/>
        </w:rPr>
        <w:t xml:space="preserve">    3</w:t>
      </w:r>
      <w:r>
        <w:rPr>
          <w:rFonts w:hint="eastAsia"/>
          <w:kern w:val="0"/>
          <w:sz w:val="24"/>
        </w:rPr>
        <w:t>、自合同生效日起，本基金实行销售服务费分类收费方式，分设两类基金份额：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w:t>
      </w:r>
    </w:p>
    <w:p w:rsidR="00FF3081" w:rsidRPr="007D254C" w:rsidRDefault="00FF3081" w:rsidP="007D254C">
      <w:pPr>
        <w:spacing w:before="29" w:line="288" w:lineRule="auto"/>
        <w:jc w:val="left"/>
        <w:rPr>
          <w:kern w:val="0"/>
          <w:sz w:val="24"/>
        </w:rPr>
      </w:pPr>
      <w:r w:rsidRPr="007D254C">
        <w:rPr>
          <w:rFonts w:hint="eastAsia"/>
          <w:kern w:val="0"/>
          <w:sz w:val="24"/>
        </w:rPr>
        <w:t xml:space="preserve">    4</w:t>
      </w:r>
      <w:r w:rsidRPr="007D254C">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r w:rsidRPr="007D254C">
        <w:rPr>
          <w:rFonts w:hint="eastAsia"/>
          <w:kern w:val="0"/>
          <w:sz w:val="24"/>
        </w:rPr>
        <w:t xml:space="preserve"> </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．交银理财</w:t>
      </w:r>
      <w:r w:rsidRPr="00703593">
        <w:rPr>
          <w:rFonts w:ascii="Times New Roman" w:hAnsi="Times New Roman" w:hint="eastAsia"/>
          <w:b/>
          <w:color w:val="auto"/>
        </w:rPr>
        <w:t>60</w:t>
      </w:r>
      <w:r w:rsidRPr="00703593">
        <w:rPr>
          <w:rFonts w:ascii="Times New Roman" w:hAnsi="Times New Roman" w:hint="eastAsia"/>
          <w:b/>
          <w:color w:val="auto"/>
        </w:rPr>
        <w:t>天债券</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3768CA">
        <w:tc>
          <w:tcPr>
            <w:tcW w:w="1286" w:type="dxa"/>
            <w:vAlign w:val="center"/>
          </w:tcPr>
          <w:p w:rsidR="003768CA" w:rsidRDefault="007529CB">
            <w:pPr>
              <w:jc w:val="left"/>
            </w:pPr>
            <w:r>
              <w:rPr>
                <w:sz w:val="24"/>
              </w:rPr>
              <w:t>过去三个月</w:t>
            </w:r>
          </w:p>
        </w:tc>
        <w:tc>
          <w:tcPr>
            <w:tcW w:w="1286" w:type="dxa"/>
            <w:vAlign w:val="center"/>
          </w:tcPr>
          <w:p w:rsidR="003768CA" w:rsidRDefault="007529CB">
            <w:pPr>
              <w:jc w:val="center"/>
            </w:pPr>
            <w:r>
              <w:rPr>
                <w:sz w:val="24"/>
              </w:rPr>
              <w:t>1.0131%</w:t>
            </w:r>
          </w:p>
        </w:tc>
        <w:tc>
          <w:tcPr>
            <w:tcW w:w="1286" w:type="dxa"/>
            <w:vAlign w:val="center"/>
          </w:tcPr>
          <w:p w:rsidR="003768CA" w:rsidRDefault="007529CB">
            <w:pPr>
              <w:jc w:val="center"/>
            </w:pPr>
            <w:r>
              <w:rPr>
                <w:sz w:val="24"/>
              </w:rPr>
              <w:t>0.0122%</w:t>
            </w:r>
          </w:p>
        </w:tc>
        <w:tc>
          <w:tcPr>
            <w:tcW w:w="1285" w:type="dxa"/>
            <w:vAlign w:val="center"/>
          </w:tcPr>
          <w:p w:rsidR="003768CA" w:rsidRDefault="007529CB">
            <w:pPr>
              <w:jc w:val="center"/>
            </w:pPr>
            <w:r>
              <w:rPr>
                <w:sz w:val="24"/>
              </w:rPr>
              <w:t>0.3403%</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0.6728%</w:t>
            </w:r>
          </w:p>
        </w:tc>
        <w:tc>
          <w:tcPr>
            <w:tcW w:w="1285" w:type="dxa"/>
            <w:vAlign w:val="center"/>
          </w:tcPr>
          <w:p w:rsidR="003768CA" w:rsidRDefault="007529CB">
            <w:pPr>
              <w:jc w:val="center"/>
            </w:pPr>
            <w:r>
              <w:rPr>
                <w:sz w:val="24"/>
              </w:rPr>
              <w:t>0.0122%</w:t>
            </w:r>
          </w:p>
        </w:tc>
      </w:tr>
      <w:tr w:rsidR="003768CA">
        <w:tc>
          <w:tcPr>
            <w:tcW w:w="1286" w:type="dxa"/>
            <w:vAlign w:val="center"/>
          </w:tcPr>
          <w:p w:rsidR="003768CA" w:rsidRDefault="007529CB">
            <w:pPr>
              <w:jc w:val="left"/>
            </w:pPr>
            <w:r>
              <w:rPr>
                <w:sz w:val="24"/>
              </w:rPr>
              <w:t>过去六个月</w:t>
            </w:r>
          </w:p>
        </w:tc>
        <w:tc>
          <w:tcPr>
            <w:tcW w:w="1286" w:type="dxa"/>
            <w:vAlign w:val="center"/>
          </w:tcPr>
          <w:p w:rsidR="003768CA" w:rsidRDefault="007529CB">
            <w:pPr>
              <w:jc w:val="center"/>
            </w:pPr>
            <w:r>
              <w:rPr>
                <w:sz w:val="24"/>
              </w:rPr>
              <w:t>1.9599%</w:t>
            </w:r>
          </w:p>
        </w:tc>
        <w:tc>
          <w:tcPr>
            <w:tcW w:w="1286" w:type="dxa"/>
            <w:vAlign w:val="center"/>
          </w:tcPr>
          <w:p w:rsidR="003768CA" w:rsidRDefault="007529CB">
            <w:pPr>
              <w:jc w:val="center"/>
            </w:pPr>
            <w:r>
              <w:rPr>
                <w:sz w:val="24"/>
              </w:rPr>
              <w:t>0.0110%</w:t>
            </w:r>
          </w:p>
        </w:tc>
        <w:tc>
          <w:tcPr>
            <w:tcW w:w="1285" w:type="dxa"/>
            <w:vAlign w:val="center"/>
          </w:tcPr>
          <w:p w:rsidR="003768CA" w:rsidRDefault="007529CB">
            <w:pPr>
              <w:jc w:val="center"/>
            </w:pPr>
            <w:r>
              <w:rPr>
                <w:sz w:val="24"/>
              </w:rPr>
              <w:t>0.6805%</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1.2794%</w:t>
            </w:r>
          </w:p>
        </w:tc>
        <w:tc>
          <w:tcPr>
            <w:tcW w:w="1285" w:type="dxa"/>
            <w:vAlign w:val="center"/>
          </w:tcPr>
          <w:p w:rsidR="003768CA" w:rsidRDefault="007529CB">
            <w:pPr>
              <w:jc w:val="center"/>
            </w:pPr>
            <w:r>
              <w:rPr>
                <w:sz w:val="24"/>
              </w:rPr>
              <w:t>0.0110%</w:t>
            </w:r>
          </w:p>
        </w:tc>
      </w:tr>
      <w:tr w:rsidR="003768CA">
        <w:tc>
          <w:tcPr>
            <w:tcW w:w="1286" w:type="dxa"/>
            <w:vAlign w:val="center"/>
          </w:tcPr>
          <w:p w:rsidR="003768CA" w:rsidRDefault="007529CB">
            <w:pPr>
              <w:jc w:val="left"/>
            </w:pPr>
            <w:r>
              <w:rPr>
                <w:sz w:val="24"/>
              </w:rPr>
              <w:t>过去一年</w:t>
            </w:r>
          </w:p>
        </w:tc>
        <w:tc>
          <w:tcPr>
            <w:tcW w:w="1286" w:type="dxa"/>
            <w:vAlign w:val="center"/>
          </w:tcPr>
          <w:p w:rsidR="003768CA" w:rsidRDefault="007529CB">
            <w:pPr>
              <w:jc w:val="center"/>
            </w:pPr>
            <w:r>
              <w:rPr>
                <w:sz w:val="24"/>
              </w:rPr>
              <w:t>3.9241%</w:t>
            </w:r>
          </w:p>
        </w:tc>
        <w:tc>
          <w:tcPr>
            <w:tcW w:w="1286" w:type="dxa"/>
            <w:vAlign w:val="center"/>
          </w:tcPr>
          <w:p w:rsidR="003768CA" w:rsidRDefault="007529CB">
            <w:pPr>
              <w:jc w:val="center"/>
            </w:pPr>
            <w:r>
              <w:rPr>
                <w:sz w:val="24"/>
              </w:rPr>
              <w:t>0.0079%</w:t>
            </w:r>
          </w:p>
        </w:tc>
        <w:tc>
          <w:tcPr>
            <w:tcW w:w="1285" w:type="dxa"/>
            <w:vAlign w:val="center"/>
          </w:tcPr>
          <w:p w:rsidR="003768CA" w:rsidRDefault="007529CB">
            <w:pPr>
              <w:jc w:val="center"/>
            </w:pPr>
            <w:r>
              <w:rPr>
                <w:sz w:val="24"/>
              </w:rPr>
              <w:t>1.3500%</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2.5741%</w:t>
            </w:r>
          </w:p>
        </w:tc>
        <w:tc>
          <w:tcPr>
            <w:tcW w:w="1285" w:type="dxa"/>
            <w:vAlign w:val="center"/>
          </w:tcPr>
          <w:p w:rsidR="003768CA" w:rsidRDefault="007529CB">
            <w:pPr>
              <w:jc w:val="center"/>
            </w:pPr>
            <w:r>
              <w:rPr>
                <w:sz w:val="24"/>
              </w:rPr>
              <w:t>0.0079%</w:t>
            </w:r>
          </w:p>
        </w:tc>
      </w:tr>
      <w:tr w:rsidR="003768CA">
        <w:tc>
          <w:tcPr>
            <w:tcW w:w="1286" w:type="dxa"/>
            <w:vAlign w:val="center"/>
          </w:tcPr>
          <w:p w:rsidR="003768CA" w:rsidRDefault="007529CB">
            <w:pPr>
              <w:jc w:val="left"/>
            </w:pPr>
            <w:r>
              <w:rPr>
                <w:sz w:val="24"/>
              </w:rPr>
              <w:t>自基金合同生效起至今</w:t>
            </w:r>
          </w:p>
        </w:tc>
        <w:tc>
          <w:tcPr>
            <w:tcW w:w="1286" w:type="dxa"/>
            <w:vAlign w:val="center"/>
          </w:tcPr>
          <w:p w:rsidR="003768CA" w:rsidRDefault="007529CB">
            <w:pPr>
              <w:jc w:val="center"/>
            </w:pPr>
            <w:r>
              <w:rPr>
                <w:sz w:val="24"/>
              </w:rPr>
              <w:t>6.9734%</w:t>
            </w:r>
          </w:p>
        </w:tc>
        <w:tc>
          <w:tcPr>
            <w:tcW w:w="1286" w:type="dxa"/>
            <w:vAlign w:val="center"/>
          </w:tcPr>
          <w:p w:rsidR="003768CA" w:rsidRDefault="007529CB">
            <w:pPr>
              <w:jc w:val="center"/>
            </w:pPr>
            <w:r>
              <w:rPr>
                <w:sz w:val="24"/>
              </w:rPr>
              <w:t>0.0074%</w:t>
            </w:r>
          </w:p>
        </w:tc>
        <w:tc>
          <w:tcPr>
            <w:tcW w:w="1285" w:type="dxa"/>
            <w:vAlign w:val="center"/>
          </w:tcPr>
          <w:p w:rsidR="003768CA" w:rsidRDefault="007529CB">
            <w:pPr>
              <w:jc w:val="center"/>
            </w:pPr>
            <w:r>
              <w:rPr>
                <w:sz w:val="24"/>
              </w:rPr>
              <w:t>2.4374%</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4.5360%</w:t>
            </w:r>
          </w:p>
        </w:tc>
        <w:tc>
          <w:tcPr>
            <w:tcW w:w="1285" w:type="dxa"/>
            <w:vAlign w:val="center"/>
          </w:tcPr>
          <w:p w:rsidR="003768CA" w:rsidRDefault="007529CB">
            <w:pPr>
              <w:jc w:val="center"/>
            </w:pPr>
            <w:r>
              <w:rPr>
                <w:sz w:val="24"/>
              </w:rPr>
              <w:t>0.0074%</w:t>
            </w:r>
          </w:p>
        </w:tc>
      </w:tr>
    </w:tbl>
    <w:p w:rsidR="003768CA" w:rsidRDefault="007529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3768CA" w:rsidRDefault="007529CB">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、本基金的业绩比较基准为人民币七天通知存款税后利率。</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．交银理财</w:t>
      </w:r>
      <w:r w:rsidRPr="00703593">
        <w:rPr>
          <w:rFonts w:ascii="Times New Roman" w:hAnsi="Times New Roman" w:hint="eastAsia"/>
          <w:b/>
          <w:color w:val="auto"/>
        </w:rPr>
        <w:t>60</w:t>
      </w:r>
      <w:r w:rsidRPr="00703593">
        <w:rPr>
          <w:rFonts w:ascii="Times New Roman" w:hAnsi="Times New Roman" w:hint="eastAsia"/>
          <w:b/>
          <w:color w:val="auto"/>
        </w:rPr>
        <w:t>天债券</w:t>
      </w:r>
      <w:r w:rsidRPr="00703593">
        <w:rPr>
          <w:rFonts w:ascii="Times New Roman" w:hAnsi="Times New Roman" w:hint="eastAsia"/>
          <w:b/>
          <w:color w:val="auto"/>
        </w:rPr>
        <w:t>B</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3768CA">
        <w:tc>
          <w:tcPr>
            <w:tcW w:w="1286" w:type="dxa"/>
            <w:vAlign w:val="center"/>
          </w:tcPr>
          <w:p w:rsidR="003768CA" w:rsidRDefault="007529CB">
            <w:pPr>
              <w:jc w:val="left"/>
            </w:pPr>
            <w:r>
              <w:rPr>
                <w:sz w:val="24"/>
              </w:rPr>
              <w:t>过去三个月</w:t>
            </w:r>
          </w:p>
        </w:tc>
        <w:tc>
          <w:tcPr>
            <w:tcW w:w="1286" w:type="dxa"/>
            <w:vAlign w:val="center"/>
          </w:tcPr>
          <w:p w:rsidR="003768CA" w:rsidRDefault="007529CB">
            <w:pPr>
              <w:jc w:val="center"/>
            </w:pPr>
            <w:r>
              <w:rPr>
                <w:sz w:val="24"/>
              </w:rPr>
              <w:t>0.6995%</w:t>
            </w:r>
          </w:p>
        </w:tc>
        <w:tc>
          <w:tcPr>
            <w:tcW w:w="1286" w:type="dxa"/>
            <w:vAlign w:val="center"/>
          </w:tcPr>
          <w:p w:rsidR="003768CA" w:rsidRDefault="007529CB">
            <w:pPr>
              <w:jc w:val="center"/>
            </w:pPr>
            <w:r>
              <w:rPr>
                <w:sz w:val="24"/>
              </w:rPr>
              <w:t>0.0083%</w:t>
            </w:r>
          </w:p>
        </w:tc>
        <w:tc>
          <w:tcPr>
            <w:tcW w:w="1285" w:type="dxa"/>
            <w:vAlign w:val="center"/>
          </w:tcPr>
          <w:p w:rsidR="003768CA" w:rsidRDefault="007529CB">
            <w:pPr>
              <w:jc w:val="center"/>
            </w:pPr>
            <w:r>
              <w:rPr>
                <w:sz w:val="24"/>
              </w:rPr>
              <w:t>0.3403%</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0.3592%</w:t>
            </w:r>
          </w:p>
        </w:tc>
        <w:tc>
          <w:tcPr>
            <w:tcW w:w="1285" w:type="dxa"/>
            <w:vAlign w:val="center"/>
          </w:tcPr>
          <w:p w:rsidR="003768CA" w:rsidRDefault="007529CB">
            <w:pPr>
              <w:jc w:val="center"/>
            </w:pPr>
            <w:r>
              <w:rPr>
                <w:sz w:val="24"/>
              </w:rPr>
              <w:t>0.0083%</w:t>
            </w:r>
          </w:p>
        </w:tc>
      </w:tr>
      <w:tr w:rsidR="003768CA">
        <w:tc>
          <w:tcPr>
            <w:tcW w:w="1286" w:type="dxa"/>
            <w:vAlign w:val="center"/>
          </w:tcPr>
          <w:p w:rsidR="003768CA" w:rsidRDefault="007529CB">
            <w:pPr>
              <w:jc w:val="left"/>
            </w:pPr>
            <w:r>
              <w:rPr>
                <w:sz w:val="24"/>
              </w:rPr>
              <w:t>过去六个月</w:t>
            </w:r>
          </w:p>
        </w:tc>
        <w:tc>
          <w:tcPr>
            <w:tcW w:w="1286" w:type="dxa"/>
            <w:vAlign w:val="center"/>
          </w:tcPr>
          <w:p w:rsidR="003768CA" w:rsidRDefault="007529CB">
            <w:pPr>
              <w:jc w:val="center"/>
            </w:pPr>
            <w:r>
              <w:rPr>
                <w:sz w:val="24"/>
              </w:rPr>
              <w:t>1.5875%</w:t>
            </w:r>
          </w:p>
        </w:tc>
        <w:tc>
          <w:tcPr>
            <w:tcW w:w="1286" w:type="dxa"/>
            <w:vAlign w:val="center"/>
          </w:tcPr>
          <w:p w:rsidR="003768CA" w:rsidRDefault="007529CB">
            <w:pPr>
              <w:jc w:val="center"/>
            </w:pPr>
            <w:r>
              <w:rPr>
                <w:sz w:val="24"/>
              </w:rPr>
              <w:t>0.0094%</w:t>
            </w:r>
          </w:p>
        </w:tc>
        <w:tc>
          <w:tcPr>
            <w:tcW w:w="1285" w:type="dxa"/>
            <w:vAlign w:val="center"/>
          </w:tcPr>
          <w:p w:rsidR="003768CA" w:rsidRDefault="007529CB">
            <w:pPr>
              <w:jc w:val="center"/>
            </w:pPr>
            <w:r>
              <w:rPr>
                <w:sz w:val="24"/>
              </w:rPr>
              <w:t>0.6805%</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0.9070%</w:t>
            </w:r>
          </w:p>
        </w:tc>
        <w:tc>
          <w:tcPr>
            <w:tcW w:w="1285" w:type="dxa"/>
            <w:vAlign w:val="center"/>
          </w:tcPr>
          <w:p w:rsidR="003768CA" w:rsidRDefault="007529CB">
            <w:pPr>
              <w:jc w:val="center"/>
            </w:pPr>
            <w:r>
              <w:rPr>
                <w:sz w:val="24"/>
              </w:rPr>
              <w:t>0.0094%</w:t>
            </w:r>
          </w:p>
        </w:tc>
      </w:tr>
      <w:tr w:rsidR="003768CA">
        <w:tc>
          <w:tcPr>
            <w:tcW w:w="1286" w:type="dxa"/>
            <w:vAlign w:val="center"/>
          </w:tcPr>
          <w:p w:rsidR="003768CA" w:rsidRDefault="007529CB">
            <w:pPr>
              <w:jc w:val="left"/>
            </w:pPr>
            <w:r>
              <w:rPr>
                <w:sz w:val="24"/>
              </w:rPr>
              <w:t>过去一年</w:t>
            </w:r>
          </w:p>
        </w:tc>
        <w:tc>
          <w:tcPr>
            <w:tcW w:w="1286" w:type="dxa"/>
            <w:vAlign w:val="center"/>
          </w:tcPr>
          <w:p w:rsidR="003768CA" w:rsidRDefault="007529CB">
            <w:pPr>
              <w:jc w:val="center"/>
            </w:pPr>
            <w:r>
              <w:rPr>
                <w:sz w:val="24"/>
              </w:rPr>
              <w:t>2.2080%</w:t>
            </w:r>
          </w:p>
        </w:tc>
        <w:tc>
          <w:tcPr>
            <w:tcW w:w="1286" w:type="dxa"/>
            <w:vAlign w:val="center"/>
          </w:tcPr>
          <w:p w:rsidR="003768CA" w:rsidRDefault="007529CB">
            <w:pPr>
              <w:jc w:val="center"/>
            </w:pPr>
            <w:r>
              <w:rPr>
                <w:sz w:val="24"/>
              </w:rPr>
              <w:t>0.0081%</w:t>
            </w:r>
          </w:p>
        </w:tc>
        <w:tc>
          <w:tcPr>
            <w:tcW w:w="1285" w:type="dxa"/>
            <w:vAlign w:val="center"/>
          </w:tcPr>
          <w:p w:rsidR="003768CA" w:rsidRDefault="007529CB">
            <w:pPr>
              <w:jc w:val="center"/>
            </w:pPr>
            <w:r>
              <w:rPr>
                <w:sz w:val="24"/>
              </w:rPr>
              <w:t>1.3500%</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0.8580%</w:t>
            </w:r>
          </w:p>
        </w:tc>
        <w:tc>
          <w:tcPr>
            <w:tcW w:w="1285" w:type="dxa"/>
            <w:vAlign w:val="center"/>
          </w:tcPr>
          <w:p w:rsidR="003768CA" w:rsidRDefault="007529CB">
            <w:pPr>
              <w:jc w:val="center"/>
            </w:pPr>
            <w:r>
              <w:rPr>
                <w:sz w:val="24"/>
              </w:rPr>
              <w:t>0.0081%</w:t>
            </w:r>
          </w:p>
        </w:tc>
      </w:tr>
      <w:tr w:rsidR="003768CA">
        <w:tc>
          <w:tcPr>
            <w:tcW w:w="1286" w:type="dxa"/>
            <w:vAlign w:val="center"/>
          </w:tcPr>
          <w:p w:rsidR="003768CA" w:rsidRDefault="007529CB">
            <w:pPr>
              <w:jc w:val="left"/>
            </w:pPr>
            <w:r>
              <w:rPr>
                <w:sz w:val="24"/>
              </w:rPr>
              <w:t>自基金合同生效起至今</w:t>
            </w:r>
          </w:p>
        </w:tc>
        <w:tc>
          <w:tcPr>
            <w:tcW w:w="1286" w:type="dxa"/>
            <w:vAlign w:val="center"/>
          </w:tcPr>
          <w:p w:rsidR="003768CA" w:rsidRDefault="007529CB">
            <w:pPr>
              <w:jc w:val="center"/>
            </w:pPr>
            <w:r>
              <w:rPr>
                <w:sz w:val="24"/>
              </w:rPr>
              <w:t>4.8545%</w:t>
            </w:r>
          </w:p>
        </w:tc>
        <w:tc>
          <w:tcPr>
            <w:tcW w:w="1286" w:type="dxa"/>
            <w:vAlign w:val="center"/>
          </w:tcPr>
          <w:p w:rsidR="003768CA" w:rsidRDefault="007529CB">
            <w:pPr>
              <w:jc w:val="center"/>
            </w:pPr>
            <w:r>
              <w:rPr>
                <w:sz w:val="24"/>
              </w:rPr>
              <w:t>0.0074%</w:t>
            </w:r>
          </w:p>
        </w:tc>
        <w:tc>
          <w:tcPr>
            <w:tcW w:w="1285" w:type="dxa"/>
            <w:vAlign w:val="center"/>
          </w:tcPr>
          <w:p w:rsidR="003768CA" w:rsidRDefault="007529CB">
            <w:pPr>
              <w:jc w:val="center"/>
            </w:pPr>
            <w:r>
              <w:rPr>
                <w:sz w:val="24"/>
              </w:rPr>
              <w:t>2.4374%</w:t>
            </w:r>
          </w:p>
        </w:tc>
        <w:tc>
          <w:tcPr>
            <w:tcW w:w="1285" w:type="dxa"/>
            <w:vAlign w:val="center"/>
          </w:tcPr>
          <w:p w:rsidR="003768CA" w:rsidRDefault="007529CB">
            <w:pPr>
              <w:jc w:val="center"/>
            </w:pPr>
            <w:r>
              <w:rPr>
                <w:sz w:val="24"/>
              </w:rPr>
              <w:t>0.0000%</w:t>
            </w:r>
          </w:p>
        </w:tc>
        <w:tc>
          <w:tcPr>
            <w:tcW w:w="1285" w:type="dxa"/>
            <w:vAlign w:val="center"/>
          </w:tcPr>
          <w:p w:rsidR="003768CA" w:rsidRDefault="007529CB">
            <w:pPr>
              <w:jc w:val="center"/>
            </w:pPr>
            <w:r>
              <w:rPr>
                <w:sz w:val="24"/>
              </w:rPr>
              <w:t>2.4171%</w:t>
            </w:r>
          </w:p>
        </w:tc>
        <w:tc>
          <w:tcPr>
            <w:tcW w:w="1285" w:type="dxa"/>
            <w:vAlign w:val="center"/>
          </w:tcPr>
          <w:p w:rsidR="003768CA" w:rsidRDefault="007529CB">
            <w:pPr>
              <w:jc w:val="center"/>
            </w:pPr>
            <w:r>
              <w:rPr>
                <w:sz w:val="24"/>
              </w:rPr>
              <w:t>0.0074%</w:t>
            </w:r>
          </w:p>
        </w:tc>
      </w:tr>
    </w:tbl>
    <w:p w:rsidR="003768CA" w:rsidRDefault="007529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3768CA" w:rsidRDefault="007529CB">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7D254C"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、本基金的业绩比较基准为人民币七天通知存款税后利率。</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、交银理财</w:t>
      </w:r>
      <w:r w:rsidRPr="003449F7">
        <w:rPr>
          <w:rFonts w:hint="eastAsia"/>
          <w:color w:val="000000"/>
          <w:sz w:val="24"/>
        </w:rPr>
        <w:t>60</w:t>
      </w:r>
      <w:r w:rsidRPr="003449F7">
        <w:rPr>
          <w:rFonts w:hint="eastAsia"/>
          <w:color w:val="000000"/>
          <w:sz w:val="24"/>
        </w:rPr>
        <w:t>天债券</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注：本基金建仓期为自基金合同生效日起的</w:t>
      </w:r>
      <w:r w:rsidRPr="007D254C">
        <w:rPr>
          <w:rFonts w:hint="eastAsia"/>
          <w:kern w:val="0"/>
          <w:sz w:val="24"/>
        </w:rPr>
        <w:t>2</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、交银理财</w:t>
      </w:r>
      <w:r w:rsidRPr="003449F7">
        <w:rPr>
          <w:rFonts w:hint="eastAsia"/>
          <w:color w:val="000000"/>
          <w:sz w:val="24"/>
        </w:rPr>
        <w:t>60</w:t>
      </w:r>
      <w:r w:rsidRPr="003449F7">
        <w:rPr>
          <w:rFonts w:hint="eastAsia"/>
          <w:color w:val="000000"/>
          <w:sz w:val="24"/>
        </w:rPr>
        <w:t>天债券</w:t>
      </w:r>
      <w:r w:rsidRPr="003449F7">
        <w:rPr>
          <w:rFonts w:hint="eastAsia"/>
          <w:color w:val="000000"/>
          <w:sz w:val="24"/>
        </w:rPr>
        <w:t>B</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223DFB" w:rsidP="007D254C">
      <w:pPr>
        <w:spacing w:before="29" w:line="288" w:lineRule="auto"/>
        <w:jc w:val="left"/>
        <w:rPr>
          <w:kern w:val="0"/>
          <w:sz w:val="24"/>
        </w:rPr>
      </w:pPr>
      <w:r w:rsidRPr="007D254C">
        <w:rPr>
          <w:rFonts w:hint="eastAsia"/>
          <w:kern w:val="0"/>
          <w:sz w:val="24"/>
        </w:rPr>
        <w:t>注：本基金建仓期为自基金合同生效日起的</w:t>
      </w:r>
      <w:r w:rsidRPr="007D254C">
        <w:rPr>
          <w:rFonts w:hint="eastAsia"/>
          <w:kern w:val="0"/>
          <w:sz w:val="24"/>
        </w:rPr>
        <w:t>2</w:t>
      </w:r>
      <w:r w:rsidRPr="007D254C">
        <w:rPr>
          <w:rFonts w:hint="eastAsia"/>
          <w:kern w:val="0"/>
          <w:sz w:val="24"/>
        </w:rPr>
        <w:t>个月。截至建仓期结束，本基金各项资产配置比例符合基金合同及招募说明书有关投资比例的约定。</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自基金合同生效以来</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交银理财</w:t>
      </w:r>
      <w:r w:rsidR="00223DFB" w:rsidRPr="00644949">
        <w:rPr>
          <w:rFonts w:hint="eastAsia"/>
          <w:color w:val="000000"/>
          <w:sz w:val="24"/>
        </w:rPr>
        <w:t>60</w:t>
      </w:r>
      <w:r w:rsidR="00223DFB" w:rsidRPr="00644949">
        <w:rPr>
          <w:rFonts w:hint="eastAsia"/>
          <w:color w:val="000000"/>
          <w:sz w:val="24"/>
        </w:rPr>
        <w:t>天债券</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2013</w:t>
      </w:r>
      <w:r w:rsidRPr="007D254C">
        <w:rPr>
          <w:rFonts w:hint="eastAsia"/>
          <w:kern w:val="0"/>
          <w:sz w:val="24"/>
        </w:rPr>
        <w:t>年</w:t>
      </w:r>
      <w:r w:rsidRPr="007D254C">
        <w:rPr>
          <w:rFonts w:hint="eastAsia"/>
          <w:kern w:val="0"/>
          <w:sz w:val="24"/>
        </w:rPr>
        <w:t>3</w:t>
      </w:r>
      <w:r w:rsidRPr="007D254C">
        <w:rPr>
          <w:rFonts w:hint="eastAsia"/>
          <w:kern w:val="0"/>
          <w:sz w:val="24"/>
        </w:rPr>
        <w:t>月</w:t>
      </w:r>
      <w:r w:rsidRPr="007D254C">
        <w:rPr>
          <w:rFonts w:hint="eastAsia"/>
          <w:kern w:val="0"/>
          <w:sz w:val="24"/>
        </w:rPr>
        <w:t>13</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日。基金合同生效当年的净值增长率按照当年实际存续期计算。</w:t>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t>2</w:t>
      </w:r>
      <w:r w:rsidRPr="00644949">
        <w:rPr>
          <w:rFonts w:hint="eastAsia"/>
          <w:color w:val="000000"/>
          <w:sz w:val="24"/>
        </w:rPr>
        <w:t>、交银理财</w:t>
      </w:r>
      <w:r w:rsidRPr="00644949">
        <w:rPr>
          <w:rFonts w:hint="eastAsia"/>
          <w:color w:val="000000"/>
          <w:sz w:val="24"/>
        </w:rPr>
        <w:t>60</w:t>
      </w:r>
      <w:r w:rsidRPr="00644949">
        <w:rPr>
          <w:rFonts w:hint="eastAsia"/>
          <w:color w:val="000000"/>
          <w:sz w:val="24"/>
        </w:rPr>
        <w:t>天债券</w:t>
      </w:r>
      <w:r w:rsidRPr="00644949">
        <w:rPr>
          <w:rFonts w:hint="eastAsia"/>
          <w:color w:val="000000"/>
          <w:sz w:val="24"/>
        </w:rPr>
        <w:t>B</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2013</w:t>
      </w:r>
      <w:r w:rsidRPr="007D254C">
        <w:rPr>
          <w:rFonts w:hint="eastAsia"/>
          <w:kern w:val="0"/>
          <w:sz w:val="24"/>
        </w:rPr>
        <w:t>年</w:t>
      </w:r>
      <w:r w:rsidRPr="007D254C">
        <w:rPr>
          <w:rFonts w:hint="eastAsia"/>
          <w:kern w:val="0"/>
          <w:sz w:val="24"/>
        </w:rPr>
        <w:t>3</w:t>
      </w:r>
      <w:r w:rsidRPr="007D254C">
        <w:rPr>
          <w:rFonts w:hint="eastAsia"/>
          <w:kern w:val="0"/>
          <w:sz w:val="24"/>
        </w:rPr>
        <w:t>月</w:t>
      </w:r>
      <w:r w:rsidRPr="007D254C">
        <w:rPr>
          <w:rFonts w:hint="eastAsia"/>
          <w:kern w:val="0"/>
          <w:sz w:val="24"/>
        </w:rPr>
        <w:t>13</w:t>
      </w:r>
      <w:r w:rsidRPr="007D254C">
        <w:rPr>
          <w:rFonts w:hint="eastAsia"/>
          <w:kern w:val="0"/>
          <w:sz w:val="24"/>
        </w:rPr>
        <w:t>日至</w:t>
      </w:r>
      <w:r w:rsidRPr="007D254C">
        <w:rPr>
          <w:rFonts w:hint="eastAsia"/>
          <w:kern w:val="0"/>
          <w:sz w:val="24"/>
        </w:rPr>
        <w:t>2014</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日。基金合同生效当年的净值增长率按照当年实际存续期计算。</w:t>
      </w:r>
    </w:p>
    <w:p w:rsidR="009A1191" w:rsidRPr="00CB1276" w:rsidRDefault="009A1191" w:rsidP="00715B63">
      <w:pPr>
        <w:adjustRightInd w:val="0"/>
        <w:snapToGrid w:val="0"/>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60</w:t>
      </w:r>
      <w:r w:rsidRPr="0036012E">
        <w:rPr>
          <w:rFonts w:hint="eastAsia"/>
          <w:color w:val="000000"/>
          <w:sz w:val="24"/>
        </w:rPr>
        <w:t>天债券</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3768CA">
        <w:tc>
          <w:tcPr>
            <w:tcW w:w="1499" w:type="dxa"/>
            <w:vAlign w:val="center"/>
          </w:tcPr>
          <w:p w:rsidR="003768CA" w:rsidRDefault="007529CB">
            <w:pPr>
              <w:jc w:val="center"/>
            </w:pPr>
            <w:r>
              <w:rPr>
                <w:rFonts w:hint="eastAsia"/>
                <w:color w:val="000000"/>
                <w:sz w:val="24"/>
              </w:rPr>
              <w:t>2014</w:t>
            </w:r>
            <w:r>
              <w:rPr>
                <w:rFonts w:hint="eastAsia"/>
                <w:color w:val="000000"/>
                <w:sz w:val="24"/>
              </w:rPr>
              <w:t>年</w:t>
            </w:r>
          </w:p>
        </w:tc>
        <w:tc>
          <w:tcPr>
            <w:tcW w:w="1499" w:type="dxa"/>
            <w:vAlign w:val="center"/>
          </w:tcPr>
          <w:p w:rsidR="003768CA" w:rsidRDefault="007529CB">
            <w:pPr>
              <w:jc w:val="right"/>
            </w:pPr>
            <w:r>
              <w:rPr>
                <w:rFonts w:hint="eastAsia"/>
                <w:color w:val="000000"/>
                <w:sz w:val="24"/>
              </w:rPr>
              <w:t>637,956.76</w:t>
            </w:r>
          </w:p>
        </w:tc>
        <w:tc>
          <w:tcPr>
            <w:tcW w:w="1500" w:type="dxa"/>
            <w:vAlign w:val="center"/>
          </w:tcPr>
          <w:p w:rsidR="003768CA" w:rsidRDefault="007529CB">
            <w:pPr>
              <w:jc w:val="right"/>
            </w:pPr>
            <w:r>
              <w:rPr>
                <w:rFonts w:hint="eastAsia"/>
                <w:color w:val="000000"/>
                <w:sz w:val="24"/>
              </w:rPr>
              <w:t>192,938.37</w:t>
            </w:r>
          </w:p>
        </w:tc>
        <w:tc>
          <w:tcPr>
            <w:tcW w:w="1500" w:type="dxa"/>
            <w:vAlign w:val="center"/>
          </w:tcPr>
          <w:p w:rsidR="003768CA" w:rsidRDefault="007529CB">
            <w:pPr>
              <w:jc w:val="center"/>
            </w:pPr>
            <w:r>
              <w:rPr>
                <w:rFonts w:hint="eastAsia"/>
                <w:color w:val="000000"/>
                <w:sz w:val="24"/>
              </w:rPr>
              <w:t>-123,528.87</w:t>
            </w:r>
          </w:p>
        </w:tc>
        <w:tc>
          <w:tcPr>
            <w:tcW w:w="1500" w:type="dxa"/>
            <w:vAlign w:val="center"/>
          </w:tcPr>
          <w:p w:rsidR="003768CA" w:rsidRDefault="007529CB">
            <w:pPr>
              <w:jc w:val="right"/>
            </w:pPr>
            <w:r>
              <w:rPr>
                <w:rFonts w:hint="eastAsia"/>
                <w:color w:val="000000"/>
                <w:sz w:val="24"/>
              </w:rPr>
              <w:t>707,366.26</w:t>
            </w:r>
          </w:p>
        </w:tc>
        <w:tc>
          <w:tcPr>
            <w:tcW w:w="1500" w:type="dxa"/>
            <w:vAlign w:val="center"/>
          </w:tcPr>
          <w:p w:rsidR="003768CA" w:rsidRDefault="007529CB" w:rsidP="007529CB">
            <w:pPr>
              <w:jc w:val="right"/>
            </w:pPr>
            <w:r>
              <w:rPr>
                <w:rFonts w:hint="eastAsia"/>
                <w:color w:val="000000"/>
                <w:sz w:val="24"/>
              </w:rPr>
              <w:t>-</w:t>
            </w:r>
          </w:p>
        </w:tc>
      </w:tr>
      <w:tr w:rsidR="003768CA">
        <w:tc>
          <w:tcPr>
            <w:tcW w:w="1499" w:type="dxa"/>
            <w:vAlign w:val="center"/>
          </w:tcPr>
          <w:p w:rsidR="003768CA" w:rsidRDefault="007529CB">
            <w:pPr>
              <w:jc w:val="center"/>
            </w:pPr>
            <w:r>
              <w:rPr>
                <w:rFonts w:hint="eastAsia"/>
                <w:color w:val="000000"/>
                <w:sz w:val="24"/>
              </w:rPr>
              <w:t>2013</w:t>
            </w:r>
            <w:r>
              <w:rPr>
                <w:rFonts w:hint="eastAsia"/>
                <w:color w:val="000000"/>
                <w:sz w:val="24"/>
              </w:rPr>
              <w:t>年</w:t>
            </w:r>
          </w:p>
        </w:tc>
        <w:tc>
          <w:tcPr>
            <w:tcW w:w="1499" w:type="dxa"/>
            <w:vAlign w:val="center"/>
          </w:tcPr>
          <w:p w:rsidR="003768CA" w:rsidRDefault="007529CB">
            <w:pPr>
              <w:jc w:val="right"/>
            </w:pPr>
            <w:r>
              <w:rPr>
                <w:rFonts w:hint="eastAsia"/>
                <w:color w:val="000000"/>
                <w:sz w:val="24"/>
              </w:rPr>
              <w:t>2,094,699.95</w:t>
            </w:r>
          </w:p>
        </w:tc>
        <w:tc>
          <w:tcPr>
            <w:tcW w:w="1500" w:type="dxa"/>
            <w:vAlign w:val="center"/>
          </w:tcPr>
          <w:p w:rsidR="003768CA" w:rsidRDefault="007529CB">
            <w:pPr>
              <w:jc w:val="right"/>
            </w:pPr>
            <w:r>
              <w:rPr>
                <w:rFonts w:hint="eastAsia"/>
                <w:color w:val="000000"/>
                <w:sz w:val="24"/>
              </w:rPr>
              <w:t>3,846,119.27</w:t>
            </w:r>
          </w:p>
        </w:tc>
        <w:tc>
          <w:tcPr>
            <w:tcW w:w="1500" w:type="dxa"/>
            <w:vAlign w:val="center"/>
          </w:tcPr>
          <w:p w:rsidR="003768CA" w:rsidRDefault="007529CB">
            <w:pPr>
              <w:jc w:val="center"/>
            </w:pPr>
            <w:r>
              <w:rPr>
                <w:rFonts w:hint="eastAsia"/>
                <w:color w:val="000000"/>
                <w:sz w:val="24"/>
              </w:rPr>
              <w:t>271,798.50</w:t>
            </w:r>
          </w:p>
        </w:tc>
        <w:tc>
          <w:tcPr>
            <w:tcW w:w="1500" w:type="dxa"/>
            <w:vAlign w:val="center"/>
          </w:tcPr>
          <w:p w:rsidR="003768CA" w:rsidRDefault="007529CB">
            <w:pPr>
              <w:jc w:val="right"/>
            </w:pPr>
            <w:r>
              <w:rPr>
                <w:rFonts w:hint="eastAsia"/>
                <w:color w:val="000000"/>
                <w:sz w:val="24"/>
              </w:rPr>
              <w:t>6,212,617.72</w:t>
            </w:r>
          </w:p>
        </w:tc>
        <w:tc>
          <w:tcPr>
            <w:tcW w:w="1500" w:type="dxa"/>
            <w:vAlign w:val="center"/>
          </w:tcPr>
          <w:p w:rsidR="003768CA" w:rsidRDefault="007529CB" w:rsidP="007529CB">
            <w:pPr>
              <w:jc w:val="righ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2,732,656.71</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4,039,057.64</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148,269.63</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6,919,983.98</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60</w:t>
      </w:r>
      <w:r w:rsidRPr="0036012E">
        <w:rPr>
          <w:rFonts w:hint="eastAsia"/>
          <w:color w:val="000000"/>
          <w:sz w:val="24"/>
        </w:rPr>
        <w:t>天债券</w:t>
      </w:r>
      <w:r w:rsidRPr="0036012E">
        <w:rPr>
          <w:rFonts w:hint="eastAsia"/>
          <w:color w:val="000000"/>
          <w:sz w:val="24"/>
        </w:rPr>
        <w:t>B</w:t>
      </w:r>
      <w:r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备注</w:t>
            </w:r>
          </w:p>
        </w:tc>
      </w:tr>
      <w:tr w:rsidR="003768CA">
        <w:tc>
          <w:tcPr>
            <w:tcW w:w="1499" w:type="dxa"/>
            <w:vAlign w:val="center"/>
          </w:tcPr>
          <w:p w:rsidR="003768CA" w:rsidRDefault="007529CB">
            <w:pPr>
              <w:jc w:val="center"/>
            </w:pPr>
            <w:r>
              <w:rPr>
                <w:rFonts w:hint="eastAsia"/>
                <w:color w:val="000000"/>
                <w:sz w:val="24"/>
              </w:rPr>
              <w:t>2014</w:t>
            </w:r>
            <w:r>
              <w:rPr>
                <w:rFonts w:hint="eastAsia"/>
                <w:color w:val="000000"/>
                <w:sz w:val="24"/>
              </w:rPr>
              <w:t>年</w:t>
            </w:r>
          </w:p>
        </w:tc>
        <w:tc>
          <w:tcPr>
            <w:tcW w:w="1499" w:type="dxa"/>
            <w:vAlign w:val="center"/>
          </w:tcPr>
          <w:p w:rsidR="003768CA" w:rsidRDefault="007529CB">
            <w:pPr>
              <w:jc w:val="right"/>
            </w:pPr>
            <w:r>
              <w:rPr>
                <w:rFonts w:hint="eastAsia"/>
                <w:color w:val="000000"/>
                <w:sz w:val="24"/>
              </w:rPr>
              <w:t>1,409,085.10</w:t>
            </w:r>
          </w:p>
        </w:tc>
        <w:tc>
          <w:tcPr>
            <w:tcW w:w="1500" w:type="dxa"/>
            <w:vAlign w:val="center"/>
          </w:tcPr>
          <w:p w:rsidR="003768CA" w:rsidRDefault="007529CB">
            <w:pPr>
              <w:jc w:val="right"/>
            </w:pPr>
            <w:r>
              <w:rPr>
                <w:rFonts w:hint="eastAsia"/>
                <w:color w:val="000000"/>
                <w:sz w:val="24"/>
              </w:rPr>
              <w:t>399,059.38</w:t>
            </w:r>
          </w:p>
        </w:tc>
        <w:tc>
          <w:tcPr>
            <w:tcW w:w="1500" w:type="dxa"/>
            <w:vAlign w:val="center"/>
          </w:tcPr>
          <w:p w:rsidR="003768CA" w:rsidRDefault="007529CB">
            <w:pPr>
              <w:jc w:val="center"/>
            </w:pPr>
            <w:r>
              <w:rPr>
                <w:rFonts w:hint="eastAsia"/>
                <w:color w:val="000000"/>
                <w:sz w:val="24"/>
              </w:rPr>
              <w:t>-305,243.77</w:t>
            </w:r>
          </w:p>
        </w:tc>
        <w:tc>
          <w:tcPr>
            <w:tcW w:w="1500" w:type="dxa"/>
            <w:vAlign w:val="center"/>
          </w:tcPr>
          <w:p w:rsidR="003768CA" w:rsidRDefault="007529CB">
            <w:pPr>
              <w:jc w:val="right"/>
            </w:pPr>
            <w:r>
              <w:rPr>
                <w:rFonts w:hint="eastAsia"/>
                <w:color w:val="000000"/>
                <w:sz w:val="24"/>
              </w:rPr>
              <w:t>1,502,900.71</w:t>
            </w:r>
          </w:p>
        </w:tc>
        <w:tc>
          <w:tcPr>
            <w:tcW w:w="1500" w:type="dxa"/>
            <w:vAlign w:val="center"/>
          </w:tcPr>
          <w:p w:rsidR="003768CA" w:rsidRDefault="007529CB" w:rsidP="007529CB">
            <w:pPr>
              <w:jc w:val="right"/>
            </w:pPr>
            <w:r>
              <w:rPr>
                <w:rFonts w:hint="eastAsia"/>
                <w:color w:val="000000"/>
                <w:sz w:val="24"/>
              </w:rPr>
              <w:t>-</w:t>
            </w:r>
          </w:p>
        </w:tc>
      </w:tr>
      <w:tr w:rsidR="003768CA">
        <w:tc>
          <w:tcPr>
            <w:tcW w:w="1499" w:type="dxa"/>
            <w:vAlign w:val="center"/>
          </w:tcPr>
          <w:p w:rsidR="003768CA" w:rsidRDefault="007529CB">
            <w:pPr>
              <w:jc w:val="center"/>
            </w:pPr>
            <w:r>
              <w:rPr>
                <w:rFonts w:hint="eastAsia"/>
                <w:color w:val="000000"/>
                <w:sz w:val="24"/>
              </w:rPr>
              <w:t>2013</w:t>
            </w:r>
            <w:r>
              <w:rPr>
                <w:rFonts w:hint="eastAsia"/>
                <w:color w:val="000000"/>
                <w:sz w:val="24"/>
              </w:rPr>
              <w:t>年</w:t>
            </w:r>
          </w:p>
        </w:tc>
        <w:tc>
          <w:tcPr>
            <w:tcW w:w="1499" w:type="dxa"/>
            <w:vAlign w:val="center"/>
          </w:tcPr>
          <w:p w:rsidR="003768CA" w:rsidRDefault="007529CB">
            <w:pPr>
              <w:jc w:val="right"/>
            </w:pPr>
            <w:r>
              <w:rPr>
                <w:rFonts w:hint="eastAsia"/>
                <w:color w:val="000000"/>
                <w:sz w:val="24"/>
              </w:rPr>
              <w:t>226,662.45</w:t>
            </w:r>
          </w:p>
        </w:tc>
        <w:tc>
          <w:tcPr>
            <w:tcW w:w="1500" w:type="dxa"/>
            <w:vAlign w:val="center"/>
          </w:tcPr>
          <w:p w:rsidR="003768CA" w:rsidRDefault="007529CB">
            <w:pPr>
              <w:jc w:val="right"/>
            </w:pPr>
            <w:r>
              <w:rPr>
                <w:rFonts w:hint="eastAsia"/>
                <w:color w:val="000000"/>
                <w:sz w:val="24"/>
              </w:rPr>
              <w:t>753,122.17</w:t>
            </w:r>
          </w:p>
        </w:tc>
        <w:tc>
          <w:tcPr>
            <w:tcW w:w="1500" w:type="dxa"/>
            <w:vAlign w:val="center"/>
          </w:tcPr>
          <w:p w:rsidR="003768CA" w:rsidRDefault="007529CB">
            <w:pPr>
              <w:jc w:val="center"/>
            </w:pPr>
            <w:r>
              <w:rPr>
                <w:rFonts w:hint="eastAsia"/>
                <w:color w:val="000000"/>
                <w:sz w:val="24"/>
              </w:rPr>
              <w:t>256,692.25</w:t>
            </w:r>
          </w:p>
        </w:tc>
        <w:tc>
          <w:tcPr>
            <w:tcW w:w="1500" w:type="dxa"/>
            <w:vAlign w:val="center"/>
          </w:tcPr>
          <w:p w:rsidR="003768CA" w:rsidRDefault="007529CB">
            <w:pPr>
              <w:jc w:val="right"/>
            </w:pPr>
            <w:r>
              <w:rPr>
                <w:rFonts w:hint="eastAsia"/>
                <w:color w:val="000000"/>
                <w:sz w:val="24"/>
              </w:rPr>
              <w:t>1,236,476.87</w:t>
            </w:r>
          </w:p>
        </w:tc>
        <w:tc>
          <w:tcPr>
            <w:tcW w:w="1500" w:type="dxa"/>
            <w:vAlign w:val="center"/>
          </w:tcPr>
          <w:p w:rsidR="003768CA" w:rsidRDefault="007529CB" w:rsidP="007529CB">
            <w:pPr>
              <w:jc w:val="righ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1,635,747.55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1,152,181.55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-48,551.52</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2,739,377.58</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w:t>
            </w:r>
          </w:p>
        </w:tc>
      </w:tr>
    </w:tbl>
    <w:p w:rsidR="00223DFB" w:rsidRDefault="00223DFB" w:rsidP="007529CB">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3768CA" w:rsidRDefault="007529CB">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37</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3768CA">
        <w:tc>
          <w:tcPr>
            <w:tcW w:w="1134" w:type="dxa"/>
            <w:vAlign w:val="center"/>
          </w:tcPr>
          <w:p w:rsidR="003768CA" w:rsidRDefault="007529CB">
            <w:pPr>
              <w:jc w:val="center"/>
            </w:pPr>
            <w:r>
              <w:rPr>
                <w:rFonts w:hint="eastAsia"/>
                <w:sz w:val="24"/>
              </w:rPr>
              <w:t>胡军华</w:t>
            </w:r>
          </w:p>
        </w:tc>
        <w:tc>
          <w:tcPr>
            <w:tcW w:w="1134" w:type="dxa"/>
            <w:vAlign w:val="center"/>
          </w:tcPr>
          <w:p w:rsidR="003768CA" w:rsidRDefault="007529CB">
            <w:pPr>
              <w:jc w:val="center"/>
            </w:pPr>
            <w:r>
              <w:rPr>
                <w:rFonts w:hint="eastAsia"/>
                <w:sz w:val="24"/>
              </w:rPr>
              <w:t>本基金、交银纯债债券发起、交银双轮动债券的基金经理，公司固定收益部总经理</w:t>
            </w:r>
          </w:p>
        </w:tc>
        <w:tc>
          <w:tcPr>
            <w:tcW w:w="1701" w:type="dxa"/>
            <w:vAlign w:val="center"/>
          </w:tcPr>
          <w:p w:rsidR="003768CA" w:rsidRDefault="007529CB">
            <w:pPr>
              <w:jc w:val="center"/>
            </w:pPr>
            <w:r>
              <w:rPr>
                <w:rFonts w:hint="eastAsia"/>
                <w:sz w:val="24"/>
              </w:rPr>
              <w:t>2013-03-13</w:t>
            </w:r>
          </w:p>
        </w:tc>
        <w:tc>
          <w:tcPr>
            <w:tcW w:w="1560" w:type="dxa"/>
            <w:vAlign w:val="center"/>
          </w:tcPr>
          <w:p w:rsidR="003768CA" w:rsidRDefault="007529CB">
            <w:pPr>
              <w:jc w:val="center"/>
            </w:pPr>
            <w:r>
              <w:rPr>
                <w:rFonts w:hint="eastAsia"/>
                <w:sz w:val="24"/>
              </w:rPr>
              <w:t>2014-03-31</w:t>
            </w:r>
          </w:p>
        </w:tc>
        <w:tc>
          <w:tcPr>
            <w:tcW w:w="992" w:type="dxa"/>
            <w:vAlign w:val="center"/>
          </w:tcPr>
          <w:p w:rsidR="003768CA" w:rsidRDefault="007529CB">
            <w:pPr>
              <w:jc w:val="center"/>
            </w:pPr>
            <w:r>
              <w:rPr>
                <w:rFonts w:hint="eastAsia"/>
                <w:sz w:val="24"/>
              </w:rPr>
              <w:t>22</w:t>
            </w:r>
            <w:r>
              <w:rPr>
                <w:rFonts w:hint="eastAsia"/>
                <w:sz w:val="24"/>
              </w:rPr>
              <w:t>年</w:t>
            </w:r>
          </w:p>
        </w:tc>
        <w:tc>
          <w:tcPr>
            <w:tcW w:w="2477" w:type="dxa"/>
            <w:vAlign w:val="center"/>
          </w:tcPr>
          <w:p w:rsidR="003768CA" w:rsidRDefault="007529CB">
            <w:r>
              <w:rPr>
                <w:rFonts w:hint="eastAsia"/>
                <w:sz w:val="24"/>
              </w:rPr>
              <w:t>胡军华女士，中国人民大学经济学硕士。历任中国经济开发信托投资公司证券业务总部研究部副总经理，华鑫证券有限公司深圳营业部副总经理，原南方证券有限公司债券业务总部投资经理，招商基金管理有限公司固定收益部总监、基金经理，瑞银证券资产管理部</w:t>
            </w:r>
            <w:r>
              <w:rPr>
                <w:rFonts w:hint="eastAsia"/>
                <w:sz w:val="24"/>
              </w:rPr>
              <w:t>/</w:t>
            </w:r>
            <w:r>
              <w:rPr>
                <w:rFonts w:hint="eastAsia"/>
                <w:sz w:val="24"/>
              </w:rPr>
              <w:t>财富管理部董事、高级投资组合经理。其中</w:t>
            </w:r>
            <w:r>
              <w:rPr>
                <w:rFonts w:hint="eastAsia"/>
                <w:sz w:val="24"/>
              </w:rPr>
              <w:t>2005</w:t>
            </w:r>
            <w:r>
              <w:rPr>
                <w:rFonts w:hint="eastAsia"/>
                <w:sz w:val="24"/>
              </w:rPr>
              <w:t>年</w:t>
            </w:r>
            <w:r>
              <w:rPr>
                <w:rFonts w:hint="eastAsia"/>
                <w:sz w:val="24"/>
              </w:rPr>
              <w:t>5</w:t>
            </w:r>
            <w:r>
              <w:rPr>
                <w:rFonts w:hint="eastAsia"/>
                <w:sz w:val="24"/>
              </w:rPr>
              <w:t>月至</w:t>
            </w:r>
            <w:r>
              <w:rPr>
                <w:rFonts w:hint="eastAsia"/>
                <w:sz w:val="24"/>
              </w:rPr>
              <w:t>2006</w:t>
            </w:r>
            <w:r>
              <w:rPr>
                <w:rFonts w:hint="eastAsia"/>
                <w:sz w:val="24"/>
              </w:rPr>
              <w:t>年</w:t>
            </w:r>
            <w:r>
              <w:rPr>
                <w:rFonts w:hint="eastAsia"/>
                <w:sz w:val="24"/>
              </w:rPr>
              <w:t>5</w:t>
            </w:r>
            <w:r>
              <w:rPr>
                <w:rFonts w:hint="eastAsia"/>
                <w:sz w:val="24"/>
              </w:rPr>
              <w:t>月担任招商现金增值开放式证券投资基金基金经理，</w:t>
            </w:r>
            <w:r>
              <w:rPr>
                <w:rFonts w:hint="eastAsia"/>
                <w:sz w:val="24"/>
              </w:rPr>
              <w:t>2005</w:t>
            </w:r>
            <w:r>
              <w:rPr>
                <w:rFonts w:hint="eastAsia"/>
                <w:sz w:val="24"/>
              </w:rPr>
              <w:t>年</w:t>
            </w:r>
            <w:r>
              <w:rPr>
                <w:rFonts w:hint="eastAsia"/>
                <w:sz w:val="24"/>
              </w:rPr>
              <w:t>8</w:t>
            </w:r>
            <w:r>
              <w:rPr>
                <w:rFonts w:hint="eastAsia"/>
                <w:sz w:val="24"/>
              </w:rPr>
              <w:t>月至</w:t>
            </w:r>
            <w:r>
              <w:rPr>
                <w:rFonts w:hint="eastAsia"/>
                <w:sz w:val="24"/>
              </w:rPr>
              <w:t>2008</w:t>
            </w:r>
            <w:r>
              <w:rPr>
                <w:rFonts w:hint="eastAsia"/>
                <w:sz w:val="24"/>
              </w:rPr>
              <w:t>年</w:t>
            </w:r>
            <w:r>
              <w:rPr>
                <w:rFonts w:hint="eastAsia"/>
                <w:sz w:val="24"/>
              </w:rPr>
              <w:t>12</w:t>
            </w:r>
            <w:r>
              <w:rPr>
                <w:rFonts w:hint="eastAsia"/>
                <w:sz w:val="24"/>
              </w:rPr>
              <w:t>月担任招商安泰系列证券投资基金基金经理，</w:t>
            </w:r>
            <w:r>
              <w:rPr>
                <w:rFonts w:hint="eastAsia"/>
                <w:sz w:val="24"/>
              </w:rPr>
              <w:t>2006</w:t>
            </w:r>
            <w:r>
              <w:rPr>
                <w:rFonts w:hint="eastAsia"/>
                <w:sz w:val="24"/>
              </w:rPr>
              <w:t>年</w:t>
            </w:r>
            <w:r>
              <w:rPr>
                <w:rFonts w:hint="eastAsia"/>
                <w:sz w:val="24"/>
              </w:rPr>
              <w:t>7</w:t>
            </w:r>
            <w:r>
              <w:rPr>
                <w:rFonts w:hint="eastAsia"/>
                <w:sz w:val="24"/>
              </w:rPr>
              <w:t>月至</w:t>
            </w:r>
            <w:r>
              <w:rPr>
                <w:rFonts w:hint="eastAsia"/>
                <w:sz w:val="24"/>
              </w:rPr>
              <w:t>2008</w:t>
            </w:r>
            <w:r>
              <w:rPr>
                <w:rFonts w:hint="eastAsia"/>
                <w:sz w:val="24"/>
              </w:rPr>
              <w:t>年</w:t>
            </w:r>
            <w:r>
              <w:rPr>
                <w:rFonts w:hint="eastAsia"/>
                <w:sz w:val="24"/>
              </w:rPr>
              <w:t>12</w:t>
            </w:r>
            <w:r>
              <w:rPr>
                <w:rFonts w:hint="eastAsia"/>
                <w:sz w:val="24"/>
              </w:rPr>
              <w:t>月担任招商安本增利债券型证券投资基金基金经理。</w:t>
            </w:r>
            <w:r>
              <w:rPr>
                <w:rFonts w:hint="eastAsia"/>
                <w:sz w:val="24"/>
              </w:rPr>
              <w:t>2012</w:t>
            </w:r>
            <w:r>
              <w:rPr>
                <w:rFonts w:hint="eastAsia"/>
                <w:sz w:val="24"/>
              </w:rPr>
              <w:t>年加入交银施罗德基金管理有限公司，</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19</w:t>
            </w:r>
            <w:r>
              <w:rPr>
                <w:rFonts w:hint="eastAsia"/>
                <w:sz w:val="24"/>
              </w:rPr>
              <w:t>日至</w:t>
            </w:r>
            <w:r>
              <w:rPr>
                <w:rFonts w:hint="eastAsia"/>
                <w:sz w:val="24"/>
              </w:rPr>
              <w:t>2014</w:t>
            </w:r>
            <w:r>
              <w:rPr>
                <w:rFonts w:hint="eastAsia"/>
                <w:sz w:val="24"/>
              </w:rPr>
              <w:t>年</w:t>
            </w:r>
            <w:r>
              <w:rPr>
                <w:rFonts w:hint="eastAsia"/>
                <w:sz w:val="24"/>
              </w:rPr>
              <w:t>3</w:t>
            </w:r>
            <w:r>
              <w:rPr>
                <w:rFonts w:hint="eastAsia"/>
                <w:sz w:val="24"/>
              </w:rPr>
              <w:t>月</w:t>
            </w:r>
            <w:r>
              <w:rPr>
                <w:rFonts w:hint="eastAsia"/>
                <w:sz w:val="24"/>
              </w:rPr>
              <w:t>30</w:t>
            </w:r>
            <w:r>
              <w:rPr>
                <w:rFonts w:hint="eastAsia"/>
                <w:sz w:val="24"/>
              </w:rPr>
              <w:t>日担任交银施罗德纯债债券型发起式证券投资基金基金经理，</w:t>
            </w:r>
            <w:r>
              <w:rPr>
                <w:rFonts w:hint="eastAsia"/>
                <w:sz w:val="24"/>
              </w:rPr>
              <w:t>2013</w:t>
            </w:r>
            <w:r>
              <w:rPr>
                <w:rFonts w:hint="eastAsia"/>
                <w:sz w:val="24"/>
              </w:rPr>
              <w:t>年</w:t>
            </w:r>
            <w:r>
              <w:rPr>
                <w:rFonts w:hint="eastAsia"/>
                <w:sz w:val="24"/>
              </w:rPr>
              <w:t>4</w:t>
            </w:r>
            <w:r>
              <w:rPr>
                <w:rFonts w:hint="eastAsia"/>
                <w:sz w:val="24"/>
              </w:rPr>
              <w:t>月</w:t>
            </w:r>
            <w:r>
              <w:rPr>
                <w:rFonts w:hint="eastAsia"/>
                <w:sz w:val="24"/>
              </w:rPr>
              <w:t>18</w:t>
            </w:r>
            <w:r>
              <w:rPr>
                <w:rFonts w:hint="eastAsia"/>
                <w:sz w:val="24"/>
              </w:rPr>
              <w:t>日至</w:t>
            </w:r>
            <w:r>
              <w:rPr>
                <w:rFonts w:hint="eastAsia"/>
                <w:sz w:val="24"/>
              </w:rPr>
              <w:t>2014</w:t>
            </w:r>
            <w:r>
              <w:rPr>
                <w:rFonts w:hint="eastAsia"/>
                <w:sz w:val="24"/>
              </w:rPr>
              <w:t>年</w:t>
            </w:r>
            <w:r>
              <w:rPr>
                <w:rFonts w:hint="eastAsia"/>
                <w:sz w:val="24"/>
              </w:rPr>
              <w:t>3</w:t>
            </w:r>
            <w:r>
              <w:rPr>
                <w:rFonts w:hint="eastAsia"/>
                <w:sz w:val="24"/>
              </w:rPr>
              <w:t>月</w:t>
            </w:r>
            <w:r>
              <w:rPr>
                <w:rFonts w:hint="eastAsia"/>
                <w:sz w:val="24"/>
              </w:rPr>
              <w:t>30</w:t>
            </w:r>
            <w:r>
              <w:rPr>
                <w:rFonts w:hint="eastAsia"/>
                <w:sz w:val="24"/>
              </w:rPr>
              <w:t>日担任交银施罗德双轮动债券型证券投资基金基金经理。</w:t>
            </w:r>
          </w:p>
        </w:tc>
      </w:tr>
      <w:tr w:rsidR="003768CA">
        <w:tc>
          <w:tcPr>
            <w:tcW w:w="1134" w:type="dxa"/>
            <w:vAlign w:val="center"/>
          </w:tcPr>
          <w:p w:rsidR="003768CA" w:rsidRDefault="007529CB">
            <w:pPr>
              <w:jc w:val="center"/>
            </w:pPr>
            <w:r>
              <w:rPr>
                <w:rFonts w:hint="eastAsia"/>
                <w:sz w:val="24"/>
              </w:rPr>
              <w:t>赵凌琦</w:t>
            </w:r>
          </w:p>
        </w:tc>
        <w:tc>
          <w:tcPr>
            <w:tcW w:w="1134" w:type="dxa"/>
            <w:vAlign w:val="center"/>
          </w:tcPr>
          <w:p w:rsidR="003768CA" w:rsidRDefault="007529CB">
            <w:pPr>
              <w:jc w:val="center"/>
            </w:pPr>
            <w:r>
              <w:rPr>
                <w:rFonts w:hint="eastAsia"/>
                <w:sz w:val="24"/>
              </w:rPr>
              <w:t>本基金、交银双轮动债券、交银定期支付月月丰债券、交银强化回报债券、交银丰盈收益债券的基金经理，公司固定收益部副总经理</w:t>
            </w:r>
          </w:p>
        </w:tc>
        <w:tc>
          <w:tcPr>
            <w:tcW w:w="1701" w:type="dxa"/>
            <w:vAlign w:val="center"/>
          </w:tcPr>
          <w:p w:rsidR="003768CA" w:rsidRDefault="007529CB">
            <w:pPr>
              <w:jc w:val="center"/>
            </w:pPr>
            <w:r>
              <w:rPr>
                <w:rFonts w:hint="eastAsia"/>
                <w:sz w:val="24"/>
              </w:rPr>
              <w:t>2014-03-31</w:t>
            </w:r>
          </w:p>
        </w:tc>
        <w:tc>
          <w:tcPr>
            <w:tcW w:w="1560" w:type="dxa"/>
            <w:vAlign w:val="center"/>
          </w:tcPr>
          <w:p w:rsidR="003768CA" w:rsidRDefault="007529CB">
            <w:pPr>
              <w:jc w:val="center"/>
            </w:pPr>
            <w:r>
              <w:rPr>
                <w:rFonts w:hint="eastAsia"/>
                <w:sz w:val="24"/>
              </w:rPr>
              <w:t>-</w:t>
            </w:r>
          </w:p>
        </w:tc>
        <w:tc>
          <w:tcPr>
            <w:tcW w:w="992" w:type="dxa"/>
            <w:vAlign w:val="center"/>
          </w:tcPr>
          <w:p w:rsidR="003768CA" w:rsidRDefault="007529CB">
            <w:pPr>
              <w:jc w:val="center"/>
            </w:pPr>
            <w:r>
              <w:rPr>
                <w:rFonts w:hint="eastAsia"/>
                <w:sz w:val="24"/>
              </w:rPr>
              <w:t>1</w:t>
            </w:r>
            <w:r>
              <w:rPr>
                <w:rFonts w:hint="eastAsia"/>
                <w:sz w:val="24"/>
              </w:rPr>
              <w:t>年</w:t>
            </w:r>
          </w:p>
        </w:tc>
        <w:tc>
          <w:tcPr>
            <w:tcW w:w="2477" w:type="dxa"/>
            <w:vAlign w:val="center"/>
          </w:tcPr>
          <w:p w:rsidR="003768CA" w:rsidRDefault="007529CB">
            <w:r>
              <w:rPr>
                <w:rFonts w:hint="eastAsia"/>
                <w:sz w:val="24"/>
              </w:rPr>
              <w:t>赵凌琦女士，</w:t>
            </w:r>
            <w:r>
              <w:rPr>
                <w:rFonts w:hint="eastAsia"/>
                <w:sz w:val="24"/>
              </w:rPr>
              <w:t>10</w:t>
            </w:r>
            <w:r>
              <w:rPr>
                <w:rFonts w:hint="eastAsia"/>
                <w:sz w:val="24"/>
              </w:rPr>
              <w:t>年金融投资经验，财政部财政科研所经济学硕士。历任中国航空集团财务公司投资经理，中国人寿资产管理有限公司投资经理。</w:t>
            </w:r>
            <w:r>
              <w:rPr>
                <w:rFonts w:hint="eastAsia"/>
                <w:sz w:val="24"/>
              </w:rPr>
              <w:t>2013</w:t>
            </w:r>
            <w:r>
              <w:rPr>
                <w:rFonts w:hint="eastAsia"/>
                <w:sz w:val="24"/>
              </w:rPr>
              <w:t>年加入交银施罗德基金管理有限公司。</w:t>
            </w:r>
          </w:p>
        </w:tc>
      </w:tr>
      <w:tr w:rsidR="003768CA">
        <w:tc>
          <w:tcPr>
            <w:tcW w:w="1134" w:type="dxa"/>
            <w:vAlign w:val="center"/>
          </w:tcPr>
          <w:p w:rsidR="003768CA" w:rsidRDefault="007529CB">
            <w:pPr>
              <w:jc w:val="center"/>
            </w:pPr>
            <w:r>
              <w:rPr>
                <w:rFonts w:hint="eastAsia"/>
                <w:sz w:val="24"/>
              </w:rPr>
              <w:t>孙超</w:t>
            </w:r>
          </w:p>
        </w:tc>
        <w:tc>
          <w:tcPr>
            <w:tcW w:w="1134" w:type="dxa"/>
            <w:vAlign w:val="center"/>
          </w:tcPr>
          <w:p w:rsidR="003768CA" w:rsidRDefault="007529CB">
            <w:pPr>
              <w:jc w:val="center"/>
            </w:pPr>
            <w:r>
              <w:rPr>
                <w:rFonts w:hint="eastAsia"/>
                <w:sz w:val="24"/>
              </w:rPr>
              <w:t>本基金、交银双轮动债券、交银定期支付月月丰债券、交银强化回报债券、交银丰润收益债券的基金经理</w:t>
            </w:r>
          </w:p>
        </w:tc>
        <w:tc>
          <w:tcPr>
            <w:tcW w:w="1701" w:type="dxa"/>
            <w:vAlign w:val="center"/>
          </w:tcPr>
          <w:p w:rsidR="003768CA" w:rsidRDefault="007529CB">
            <w:pPr>
              <w:jc w:val="center"/>
            </w:pPr>
            <w:r>
              <w:rPr>
                <w:rFonts w:hint="eastAsia"/>
                <w:sz w:val="24"/>
              </w:rPr>
              <w:t>2014-08-26</w:t>
            </w:r>
          </w:p>
        </w:tc>
        <w:tc>
          <w:tcPr>
            <w:tcW w:w="1560" w:type="dxa"/>
            <w:vAlign w:val="center"/>
          </w:tcPr>
          <w:p w:rsidR="003768CA" w:rsidRDefault="007529CB">
            <w:pPr>
              <w:jc w:val="center"/>
            </w:pPr>
            <w:r>
              <w:rPr>
                <w:rFonts w:hint="eastAsia"/>
                <w:sz w:val="24"/>
              </w:rPr>
              <w:t>-</w:t>
            </w:r>
          </w:p>
        </w:tc>
        <w:tc>
          <w:tcPr>
            <w:tcW w:w="992" w:type="dxa"/>
            <w:vAlign w:val="center"/>
          </w:tcPr>
          <w:p w:rsidR="003768CA" w:rsidRDefault="007529CB">
            <w:pPr>
              <w:jc w:val="center"/>
            </w:pPr>
            <w:r>
              <w:rPr>
                <w:rFonts w:hint="eastAsia"/>
                <w:sz w:val="24"/>
              </w:rPr>
              <w:t>3</w:t>
            </w:r>
            <w:r>
              <w:rPr>
                <w:rFonts w:hint="eastAsia"/>
                <w:sz w:val="24"/>
              </w:rPr>
              <w:t>年</w:t>
            </w:r>
          </w:p>
        </w:tc>
        <w:tc>
          <w:tcPr>
            <w:tcW w:w="2477" w:type="dxa"/>
            <w:vAlign w:val="center"/>
          </w:tcPr>
          <w:p w:rsidR="003768CA" w:rsidRDefault="007529CB">
            <w:r>
              <w:rPr>
                <w:rFonts w:hint="eastAsia"/>
                <w:sz w:val="24"/>
              </w:rPr>
              <w:t>孙超先生，美国哥伦比亚大学经济学硕士。历任中信建投证券股份有限公司资产管理部经理、高级经理。</w:t>
            </w:r>
            <w:r>
              <w:rPr>
                <w:rFonts w:hint="eastAsia"/>
                <w:sz w:val="24"/>
              </w:rPr>
              <w:t>2013</w:t>
            </w:r>
            <w:r>
              <w:rPr>
                <w:rFonts w:hint="eastAsia"/>
                <w:sz w:val="24"/>
              </w:rPr>
              <w:t>年加入交银施罗德基金管理有限公司，历任基金经理助理（其中于</w:t>
            </w:r>
            <w:r>
              <w:rPr>
                <w:rFonts w:hint="eastAsia"/>
                <w:sz w:val="24"/>
              </w:rPr>
              <w:t>2013</w:t>
            </w:r>
            <w:r>
              <w:rPr>
                <w:rFonts w:hint="eastAsia"/>
                <w:sz w:val="24"/>
              </w:rPr>
              <w:t>年</w:t>
            </w:r>
            <w:r>
              <w:rPr>
                <w:rFonts w:hint="eastAsia"/>
                <w:sz w:val="24"/>
              </w:rPr>
              <w:t>7</w:t>
            </w:r>
            <w:r>
              <w:rPr>
                <w:rFonts w:hint="eastAsia"/>
                <w:sz w:val="24"/>
              </w:rPr>
              <w:t>月</w:t>
            </w:r>
            <w:r>
              <w:rPr>
                <w:rFonts w:hint="eastAsia"/>
                <w:sz w:val="24"/>
              </w:rPr>
              <w:t>8</w:t>
            </w:r>
            <w:r>
              <w:rPr>
                <w:rFonts w:hint="eastAsia"/>
                <w:sz w:val="24"/>
              </w:rPr>
              <w:t>日至</w:t>
            </w:r>
            <w:r>
              <w:rPr>
                <w:rFonts w:hint="eastAsia"/>
                <w:sz w:val="24"/>
              </w:rPr>
              <w:t>2014</w:t>
            </w:r>
            <w:r>
              <w:rPr>
                <w:rFonts w:hint="eastAsia"/>
                <w:sz w:val="24"/>
              </w:rPr>
              <w:t>年</w:t>
            </w:r>
            <w:r>
              <w:rPr>
                <w:rFonts w:hint="eastAsia"/>
                <w:sz w:val="24"/>
              </w:rPr>
              <w:t>8</w:t>
            </w:r>
            <w:r>
              <w:rPr>
                <w:rFonts w:hint="eastAsia"/>
                <w:sz w:val="24"/>
              </w:rPr>
              <w:t>月</w:t>
            </w:r>
            <w:r>
              <w:rPr>
                <w:rFonts w:hint="eastAsia"/>
                <w:sz w:val="24"/>
              </w:rPr>
              <w:t>25</w:t>
            </w:r>
            <w:r>
              <w:rPr>
                <w:rFonts w:hint="eastAsia"/>
                <w:sz w:val="24"/>
              </w:rPr>
              <w:t>日任本基金基金经理助理）。</w:t>
            </w:r>
          </w:p>
        </w:tc>
      </w:tr>
      <w:tr w:rsidR="003768CA">
        <w:tc>
          <w:tcPr>
            <w:tcW w:w="1134" w:type="dxa"/>
            <w:vAlign w:val="center"/>
          </w:tcPr>
          <w:p w:rsidR="003768CA" w:rsidRDefault="007529CB">
            <w:pPr>
              <w:jc w:val="center"/>
            </w:pPr>
            <w:r>
              <w:rPr>
                <w:rFonts w:hint="eastAsia"/>
                <w:sz w:val="24"/>
              </w:rPr>
              <w:t>吕一楠</w:t>
            </w:r>
          </w:p>
        </w:tc>
        <w:tc>
          <w:tcPr>
            <w:tcW w:w="1134" w:type="dxa"/>
            <w:vAlign w:val="center"/>
          </w:tcPr>
          <w:p w:rsidR="003768CA" w:rsidRDefault="007529CB">
            <w:pPr>
              <w:jc w:val="center"/>
            </w:pPr>
            <w:r>
              <w:rPr>
                <w:rFonts w:hint="eastAsia"/>
                <w:sz w:val="24"/>
              </w:rPr>
              <w:t>本基金、交银双轮动债券、交银定期支付月月丰债券、交银强化回报债券、交银丰盈收益债券的基金经理助理</w:t>
            </w:r>
          </w:p>
        </w:tc>
        <w:tc>
          <w:tcPr>
            <w:tcW w:w="1701" w:type="dxa"/>
            <w:vAlign w:val="center"/>
          </w:tcPr>
          <w:p w:rsidR="003768CA" w:rsidRDefault="007529CB">
            <w:pPr>
              <w:jc w:val="center"/>
            </w:pPr>
            <w:r>
              <w:rPr>
                <w:rFonts w:hint="eastAsia"/>
                <w:sz w:val="24"/>
              </w:rPr>
              <w:t>2014-07-01</w:t>
            </w:r>
          </w:p>
        </w:tc>
        <w:tc>
          <w:tcPr>
            <w:tcW w:w="1560" w:type="dxa"/>
            <w:vAlign w:val="center"/>
          </w:tcPr>
          <w:p w:rsidR="003768CA" w:rsidRDefault="007529CB">
            <w:pPr>
              <w:jc w:val="center"/>
            </w:pPr>
            <w:r>
              <w:rPr>
                <w:rFonts w:hint="eastAsia"/>
                <w:sz w:val="24"/>
              </w:rPr>
              <w:t>-</w:t>
            </w:r>
          </w:p>
        </w:tc>
        <w:tc>
          <w:tcPr>
            <w:tcW w:w="992" w:type="dxa"/>
            <w:vAlign w:val="center"/>
          </w:tcPr>
          <w:p w:rsidR="003768CA" w:rsidRDefault="007529CB">
            <w:pPr>
              <w:jc w:val="center"/>
            </w:pPr>
            <w:r>
              <w:rPr>
                <w:rFonts w:hint="eastAsia"/>
                <w:sz w:val="24"/>
              </w:rPr>
              <w:t>4</w:t>
            </w:r>
            <w:r>
              <w:rPr>
                <w:rFonts w:hint="eastAsia"/>
                <w:sz w:val="24"/>
              </w:rPr>
              <w:t>年</w:t>
            </w:r>
          </w:p>
        </w:tc>
        <w:tc>
          <w:tcPr>
            <w:tcW w:w="2477" w:type="dxa"/>
            <w:vAlign w:val="center"/>
          </w:tcPr>
          <w:p w:rsidR="003768CA" w:rsidRDefault="007529CB">
            <w:r>
              <w:rPr>
                <w:rFonts w:hint="eastAsia"/>
                <w:sz w:val="24"/>
              </w:rPr>
              <w:t>吕一楠先生，澳洲新南威尔士大学统计学硕士和精算学硕士。历任大新保险服务有限公司（香港）投资分析师，中国人寿养老保险公司投资管理中心组合经理。</w:t>
            </w:r>
            <w:r>
              <w:rPr>
                <w:rFonts w:hint="eastAsia"/>
                <w:sz w:val="24"/>
              </w:rPr>
              <w:t>2013</w:t>
            </w:r>
            <w:r>
              <w:rPr>
                <w:rFonts w:hint="eastAsia"/>
                <w:sz w:val="24"/>
              </w:rPr>
              <w:t>年</w:t>
            </w:r>
            <w:r>
              <w:rPr>
                <w:rFonts w:hint="eastAsia"/>
                <w:sz w:val="24"/>
              </w:rPr>
              <w:t>7</w:t>
            </w:r>
            <w:r>
              <w:rPr>
                <w:rFonts w:hint="eastAsia"/>
                <w:sz w:val="24"/>
              </w:rPr>
              <w:t>月加入交银施罗德基金管理有限公司。</w:t>
            </w:r>
          </w:p>
        </w:tc>
      </w:tr>
    </w:tbl>
    <w:p w:rsidR="003768CA" w:rsidRDefault="007529CB">
      <w:pPr>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3768CA" w:rsidRDefault="007529CB" w:rsidP="007529CB">
      <w:pPr>
        <w:spacing w:before="29" w:line="288" w:lineRule="auto"/>
        <w:ind w:firstLine="420"/>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CB1276" w:rsidRDefault="00223DFB" w:rsidP="007529CB">
      <w:pPr>
        <w:spacing w:before="29" w:line="288" w:lineRule="auto"/>
        <w:ind w:firstLine="420"/>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3768CA" w:rsidRDefault="007529CB">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3768CA" w:rsidRDefault="007529CB">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768CA" w:rsidRDefault="007529CB">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3768CA" w:rsidRDefault="007529CB">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3768CA" w:rsidRDefault="007529CB">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3768CA" w:rsidRDefault="007529CB">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4.3.2</w:t>
      </w:r>
      <w:r w:rsidRPr="006B06B5">
        <w:rPr>
          <w:rFonts w:ascii="Times New Roman" w:hAnsi="Times New Roman" w:cs="Times New Roman" w:hint="eastAsia"/>
          <w:kern w:val="0"/>
          <w:szCs w:val="24"/>
        </w:rPr>
        <w:t>公平交易制度的执行情况</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本报告期内公司严格执行公平交易制度，公平对待旗下各投资组合。通过投资交易监控、交易数据分析、专项稽核检查等，本基金管理人未发现任何违反公平交易制度的行为。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w:t>
      </w:r>
      <w:r w:rsidRPr="00C64C58">
        <w:rPr>
          <w:rFonts w:hint="eastAsia"/>
          <w:color w:val="000000"/>
          <w:sz w:val="24"/>
        </w:rPr>
        <w:t>,</w:t>
      </w:r>
      <w:r w:rsidRPr="00C64C58">
        <w:rPr>
          <w:rFonts w:hint="eastAsia"/>
          <w:color w:val="000000"/>
          <w:sz w:val="24"/>
        </w:rPr>
        <w:t>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2014</w:t>
      </w:r>
      <w:r w:rsidRPr="00C64C58">
        <w:rPr>
          <w:rFonts w:hint="eastAsia"/>
          <w:color w:val="000000"/>
          <w:sz w:val="24"/>
        </w:rPr>
        <w:t>年上半年，稳增长放到了更为靠前的位置，定向刺激政策逐步出台，基建仍然是对冲经济下行风险的主要支撑力量。财政支出进度加快，服务业增速稳步回升。多管齐下，经济企稳迹象逐渐显现。央行以</w:t>
      </w:r>
      <w:r w:rsidRPr="00C64C58">
        <w:rPr>
          <w:rFonts w:hint="eastAsia"/>
          <w:color w:val="000000"/>
          <w:sz w:val="24"/>
        </w:rPr>
        <w:t>SLF</w:t>
      </w:r>
      <w:r w:rsidRPr="00C64C58">
        <w:rPr>
          <w:rFonts w:hint="eastAsia"/>
          <w:color w:val="000000"/>
          <w:sz w:val="24"/>
        </w:rPr>
        <w:t>探索利率走廊模式，泰勒规则重生，利率走势重新由经济和通胀决定。在年初以来经济下行压力渐显、通胀短期无忧的前提下，央行主导货币利率保持低位运行。在经济下行、货币政策导向宽松以及信托兑付等信用风险事件催化下，银行风险偏好下降，商业银行主动收缩表外业务并修正资产负债表。政策层对资金面的呵护，使得市场对长端的谨慎情绪开始转向，短期流动性向长期资产转化，债券收益率大幅下行，期限利差得以修复。下半年召开的中央经济工作会议则指出，“积极的财政政策要有力度，货币政策要更加注重松紧适度。”四季度市场迎来预期已久的全面降息，释放出明确的稳增长信号意义，未来货币政策全面放松可期。全面降息的利好带动债券市场牛市情绪进一步发酵，</w:t>
      </w:r>
      <w:r w:rsidRPr="00C64C58">
        <w:rPr>
          <w:rFonts w:hint="eastAsia"/>
          <w:color w:val="000000"/>
          <w:sz w:val="24"/>
        </w:rPr>
        <w:t>12</w:t>
      </w:r>
      <w:r w:rsidRPr="00C64C58">
        <w:rPr>
          <w:rFonts w:hint="eastAsia"/>
          <w:color w:val="000000"/>
          <w:sz w:val="24"/>
        </w:rPr>
        <w:t>月初中证登发布的《关于加强企业债券回购风险管理相关措施的通知》则引发大量企业债（尤其是城投债）的价值重估。本基金在资金面紧张的时点适时增持了现券资产，获取稳定的票息收入。</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本报告期内，交银理财</w:t>
      </w:r>
      <w:r w:rsidRPr="00C64C58">
        <w:rPr>
          <w:rFonts w:hint="eastAsia"/>
          <w:color w:val="000000"/>
          <w:sz w:val="24"/>
        </w:rPr>
        <w:t>60</w:t>
      </w:r>
      <w:r w:rsidRPr="00C64C58">
        <w:rPr>
          <w:rFonts w:hint="eastAsia"/>
          <w:color w:val="000000"/>
          <w:sz w:val="24"/>
        </w:rPr>
        <w:t>天债券</w:t>
      </w:r>
      <w:r w:rsidRPr="00C64C58">
        <w:rPr>
          <w:rFonts w:hint="eastAsia"/>
          <w:color w:val="000000"/>
          <w:sz w:val="24"/>
        </w:rPr>
        <w:t>A</w:t>
      </w:r>
      <w:r w:rsidRPr="00C64C58">
        <w:rPr>
          <w:rFonts w:hint="eastAsia"/>
          <w:color w:val="000000"/>
          <w:sz w:val="24"/>
        </w:rPr>
        <w:t>净值收益率为</w:t>
      </w:r>
      <w:r w:rsidRPr="00C64C58">
        <w:rPr>
          <w:rFonts w:hint="eastAsia"/>
          <w:color w:val="000000"/>
          <w:sz w:val="24"/>
        </w:rPr>
        <w:t>3.9241%</w:t>
      </w:r>
      <w:r w:rsidRPr="00C64C58">
        <w:rPr>
          <w:rFonts w:hint="eastAsia"/>
          <w:color w:val="000000"/>
          <w:sz w:val="24"/>
        </w:rPr>
        <w:t>，交银理财</w:t>
      </w:r>
      <w:r w:rsidRPr="00C64C58">
        <w:rPr>
          <w:rFonts w:hint="eastAsia"/>
          <w:color w:val="000000"/>
          <w:sz w:val="24"/>
        </w:rPr>
        <w:t>60</w:t>
      </w:r>
      <w:r w:rsidRPr="00C64C58">
        <w:rPr>
          <w:rFonts w:hint="eastAsia"/>
          <w:color w:val="000000"/>
          <w:sz w:val="24"/>
        </w:rPr>
        <w:t>天债券</w:t>
      </w:r>
      <w:r w:rsidRPr="00C64C58">
        <w:rPr>
          <w:rFonts w:hint="eastAsia"/>
          <w:color w:val="000000"/>
          <w:sz w:val="24"/>
        </w:rPr>
        <w:t>B</w:t>
      </w:r>
      <w:r w:rsidRPr="00C64C58">
        <w:rPr>
          <w:rFonts w:hint="eastAsia"/>
          <w:color w:val="000000"/>
          <w:sz w:val="24"/>
        </w:rPr>
        <w:t>净值收益率</w:t>
      </w:r>
      <w:r w:rsidRPr="00C64C58">
        <w:rPr>
          <w:rFonts w:hint="eastAsia"/>
          <w:color w:val="000000"/>
          <w:sz w:val="24"/>
        </w:rPr>
        <w:t>2.2080%</w:t>
      </w:r>
      <w:r w:rsidRPr="00C64C58">
        <w:rPr>
          <w:rFonts w:hint="eastAsia"/>
          <w:color w:val="000000"/>
          <w:sz w:val="24"/>
        </w:rPr>
        <w:t>，同期业绩比较基准增长率为</w:t>
      </w:r>
      <w:r w:rsidRPr="00C64C58">
        <w:rPr>
          <w:rFonts w:hint="eastAsia"/>
          <w:color w:val="000000"/>
          <w:sz w:val="24"/>
        </w:rPr>
        <w:t>1.3500%</w:t>
      </w:r>
      <w:r w:rsidRPr="00C64C58">
        <w:rPr>
          <w:rFonts w:hint="eastAsia"/>
          <w:color w:val="000000"/>
          <w:sz w:val="24"/>
        </w:rPr>
        <w:t>。</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1" w:name="_Toc361324859"/>
      <w:bookmarkStart w:id="2"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1"/>
      <w:bookmarkEnd w:id="2"/>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2015</w:t>
      </w:r>
      <w:r w:rsidRPr="00C64C58">
        <w:rPr>
          <w:rFonts w:hint="eastAsia"/>
          <w:color w:val="000000"/>
          <w:sz w:val="24"/>
        </w:rPr>
        <w:t>年应关注通货紧缩下货币政策宽松的机会。内需趋弱与输入性因素共同造成的通货紧缩为后续的多种形式的货币政策宽松留有余地。我们将密切关注实体经济改善的程度，在“宽货币”往“宽信用”的传导过程中把握好债券投资的时间窗口。在这一阶段，资金面预计将维持中性偏宽松的局面，实体经济未见起色，债券市场仍有进一步向好的空间。预计全年</w:t>
      </w:r>
      <w:r w:rsidRPr="00C64C58">
        <w:rPr>
          <w:rFonts w:hint="eastAsia"/>
          <w:color w:val="000000"/>
          <w:sz w:val="24"/>
        </w:rPr>
        <w:t>IPO</w:t>
      </w:r>
      <w:r w:rsidRPr="00C64C58">
        <w:rPr>
          <w:rFonts w:hint="eastAsia"/>
          <w:color w:val="000000"/>
          <w:sz w:val="24"/>
        </w:rPr>
        <w:t>速度会明显加快，对货币市场资金面的扰动将更加频繁。本基金将保持灵活仓位，力求在资金面紧张的时点配置更高收益的现券资产。</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3" w:name="_Toc361324861"/>
      <w:bookmarkStart w:id="4" w:name="_Toc225570083"/>
      <w:bookmarkStart w:id="5"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3"/>
      <w:bookmarkEnd w:id="4"/>
      <w:bookmarkEnd w:id="5"/>
    </w:p>
    <w:p w:rsidR="003768CA" w:rsidRDefault="007529CB">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3768CA" w:rsidRDefault="007529CB">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6" w:name="_Toc361324862"/>
      <w:bookmarkStart w:id="7" w:name="_Toc225570084"/>
      <w:bookmarkStart w:id="8" w:name="_Toc247959458"/>
      <w:r w:rsidRPr="006B06B5">
        <w:rPr>
          <w:rFonts w:ascii="Times New Roman" w:hAnsi="Times New Roman" w:cs="Times New Roman" w:hint="eastAsia"/>
          <w:kern w:val="0"/>
          <w:szCs w:val="24"/>
        </w:rPr>
        <w:t xml:space="preserve">4.7 </w:t>
      </w:r>
      <w:r w:rsidRPr="006B06B5">
        <w:rPr>
          <w:rFonts w:ascii="Times New Roman" w:hAnsi="Times New Roman" w:cs="Times New Roman" w:hint="eastAsia"/>
          <w:kern w:val="0"/>
          <w:szCs w:val="24"/>
        </w:rPr>
        <w:t>管理人对报告期内基金利润分配情况的说明</w:t>
      </w:r>
      <w:bookmarkEnd w:id="6"/>
      <w:bookmarkEnd w:id="7"/>
      <w:bookmarkEnd w:id="8"/>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遵照法律法规及基金合同的约定，本基金每日分配收益，按运作期结转份额。本基金本报告期内利润分配情况参见</w:t>
      </w:r>
      <w:r w:rsidR="007529CB">
        <w:rPr>
          <w:rFonts w:hint="eastAsia"/>
          <w:color w:val="000000"/>
          <w:sz w:val="24"/>
        </w:rPr>
        <w:t>年度报告正文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t>本基金自《公开募集证券投资基金运作管理办法》生效日（</w:t>
      </w:r>
      <w:r w:rsidRPr="00BB731C">
        <w:rPr>
          <w:kern w:val="0"/>
          <w:sz w:val="24"/>
        </w:rPr>
        <w:t>2014</w:t>
      </w:r>
      <w:r w:rsidRPr="00BB731C">
        <w:rPr>
          <w:kern w:val="0"/>
          <w:sz w:val="24"/>
        </w:rPr>
        <w:t>年</w:t>
      </w:r>
      <w:r w:rsidRPr="00BB731C">
        <w:rPr>
          <w:kern w:val="0"/>
          <w:sz w:val="24"/>
        </w:rPr>
        <w:t>8</w:t>
      </w:r>
      <w:r w:rsidRPr="00BB731C">
        <w:rPr>
          <w:kern w:val="0"/>
          <w:sz w:val="24"/>
        </w:rPr>
        <w:t>月</w:t>
      </w:r>
      <w:r w:rsidRPr="00BB731C">
        <w:rPr>
          <w:kern w:val="0"/>
          <w:sz w:val="24"/>
        </w:rPr>
        <w:t>8</w:t>
      </w:r>
      <w:r w:rsidRPr="00BB731C">
        <w:rPr>
          <w:kern w:val="0"/>
          <w:sz w:val="24"/>
        </w:rPr>
        <w:t>日）起至</w:t>
      </w:r>
      <w:r w:rsidRPr="00BB731C">
        <w:rPr>
          <w:kern w:val="0"/>
          <w:sz w:val="24"/>
        </w:rPr>
        <w:t>2014</w:t>
      </w:r>
      <w:r w:rsidRPr="00BB731C">
        <w:rPr>
          <w:kern w:val="0"/>
          <w:sz w:val="24"/>
        </w:rPr>
        <w:t>年</w:t>
      </w:r>
      <w:r w:rsidRPr="00BB731C">
        <w:rPr>
          <w:kern w:val="0"/>
          <w:sz w:val="24"/>
        </w:rPr>
        <w:t>10</w:t>
      </w:r>
      <w:r w:rsidRPr="00BB731C">
        <w:rPr>
          <w:kern w:val="0"/>
          <w:sz w:val="24"/>
        </w:rPr>
        <w:t>月</w:t>
      </w:r>
      <w:r w:rsidRPr="00BB731C">
        <w:rPr>
          <w:kern w:val="0"/>
          <w:sz w:val="24"/>
        </w:rPr>
        <w:t>30</w:t>
      </w:r>
      <w:r w:rsidRPr="00BB731C">
        <w:rPr>
          <w:kern w:val="0"/>
          <w:sz w:val="24"/>
        </w:rPr>
        <w:t>日止基金资产净值低于五千万元。</w:t>
      </w:r>
    </w:p>
    <w:p w:rsidR="005942E7" w:rsidRPr="00C64C58" w:rsidRDefault="005942E7" w:rsidP="00C64C58">
      <w:pPr>
        <w:spacing w:before="29" w:line="288" w:lineRule="auto"/>
        <w:ind w:firstLineChars="200" w:firstLine="480"/>
        <w:rPr>
          <w:color w:val="000000"/>
          <w:sz w:val="24"/>
        </w:rPr>
      </w:pP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3768CA" w:rsidRDefault="007529CB">
      <w:pPr>
        <w:spacing w:before="29" w:line="288" w:lineRule="auto"/>
        <w:ind w:firstLineChars="200" w:firstLine="480"/>
        <w:rPr>
          <w:color w:val="000000"/>
          <w:sz w:val="24"/>
        </w:rPr>
      </w:pPr>
      <w:r>
        <w:rPr>
          <w:rFonts w:hint="eastAsia"/>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报告期内，本基金实施利润分配的金额为</w:t>
      </w:r>
      <w:r w:rsidRPr="00C64C58">
        <w:rPr>
          <w:rFonts w:hint="eastAsia"/>
          <w:color w:val="000000"/>
          <w:sz w:val="24"/>
        </w:rPr>
        <w:t>A</w:t>
      </w:r>
      <w:r w:rsidRPr="00C64C58">
        <w:rPr>
          <w:rFonts w:hint="eastAsia"/>
          <w:color w:val="000000"/>
          <w:sz w:val="24"/>
        </w:rPr>
        <w:t>类</w:t>
      </w:r>
      <w:r w:rsidRPr="00C64C58">
        <w:rPr>
          <w:rFonts w:hint="eastAsia"/>
          <w:color w:val="000000"/>
          <w:sz w:val="24"/>
        </w:rPr>
        <w:t>707,366.26</w:t>
      </w:r>
      <w:r w:rsidRPr="00C64C58">
        <w:rPr>
          <w:rFonts w:hint="eastAsia"/>
          <w:color w:val="000000"/>
          <w:sz w:val="24"/>
        </w:rPr>
        <w:t>元，</w:t>
      </w:r>
      <w:r w:rsidRPr="00C64C58">
        <w:rPr>
          <w:rFonts w:hint="eastAsia"/>
          <w:color w:val="000000"/>
          <w:sz w:val="24"/>
        </w:rPr>
        <w:t>B</w:t>
      </w:r>
      <w:r w:rsidRPr="00C64C58">
        <w:rPr>
          <w:rFonts w:hint="eastAsia"/>
          <w:color w:val="000000"/>
          <w:sz w:val="24"/>
        </w:rPr>
        <w:t>类</w:t>
      </w:r>
      <w:r w:rsidRPr="00C64C58">
        <w:rPr>
          <w:rFonts w:hint="eastAsia"/>
          <w:color w:val="000000"/>
          <w:sz w:val="24"/>
        </w:rPr>
        <w:t>1,502,900.71</w:t>
      </w:r>
      <w:r w:rsidRPr="00C64C58">
        <w:rPr>
          <w:rFonts w:hint="eastAsia"/>
          <w:color w:val="000000"/>
          <w:sz w:val="24"/>
        </w:rPr>
        <w:t>元。</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本托管人复核审查了本报告中的财务指标、净值表现、利润分配情况、财务会计报告、投资组合报告等内容，保证复核内容不存在虚假记载、误导性陈述或者重大遗漏。</w:t>
      </w:r>
    </w:p>
    <w:p w:rsidR="009C46E0" w:rsidRPr="00C64C58" w:rsidRDefault="009C46E0" w:rsidP="00C64C58">
      <w:pPr>
        <w:spacing w:before="29" w:line="288" w:lineRule="auto"/>
        <w:ind w:firstLineChars="200" w:firstLine="480"/>
        <w:rPr>
          <w:color w:val="000000"/>
          <w:sz w:val="24"/>
        </w:rPr>
      </w:pP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交银施罗德理财</w:t>
      </w:r>
      <w:r w:rsidRPr="003C6BFD">
        <w:rPr>
          <w:color w:val="000000"/>
          <w:sz w:val="24"/>
        </w:rPr>
        <w:t>60</w:t>
      </w:r>
      <w:r w:rsidRPr="003C6BFD">
        <w:rPr>
          <w:color w:val="000000"/>
          <w:sz w:val="24"/>
        </w:rPr>
        <w:t>天债券型证券投资基金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21492</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7529CB">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会计主体：交银施罗德理财</w:t>
      </w:r>
      <w:r w:rsidRPr="00E67124">
        <w:rPr>
          <w:rFonts w:hint="eastAsia"/>
          <w:color w:val="000000"/>
          <w:sz w:val="24"/>
        </w:rPr>
        <w:t>60</w:t>
      </w:r>
      <w:r w:rsidRPr="00E67124">
        <w:rPr>
          <w:rFonts w:hint="eastAsia"/>
          <w:color w:val="000000"/>
          <w:sz w:val="24"/>
        </w:rPr>
        <w:t>天债券型证券投资基金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2014</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2014</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2013</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6B4403" w:rsidP="004B36C2">
            <w:pPr>
              <w:spacing w:line="360" w:lineRule="auto"/>
              <w:jc w:val="right"/>
              <w:rPr>
                <w:rFonts w:asciiTheme="minorEastAsia" w:eastAsiaTheme="minorEastAsia" w:hAnsiTheme="minorEastAsia"/>
                <w:szCs w:val="21"/>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22,770,668.24</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56,571,876.87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40,000.00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62,873.91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32.01</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170,487,805.99</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5,686,342.87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170,487,805.99</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5,686,342.87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B816C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B816C3">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39,954,870.96</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25,618,147.78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1,013,956.32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3,337,067.76</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621,120.02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236,590,412.95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89,574,349.78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2014</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2013</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920,669.38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30,366.39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49,398.27</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20,172.26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14,636.56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5,977.02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5,467.65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10,098.63</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20,290.22</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2,483.15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99,718.11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528,490.75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99,000.00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364,000.00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288,510.81</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1,882,257.58</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236,301,902.14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87,692,092.20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236,301,902.14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87,692,092.20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236,590,412.95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89,574,349.78</w:t>
            </w:r>
          </w:p>
        </w:tc>
      </w:tr>
    </w:tbl>
    <w:p w:rsidR="00223DFB" w:rsidRPr="005124D4" w:rsidRDefault="00DA7531" w:rsidP="005124D4">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223DFB" w:rsidRPr="005124D4">
        <w:rPr>
          <w:rFonts w:hint="eastAsia"/>
          <w:kern w:val="0"/>
          <w:sz w:val="24"/>
        </w:rPr>
        <w:t>报告截止日</w:t>
      </w:r>
      <w:r w:rsidR="00223DFB" w:rsidRPr="005124D4">
        <w:rPr>
          <w:rFonts w:hint="eastAsia"/>
          <w:kern w:val="0"/>
          <w:sz w:val="24"/>
        </w:rPr>
        <w:t>2014</w:t>
      </w:r>
      <w:r w:rsidR="00223DFB" w:rsidRPr="005124D4">
        <w:rPr>
          <w:rFonts w:hint="eastAsia"/>
          <w:kern w:val="0"/>
          <w:sz w:val="24"/>
        </w:rPr>
        <w:t>年</w:t>
      </w:r>
      <w:r w:rsidR="00223DFB" w:rsidRPr="005124D4">
        <w:rPr>
          <w:rFonts w:hint="eastAsia"/>
          <w:kern w:val="0"/>
          <w:sz w:val="24"/>
        </w:rPr>
        <w:t>12</w:t>
      </w:r>
      <w:r w:rsidR="00223DFB" w:rsidRPr="005124D4">
        <w:rPr>
          <w:rFonts w:hint="eastAsia"/>
          <w:kern w:val="0"/>
          <w:sz w:val="24"/>
        </w:rPr>
        <w:t>月</w:t>
      </w:r>
      <w:r w:rsidR="00223DFB" w:rsidRPr="005124D4">
        <w:rPr>
          <w:rFonts w:hint="eastAsia"/>
          <w:kern w:val="0"/>
          <w:sz w:val="24"/>
        </w:rPr>
        <w:t>31</w:t>
      </w:r>
      <w:r w:rsidR="00223DFB" w:rsidRPr="005124D4">
        <w:rPr>
          <w:rFonts w:hint="eastAsia"/>
          <w:kern w:val="0"/>
          <w:sz w:val="24"/>
        </w:rPr>
        <w:t>日，基金份额净值</w:t>
      </w:r>
      <w:r w:rsidR="00223DFB" w:rsidRPr="005124D4">
        <w:rPr>
          <w:rFonts w:hint="eastAsia"/>
          <w:kern w:val="0"/>
          <w:sz w:val="24"/>
        </w:rPr>
        <w:t>1.0000</w:t>
      </w:r>
      <w:r w:rsidR="00223DFB" w:rsidRPr="005124D4">
        <w:rPr>
          <w:rFonts w:hint="eastAsia"/>
          <w:kern w:val="0"/>
          <w:sz w:val="24"/>
        </w:rPr>
        <w:t>元，基金份额总额</w:t>
      </w:r>
      <w:r w:rsidR="00223DFB" w:rsidRPr="005124D4">
        <w:rPr>
          <w:rFonts w:hint="eastAsia"/>
          <w:kern w:val="0"/>
          <w:sz w:val="24"/>
        </w:rPr>
        <w:t>236,301,902.14</w:t>
      </w:r>
      <w:r w:rsidR="00223DFB" w:rsidRPr="005124D4">
        <w:rPr>
          <w:rFonts w:hint="eastAsia"/>
          <w:kern w:val="0"/>
          <w:sz w:val="24"/>
        </w:rPr>
        <w:t>份，其中</w:t>
      </w:r>
      <w:r w:rsidR="00223DFB" w:rsidRPr="005124D4">
        <w:rPr>
          <w:rFonts w:hint="eastAsia"/>
          <w:kern w:val="0"/>
          <w:sz w:val="24"/>
        </w:rPr>
        <w:t>A</w:t>
      </w:r>
      <w:r w:rsidR="00223DFB" w:rsidRPr="005124D4">
        <w:rPr>
          <w:rFonts w:hint="eastAsia"/>
          <w:kern w:val="0"/>
          <w:sz w:val="24"/>
        </w:rPr>
        <w:t>类基金份额：</w:t>
      </w:r>
      <w:r w:rsidR="00223DFB" w:rsidRPr="005124D4">
        <w:rPr>
          <w:rFonts w:hint="eastAsia"/>
          <w:kern w:val="0"/>
          <w:sz w:val="24"/>
        </w:rPr>
        <w:t>14,928,628.72</w:t>
      </w:r>
      <w:r w:rsidR="00223DFB" w:rsidRPr="005124D4">
        <w:rPr>
          <w:rFonts w:hint="eastAsia"/>
          <w:kern w:val="0"/>
          <w:sz w:val="24"/>
        </w:rPr>
        <w:t>份，</w:t>
      </w:r>
      <w:r w:rsidR="00223DFB" w:rsidRPr="005124D4">
        <w:rPr>
          <w:rFonts w:hint="eastAsia"/>
          <w:kern w:val="0"/>
          <w:sz w:val="24"/>
        </w:rPr>
        <w:t>B</w:t>
      </w:r>
      <w:r w:rsidR="00223DFB" w:rsidRPr="005124D4">
        <w:rPr>
          <w:rFonts w:hint="eastAsia"/>
          <w:kern w:val="0"/>
          <w:sz w:val="24"/>
        </w:rPr>
        <w:t>类基金份额：</w:t>
      </w:r>
      <w:r w:rsidR="00223DFB" w:rsidRPr="005124D4">
        <w:rPr>
          <w:rFonts w:hint="eastAsia"/>
          <w:kern w:val="0"/>
          <w:sz w:val="24"/>
        </w:rPr>
        <w:t>221,373,273.42</w:t>
      </w:r>
      <w:r w:rsidR="00223DFB" w:rsidRPr="005124D4">
        <w:rPr>
          <w:rFonts w:hint="eastAsia"/>
          <w:kern w:val="0"/>
          <w:sz w:val="24"/>
        </w:rPr>
        <w:t>份。</w:t>
      </w:r>
    </w:p>
    <w:p w:rsidR="00223DFB" w:rsidRDefault="00DA7531" w:rsidP="00DA7531">
      <w:pPr>
        <w:spacing w:line="360" w:lineRule="auto"/>
        <w:ind w:firstLineChars="200" w:firstLine="480"/>
        <w:rPr>
          <w:kern w:val="0"/>
          <w:sz w:val="24"/>
        </w:rPr>
      </w:pPr>
      <w:r w:rsidRPr="0061644B">
        <w:rPr>
          <w:kern w:val="0"/>
          <w:sz w:val="24"/>
        </w:rPr>
        <w:t>2</w:t>
      </w:r>
      <w:r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会计主体：交银施罗德理财</w:t>
      </w:r>
      <w:r w:rsidRPr="007172E2">
        <w:rPr>
          <w:rFonts w:hint="eastAsia"/>
          <w:color w:val="000000"/>
          <w:sz w:val="24"/>
        </w:rPr>
        <w:t>60</w:t>
      </w:r>
      <w:r w:rsidRPr="007172E2">
        <w:rPr>
          <w:rFonts w:hint="eastAsia"/>
          <w:color w:val="000000"/>
          <w:sz w:val="24"/>
        </w:rPr>
        <w:t>天债券型证券投资基金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2014</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2014</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2014</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3</w:t>
            </w:r>
            <w:r w:rsidRPr="0041404C">
              <w:rPr>
                <w:rFonts w:ascii="Times New Roman" w:hAnsi="Times New Roman" w:hint="eastAsia"/>
                <w:b/>
                <w:color w:val="000000"/>
              </w:rPr>
              <w:t>月</w:t>
            </w:r>
            <w:r w:rsidRPr="0041404C">
              <w:rPr>
                <w:rFonts w:ascii="Times New Roman" w:hAnsi="Times New Roman" w:hint="eastAsia"/>
                <w:b/>
                <w:color w:val="000000"/>
              </w:rPr>
              <w:t>13</w:t>
            </w:r>
            <w:r w:rsidRPr="0041404C">
              <w:rPr>
                <w:rFonts w:ascii="Times New Roman" w:hAnsi="Times New Roman" w:hint="eastAsia"/>
                <w:b/>
                <w:color w:val="000000"/>
              </w:rPr>
              <w:t>日（基金合同生效日）至</w:t>
            </w:r>
            <w:r w:rsidRPr="0041404C">
              <w:rPr>
                <w:rFonts w:ascii="Times New Roman" w:hAnsi="Times New Roman" w:hint="eastAsia"/>
                <w:b/>
                <w:color w:val="000000"/>
              </w:rPr>
              <w:t>2013</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2,818,068.01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9,546,674.21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2,478,018.15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8,645,762.03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833,500.25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3,578,736.27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7529CB">
            <w:pPr>
              <w:spacing w:before="29" w:line="288" w:lineRule="auto"/>
              <w:ind w:firstLineChars="300" w:firstLine="720"/>
              <w:rPr>
                <w:color w:val="000000"/>
                <w:sz w:val="24"/>
              </w:rPr>
            </w:pPr>
            <w:r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1,188,131.75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2,737,112.47</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7529CB">
            <w:pPr>
              <w:spacing w:before="29" w:line="288" w:lineRule="auto"/>
              <w:ind w:firstLineChars="300" w:firstLine="720"/>
              <w:rPr>
                <w:color w:val="000000"/>
                <w:sz w:val="24"/>
              </w:rPr>
            </w:pPr>
            <w:r w:rsidRPr="0041404C">
              <w:rPr>
                <w:rFonts w:hint="eastAsia"/>
                <w:color w:val="000000"/>
                <w:sz w:val="24"/>
              </w:rPr>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7529CB">
            <w:pPr>
              <w:spacing w:before="29" w:line="288" w:lineRule="auto"/>
              <w:ind w:firstLineChars="300" w:firstLine="720"/>
              <w:rPr>
                <w:color w:val="000000"/>
                <w:sz w:val="24"/>
              </w:rPr>
            </w:pPr>
            <w:r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456,386.15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2,329,913.29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7529CB">
            <w:pPr>
              <w:spacing w:before="29" w:line="288" w:lineRule="auto"/>
              <w:ind w:firstLineChars="300" w:firstLine="720"/>
              <w:rPr>
                <w:color w:val="000000"/>
                <w:sz w:val="24"/>
              </w:rPr>
            </w:pPr>
            <w:r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340,049.86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900,912.18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340,049.86</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900,912.18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B816C3">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B816C3">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B816C3">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607,801.04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2,097,579.62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144,632.31</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594,322.70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43,700.49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176,449.18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59,061.54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560,457.85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223,768.07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367,156.30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223,768.07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367,156.30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6</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136,638.63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399,193.59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三、利润总额（亏损总额以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2,210,266.97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7,449,094.59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四、净利润（净亏损以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2,210,266.97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7,449,094.59</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会计主体：交银施罗德理财</w:t>
      </w:r>
      <w:r w:rsidRPr="000452E1">
        <w:rPr>
          <w:rFonts w:hint="eastAsia"/>
          <w:sz w:val="24"/>
        </w:rPr>
        <w:t>60</w:t>
      </w:r>
      <w:r w:rsidRPr="000452E1">
        <w:rPr>
          <w:rFonts w:hint="eastAsia"/>
          <w:sz w:val="24"/>
        </w:rPr>
        <w:t>天债券型证券投资基金</w:t>
      </w:r>
    </w:p>
    <w:p w:rsidR="00223DFB" w:rsidRPr="000452E1" w:rsidRDefault="00223DFB" w:rsidP="000452E1">
      <w:pPr>
        <w:spacing w:before="29" w:line="288" w:lineRule="auto"/>
        <w:rPr>
          <w:sz w:val="24"/>
        </w:rPr>
      </w:pPr>
      <w:r w:rsidRPr="000452E1">
        <w:rPr>
          <w:rFonts w:hint="eastAsia"/>
          <w:sz w:val="24"/>
        </w:rPr>
        <w:t>本报告期：</w:t>
      </w:r>
      <w:r w:rsidRPr="000452E1">
        <w:rPr>
          <w:rFonts w:hint="eastAsia"/>
          <w:sz w:val="24"/>
        </w:rPr>
        <w:t>2014</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2014</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2014</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87,692,092.20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87,692,092.20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2,210,266.97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2,210,266.97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148,609,809.94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148,609,809.94</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235,787,016.75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235,787,016.75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-87,177,206.81</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-87,177,206.81</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-2,210,266.97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-2,210,266.97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236,301,902.14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236,301,902.14</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3</w:t>
            </w:r>
            <w:r w:rsidRPr="00A96CD0">
              <w:rPr>
                <w:rFonts w:ascii="Times New Roman" w:hAnsi="Times New Roman" w:hint="eastAsia"/>
                <w:b/>
                <w:kern w:val="2"/>
              </w:rPr>
              <w:t>月</w:t>
            </w:r>
            <w:r w:rsidRPr="00A96CD0">
              <w:rPr>
                <w:rFonts w:ascii="Times New Roman" w:hAnsi="Times New Roman" w:hint="eastAsia"/>
                <w:b/>
                <w:kern w:val="2"/>
              </w:rPr>
              <w:t>13</w:t>
            </w:r>
            <w:r w:rsidRPr="00A96CD0">
              <w:rPr>
                <w:rFonts w:ascii="Times New Roman" w:hAnsi="Times New Roman" w:hint="eastAsia"/>
                <w:b/>
                <w:kern w:val="2"/>
              </w:rPr>
              <w:t>日（基金合同生效日）至</w:t>
            </w:r>
            <w:r w:rsidRPr="00A96CD0">
              <w:rPr>
                <w:rFonts w:ascii="Times New Roman" w:hAnsi="Times New Roman" w:hint="eastAsia"/>
                <w:b/>
                <w:kern w:val="2"/>
              </w:rPr>
              <w:t>2013</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777,917,201.14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777,917,201.14</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7,449,094.59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7,449,094.59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-690,225,108.94</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-690,225,108.94</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178,495,562.56</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178,495,562.56</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-868,720,671.50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-868,720,671.50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-7,449,094.59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-7,449,094.59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87,692,092.20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87,692,092.20</w:t>
            </w:r>
          </w:p>
        </w:tc>
      </w:tr>
    </w:tbl>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负责人：苏奋（代任），主管会计工作负责人：许珊燕，会计机构负责人：朱鸣</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9" w:name="_Toc331410100"/>
      <w:bookmarkStart w:id="10"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9"/>
      <w:bookmarkEnd w:id="10"/>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3768CA" w:rsidRDefault="007529CB">
      <w:pPr>
        <w:spacing w:before="29" w:line="288" w:lineRule="auto"/>
        <w:ind w:firstLineChars="200" w:firstLine="480"/>
        <w:rPr>
          <w:color w:val="000000"/>
          <w:sz w:val="24"/>
        </w:rPr>
      </w:pPr>
      <w:r>
        <w:rPr>
          <w:rFonts w:hint="eastAsia"/>
          <w:color w:val="000000"/>
          <w:sz w:val="24"/>
        </w:rPr>
        <w:t>交银施罗德理财</w:t>
      </w:r>
      <w:r>
        <w:rPr>
          <w:rFonts w:hint="eastAsia"/>
          <w:color w:val="000000"/>
          <w:sz w:val="24"/>
        </w:rPr>
        <w:t>60</w:t>
      </w:r>
      <w:r>
        <w:rPr>
          <w:rFonts w:hint="eastAsia"/>
          <w:color w:val="000000"/>
          <w:sz w:val="24"/>
        </w:rPr>
        <w:t>天债券型证券投资基金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[2012]1768</w:t>
      </w:r>
      <w:r>
        <w:rPr>
          <w:rFonts w:hint="eastAsia"/>
          <w:color w:val="000000"/>
          <w:sz w:val="24"/>
        </w:rPr>
        <w:t>号《关于核准交银施罗德理财</w:t>
      </w:r>
      <w:r>
        <w:rPr>
          <w:rFonts w:hint="eastAsia"/>
          <w:color w:val="000000"/>
          <w:sz w:val="24"/>
        </w:rPr>
        <w:t>60</w:t>
      </w:r>
      <w:r>
        <w:rPr>
          <w:rFonts w:hint="eastAsia"/>
          <w:color w:val="000000"/>
          <w:sz w:val="24"/>
        </w:rPr>
        <w:t>天债券型证券投资基金募集的批复》核准，由交银施罗德基金管理有限公司依照《中华人民共和国证券投资基金法》和《交银施罗德理财</w:t>
      </w:r>
      <w:r>
        <w:rPr>
          <w:rFonts w:hint="eastAsia"/>
          <w:color w:val="000000"/>
          <w:sz w:val="24"/>
        </w:rPr>
        <w:t>60</w:t>
      </w:r>
      <w:r>
        <w:rPr>
          <w:rFonts w:hint="eastAsia"/>
          <w:color w:val="000000"/>
          <w:sz w:val="24"/>
        </w:rPr>
        <w:t>天债券型证券投资基金基金合同》负责公开募集。本基金为契约型开放式证券投资基金，存续期限不定。首次设立募集不包括认购资金利息共募集人民币</w:t>
      </w:r>
      <w:r>
        <w:rPr>
          <w:rFonts w:hint="eastAsia"/>
          <w:color w:val="000000"/>
          <w:sz w:val="24"/>
        </w:rPr>
        <w:t>777,735,040.55</w:t>
      </w:r>
      <w:r>
        <w:rPr>
          <w:rFonts w:hint="eastAsia"/>
          <w:color w:val="000000"/>
          <w:sz w:val="24"/>
        </w:rPr>
        <w:t>元，业经普华永道中天会计师事务所有限公司普华永道中天验字</w:t>
      </w:r>
      <w:r>
        <w:rPr>
          <w:rFonts w:hint="eastAsia"/>
          <w:color w:val="000000"/>
          <w:sz w:val="24"/>
        </w:rPr>
        <w:t>(2013)</w:t>
      </w:r>
      <w:r>
        <w:rPr>
          <w:rFonts w:hint="eastAsia"/>
          <w:color w:val="000000"/>
          <w:sz w:val="24"/>
        </w:rPr>
        <w:t>第</w:t>
      </w:r>
      <w:r>
        <w:rPr>
          <w:rFonts w:hint="eastAsia"/>
          <w:color w:val="000000"/>
          <w:sz w:val="24"/>
        </w:rPr>
        <w:t>131</w:t>
      </w:r>
      <w:r>
        <w:rPr>
          <w:rFonts w:hint="eastAsia"/>
          <w:color w:val="000000"/>
          <w:sz w:val="24"/>
        </w:rPr>
        <w:t>号验资报告予以验证。经向中国证监会备案，《交银施罗德理财</w:t>
      </w:r>
      <w:r>
        <w:rPr>
          <w:rFonts w:hint="eastAsia"/>
          <w:color w:val="000000"/>
          <w:sz w:val="24"/>
        </w:rPr>
        <w:t>60</w:t>
      </w:r>
      <w:r>
        <w:rPr>
          <w:rFonts w:hint="eastAsia"/>
          <w:color w:val="000000"/>
          <w:sz w:val="24"/>
        </w:rPr>
        <w:t>天债券型证券投资基金基金合同》于</w:t>
      </w:r>
      <w:r>
        <w:rPr>
          <w:rFonts w:hint="eastAsia"/>
          <w:color w:val="000000"/>
          <w:sz w:val="24"/>
        </w:rPr>
        <w:t>2013</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13</w:t>
      </w:r>
      <w:r>
        <w:rPr>
          <w:rFonts w:hint="eastAsia"/>
          <w:color w:val="000000"/>
          <w:sz w:val="24"/>
        </w:rPr>
        <w:t>日正式生效，基金合同生效日的基金份额总额为</w:t>
      </w:r>
      <w:r>
        <w:rPr>
          <w:rFonts w:hint="eastAsia"/>
          <w:color w:val="000000"/>
          <w:sz w:val="24"/>
        </w:rPr>
        <w:t>777,917,201.14</w:t>
      </w:r>
      <w:r>
        <w:rPr>
          <w:rFonts w:hint="eastAsia"/>
          <w:color w:val="000000"/>
          <w:sz w:val="24"/>
        </w:rPr>
        <w:t>份基金份额，其中认购资金利息折合</w:t>
      </w:r>
      <w:r>
        <w:rPr>
          <w:rFonts w:hint="eastAsia"/>
          <w:color w:val="000000"/>
          <w:sz w:val="24"/>
        </w:rPr>
        <w:t>182,160.59</w:t>
      </w:r>
      <w:r>
        <w:rPr>
          <w:rFonts w:hint="eastAsia"/>
          <w:color w:val="000000"/>
          <w:sz w:val="24"/>
        </w:rPr>
        <w:t>份基金份额。本基金的基金管理人为交银施罗德基金管理有限公司，基金托管人为中国建设银行股份有限公司。</w:t>
      </w:r>
    </w:p>
    <w:p w:rsidR="003768CA" w:rsidRDefault="007529CB">
      <w:pPr>
        <w:spacing w:before="29" w:line="288" w:lineRule="auto"/>
        <w:ind w:firstLineChars="200" w:firstLine="480"/>
        <w:rPr>
          <w:color w:val="000000"/>
          <w:sz w:val="24"/>
        </w:rPr>
      </w:pPr>
      <w:r>
        <w:rPr>
          <w:rFonts w:hint="eastAsia"/>
          <w:color w:val="000000"/>
          <w:sz w:val="24"/>
        </w:rPr>
        <w:t>根据《交银施罗德理财</w:t>
      </w:r>
      <w:r>
        <w:rPr>
          <w:rFonts w:hint="eastAsia"/>
          <w:color w:val="000000"/>
          <w:sz w:val="24"/>
        </w:rPr>
        <w:t>60</w:t>
      </w:r>
      <w:r>
        <w:rPr>
          <w:rFonts w:hint="eastAsia"/>
          <w:color w:val="000000"/>
          <w:sz w:val="24"/>
        </w:rPr>
        <w:t>天债券型证券投资基金基金合同》和《交银施罗德理财</w:t>
      </w:r>
      <w:r>
        <w:rPr>
          <w:rFonts w:hint="eastAsia"/>
          <w:color w:val="000000"/>
          <w:sz w:val="24"/>
        </w:rPr>
        <w:t>60</w:t>
      </w:r>
      <w:r>
        <w:rPr>
          <w:rFonts w:hint="eastAsia"/>
          <w:color w:val="000000"/>
          <w:sz w:val="24"/>
        </w:rPr>
        <w:t>天债券型证券投资基金招募说明书》，本基金根据投资人持有本基金的份额数量，对投资人持有的基金份额按照不同的费率计提销售服务费用，因此形成</w:t>
      </w:r>
      <w:r>
        <w:rPr>
          <w:rFonts w:hint="eastAsia"/>
          <w:color w:val="000000"/>
          <w:sz w:val="24"/>
        </w:rPr>
        <w:t>A</w:t>
      </w:r>
      <w:r>
        <w:rPr>
          <w:rFonts w:hint="eastAsia"/>
          <w:color w:val="000000"/>
          <w:sz w:val="24"/>
        </w:rPr>
        <w:t>类和</w:t>
      </w:r>
      <w:r>
        <w:rPr>
          <w:rFonts w:hint="eastAsia"/>
          <w:color w:val="000000"/>
          <w:sz w:val="24"/>
        </w:rPr>
        <w:t>B</w:t>
      </w:r>
      <w:r>
        <w:rPr>
          <w:rFonts w:hint="eastAsia"/>
          <w:color w:val="000000"/>
          <w:sz w:val="24"/>
        </w:rPr>
        <w:t>类两类基金份额。两类基金份额分别公布每万份基金净收益和七日年化收益率。</w:t>
      </w:r>
    </w:p>
    <w:p w:rsidR="003768CA" w:rsidRDefault="007529CB">
      <w:pPr>
        <w:spacing w:before="29" w:line="288" w:lineRule="auto"/>
        <w:ind w:firstLineChars="200" w:firstLine="480"/>
        <w:rPr>
          <w:color w:val="000000"/>
          <w:sz w:val="24"/>
        </w:rPr>
      </w:pPr>
      <w:r>
        <w:rPr>
          <w:rFonts w:hint="eastAsia"/>
          <w:color w:val="000000"/>
          <w:sz w:val="24"/>
        </w:rPr>
        <w:t>根据《中华人民共和国证券投资基金法》和《交银施罗德理财</w:t>
      </w:r>
      <w:r>
        <w:rPr>
          <w:rFonts w:hint="eastAsia"/>
          <w:color w:val="000000"/>
          <w:sz w:val="24"/>
        </w:rPr>
        <w:t>60</w:t>
      </w:r>
      <w:r>
        <w:rPr>
          <w:rFonts w:hint="eastAsia"/>
          <w:color w:val="000000"/>
          <w:sz w:val="24"/>
        </w:rPr>
        <w:t>天债券型证券投资基金基金合同》的有关规定，本基金的投资范围为具有良好流动性的金融工具，包括现金，通知存款，一年以内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的银行定期存款和大额存单，剩余期限</w:t>
      </w:r>
      <w:r>
        <w:rPr>
          <w:rFonts w:hint="eastAsia"/>
          <w:color w:val="000000"/>
          <w:sz w:val="24"/>
        </w:rPr>
        <w:t>(</w:t>
      </w:r>
      <w:r>
        <w:rPr>
          <w:rFonts w:hint="eastAsia"/>
          <w:color w:val="000000"/>
          <w:sz w:val="24"/>
        </w:rPr>
        <w:t>或回售期限</w:t>
      </w:r>
      <w:r>
        <w:rPr>
          <w:rFonts w:hint="eastAsia"/>
          <w:color w:val="000000"/>
          <w:sz w:val="24"/>
        </w:rPr>
        <w:t>)</w:t>
      </w:r>
      <w:r>
        <w:rPr>
          <w:rFonts w:hint="eastAsia"/>
          <w:color w:val="000000"/>
          <w:sz w:val="24"/>
        </w:rPr>
        <w:t>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的债券、资产支持证券和中期票据，期限在一年以内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的债券回购，期限在一年以内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的中央银行票据和短期融资券，以及法律法规或中国证监会允许本基金投资的其他固定收益类金融工具及相关衍生工具</w:t>
      </w:r>
      <w:r>
        <w:rPr>
          <w:rFonts w:hint="eastAsia"/>
          <w:color w:val="000000"/>
          <w:sz w:val="24"/>
        </w:rPr>
        <w:t>(</w:t>
      </w:r>
      <w:r>
        <w:rPr>
          <w:rFonts w:hint="eastAsia"/>
          <w:color w:val="000000"/>
          <w:sz w:val="24"/>
        </w:rPr>
        <w:t>但须符合中国证监会相关规定</w:t>
      </w:r>
      <w:r>
        <w:rPr>
          <w:rFonts w:hint="eastAsia"/>
          <w:color w:val="000000"/>
          <w:sz w:val="24"/>
        </w:rPr>
        <w:t>)</w:t>
      </w:r>
      <w:r>
        <w:rPr>
          <w:rFonts w:hint="eastAsia"/>
          <w:color w:val="000000"/>
          <w:sz w:val="24"/>
        </w:rPr>
        <w:t>。如法律法规或监管机构以后允许本基金投资其他品种，基金管理人在履行适当程序后，可以将其纳入投资范围，其投资比例遵循届时有效法律法规或相关规定。本基金的业绩比较基准为：人民币七天通知存款税后利率。</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2015</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25</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本基金的财务报表按照财政部于</w:t>
      </w:r>
      <w:r w:rsidRPr="00FE0F8A">
        <w:rPr>
          <w:rFonts w:hint="eastAsia"/>
          <w:color w:val="000000"/>
          <w:sz w:val="24"/>
        </w:rPr>
        <w:t>2006</w:t>
      </w:r>
      <w:r w:rsidRPr="00FE0F8A">
        <w:rPr>
          <w:rFonts w:hint="eastAsia"/>
          <w:color w:val="000000"/>
          <w:sz w:val="24"/>
        </w:rPr>
        <w:t>年</w:t>
      </w:r>
      <w:r w:rsidRPr="00FE0F8A">
        <w:rPr>
          <w:rFonts w:hint="eastAsia"/>
          <w:color w:val="000000"/>
          <w:sz w:val="24"/>
        </w:rPr>
        <w:t>2</w:t>
      </w:r>
      <w:r w:rsidRPr="00FE0F8A">
        <w:rPr>
          <w:rFonts w:hint="eastAsia"/>
          <w:color w:val="000000"/>
          <w:sz w:val="24"/>
        </w:rPr>
        <w:t>月</w:t>
      </w:r>
      <w:r w:rsidRPr="00FE0F8A">
        <w:rPr>
          <w:rFonts w:hint="eastAsia"/>
          <w:color w:val="000000"/>
          <w:sz w:val="24"/>
        </w:rPr>
        <w:t>15</w:t>
      </w:r>
      <w:r w:rsidRPr="00FE0F8A">
        <w:rPr>
          <w:rFonts w:hint="eastAsia"/>
          <w:color w:val="000000"/>
          <w:sz w:val="24"/>
        </w:rPr>
        <w:t>日及以后期间颁布的《企业会计准则－基本准则》、各项具体会计准则及相关规定</w:t>
      </w:r>
      <w:r w:rsidRPr="00FE0F8A">
        <w:rPr>
          <w:rFonts w:hint="eastAsia"/>
          <w:color w:val="000000"/>
          <w:sz w:val="24"/>
        </w:rPr>
        <w:t>(</w:t>
      </w:r>
      <w:r w:rsidRPr="00FE0F8A">
        <w:rPr>
          <w:rFonts w:hint="eastAsia"/>
          <w:color w:val="000000"/>
          <w:sz w:val="24"/>
        </w:rPr>
        <w:t>以下合称“企业会计准则”</w:t>
      </w:r>
      <w:r w:rsidRPr="00FE0F8A">
        <w:rPr>
          <w:rFonts w:hint="eastAsia"/>
          <w:color w:val="000000"/>
          <w:sz w:val="24"/>
        </w:rPr>
        <w:t>)</w:t>
      </w:r>
      <w:r w:rsidRPr="00FE0F8A">
        <w:rPr>
          <w:rFonts w:hint="eastAsia"/>
          <w:color w:val="000000"/>
          <w:sz w:val="24"/>
        </w:rPr>
        <w:t>、中国证监会颁布的《证券投资基金信息披露</w:t>
      </w:r>
      <w:r w:rsidRPr="00FE0F8A">
        <w:rPr>
          <w:rFonts w:hint="eastAsia"/>
          <w:color w:val="000000"/>
          <w:sz w:val="24"/>
        </w:rPr>
        <w:t>XBRL</w:t>
      </w:r>
      <w:r w:rsidRPr="00FE0F8A">
        <w:rPr>
          <w:rFonts w:hint="eastAsia"/>
          <w:color w:val="000000"/>
          <w:sz w:val="24"/>
        </w:rPr>
        <w:t>模板第</w:t>
      </w:r>
      <w:r w:rsidRPr="00FE0F8A">
        <w:rPr>
          <w:rFonts w:hint="eastAsia"/>
          <w:color w:val="000000"/>
          <w:sz w:val="24"/>
        </w:rPr>
        <w:t>3</w:t>
      </w:r>
      <w:r w:rsidRPr="00FE0F8A">
        <w:rPr>
          <w:rFonts w:hint="eastAsia"/>
          <w:color w:val="000000"/>
          <w:sz w:val="24"/>
        </w:rPr>
        <w:t>号</w:t>
      </w:r>
      <w:r w:rsidRPr="00FE0F8A">
        <w:rPr>
          <w:rFonts w:hint="eastAsia"/>
          <w:color w:val="000000"/>
          <w:sz w:val="24"/>
        </w:rPr>
        <w:t>&lt;</w:t>
      </w:r>
      <w:r w:rsidRPr="00FE0F8A">
        <w:rPr>
          <w:rFonts w:hint="eastAsia"/>
          <w:color w:val="000000"/>
          <w:sz w:val="24"/>
        </w:rPr>
        <w:t>年度报告和半年度报告</w:t>
      </w:r>
      <w:r w:rsidRPr="00FE0F8A">
        <w:rPr>
          <w:rFonts w:hint="eastAsia"/>
          <w:color w:val="000000"/>
          <w:sz w:val="24"/>
        </w:rPr>
        <w:t>&gt;</w:t>
      </w:r>
      <w:r w:rsidRPr="00FE0F8A">
        <w:rPr>
          <w:rFonts w:hint="eastAsia"/>
          <w:color w:val="000000"/>
          <w:sz w:val="24"/>
        </w:rPr>
        <w:t>》、中国证券投资基金业协会颁布的《证券投资基金会计核算业务指引》、《交银施罗德理财</w:t>
      </w:r>
      <w:r w:rsidRPr="00FE0F8A">
        <w:rPr>
          <w:rFonts w:hint="eastAsia"/>
          <w:color w:val="000000"/>
          <w:sz w:val="24"/>
        </w:rPr>
        <w:t>60</w:t>
      </w:r>
      <w:r w:rsidRPr="00FE0F8A">
        <w:rPr>
          <w:rFonts w:hint="eastAsia"/>
          <w:color w:val="000000"/>
          <w:sz w:val="24"/>
        </w:rPr>
        <w:t>天债券型证券投资基金基金合同》和在财务报表附注</w:t>
      </w:r>
      <w:r w:rsidRPr="00FE0F8A">
        <w:rPr>
          <w:rFonts w:hint="eastAsia"/>
          <w:color w:val="000000"/>
          <w:sz w:val="24"/>
        </w:rPr>
        <w:t>7.4.4</w:t>
      </w:r>
      <w:r w:rsidRPr="00FE0F8A">
        <w:rPr>
          <w:rFonts w:hint="eastAsia"/>
          <w:color w:val="000000"/>
          <w:sz w:val="24"/>
        </w:rPr>
        <w:t>所列示的中国证监会发布的有关规定及允许的基金行业实务操作编制。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w:t>
      </w:r>
      <w:r w:rsidRPr="00FE0F8A">
        <w:rPr>
          <w:rFonts w:hint="eastAsia"/>
          <w:color w:val="000000"/>
          <w:sz w:val="24"/>
        </w:rPr>
        <w:t>2014</w:t>
      </w:r>
      <w:r w:rsidRPr="00FE0F8A">
        <w:rPr>
          <w:rFonts w:hint="eastAsia"/>
          <w:color w:val="000000"/>
          <w:sz w:val="24"/>
        </w:rPr>
        <w:t>年度财务报表符合企业会计准则的要求，真实、完整地反映了本基金</w:t>
      </w:r>
      <w:r w:rsidRPr="00FE0F8A">
        <w:rPr>
          <w:rFonts w:hint="eastAsia"/>
          <w:color w:val="000000"/>
          <w:sz w:val="24"/>
        </w:rPr>
        <w:t>2014</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2014</w:t>
      </w:r>
      <w:r w:rsidRPr="00FE0F8A">
        <w:rPr>
          <w:rFonts w:hint="eastAsia"/>
          <w:color w:val="000000"/>
          <w:sz w:val="24"/>
        </w:rPr>
        <w:t>年度的经营成果和基金净值变动情况等有关信息。</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223DFB" w:rsidRPr="007529CB" w:rsidRDefault="007529CB" w:rsidP="007529CB">
      <w:pPr>
        <w:spacing w:before="29" w:line="288" w:lineRule="auto"/>
        <w:ind w:firstLineChars="200" w:firstLine="480"/>
        <w:rPr>
          <w:color w:val="000000"/>
          <w:sz w:val="24"/>
        </w:rPr>
      </w:pPr>
      <w:r>
        <w:rPr>
          <w:rFonts w:hint="eastAsia"/>
          <w:color w:val="000000"/>
          <w:sz w:val="24"/>
        </w:rPr>
        <w:t>本报告期所采用的会计政策与最近一期年度报告不一致，所采用的会计估计与最近一期年度报告一致。</w:t>
      </w:r>
    </w:p>
    <w:p w:rsidR="007529CB" w:rsidRDefault="007529CB" w:rsidP="00FE0F8A">
      <w:pPr>
        <w:spacing w:before="29" w:line="288" w:lineRule="auto"/>
        <w:ind w:firstLineChars="200" w:firstLine="480"/>
        <w:rPr>
          <w:color w:val="000000"/>
          <w:sz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财政部于</w:t>
      </w:r>
      <w:r w:rsidRPr="00FE0F8A">
        <w:rPr>
          <w:rFonts w:hint="eastAsia"/>
          <w:color w:val="000000"/>
          <w:sz w:val="24"/>
        </w:rPr>
        <w:t>2014</w:t>
      </w:r>
      <w:r w:rsidRPr="00FE0F8A">
        <w:rPr>
          <w:rFonts w:hint="eastAsia"/>
          <w:color w:val="000000"/>
          <w:sz w:val="24"/>
        </w:rPr>
        <w:t>年颁布《企业会计准则第</w:t>
      </w:r>
      <w:r w:rsidRPr="00FE0F8A">
        <w:rPr>
          <w:rFonts w:hint="eastAsia"/>
          <w:color w:val="000000"/>
          <w:sz w:val="24"/>
        </w:rPr>
        <w:t>39</w:t>
      </w:r>
      <w:r w:rsidRPr="00FE0F8A">
        <w:rPr>
          <w:rFonts w:hint="eastAsia"/>
          <w:color w:val="000000"/>
          <w:sz w:val="24"/>
        </w:rPr>
        <w:t>号——公允价值计量》、《企业会计准则第</w:t>
      </w:r>
      <w:r w:rsidRPr="00FE0F8A">
        <w:rPr>
          <w:rFonts w:hint="eastAsia"/>
          <w:color w:val="000000"/>
          <w:sz w:val="24"/>
        </w:rPr>
        <w:t>40</w:t>
      </w:r>
      <w:r w:rsidRPr="00FE0F8A">
        <w:rPr>
          <w:rFonts w:hint="eastAsia"/>
          <w:color w:val="000000"/>
          <w:sz w:val="24"/>
        </w:rPr>
        <w:t>号——合营安排》、《企业会计准则第</w:t>
      </w:r>
      <w:r w:rsidRPr="00FE0F8A">
        <w:rPr>
          <w:rFonts w:hint="eastAsia"/>
          <w:color w:val="000000"/>
          <w:sz w:val="24"/>
        </w:rPr>
        <w:t>41</w:t>
      </w:r>
      <w:r w:rsidRPr="00FE0F8A">
        <w:rPr>
          <w:rFonts w:hint="eastAsia"/>
          <w:color w:val="000000"/>
          <w:sz w:val="24"/>
        </w:rPr>
        <w:t>号——在其他主体中权益的披露》和修订后的《企业会计准则第</w:t>
      </w:r>
      <w:r w:rsidRPr="00FE0F8A">
        <w:rPr>
          <w:rFonts w:hint="eastAsia"/>
          <w:color w:val="000000"/>
          <w:sz w:val="24"/>
        </w:rPr>
        <w:t>2</w:t>
      </w:r>
      <w:r w:rsidRPr="00FE0F8A">
        <w:rPr>
          <w:rFonts w:hint="eastAsia"/>
          <w:color w:val="000000"/>
          <w:sz w:val="24"/>
        </w:rPr>
        <w:t>号——长期股权投资》、《企业会计准则第</w:t>
      </w:r>
      <w:r w:rsidRPr="00FE0F8A">
        <w:rPr>
          <w:rFonts w:hint="eastAsia"/>
          <w:color w:val="000000"/>
          <w:sz w:val="24"/>
        </w:rPr>
        <w:t>9</w:t>
      </w:r>
      <w:r w:rsidRPr="00FE0F8A">
        <w:rPr>
          <w:rFonts w:hint="eastAsia"/>
          <w:color w:val="000000"/>
          <w:sz w:val="24"/>
        </w:rPr>
        <w:t>号——职工薪酬》、《企业会计准则第</w:t>
      </w:r>
      <w:r w:rsidRPr="00FE0F8A">
        <w:rPr>
          <w:rFonts w:hint="eastAsia"/>
          <w:color w:val="000000"/>
          <w:sz w:val="24"/>
        </w:rPr>
        <w:t>30</w:t>
      </w:r>
      <w:r w:rsidRPr="00FE0F8A">
        <w:rPr>
          <w:rFonts w:hint="eastAsia"/>
          <w:color w:val="000000"/>
          <w:sz w:val="24"/>
        </w:rPr>
        <w:t>号——财务报表列报》、《企业会计准则第</w:t>
      </w:r>
      <w:r w:rsidRPr="00FE0F8A">
        <w:rPr>
          <w:rFonts w:hint="eastAsia"/>
          <w:color w:val="000000"/>
          <w:sz w:val="24"/>
        </w:rPr>
        <w:t>33</w:t>
      </w:r>
      <w:r w:rsidRPr="00FE0F8A">
        <w:rPr>
          <w:rFonts w:hint="eastAsia"/>
          <w:color w:val="000000"/>
          <w:sz w:val="24"/>
        </w:rPr>
        <w:t>号——合并财务报表》以及《企业会计准则第</w:t>
      </w:r>
      <w:r w:rsidRPr="00FE0F8A">
        <w:rPr>
          <w:rFonts w:hint="eastAsia"/>
          <w:color w:val="000000"/>
          <w:sz w:val="24"/>
        </w:rPr>
        <w:t>37</w:t>
      </w:r>
      <w:r w:rsidRPr="00FE0F8A">
        <w:rPr>
          <w:rFonts w:hint="eastAsia"/>
          <w:color w:val="000000"/>
          <w:sz w:val="24"/>
        </w:rPr>
        <w:t>号——金融工具列报》，要求除《企业会计准则第</w:t>
      </w:r>
      <w:r w:rsidRPr="00FE0F8A">
        <w:rPr>
          <w:rFonts w:hint="eastAsia"/>
          <w:color w:val="000000"/>
          <w:sz w:val="24"/>
        </w:rPr>
        <w:t>37</w:t>
      </w:r>
      <w:r w:rsidRPr="00FE0F8A">
        <w:rPr>
          <w:rFonts w:hint="eastAsia"/>
          <w:color w:val="000000"/>
          <w:sz w:val="24"/>
        </w:rPr>
        <w:t>号——金融工具列报》自</w:t>
      </w:r>
      <w:r w:rsidRPr="00FE0F8A">
        <w:rPr>
          <w:rFonts w:hint="eastAsia"/>
          <w:color w:val="000000"/>
          <w:sz w:val="24"/>
        </w:rPr>
        <w:t>2014</w:t>
      </w:r>
      <w:r w:rsidRPr="00FE0F8A">
        <w:rPr>
          <w:rFonts w:hint="eastAsia"/>
          <w:color w:val="000000"/>
          <w:sz w:val="24"/>
        </w:rPr>
        <w:t>年度财务报表起施行外，其他准则自</w:t>
      </w:r>
      <w:r w:rsidRPr="00FE0F8A">
        <w:rPr>
          <w:rFonts w:hint="eastAsia"/>
          <w:color w:val="000000"/>
          <w:sz w:val="24"/>
        </w:rPr>
        <w:t>2014</w:t>
      </w:r>
      <w:r w:rsidRPr="00FE0F8A">
        <w:rPr>
          <w:rFonts w:hint="eastAsia"/>
          <w:color w:val="000000"/>
          <w:sz w:val="24"/>
        </w:rPr>
        <w:t>年</w:t>
      </w:r>
      <w:r w:rsidRPr="00FE0F8A">
        <w:rPr>
          <w:rFonts w:hint="eastAsia"/>
          <w:color w:val="000000"/>
          <w:sz w:val="24"/>
        </w:rPr>
        <w:t>7</w:t>
      </w:r>
      <w:r w:rsidRPr="00FE0F8A">
        <w:rPr>
          <w:rFonts w:hint="eastAsia"/>
          <w:color w:val="000000"/>
          <w:sz w:val="24"/>
        </w:rPr>
        <w:t>月</w:t>
      </w:r>
      <w:r w:rsidRPr="00FE0F8A">
        <w:rPr>
          <w:rFonts w:hint="eastAsia"/>
          <w:color w:val="000000"/>
          <w:sz w:val="24"/>
        </w:rPr>
        <w:t>1</w:t>
      </w:r>
      <w:r w:rsidRPr="00FE0F8A">
        <w:rPr>
          <w:rFonts w:hint="eastAsia"/>
          <w:color w:val="000000"/>
          <w:sz w:val="24"/>
        </w:rPr>
        <w:t>日起施行。上述准则对本基金本报告期无重大影响。</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3768CA" w:rsidRDefault="007529CB">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[2002]128</w:t>
      </w:r>
      <w:r>
        <w:rPr>
          <w:rFonts w:hint="eastAsia"/>
          <w:color w:val="000000"/>
          <w:sz w:val="24"/>
        </w:rPr>
        <w:t>号《关于开放式证券投资基金有关税收问题的通知》、财税</w:t>
      </w:r>
      <w:r>
        <w:rPr>
          <w:rFonts w:hint="eastAsia"/>
          <w:color w:val="000000"/>
          <w:sz w:val="24"/>
        </w:rPr>
        <w:t>[2008]1</w:t>
      </w:r>
      <w:r>
        <w:rPr>
          <w:rFonts w:hint="eastAsia"/>
          <w:color w:val="000000"/>
          <w:sz w:val="24"/>
        </w:rPr>
        <w:t>号《关于企业所得税若干优惠政策的通知》及其他相关财税法规和实务操作，主要税项列示如下：</w:t>
      </w:r>
    </w:p>
    <w:p w:rsidR="003768CA" w:rsidRDefault="007529CB">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以发行基金方式募集资金不属于营业税征收范围，不征收营业税。基金买卖债券的差价收入不予征收营业税。</w:t>
      </w:r>
    </w:p>
    <w:p w:rsidR="003768CA" w:rsidRDefault="007529CB">
      <w:pPr>
        <w:spacing w:before="29" w:line="288" w:lineRule="auto"/>
        <w:ind w:firstLineChars="200" w:firstLine="480"/>
        <w:rPr>
          <w:color w:val="000000"/>
          <w:sz w:val="24"/>
        </w:rPr>
      </w:pPr>
      <w:r>
        <w:rPr>
          <w:rFonts w:hint="eastAsia"/>
          <w:color w:val="000000"/>
          <w:sz w:val="24"/>
        </w:rPr>
        <w:t xml:space="preserve">(2) </w:t>
      </w:r>
      <w:r>
        <w:rPr>
          <w:rFonts w:hint="eastAsia"/>
          <w:color w:val="000000"/>
          <w:sz w:val="24"/>
        </w:rPr>
        <w:t>对基金从证券市场中取得的收入，包括买卖债券的差价收入，债券的利息收入及其他收入，暂不征收企业所得税。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 xml:space="preserve">(3) </w:t>
      </w:r>
      <w:r w:rsidRPr="00FE0F8A">
        <w:rPr>
          <w:rFonts w:hint="eastAsia"/>
          <w:color w:val="000000"/>
          <w:sz w:val="24"/>
        </w:rPr>
        <w:t>对基金取得的企业债券利息收入，应由发行债券的企业在向基金支付利息时代扣代缴</w:t>
      </w:r>
      <w:r w:rsidRPr="00FE0F8A">
        <w:rPr>
          <w:rFonts w:hint="eastAsia"/>
          <w:color w:val="000000"/>
          <w:sz w:val="24"/>
        </w:rPr>
        <w:t>20%</w:t>
      </w:r>
      <w:r w:rsidRPr="00FE0F8A">
        <w:rPr>
          <w:rFonts w:hint="eastAsia"/>
          <w:color w:val="000000"/>
          <w:sz w:val="24"/>
        </w:rPr>
        <w:t>的个人所得税。</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3768CA">
        <w:tc>
          <w:tcPr>
            <w:tcW w:w="4499" w:type="dxa"/>
            <w:vAlign w:val="center"/>
          </w:tcPr>
          <w:p w:rsidR="003768CA" w:rsidRDefault="007529CB">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3768CA" w:rsidRDefault="007529CB">
            <w:pPr>
              <w:jc w:val="left"/>
            </w:pPr>
            <w:r>
              <w:rPr>
                <w:rFonts w:hint="eastAsia"/>
                <w:color w:val="000000"/>
                <w:sz w:val="24"/>
              </w:rPr>
              <w:t>基金管理人、基金销售机构</w:t>
            </w:r>
          </w:p>
        </w:tc>
      </w:tr>
      <w:tr w:rsidR="003768CA">
        <w:tc>
          <w:tcPr>
            <w:tcW w:w="4499" w:type="dxa"/>
            <w:vAlign w:val="center"/>
          </w:tcPr>
          <w:p w:rsidR="003768CA" w:rsidRDefault="007529CB">
            <w:pPr>
              <w:jc w:val="left"/>
            </w:pPr>
            <w:r>
              <w:rPr>
                <w:rFonts w:hint="eastAsia"/>
                <w:color w:val="000000"/>
                <w:sz w:val="24"/>
              </w:rPr>
              <w:t>中国建设银行股份有限公司</w:t>
            </w:r>
            <w:r>
              <w:rPr>
                <w:rFonts w:hint="eastAsia"/>
                <w:color w:val="000000"/>
                <w:sz w:val="24"/>
              </w:rPr>
              <w:t>(</w:t>
            </w:r>
            <w:r>
              <w:rPr>
                <w:rFonts w:hint="eastAsia"/>
                <w:color w:val="000000"/>
                <w:sz w:val="24"/>
              </w:rPr>
              <w:t>“中国建设银行”</w:t>
            </w:r>
            <w:r>
              <w:rPr>
                <w:rFonts w:hint="eastAsia"/>
                <w:color w:val="000000"/>
                <w:sz w:val="24"/>
              </w:rPr>
              <w:t>)</w:t>
            </w:r>
          </w:p>
        </w:tc>
        <w:tc>
          <w:tcPr>
            <w:tcW w:w="4499" w:type="dxa"/>
            <w:vAlign w:val="center"/>
          </w:tcPr>
          <w:p w:rsidR="003768CA" w:rsidRDefault="007529CB">
            <w:pPr>
              <w:jc w:val="left"/>
            </w:pPr>
            <w:r>
              <w:rPr>
                <w:rFonts w:hint="eastAsia"/>
                <w:color w:val="000000"/>
                <w:sz w:val="24"/>
              </w:rPr>
              <w:t>基金托管人、基金销售机构</w:t>
            </w:r>
          </w:p>
        </w:tc>
      </w:tr>
      <w:tr w:rsidR="003768CA">
        <w:tc>
          <w:tcPr>
            <w:tcW w:w="4499" w:type="dxa"/>
            <w:vAlign w:val="center"/>
          </w:tcPr>
          <w:p w:rsidR="003768CA" w:rsidRDefault="007529CB">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3768CA" w:rsidRDefault="007529CB">
            <w:pPr>
              <w:jc w:val="left"/>
            </w:pPr>
            <w:r>
              <w:rPr>
                <w:rFonts w:hint="eastAsia"/>
                <w:color w:val="000000"/>
                <w:sz w:val="24"/>
              </w:rPr>
              <w:t>基金管理人的股东、基金销售机构</w:t>
            </w:r>
          </w:p>
        </w:tc>
      </w:tr>
      <w:tr w:rsidR="003768CA">
        <w:tc>
          <w:tcPr>
            <w:tcW w:w="4499" w:type="dxa"/>
            <w:vAlign w:val="center"/>
          </w:tcPr>
          <w:p w:rsidR="003768CA" w:rsidRDefault="007529CB">
            <w:pPr>
              <w:jc w:val="left"/>
            </w:pPr>
            <w:r>
              <w:rPr>
                <w:rFonts w:hint="eastAsia"/>
                <w:color w:val="000000"/>
                <w:sz w:val="24"/>
              </w:rPr>
              <w:t>施罗德投资管理有限公司</w:t>
            </w:r>
          </w:p>
        </w:tc>
        <w:tc>
          <w:tcPr>
            <w:tcW w:w="4499" w:type="dxa"/>
            <w:vAlign w:val="center"/>
          </w:tcPr>
          <w:p w:rsidR="003768CA" w:rsidRDefault="007529CB">
            <w:pPr>
              <w:jc w:val="left"/>
            </w:pPr>
            <w:r>
              <w:rPr>
                <w:rFonts w:hint="eastAsia"/>
                <w:color w:val="000000"/>
                <w:sz w:val="24"/>
              </w:rPr>
              <w:t>基金管理人的股东</w:t>
            </w:r>
          </w:p>
        </w:tc>
      </w:tr>
      <w:tr w:rsidR="003768CA">
        <w:tc>
          <w:tcPr>
            <w:tcW w:w="4499" w:type="dxa"/>
            <w:vAlign w:val="center"/>
          </w:tcPr>
          <w:p w:rsidR="003768CA" w:rsidRDefault="007529CB">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3768CA" w:rsidRDefault="007529CB">
            <w:pPr>
              <w:jc w:val="left"/>
            </w:pPr>
            <w:r>
              <w:rPr>
                <w:rFonts w:hint="eastAsia"/>
                <w:color w:val="000000"/>
                <w:sz w:val="24"/>
              </w:rPr>
              <w:t>基金管理人的股东</w:t>
            </w:r>
          </w:p>
        </w:tc>
      </w:tr>
      <w:tr w:rsidR="003768CA">
        <w:tc>
          <w:tcPr>
            <w:tcW w:w="4499" w:type="dxa"/>
            <w:vAlign w:val="center"/>
          </w:tcPr>
          <w:p w:rsidR="003768CA" w:rsidRDefault="007529CB">
            <w:pPr>
              <w:jc w:val="left"/>
            </w:pPr>
            <w:r>
              <w:rPr>
                <w:rFonts w:hint="eastAsia"/>
                <w:color w:val="000000"/>
                <w:sz w:val="24"/>
              </w:rPr>
              <w:t>交银施罗德资产管理有限公司</w:t>
            </w:r>
          </w:p>
        </w:tc>
        <w:tc>
          <w:tcPr>
            <w:tcW w:w="4499" w:type="dxa"/>
            <w:vAlign w:val="center"/>
          </w:tcPr>
          <w:p w:rsidR="003768CA" w:rsidRDefault="007529CB">
            <w:pPr>
              <w:jc w:val="left"/>
            </w:pPr>
            <w:r>
              <w:rPr>
                <w:rFonts w:hint="eastAsia"/>
                <w:color w:val="000000"/>
                <w:sz w:val="24"/>
              </w:rPr>
              <w:t>基金管理人的子公司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r w:rsidRPr="00A6019D">
        <w:rPr>
          <w:rFonts w:hint="eastAsia"/>
          <w:color w:val="000000"/>
          <w:sz w:val="24"/>
        </w:rPr>
        <w:t xml:space="preserve"> </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3</w:t>
            </w:r>
            <w:r w:rsidRPr="00251664">
              <w:rPr>
                <w:rFonts w:hint="eastAsia"/>
                <w:bCs/>
                <w:color w:val="000000"/>
                <w:sz w:val="24"/>
              </w:rPr>
              <w:t>月</w:t>
            </w:r>
            <w:r w:rsidRPr="00251664">
              <w:rPr>
                <w:rFonts w:hint="eastAsia"/>
                <w:bCs/>
                <w:color w:val="000000"/>
                <w:sz w:val="24"/>
              </w:rPr>
              <w:t>13</w:t>
            </w:r>
            <w:r w:rsidRPr="00251664">
              <w:rPr>
                <w:rFonts w:hint="eastAsia"/>
                <w:bCs/>
                <w:color w:val="000000"/>
                <w:sz w:val="24"/>
              </w:rPr>
              <w:t>日（基金合同生效日）至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144,632.31</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594,322.70</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19,538.94</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222,140.87</w:t>
            </w:r>
          </w:p>
        </w:tc>
      </w:tr>
    </w:tbl>
    <w:p w:rsidR="003768CA" w:rsidRDefault="007529CB">
      <w:pPr>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0.27%</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日管理人报酬＝前一日基金资产净值×</w:t>
      </w:r>
      <w:r w:rsidRPr="005124D4">
        <w:rPr>
          <w:rFonts w:hint="eastAsia"/>
          <w:kern w:val="0"/>
          <w:sz w:val="24"/>
        </w:rPr>
        <w:t>0.27%</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2014</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3</w:t>
            </w:r>
            <w:r w:rsidRPr="00251664">
              <w:rPr>
                <w:rFonts w:hint="eastAsia"/>
                <w:bCs/>
                <w:color w:val="000000"/>
                <w:sz w:val="24"/>
              </w:rPr>
              <w:t>月</w:t>
            </w:r>
            <w:r w:rsidRPr="00251664">
              <w:rPr>
                <w:rFonts w:hint="eastAsia"/>
                <w:bCs/>
                <w:color w:val="000000"/>
                <w:sz w:val="24"/>
              </w:rPr>
              <w:t>13</w:t>
            </w:r>
            <w:r w:rsidRPr="00251664">
              <w:rPr>
                <w:rFonts w:hint="eastAsia"/>
                <w:bCs/>
                <w:color w:val="000000"/>
                <w:sz w:val="24"/>
              </w:rPr>
              <w:t>日（基金合同生效日）至</w:t>
            </w:r>
            <w:r w:rsidRPr="00251664">
              <w:rPr>
                <w:rFonts w:hint="eastAsia"/>
                <w:bCs/>
                <w:color w:val="000000"/>
                <w:sz w:val="24"/>
              </w:rPr>
              <w:t>2013</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43,700.49</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176,449.18</w:t>
            </w:r>
          </w:p>
        </w:tc>
      </w:tr>
    </w:tbl>
    <w:p w:rsidR="003768CA" w:rsidRDefault="007529CB">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日托管费＝前一日基金资产净值×</w:t>
      </w:r>
      <w:r w:rsidRPr="005124D4">
        <w:rPr>
          <w:rFonts w:hint="eastAsia"/>
          <w:kern w:val="0"/>
          <w:sz w:val="24"/>
        </w:rPr>
        <w:t>0.08%</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本期</w:t>
            </w:r>
          </w:p>
          <w:p w:rsidR="00296268" w:rsidRPr="008D3C85" w:rsidRDefault="00296268" w:rsidP="00A311D3">
            <w:pPr>
              <w:autoSpaceDE w:val="0"/>
              <w:autoSpaceDN w:val="0"/>
              <w:spacing w:before="29" w:line="288" w:lineRule="auto"/>
              <w:jc w:val="center"/>
              <w:textAlignment w:val="bottom"/>
              <w:rPr>
                <w:sz w:val="24"/>
              </w:rPr>
            </w:pPr>
            <w:r w:rsidRPr="008D3C85">
              <w:rPr>
                <w:sz w:val="24"/>
              </w:rPr>
              <w:t>2014</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2014</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交银理财</w:t>
            </w:r>
            <w:r w:rsidRPr="008D3C85">
              <w:rPr>
                <w:sz w:val="24"/>
              </w:rPr>
              <w:t>60</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交银理财</w:t>
            </w:r>
            <w:r w:rsidRPr="008D3C85">
              <w:rPr>
                <w:sz w:val="24"/>
              </w:rPr>
              <w:t>60</w:t>
            </w:r>
            <w:r w:rsidRPr="008D3C85">
              <w:rPr>
                <w:sz w:val="24"/>
              </w:rPr>
              <w:t>天债券</w:t>
            </w:r>
            <w:r w:rsidRPr="008D3C85">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ind w:leftChars="-51" w:left="-107" w:rightChars="-51" w:right="-107"/>
              <w:jc w:val="center"/>
              <w:rPr>
                <w:sz w:val="24"/>
              </w:rPr>
            </w:pPr>
            <w:r w:rsidRPr="008D3C85">
              <w:rPr>
                <w:sz w:val="24"/>
              </w:rPr>
              <w:t>合计</w:t>
            </w:r>
          </w:p>
        </w:tc>
      </w:tr>
      <w:tr w:rsidR="003768CA">
        <w:tc>
          <w:tcPr>
            <w:tcW w:w="2000" w:type="dxa"/>
            <w:vAlign w:val="center"/>
          </w:tcPr>
          <w:p w:rsidR="003768CA" w:rsidRDefault="007529CB">
            <w:pPr>
              <w:jc w:val="left"/>
            </w:pPr>
            <w:r>
              <w:rPr>
                <w:sz w:val="24"/>
              </w:rPr>
              <w:t>交通银行</w:t>
            </w:r>
          </w:p>
        </w:tc>
        <w:tc>
          <w:tcPr>
            <w:tcW w:w="1766" w:type="dxa"/>
            <w:vAlign w:val="center"/>
          </w:tcPr>
          <w:p w:rsidR="003768CA" w:rsidRDefault="007529CB">
            <w:pPr>
              <w:jc w:val="right"/>
            </w:pPr>
            <w:r>
              <w:rPr>
                <w:sz w:val="24"/>
              </w:rPr>
              <w:t>23,715.34</w:t>
            </w:r>
          </w:p>
        </w:tc>
        <w:tc>
          <w:tcPr>
            <w:tcW w:w="2162" w:type="dxa"/>
            <w:vAlign w:val="center"/>
          </w:tcPr>
          <w:p w:rsidR="003768CA" w:rsidRDefault="007529CB">
            <w:pPr>
              <w:jc w:val="right"/>
            </w:pPr>
            <w:r>
              <w:rPr>
                <w:sz w:val="24"/>
              </w:rPr>
              <w:t>-</w:t>
            </w:r>
          </w:p>
        </w:tc>
        <w:tc>
          <w:tcPr>
            <w:tcW w:w="3070" w:type="dxa"/>
            <w:vAlign w:val="center"/>
          </w:tcPr>
          <w:p w:rsidR="003768CA" w:rsidRDefault="007529CB">
            <w:pPr>
              <w:jc w:val="right"/>
            </w:pPr>
            <w:r>
              <w:rPr>
                <w:sz w:val="24"/>
              </w:rPr>
              <w:t>23,715.34</w:t>
            </w:r>
          </w:p>
        </w:tc>
      </w:tr>
      <w:tr w:rsidR="003768CA">
        <w:tc>
          <w:tcPr>
            <w:tcW w:w="2000" w:type="dxa"/>
            <w:vAlign w:val="center"/>
          </w:tcPr>
          <w:p w:rsidR="003768CA" w:rsidRDefault="007529CB">
            <w:pPr>
              <w:jc w:val="left"/>
            </w:pPr>
            <w:r>
              <w:rPr>
                <w:sz w:val="24"/>
              </w:rPr>
              <w:t>中国建设银行</w:t>
            </w:r>
          </w:p>
        </w:tc>
        <w:tc>
          <w:tcPr>
            <w:tcW w:w="1766" w:type="dxa"/>
            <w:vAlign w:val="center"/>
          </w:tcPr>
          <w:p w:rsidR="003768CA" w:rsidRDefault="007529CB">
            <w:pPr>
              <w:jc w:val="right"/>
            </w:pPr>
            <w:r>
              <w:rPr>
                <w:sz w:val="24"/>
              </w:rPr>
              <w:t>26,190.35</w:t>
            </w:r>
          </w:p>
        </w:tc>
        <w:tc>
          <w:tcPr>
            <w:tcW w:w="2162" w:type="dxa"/>
            <w:vAlign w:val="center"/>
          </w:tcPr>
          <w:p w:rsidR="003768CA" w:rsidRDefault="007529CB">
            <w:pPr>
              <w:jc w:val="right"/>
            </w:pPr>
            <w:r>
              <w:rPr>
                <w:sz w:val="24"/>
              </w:rPr>
              <w:t>-</w:t>
            </w:r>
          </w:p>
        </w:tc>
        <w:tc>
          <w:tcPr>
            <w:tcW w:w="3070" w:type="dxa"/>
            <w:vAlign w:val="center"/>
          </w:tcPr>
          <w:p w:rsidR="003768CA" w:rsidRDefault="007529CB">
            <w:pPr>
              <w:jc w:val="right"/>
            </w:pPr>
            <w:r>
              <w:rPr>
                <w:sz w:val="24"/>
              </w:rPr>
              <w:t>26,190.35</w:t>
            </w:r>
          </w:p>
        </w:tc>
      </w:tr>
      <w:tr w:rsidR="003768CA">
        <w:tc>
          <w:tcPr>
            <w:tcW w:w="2000" w:type="dxa"/>
            <w:vAlign w:val="center"/>
          </w:tcPr>
          <w:p w:rsidR="003768CA" w:rsidRDefault="007529CB">
            <w:pPr>
              <w:jc w:val="left"/>
            </w:pPr>
            <w:r>
              <w:rPr>
                <w:sz w:val="24"/>
              </w:rPr>
              <w:t>交银施罗德基金公司</w:t>
            </w:r>
          </w:p>
        </w:tc>
        <w:tc>
          <w:tcPr>
            <w:tcW w:w="1766" w:type="dxa"/>
            <w:vAlign w:val="center"/>
          </w:tcPr>
          <w:p w:rsidR="003768CA" w:rsidRDefault="007529CB">
            <w:pPr>
              <w:jc w:val="right"/>
            </w:pPr>
            <w:r>
              <w:rPr>
                <w:sz w:val="24"/>
              </w:rPr>
              <w:t>4,220.42</w:t>
            </w:r>
          </w:p>
        </w:tc>
        <w:tc>
          <w:tcPr>
            <w:tcW w:w="2162" w:type="dxa"/>
            <w:vAlign w:val="center"/>
          </w:tcPr>
          <w:p w:rsidR="003768CA" w:rsidRDefault="007529CB">
            <w:pPr>
              <w:jc w:val="right"/>
            </w:pPr>
            <w:r>
              <w:rPr>
                <w:sz w:val="24"/>
              </w:rPr>
              <w:t>3,614.08</w:t>
            </w:r>
          </w:p>
        </w:tc>
        <w:tc>
          <w:tcPr>
            <w:tcW w:w="3070" w:type="dxa"/>
            <w:vAlign w:val="center"/>
          </w:tcPr>
          <w:p w:rsidR="003768CA" w:rsidRDefault="007529CB">
            <w:pPr>
              <w:jc w:val="right"/>
            </w:pPr>
            <w:r>
              <w:rPr>
                <w:sz w:val="24"/>
              </w:rPr>
              <w:t>7,834.50</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54,126.11</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3,614.08</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57,740.19</w:t>
            </w:r>
          </w:p>
        </w:tc>
      </w:tr>
      <w:tr w:rsidR="00296268" w:rsidRPr="00634FF6" w:rsidTr="00A311D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A311D3">
            <w:pPr>
              <w:autoSpaceDE w:val="0"/>
              <w:autoSpaceDN w:val="0"/>
              <w:spacing w:before="29" w:line="288" w:lineRule="auto"/>
              <w:jc w:val="center"/>
              <w:textAlignment w:val="bottom"/>
              <w:rPr>
                <w:sz w:val="24"/>
              </w:rPr>
            </w:pPr>
            <w:r w:rsidRPr="008D3C85">
              <w:rPr>
                <w:sz w:val="24"/>
              </w:rPr>
              <w:t>2013</w:t>
            </w:r>
            <w:r w:rsidRPr="008D3C85">
              <w:rPr>
                <w:sz w:val="24"/>
              </w:rPr>
              <w:t>年</w:t>
            </w:r>
            <w:r w:rsidRPr="008D3C85">
              <w:rPr>
                <w:sz w:val="24"/>
              </w:rPr>
              <w:t>3</w:t>
            </w:r>
            <w:r w:rsidRPr="008D3C85">
              <w:rPr>
                <w:sz w:val="24"/>
              </w:rPr>
              <w:t>月</w:t>
            </w:r>
            <w:r w:rsidRPr="008D3C85">
              <w:rPr>
                <w:sz w:val="24"/>
              </w:rPr>
              <w:t>13</w:t>
            </w:r>
            <w:r w:rsidRPr="008D3C85">
              <w:rPr>
                <w:sz w:val="24"/>
              </w:rPr>
              <w:t>日（基金合同生效日）至</w:t>
            </w:r>
            <w:r w:rsidRPr="008D3C85">
              <w:rPr>
                <w:sz w:val="24"/>
              </w:rPr>
              <w:t>2013</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A311D3">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A311D3">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60</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60</w:t>
            </w:r>
            <w:r w:rsidRPr="008D3C85">
              <w:rPr>
                <w:sz w:val="24"/>
              </w:rPr>
              <w:t>天债券</w:t>
            </w:r>
            <w:r w:rsidRPr="008D3C85">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A311D3">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3768CA">
        <w:tc>
          <w:tcPr>
            <w:tcW w:w="2000" w:type="dxa"/>
            <w:vAlign w:val="center"/>
          </w:tcPr>
          <w:p w:rsidR="003768CA" w:rsidRDefault="007529CB">
            <w:pPr>
              <w:jc w:val="left"/>
            </w:pPr>
            <w:r>
              <w:rPr>
                <w:sz w:val="24"/>
              </w:rPr>
              <w:t>交通银行</w:t>
            </w:r>
          </w:p>
        </w:tc>
        <w:tc>
          <w:tcPr>
            <w:tcW w:w="1766" w:type="dxa"/>
            <w:vAlign w:val="center"/>
          </w:tcPr>
          <w:p w:rsidR="003768CA" w:rsidRDefault="007529CB">
            <w:pPr>
              <w:jc w:val="right"/>
            </w:pPr>
            <w:r>
              <w:rPr>
                <w:sz w:val="24"/>
              </w:rPr>
              <w:t>214,227.62</w:t>
            </w:r>
          </w:p>
        </w:tc>
        <w:tc>
          <w:tcPr>
            <w:tcW w:w="2162" w:type="dxa"/>
            <w:vAlign w:val="center"/>
          </w:tcPr>
          <w:p w:rsidR="003768CA" w:rsidRDefault="007529CB">
            <w:pPr>
              <w:jc w:val="right"/>
            </w:pPr>
            <w:r>
              <w:rPr>
                <w:sz w:val="24"/>
              </w:rPr>
              <w:t>339.76</w:t>
            </w:r>
          </w:p>
        </w:tc>
        <w:tc>
          <w:tcPr>
            <w:tcW w:w="3070" w:type="dxa"/>
            <w:vAlign w:val="center"/>
          </w:tcPr>
          <w:p w:rsidR="003768CA" w:rsidRDefault="007529CB">
            <w:pPr>
              <w:jc w:val="right"/>
            </w:pPr>
            <w:r>
              <w:rPr>
                <w:sz w:val="24"/>
              </w:rPr>
              <w:t>214,567.38</w:t>
            </w:r>
          </w:p>
        </w:tc>
      </w:tr>
      <w:tr w:rsidR="003768CA">
        <w:tc>
          <w:tcPr>
            <w:tcW w:w="2000" w:type="dxa"/>
            <w:vAlign w:val="center"/>
          </w:tcPr>
          <w:p w:rsidR="003768CA" w:rsidRDefault="007529CB">
            <w:pPr>
              <w:jc w:val="left"/>
            </w:pPr>
            <w:r>
              <w:rPr>
                <w:sz w:val="24"/>
              </w:rPr>
              <w:t>中国建设银行</w:t>
            </w:r>
          </w:p>
        </w:tc>
        <w:tc>
          <w:tcPr>
            <w:tcW w:w="1766" w:type="dxa"/>
            <w:vAlign w:val="center"/>
          </w:tcPr>
          <w:p w:rsidR="003768CA" w:rsidRDefault="007529CB">
            <w:pPr>
              <w:jc w:val="right"/>
            </w:pPr>
            <w:r>
              <w:rPr>
                <w:sz w:val="24"/>
              </w:rPr>
              <w:t>336,215.88</w:t>
            </w:r>
          </w:p>
        </w:tc>
        <w:tc>
          <w:tcPr>
            <w:tcW w:w="2162" w:type="dxa"/>
            <w:vAlign w:val="center"/>
          </w:tcPr>
          <w:p w:rsidR="003768CA" w:rsidRDefault="007529CB">
            <w:pPr>
              <w:jc w:val="right"/>
            </w:pPr>
            <w:r>
              <w:rPr>
                <w:sz w:val="24"/>
              </w:rPr>
              <w:t>511.50</w:t>
            </w:r>
          </w:p>
        </w:tc>
        <w:tc>
          <w:tcPr>
            <w:tcW w:w="3070" w:type="dxa"/>
            <w:vAlign w:val="center"/>
          </w:tcPr>
          <w:p w:rsidR="003768CA" w:rsidRDefault="007529CB">
            <w:pPr>
              <w:jc w:val="right"/>
            </w:pPr>
            <w:r>
              <w:rPr>
                <w:sz w:val="24"/>
              </w:rPr>
              <w:t>336,727.38</w:t>
            </w:r>
          </w:p>
        </w:tc>
      </w:tr>
      <w:tr w:rsidR="003768CA">
        <w:tc>
          <w:tcPr>
            <w:tcW w:w="2000" w:type="dxa"/>
            <w:vAlign w:val="center"/>
          </w:tcPr>
          <w:p w:rsidR="003768CA" w:rsidRDefault="007529CB">
            <w:pPr>
              <w:jc w:val="left"/>
            </w:pPr>
            <w:r>
              <w:rPr>
                <w:sz w:val="24"/>
              </w:rPr>
              <w:t>交银施罗德基金公司</w:t>
            </w:r>
          </w:p>
        </w:tc>
        <w:tc>
          <w:tcPr>
            <w:tcW w:w="1766" w:type="dxa"/>
            <w:vAlign w:val="center"/>
          </w:tcPr>
          <w:p w:rsidR="003768CA" w:rsidRDefault="007529CB">
            <w:pPr>
              <w:jc w:val="right"/>
            </w:pPr>
            <w:r>
              <w:rPr>
                <w:sz w:val="24"/>
              </w:rPr>
              <w:t>2,051.98</w:t>
            </w:r>
          </w:p>
        </w:tc>
        <w:tc>
          <w:tcPr>
            <w:tcW w:w="2162" w:type="dxa"/>
            <w:vAlign w:val="center"/>
          </w:tcPr>
          <w:p w:rsidR="003768CA" w:rsidRDefault="007529CB">
            <w:pPr>
              <w:jc w:val="right"/>
            </w:pPr>
            <w:r>
              <w:rPr>
                <w:sz w:val="24"/>
              </w:rPr>
              <w:t>2,639.60</w:t>
            </w:r>
          </w:p>
        </w:tc>
        <w:tc>
          <w:tcPr>
            <w:tcW w:w="3070" w:type="dxa"/>
            <w:vAlign w:val="center"/>
          </w:tcPr>
          <w:p w:rsidR="003768CA" w:rsidRDefault="007529CB">
            <w:pPr>
              <w:jc w:val="right"/>
            </w:pPr>
            <w:r>
              <w:rPr>
                <w:sz w:val="24"/>
              </w:rPr>
              <w:t>4,691.58</w:t>
            </w:r>
          </w:p>
        </w:tc>
      </w:tr>
      <w:tr w:rsidR="00296268" w:rsidRPr="00634FF6" w:rsidTr="00A311D3">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552,495.48</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3,490.86</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A311D3">
            <w:pPr>
              <w:spacing w:before="29" w:line="288" w:lineRule="auto"/>
              <w:jc w:val="center"/>
              <w:rPr>
                <w:sz w:val="24"/>
              </w:rPr>
            </w:pPr>
            <w:r w:rsidRPr="001F38DC">
              <w:rPr>
                <w:sz w:val="24"/>
              </w:rPr>
              <w:t>555,986.34</w:t>
            </w:r>
          </w:p>
        </w:tc>
      </w:tr>
    </w:tbl>
    <w:p w:rsidR="003768CA" w:rsidRDefault="007529CB">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3768CA" w:rsidRDefault="007529CB">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296268" w:rsidRPr="006159B2" w:rsidRDefault="00296268" w:rsidP="00296268">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5124D4" w:rsidRDefault="00F601C7" w:rsidP="005124D4">
      <w:pPr>
        <w:spacing w:before="29" w:line="288" w:lineRule="auto"/>
        <w:jc w:val="left"/>
        <w:rPr>
          <w:kern w:val="0"/>
          <w:sz w:val="24"/>
        </w:rPr>
      </w:pPr>
      <w:r w:rsidRPr="005124D4">
        <w:rPr>
          <w:kern w:val="0"/>
          <w:sz w:val="24"/>
        </w:rPr>
        <w:t>本基金本报告期内及上年度可比期间未与关联方进行银行间同业市场的债券</w:t>
      </w:r>
      <w:r w:rsidRPr="005124D4">
        <w:rPr>
          <w:kern w:val="0"/>
          <w:sz w:val="24"/>
        </w:rPr>
        <w:t>(</w:t>
      </w:r>
      <w:r w:rsidRPr="005124D4">
        <w:rPr>
          <w:kern w:val="0"/>
          <w:sz w:val="24"/>
        </w:rPr>
        <w:t>含回购</w:t>
      </w:r>
      <w:r w:rsidRPr="005124D4">
        <w:rPr>
          <w:kern w:val="0"/>
          <w:sz w:val="24"/>
        </w:rPr>
        <w:t>)</w:t>
      </w:r>
      <w:r w:rsidRPr="005124D4">
        <w:rPr>
          <w:kern w:val="0"/>
          <w:sz w:val="24"/>
        </w:rPr>
        <w:t>交易。</w:t>
      </w:r>
    </w:p>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Default="006D141C" w:rsidP="005124D4">
      <w:pPr>
        <w:spacing w:before="29" w:line="288" w:lineRule="auto"/>
        <w:jc w:val="left"/>
        <w:rPr>
          <w:kern w:val="0"/>
          <w:sz w:val="24"/>
        </w:rPr>
      </w:pPr>
      <w:r w:rsidRPr="005124D4">
        <w:rPr>
          <w:rFonts w:hint="eastAsia"/>
          <w:kern w:val="0"/>
          <w:sz w:val="24"/>
        </w:rPr>
        <w:t>本基金本报告期内及上年度可比期间未发生基金管理人运用固有资金投资本基金的情况。</w:t>
      </w:r>
    </w:p>
    <w:p w:rsidR="007529CB" w:rsidRPr="005124D4" w:rsidRDefault="007529C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F35CA1" w:rsidRPr="005124D4" w:rsidRDefault="00F35CA1" w:rsidP="005124D4">
      <w:pPr>
        <w:spacing w:before="29" w:line="288" w:lineRule="auto"/>
        <w:jc w:val="left"/>
        <w:rPr>
          <w:kern w:val="0"/>
          <w:sz w:val="24"/>
        </w:rPr>
      </w:pPr>
      <w:r w:rsidRPr="005124D4">
        <w:rPr>
          <w:rFonts w:hint="eastAsia"/>
          <w:kern w:val="0"/>
          <w:sz w:val="24"/>
        </w:rPr>
        <w:t>本报告期末及上年度末除基金管理人之外的其他关联方未持有本基金。</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2014</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3</w:t>
            </w:r>
            <w:r w:rsidRPr="00795DF9">
              <w:rPr>
                <w:rFonts w:hint="eastAsia"/>
                <w:bCs/>
                <w:color w:val="000000"/>
                <w:szCs w:val="21"/>
              </w:rPr>
              <w:t>月</w:t>
            </w:r>
            <w:r w:rsidRPr="00795DF9">
              <w:rPr>
                <w:rFonts w:hint="eastAsia"/>
                <w:bCs/>
                <w:color w:val="000000"/>
                <w:szCs w:val="21"/>
              </w:rPr>
              <w:t>13</w:t>
            </w:r>
            <w:r w:rsidRPr="00795DF9">
              <w:rPr>
                <w:rFonts w:hint="eastAsia"/>
                <w:bCs/>
                <w:color w:val="000000"/>
                <w:szCs w:val="21"/>
              </w:rPr>
              <w:t>日（基金合同生效日）至</w:t>
            </w:r>
            <w:r w:rsidRPr="00795DF9">
              <w:rPr>
                <w:rFonts w:hint="eastAsia"/>
                <w:bCs/>
                <w:color w:val="000000"/>
                <w:szCs w:val="21"/>
              </w:rPr>
              <w:t>2013</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3768CA">
        <w:tc>
          <w:tcPr>
            <w:tcW w:w="1799" w:type="dxa"/>
            <w:vAlign w:val="center"/>
          </w:tcPr>
          <w:p w:rsidR="003768CA" w:rsidRDefault="007529CB">
            <w:pPr>
              <w:jc w:val="center"/>
            </w:pPr>
            <w:r>
              <w:rPr>
                <w:rFonts w:hint="eastAsia"/>
                <w:szCs w:val="21"/>
              </w:rPr>
              <w:t>中国建设银行</w:t>
            </w:r>
            <w:r>
              <w:rPr>
                <w:rFonts w:hint="eastAsia"/>
                <w:szCs w:val="21"/>
              </w:rPr>
              <w:t>-</w:t>
            </w:r>
            <w:r>
              <w:rPr>
                <w:rFonts w:hint="eastAsia"/>
                <w:szCs w:val="21"/>
              </w:rPr>
              <w:t>活期存款</w:t>
            </w:r>
          </w:p>
        </w:tc>
        <w:tc>
          <w:tcPr>
            <w:tcW w:w="1799" w:type="dxa"/>
            <w:vAlign w:val="center"/>
          </w:tcPr>
          <w:p w:rsidR="003768CA" w:rsidRDefault="007529CB">
            <w:pPr>
              <w:jc w:val="center"/>
            </w:pPr>
            <w:r>
              <w:rPr>
                <w:rFonts w:hint="eastAsia"/>
                <w:szCs w:val="21"/>
              </w:rPr>
              <w:t>22,770,668.24</w:t>
            </w:r>
          </w:p>
        </w:tc>
        <w:tc>
          <w:tcPr>
            <w:tcW w:w="1800" w:type="dxa"/>
            <w:vAlign w:val="center"/>
          </w:tcPr>
          <w:p w:rsidR="003768CA" w:rsidRDefault="007529CB">
            <w:pPr>
              <w:jc w:val="center"/>
            </w:pPr>
            <w:r>
              <w:rPr>
                <w:rFonts w:hint="eastAsia"/>
                <w:szCs w:val="21"/>
              </w:rPr>
              <w:t>22,412.75</w:t>
            </w:r>
          </w:p>
        </w:tc>
        <w:tc>
          <w:tcPr>
            <w:tcW w:w="1800" w:type="dxa"/>
            <w:vAlign w:val="center"/>
          </w:tcPr>
          <w:p w:rsidR="003768CA" w:rsidRDefault="007529CB">
            <w:pPr>
              <w:jc w:val="center"/>
            </w:pPr>
            <w:r>
              <w:rPr>
                <w:rFonts w:hint="eastAsia"/>
                <w:szCs w:val="21"/>
              </w:rPr>
              <w:t>1,571,876.87</w:t>
            </w:r>
          </w:p>
        </w:tc>
        <w:tc>
          <w:tcPr>
            <w:tcW w:w="1800" w:type="dxa"/>
            <w:vAlign w:val="center"/>
          </w:tcPr>
          <w:p w:rsidR="003768CA" w:rsidRDefault="007529CB">
            <w:pPr>
              <w:jc w:val="center"/>
            </w:pPr>
            <w:r>
              <w:rPr>
                <w:rFonts w:hint="eastAsia"/>
                <w:szCs w:val="21"/>
              </w:rPr>
              <w:t>79,066.03</w:t>
            </w:r>
          </w:p>
        </w:tc>
      </w:tr>
      <w:tr w:rsidR="003768CA">
        <w:tc>
          <w:tcPr>
            <w:tcW w:w="1799" w:type="dxa"/>
            <w:vAlign w:val="center"/>
          </w:tcPr>
          <w:p w:rsidR="003768CA" w:rsidRDefault="007529CB">
            <w:pPr>
              <w:jc w:val="center"/>
            </w:pPr>
            <w:r>
              <w:rPr>
                <w:rFonts w:hint="eastAsia"/>
                <w:szCs w:val="21"/>
              </w:rPr>
              <w:t>中国建设银行</w:t>
            </w:r>
            <w:r>
              <w:rPr>
                <w:rFonts w:hint="eastAsia"/>
                <w:szCs w:val="21"/>
              </w:rPr>
              <w:t>-</w:t>
            </w:r>
            <w:r>
              <w:rPr>
                <w:rFonts w:hint="eastAsia"/>
                <w:szCs w:val="21"/>
              </w:rPr>
              <w:t>协议存款</w:t>
            </w:r>
          </w:p>
        </w:tc>
        <w:tc>
          <w:tcPr>
            <w:tcW w:w="1799" w:type="dxa"/>
            <w:vAlign w:val="center"/>
          </w:tcPr>
          <w:p w:rsidR="003768CA" w:rsidRDefault="007529CB">
            <w:pPr>
              <w:jc w:val="center"/>
            </w:pPr>
            <w:r>
              <w:rPr>
                <w:rFonts w:hint="eastAsia"/>
                <w:szCs w:val="21"/>
              </w:rPr>
              <w:t>-</w:t>
            </w:r>
          </w:p>
        </w:tc>
        <w:tc>
          <w:tcPr>
            <w:tcW w:w="1800" w:type="dxa"/>
            <w:vAlign w:val="center"/>
          </w:tcPr>
          <w:p w:rsidR="003768CA" w:rsidRDefault="007529CB">
            <w:pPr>
              <w:jc w:val="center"/>
            </w:pPr>
            <w:r>
              <w:rPr>
                <w:rFonts w:hint="eastAsia"/>
                <w:szCs w:val="21"/>
              </w:rPr>
              <w:t>-</w:t>
            </w:r>
          </w:p>
        </w:tc>
        <w:tc>
          <w:tcPr>
            <w:tcW w:w="1800" w:type="dxa"/>
            <w:vAlign w:val="center"/>
          </w:tcPr>
          <w:p w:rsidR="003768CA" w:rsidRDefault="007529CB">
            <w:pPr>
              <w:jc w:val="center"/>
            </w:pPr>
            <w:r>
              <w:rPr>
                <w:rFonts w:hint="eastAsia"/>
                <w:szCs w:val="21"/>
              </w:rPr>
              <w:t>-</w:t>
            </w:r>
          </w:p>
        </w:tc>
        <w:tc>
          <w:tcPr>
            <w:tcW w:w="1800" w:type="dxa"/>
            <w:vAlign w:val="center"/>
          </w:tcPr>
          <w:p w:rsidR="003768CA" w:rsidRDefault="007529CB">
            <w:pPr>
              <w:jc w:val="center"/>
            </w:pPr>
            <w:r>
              <w:rPr>
                <w:rFonts w:hint="eastAsia"/>
                <w:szCs w:val="21"/>
              </w:rPr>
              <w:t>147,602.78</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注：本基金的银行存款和表格中列示的银行协议存款均由基金托管人保管，按银行同业利率或约定利率计息。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2014</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7529CB" w:rsidRPr="005124D4" w:rsidRDefault="007529C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7529CB" w:rsidRPr="005124D4" w:rsidRDefault="007529CB"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Default="006D141C" w:rsidP="00086FC8">
      <w:pPr>
        <w:spacing w:before="29" w:line="288" w:lineRule="auto"/>
        <w:rPr>
          <w:color w:val="000000"/>
          <w:sz w:val="24"/>
        </w:rPr>
      </w:pPr>
      <w:r w:rsidRPr="002D470E">
        <w:rPr>
          <w:rFonts w:hint="eastAsia"/>
          <w:color w:val="000000"/>
          <w:sz w:val="24"/>
        </w:rPr>
        <w:t>本基金本报告期末无从事债券正回购交易形成的卖出回购证券款余额。</w:t>
      </w:r>
    </w:p>
    <w:p w:rsidR="007529CB" w:rsidRPr="002D470E" w:rsidRDefault="007529CB" w:rsidP="002D470E">
      <w:pPr>
        <w:spacing w:before="29" w:line="288" w:lineRule="auto"/>
        <w:ind w:firstLineChars="200" w:firstLine="480"/>
        <w:rPr>
          <w:color w:val="00000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3768CA" w:rsidRDefault="007529CB">
      <w:pPr>
        <w:spacing w:before="29" w:line="288" w:lineRule="auto"/>
        <w:rPr>
          <w:color w:val="000000"/>
          <w:sz w:val="24"/>
        </w:rPr>
      </w:pPr>
      <w:r>
        <w:rPr>
          <w:rFonts w:hint="eastAsia"/>
          <w:color w:val="000000"/>
          <w:sz w:val="24"/>
        </w:rPr>
        <w:t xml:space="preserve">(1) </w:t>
      </w:r>
      <w:r>
        <w:rPr>
          <w:rFonts w:hint="eastAsia"/>
          <w:color w:val="000000"/>
          <w:sz w:val="24"/>
        </w:rPr>
        <w:t>公允价值</w:t>
      </w:r>
    </w:p>
    <w:p w:rsidR="003768CA" w:rsidRDefault="007529CB">
      <w:pPr>
        <w:spacing w:before="29" w:line="288" w:lineRule="auto"/>
        <w:rPr>
          <w:color w:val="000000"/>
          <w:sz w:val="24"/>
        </w:rPr>
      </w:pPr>
      <w:r>
        <w:rPr>
          <w:rFonts w:hint="eastAsia"/>
          <w:color w:val="000000"/>
          <w:sz w:val="24"/>
        </w:rPr>
        <w:t xml:space="preserve">(a) </w:t>
      </w:r>
      <w:r>
        <w:rPr>
          <w:rFonts w:hint="eastAsia"/>
          <w:color w:val="000000"/>
          <w:sz w:val="24"/>
        </w:rPr>
        <w:t>金融工具公允价值计量的方法</w:t>
      </w:r>
    </w:p>
    <w:p w:rsidR="003768CA" w:rsidRDefault="007529CB">
      <w:pPr>
        <w:spacing w:before="29" w:line="288" w:lineRule="auto"/>
        <w:rPr>
          <w:color w:val="000000"/>
          <w:sz w:val="24"/>
        </w:rPr>
      </w:pPr>
      <w:r>
        <w:rPr>
          <w:rFonts w:hint="eastAsia"/>
          <w:color w:val="000000"/>
          <w:sz w:val="24"/>
        </w:rPr>
        <w:t>公允价值计量结果所属的层次，由对公允价值计量整体而言具有重要意义的输入值所属的最低层次决定：</w:t>
      </w:r>
    </w:p>
    <w:p w:rsidR="003768CA" w:rsidRDefault="007529CB">
      <w:pPr>
        <w:spacing w:before="29" w:line="288" w:lineRule="auto"/>
        <w:rPr>
          <w:color w:val="000000"/>
          <w:sz w:val="24"/>
        </w:rPr>
      </w:pPr>
      <w:r>
        <w:rPr>
          <w:rFonts w:hint="eastAsia"/>
          <w:color w:val="000000"/>
          <w:sz w:val="24"/>
        </w:rPr>
        <w:t>第一层次：相同资产或负债在活跃市场上未经调整的报价。</w:t>
      </w:r>
    </w:p>
    <w:p w:rsidR="003768CA" w:rsidRDefault="007529CB">
      <w:pPr>
        <w:spacing w:before="29" w:line="288" w:lineRule="auto"/>
        <w:rPr>
          <w:color w:val="000000"/>
          <w:sz w:val="24"/>
        </w:rPr>
      </w:pPr>
      <w:r>
        <w:rPr>
          <w:rFonts w:hint="eastAsia"/>
          <w:color w:val="000000"/>
          <w:sz w:val="24"/>
        </w:rPr>
        <w:t>第二层次：除第一层次输入值外相关资产或负债直接或间接可观察的输入值。</w:t>
      </w:r>
    </w:p>
    <w:p w:rsidR="003768CA" w:rsidRDefault="007529CB">
      <w:pPr>
        <w:spacing w:before="29" w:line="288" w:lineRule="auto"/>
        <w:rPr>
          <w:color w:val="000000"/>
          <w:sz w:val="24"/>
        </w:rPr>
      </w:pPr>
      <w:r>
        <w:rPr>
          <w:rFonts w:hint="eastAsia"/>
          <w:color w:val="000000"/>
          <w:sz w:val="24"/>
        </w:rPr>
        <w:t>第三层次：相关资产或负债的不可观察输入值。</w:t>
      </w:r>
    </w:p>
    <w:p w:rsidR="003768CA" w:rsidRDefault="007529CB">
      <w:pPr>
        <w:spacing w:before="29" w:line="288" w:lineRule="auto"/>
        <w:rPr>
          <w:color w:val="000000"/>
          <w:sz w:val="24"/>
        </w:rPr>
      </w:pPr>
      <w:r>
        <w:rPr>
          <w:rFonts w:hint="eastAsia"/>
          <w:color w:val="000000"/>
          <w:sz w:val="24"/>
        </w:rPr>
        <w:t xml:space="preserve">(b) </w:t>
      </w:r>
      <w:r>
        <w:rPr>
          <w:rFonts w:hint="eastAsia"/>
          <w:color w:val="000000"/>
          <w:sz w:val="24"/>
        </w:rPr>
        <w:t>持续的以公允价值计量的金融工具</w:t>
      </w:r>
    </w:p>
    <w:p w:rsidR="003768CA" w:rsidRDefault="007529CB">
      <w:pPr>
        <w:spacing w:before="29" w:line="288" w:lineRule="auto"/>
        <w:rPr>
          <w:color w:val="000000"/>
          <w:sz w:val="24"/>
        </w:rPr>
      </w:pPr>
      <w:r>
        <w:rPr>
          <w:rFonts w:hint="eastAsia"/>
          <w:color w:val="000000"/>
          <w:sz w:val="24"/>
        </w:rPr>
        <w:t xml:space="preserve">(i) </w:t>
      </w:r>
      <w:r>
        <w:rPr>
          <w:rFonts w:hint="eastAsia"/>
          <w:color w:val="000000"/>
          <w:sz w:val="24"/>
        </w:rPr>
        <w:t>各层次金融工具公允价值</w:t>
      </w:r>
    </w:p>
    <w:p w:rsidR="003768CA" w:rsidRDefault="007529CB">
      <w:pPr>
        <w:spacing w:before="29" w:line="288" w:lineRule="auto"/>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日，本基金持有的以公允价值计量且其变动计入当期损益的金融工具中属于第二层次的余额为</w:t>
      </w:r>
      <w:r>
        <w:rPr>
          <w:rFonts w:hint="eastAsia"/>
          <w:color w:val="000000"/>
          <w:sz w:val="24"/>
        </w:rPr>
        <w:t>170,487,805.99</w:t>
      </w:r>
      <w:r>
        <w:rPr>
          <w:rFonts w:hint="eastAsia"/>
          <w:color w:val="000000"/>
          <w:sz w:val="24"/>
        </w:rPr>
        <w:t>元，无属于第一层次和第三层次的余额</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日：第一层次</w:t>
      </w:r>
      <w:r>
        <w:rPr>
          <w:rFonts w:hint="eastAsia"/>
          <w:color w:val="000000"/>
          <w:sz w:val="24"/>
        </w:rPr>
        <w:t>1,686,533.14</w:t>
      </w:r>
      <w:r>
        <w:rPr>
          <w:rFonts w:hint="eastAsia"/>
          <w:color w:val="000000"/>
          <w:sz w:val="24"/>
        </w:rPr>
        <w:t>元，第二层次</w:t>
      </w:r>
      <w:r>
        <w:rPr>
          <w:rFonts w:hint="eastAsia"/>
          <w:color w:val="000000"/>
          <w:sz w:val="24"/>
        </w:rPr>
        <w:t>3,999,809.73</w:t>
      </w:r>
      <w:r>
        <w:rPr>
          <w:rFonts w:hint="eastAsia"/>
          <w:color w:val="000000"/>
          <w:sz w:val="24"/>
        </w:rPr>
        <w:t>元，无第三层次</w:t>
      </w:r>
      <w:r>
        <w:rPr>
          <w:rFonts w:hint="eastAsia"/>
          <w:color w:val="000000"/>
          <w:sz w:val="24"/>
        </w:rPr>
        <w:t>)</w:t>
      </w:r>
      <w:r>
        <w:rPr>
          <w:rFonts w:hint="eastAsia"/>
          <w:color w:val="000000"/>
          <w:sz w:val="24"/>
        </w:rPr>
        <w:t>。</w:t>
      </w:r>
    </w:p>
    <w:p w:rsidR="003768CA" w:rsidRDefault="007529CB">
      <w:pPr>
        <w:spacing w:before="29" w:line="288" w:lineRule="auto"/>
        <w:rPr>
          <w:color w:val="000000"/>
          <w:sz w:val="24"/>
        </w:rPr>
      </w:pPr>
      <w:r>
        <w:rPr>
          <w:rFonts w:hint="eastAsia"/>
          <w:color w:val="000000"/>
          <w:sz w:val="24"/>
        </w:rPr>
        <w:t xml:space="preserve">(ii) </w:t>
      </w:r>
      <w:r>
        <w:rPr>
          <w:rFonts w:hint="eastAsia"/>
          <w:color w:val="000000"/>
          <w:sz w:val="24"/>
        </w:rPr>
        <w:t>公允价值所属层次间的重大变动</w:t>
      </w:r>
    </w:p>
    <w:p w:rsidR="003768CA" w:rsidRDefault="007529CB">
      <w:pPr>
        <w:spacing w:before="29" w:line="288" w:lineRule="auto"/>
        <w:rPr>
          <w:color w:val="000000"/>
          <w:sz w:val="24"/>
        </w:rPr>
      </w:pPr>
      <w:r>
        <w:rPr>
          <w:rFonts w:hint="eastAsia"/>
          <w:color w:val="000000"/>
          <w:sz w:val="24"/>
        </w:rPr>
        <w:t>本基金本期及上年度可比期间持有的以公允价值计量的金融工具的公允价值所属层次未发生重大变动。</w:t>
      </w:r>
    </w:p>
    <w:p w:rsidR="003768CA" w:rsidRDefault="007529CB">
      <w:pPr>
        <w:spacing w:before="29" w:line="288" w:lineRule="auto"/>
        <w:rPr>
          <w:color w:val="000000"/>
          <w:sz w:val="24"/>
        </w:rPr>
      </w:pPr>
      <w:r>
        <w:rPr>
          <w:rFonts w:hint="eastAsia"/>
          <w:color w:val="000000"/>
          <w:sz w:val="24"/>
        </w:rPr>
        <w:t xml:space="preserve">(iii) </w:t>
      </w:r>
      <w:r>
        <w:rPr>
          <w:rFonts w:hint="eastAsia"/>
          <w:color w:val="000000"/>
          <w:sz w:val="24"/>
        </w:rPr>
        <w:t>第三层次公允价值余额和本期变动金额</w:t>
      </w:r>
    </w:p>
    <w:p w:rsidR="003768CA" w:rsidRDefault="007529CB">
      <w:pPr>
        <w:spacing w:before="29" w:line="288" w:lineRule="auto"/>
        <w:rPr>
          <w:color w:val="000000"/>
          <w:sz w:val="24"/>
        </w:rPr>
      </w:pPr>
      <w:r>
        <w:rPr>
          <w:rFonts w:hint="eastAsia"/>
          <w:color w:val="000000"/>
          <w:sz w:val="24"/>
        </w:rPr>
        <w:t>无。</w:t>
      </w:r>
    </w:p>
    <w:p w:rsidR="003768CA" w:rsidRDefault="007529CB">
      <w:pPr>
        <w:spacing w:before="29" w:line="288" w:lineRule="auto"/>
        <w:rPr>
          <w:color w:val="000000"/>
          <w:sz w:val="24"/>
        </w:rPr>
      </w:pPr>
      <w:r>
        <w:rPr>
          <w:rFonts w:hint="eastAsia"/>
          <w:color w:val="000000"/>
          <w:sz w:val="24"/>
        </w:rPr>
        <w:t xml:space="preserve">(c) </w:t>
      </w:r>
      <w:r>
        <w:rPr>
          <w:rFonts w:hint="eastAsia"/>
          <w:color w:val="000000"/>
          <w:sz w:val="24"/>
        </w:rPr>
        <w:t>非持续的以公允价值计量的金融工具</w:t>
      </w:r>
    </w:p>
    <w:p w:rsidR="003768CA" w:rsidRDefault="007529CB">
      <w:pPr>
        <w:spacing w:before="29" w:line="288" w:lineRule="auto"/>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日：同</w:t>
      </w:r>
      <w:r>
        <w:rPr>
          <w:rFonts w:hint="eastAsia"/>
          <w:color w:val="000000"/>
          <w:sz w:val="24"/>
        </w:rPr>
        <w:t>)</w:t>
      </w:r>
      <w:r>
        <w:rPr>
          <w:rFonts w:hint="eastAsia"/>
          <w:color w:val="000000"/>
          <w:sz w:val="24"/>
        </w:rPr>
        <w:t>。</w:t>
      </w:r>
    </w:p>
    <w:p w:rsidR="003768CA" w:rsidRDefault="007529CB">
      <w:pPr>
        <w:spacing w:before="29" w:line="288" w:lineRule="auto"/>
        <w:rPr>
          <w:color w:val="000000"/>
          <w:sz w:val="24"/>
        </w:rPr>
      </w:pPr>
      <w:r>
        <w:rPr>
          <w:rFonts w:hint="eastAsia"/>
          <w:color w:val="000000"/>
          <w:sz w:val="24"/>
        </w:rPr>
        <w:t xml:space="preserve">(d) </w:t>
      </w:r>
      <w:r>
        <w:rPr>
          <w:rFonts w:hint="eastAsia"/>
          <w:color w:val="000000"/>
          <w:sz w:val="24"/>
        </w:rPr>
        <w:t>不以公允价值计量的金融工具</w:t>
      </w:r>
    </w:p>
    <w:p w:rsidR="003768CA" w:rsidRDefault="007529CB">
      <w:pPr>
        <w:spacing w:before="29" w:line="288" w:lineRule="auto"/>
        <w:rPr>
          <w:color w:val="000000"/>
          <w:sz w:val="24"/>
        </w:rPr>
      </w:pPr>
      <w:r>
        <w:rPr>
          <w:rFonts w:hint="eastAsia"/>
          <w:color w:val="000000"/>
          <w:sz w:val="24"/>
        </w:rPr>
        <w:t>不以公允价值计量的金融资产和负债主要包括应收款项和其他金融负债，其账面价值与公允价值相差很小。</w:t>
      </w:r>
    </w:p>
    <w:p w:rsidR="006D141C" w:rsidRDefault="006D141C" w:rsidP="000A3DDA">
      <w:pPr>
        <w:spacing w:before="29" w:line="288" w:lineRule="auto"/>
        <w:rPr>
          <w:color w:val="000000"/>
          <w:sz w:val="24"/>
        </w:rPr>
      </w:pPr>
      <w:r w:rsidRPr="000A3DDA">
        <w:rPr>
          <w:rFonts w:hint="eastAsia"/>
          <w:color w:val="000000"/>
          <w:sz w:val="24"/>
        </w:rPr>
        <w:t xml:space="preserve">(2) </w:t>
      </w:r>
      <w:r w:rsidRPr="000A3DDA">
        <w:rPr>
          <w:rFonts w:hint="eastAsia"/>
          <w:color w:val="000000"/>
          <w:sz w:val="24"/>
        </w:rPr>
        <w:t>除公允价值外，截至资产负债表日本基金无需要说明的其他重要事项。</w:t>
      </w:r>
    </w:p>
    <w:p w:rsidR="001E7B94" w:rsidRPr="000A3DDA" w:rsidRDefault="001E7B94" w:rsidP="000A3DDA">
      <w:pPr>
        <w:spacing w:before="29" w:line="288" w:lineRule="auto"/>
        <w:rPr>
          <w:color w:val="000000"/>
          <w:sz w:val="24"/>
        </w:rPr>
      </w:pPr>
    </w:p>
    <w:p w:rsidR="006D141C" w:rsidRDefault="006D141C" w:rsidP="007529CB">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1"/>
      <w:bookmarkEnd w:id="12"/>
    </w:p>
    <w:p w:rsidR="006D141C" w:rsidRPr="00FB19E8" w:rsidRDefault="006D141C" w:rsidP="00FB19E8">
      <w:pPr>
        <w:pStyle w:val="20"/>
        <w:spacing w:before="29" w:after="0" w:line="288" w:lineRule="auto"/>
        <w:rPr>
          <w:rFonts w:ascii="Times New Roman" w:hAnsi="Times New Roman" w:cs="Times New Roman"/>
          <w:kern w:val="0"/>
          <w:szCs w:val="24"/>
        </w:rPr>
      </w:pPr>
      <w:bookmarkStart w:id="13" w:name="_Toc331410102"/>
      <w:bookmarkStart w:id="14"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3"/>
      <w:bookmarkEnd w:id="14"/>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249"/>
        <w:gridCol w:w="55"/>
        <w:gridCol w:w="2194"/>
      </w:tblGrid>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占基金总资产的比例（</w:t>
            </w:r>
            <w:r w:rsidRPr="002137A0">
              <w:rPr>
                <w:rFonts w:hint="eastAsia"/>
                <w:sz w:val="24"/>
              </w:rPr>
              <w:t>%</w:t>
            </w:r>
            <w:r w:rsidRPr="002137A0">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170,487,805.99</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72.06</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170,487,805.99</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72.06</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7529CB" w:rsidP="007B4F6E">
            <w:pPr>
              <w:spacing w:before="29" w:line="288" w:lineRule="auto"/>
              <w:ind w:leftChars="50" w:left="105"/>
              <w:rPr>
                <w:sz w:val="24"/>
              </w:rPr>
            </w:pPr>
            <w:r>
              <w:rPr>
                <w:rFonts w:hint="eastAsia"/>
                <w:sz w:val="24"/>
              </w:rPr>
              <w:t xml:space="preserve">     </w:t>
            </w:r>
            <w:r w:rsidR="00460672" w:rsidRPr="007B4F6E">
              <w:rPr>
                <w:sz w:val="24"/>
              </w:rPr>
              <w:t>资产支持证券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39,954,870.96</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16.89</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39,954,870.96</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16.89</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22,810,668.24</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9.64</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3,337,067.76</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1.41</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236,590,412.95</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5" w:name="_Toc331410103"/>
      <w:bookmarkStart w:id="16" w:name="_Toc225498274"/>
      <w:r w:rsidRPr="00FB19E8">
        <w:rPr>
          <w:rFonts w:ascii="Times New Roman" w:hAnsi="Times New Roman" w:cs="Times New Roman" w:hint="eastAsia"/>
          <w:kern w:val="0"/>
          <w:szCs w:val="24"/>
        </w:rPr>
        <w:t>8.2</w:t>
      </w:r>
      <w:bookmarkEnd w:id="15"/>
      <w:bookmarkEnd w:id="16"/>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3.70</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7" w:name="_Toc247957040"/>
      <w:bookmarkStart w:id="18"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7"/>
      <w:bookmarkEnd w:id="18"/>
    </w:p>
    <w:p w:rsidR="002313DE" w:rsidRPr="005124D4" w:rsidRDefault="00985B68" w:rsidP="005124D4">
      <w:pPr>
        <w:spacing w:before="29" w:line="288" w:lineRule="auto"/>
        <w:jc w:val="left"/>
        <w:rPr>
          <w:kern w:val="0"/>
          <w:sz w:val="24"/>
        </w:rPr>
      </w:pPr>
      <w:r w:rsidRPr="005124D4">
        <w:rPr>
          <w:rFonts w:hint="eastAsia"/>
          <w:kern w:val="0"/>
          <w:sz w:val="24"/>
        </w:rPr>
        <w:t>本基金合同约定：“本基金进入全国银行间同业市场进行债券回购的资金余额不得超过基金资产净值的</w:t>
      </w:r>
      <w:r w:rsidRPr="005124D4">
        <w:rPr>
          <w:rFonts w:hint="eastAsia"/>
          <w:kern w:val="0"/>
          <w:sz w:val="24"/>
        </w:rPr>
        <w:t>40%</w:t>
      </w:r>
      <w:r w:rsidRPr="005124D4">
        <w:rPr>
          <w:rFonts w:hint="eastAsia"/>
          <w:kern w:val="0"/>
          <w:sz w:val="24"/>
        </w:rPr>
        <w:t>”。本报告期内，本基金未发生超标情况。</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275523745"/>
      <w:r w:rsidRPr="00FB19E8">
        <w:rPr>
          <w:rFonts w:ascii="Times New Roman" w:hAnsi="Times New Roman" w:cs="Times New Roman" w:hint="eastAsia"/>
          <w:kern w:val="0"/>
          <w:szCs w:val="24"/>
        </w:rPr>
        <w:t>8.3</w:t>
      </w:r>
      <w:bookmarkEnd w:id="19"/>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73</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175</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2</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报告期内投资组合平均剩余期限超过</w:t>
      </w:r>
      <w:r w:rsidR="007550EC" w:rsidRPr="00FB19E8">
        <w:rPr>
          <w:rFonts w:ascii="Times New Roman" w:hAnsi="Times New Roman" w:cs="Times New Roman" w:hint="eastAsia"/>
          <w:kern w:val="0"/>
          <w:szCs w:val="24"/>
        </w:rPr>
        <w:t>1</w:t>
      </w:r>
      <w:r w:rsidRPr="00FB19E8">
        <w:rPr>
          <w:rFonts w:ascii="Times New Roman" w:hAnsi="Times New Roman" w:cs="Times New Roman"/>
          <w:kern w:val="0"/>
          <w:szCs w:val="24"/>
        </w:rPr>
        <w:t>80</w:t>
      </w:r>
      <w:r w:rsidRPr="00FB19E8">
        <w:rPr>
          <w:rFonts w:ascii="Times New Roman" w:hAnsi="Times New Roman" w:cs="Times New Roman"/>
          <w:kern w:val="0"/>
          <w:szCs w:val="24"/>
        </w:rPr>
        <w:t>天情况说明</w:t>
      </w:r>
    </w:p>
    <w:p w:rsidR="00B109D0" w:rsidRPr="005124D4" w:rsidRDefault="00ED1EF0" w:rsidP="005124D4">
      <w:pPr>
        <w:spacing w:before="29" w:line="288" w:lineRule="auto"/>
        <w:jc w:val="left"/>
        <w:rPr>
          <w:kern w:val="0"/>
          <w:sz w:val="24"/>
        </w:rPr>
      </w:pPr>
      <w:r w:rsidRPr="005124D4">
        <w:rPr>
          <w:rFonts w:hint="eastAsia"/>
          <w:kern w:val="0"/>
          <w:sz w:val="24"/>
        </w:rPr>
        <w:t>本基金本报告期内投资组合平均剩余期限未超过</w:t>
      </w:r>
      <w:r w:rsidRPr="005124D4">
        <w:rPr>
          <w:rFonts w:hint="eastAsia"/>
          <w:kern w:val="0"/>
          <w:sz w:val="24"/>
        </w:rPr>
        <w:t>180</w:t>
      </w:r>
      <w:r w:rsidRPr="005124D4">
        <w:rPr>
          <w:rFonts w:hint="eastAsia"/>
          <w:kern w:val="0"/>
          <w:sz w:val="24"/>
        </w:rPr>
        <w:t>天。</w:t>
      </w:r>
    </w:p>
    <w:p w:rsidR="00140036" w:rsidRPr="00CB1276" w:rsidRDefault="00140036"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t>各期限负债占基金资产净值的比例（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30.79</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42.46</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Pr="001B7D43">
              <w:rPr>
                <w:sz w:val="24"/>
              </w:rPr>
              <w:t>80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14.85</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4339AD" w:rsidRPr="001B7D43">
              <w:rPr>
                <w:sz w:val="24"/>
              </w:rPr>
              <w:t>80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10.61</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98.71</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0" w:name="_Toc331410106"/>
      <w:bookmarkStart w:id="21" w:name="_Toc234814104"/>
      <w:r w:rsidRPr="00FB19E8">
        <w:rPr>
          <w:rFonts w:ascii="Times New Roman" w:hAnsi="Times New Roman" w:cs="Times New Roman" w:hint="eastAsia"/>
          <w:kern w:val="0"/>
          <w:szCs w:val="24"/>
        </w:rPr>
        <w:t>8.4</w:t>
      </w:r>
      <w:r w:rsidRPr="00FB19E8">
        <w:rPr>
          <w:rFonts w:ascii="Times New Roman" w:hAnsi="Times New Roman" w:cs="Times New Roman" w:hint="eastAsia"/>
          <w:kern w:val="0"/>
          <w:szCs w:val="24"/>
        </w:rPr>
        <w:t>期末按债券品种分类的债券投资组合</w:t>
      </w:r>
      <w:bookmarkEnd w:id="20"/>
      <w:bookmarkEnd w:id="21"/>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15,045,318.79</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6.37</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15,045,318.79</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6.37</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155,442,487.20</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65.78</w:t>
            </w:r>
          </w:p>
        </w:tc>
      </w:tr>
      <w:tr w:rsidR="002C233F" w:rsidRPr="00CB1276" w:rsidTr="005673D2">
        <w:trPr>
          <w:trHeight w:val="315"/>
        </w:trPr>
        <w:tc>
          <w:tcPr>
            <w:tcW w:w="915" w:type="dxa"/>
            <w:shd w:val="clear" w:color="auto" w:fill="auto"/>
            <w:vAlign w:val="center"/>
          </w:tcPr>
          <w:p w:rsidR="00260867" w:rsidRPr="00B628A9" w:rsidRDefault="00260867" w:rsidP="00B628A9">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260867" w:rsidRPr="00042E1F" w:rsidRDefault="00260867" w:rsidP="00042E1F">
            <w:pPr>
              <w:spacing w:before="29" w:line="288" w:lineRule="auto"/>
              <w:ind w:left="17"/>
              <w:jc w:val="left"/>
              <w:rPr>
                <w:sz w:val="24"/>
              </w:rPr>
            </w:pPr>
            <w:r w:rsidRPr="00042E1F">
              <w:rPr>
                <w:rFonts w:hint="eastAsia"/>
                <w:sz w:val="24"/>
              </w:rPr>
              <w:t>中期票据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7</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其他</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8C40A4" w:rsidRPr="00B628A9" w:rsidRDefault="008C40A4" w:rsidP="00B628A9">
            <w:pPr>
              <w:spacing w:before="29" w:line="288" w:lineRule="auto"/>
              <w:ind w:left="17"/>
              <w:jc w:val="center"/>
              <w:rPr>
                <w:sz w:val="24"/>
              </w:rPr>
            </w:pPr>
            <w:r w:rsidRPr="00B628A9">
              <w:rPr>
                <w:rFonts w:hint="eastAsia"/>
                <w:sz w:val="24"/>
              </w:rPr>
              <w:t>8</w:t>
            </w:r>
          </w:p>
        </w:tc>
        <w:tc>
          <w:tcPr>
            <w:tcW w:w="3543" w:type="dxa"/>
            <w:vAlign w:val="center"/>
          </w:tcPr>
          <w:p w:rsidR="008C40A4" w:rsidRPr="00B628A9" w:rsidRDefault="008C40A4" w:rsidP="00B628A9">
            <w:pPr>
              <w:spacing w:before="29" w:line="288" w:lineRule="auto"/>
              <w:ind w:left="17"/>
              <w:jc w:val="left"/>
              <w:rPr>
                <w:sz w:val="24"/>
              </w:rPr>
            </w:pPr>
            <w:r w:rsidRPr="00B628A9">
              <w:rPr>
                <w:rFonts w:hint="eastAsia"/>
                <w:sz w:val="24"/>
              </w:rPr>
              <w:t>合计</w:t>
            </w:r>
          </w:p>
        </w:tc>
        <w:tc>
          <w:tcPr>
            <w:tcW w:w="2268" w:type="dxa"/>
            <w:vAlign w:val="center"/>
          </w:tcPr>
          <w:p w:rsidR="008C40A4" w:rsidRPr="00B628A9" w:rsidRDefault="008C40A4" w:rsidP="00B628A9">
            <w:pPr>
              <w:spacing w:before="29" w:line="288" w:lineRule="auto"/>
              <w:ind w:left="17"/>
              <w:jc w:val="right"/>
              <w:rPr>
                <w:sz w:val="24"/>
              </w:rPr>
            </w:pPr>
            <w:r w:rsidRPr="00B628A9">
              <w:rPr>
                <w:rFonts w:hint="eastAsia"/>
                <w:sz w:val="24"/>
              </w:rPr>
              <w:t>170,487,805.99</w:t>
            </w:r>
          </w:p>
        </w:tc>
        <w:tc>
          <w:tcPr>
            <w:tcW w:w="2272" w:type="dxa"/>
            <w:vAlign w:val="center"/>
          </w:tcPr>
          <w:p w:rsidR="008C40A4" w:rsidRPr="00B628A9" w:rsidRDefault="008C40A4" w:rsidP="00B628A9">
            <w:pPr>
              <w:spacing w:before="29" w:line="288" w:lineRule="auto"/>
              <w:ind w:left="17"/>
              <w:jc w:val="right"/>
              <w:rPr>
                <w:sz w:val="24"/>
              </w:rPr>
            </w:pPr>
            <w:r w:rsidRPr="00B628A9">
              <w:rPr>
                <w:rFonts w:hint="eastAsia"/>
                <w:sz w:val="24"/>
              </w:rPr>
              <w:t>72.15</w:t>
            </w:r>
          </w:p>
        </w:tc>
      </w:tr>
      <w:tr w:rsidR="002C233F" w:rsidRPr="00CB1276" w:rsidTr="005673D2">
        <w:trPr>
          <w:trHeight w:val="315"/>
        </w:trPr>
        <w:tc>
          <w:tcPr>
            <w:tcW w:w="915" w:type="dxa"/>
            <w:vAlign w:val="center"/>
          </w:tcPr>
          <w:p w:rsidR="004C7A02" w:rsidRPr="00B628A9" w:rsidRDefault="004C7A02" w:rsidP="00B628A9">
            <w:pPr>
              <w:spacing w:before="29" w:line="288" w:lineRule="auto"/>
              <w:ind w:left="17"/>
              <w:jc w:val="center"/>
              <w:rPr>
                <w:sz w:val="24"/>
              </w:rPr>
            </w:pPr>
            <w:r w:rsidRPr="00B628A9">
              <w:rPr>
                <w:rFonts w:hint="eastAsia"/>
                <w:sz w:val="24"/>
              </w:rPr>
              <w:t>9</w:t>
            </w:r>
          </w:p>
        </w:tc>
        <w:tc>
          <w:tcPr>
            <w:tcW w:w="3543" w:type="dxa"/>
            <w:vAlign w:val="center"/>
          </w:tcPr>
          <w:p w:rsidR="004C7A02" w:rsidRPr="00B628A9" w:rsidRDefault="004C7A02" w:rsidP="00B628A9">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4C7A02" w:rsidRPr="00B628A9" w:rsidRDefault="004C7A02" w:rsidP="00B628A9">
            <w:pPr>
              <w:spacing w:before="29" w:line="288" w:lineRule="auto"/>
              <w:ind w:left="17"/>
              <w:jc w:val="right"/>
              <w:rPr>
                <w:sz w:val="24"/>
              </w:rPr>
            </w:pPr>
            <w:r w:rsidRPr="00B628A9">
              <w:rPr>
                <w:rFonts w:hint="eastAsia"/>
                <w:sz w:val="24"/>
              </w:rPr>
              <w:t>-</w:t>
            </w:r>
          </w:p>
        </w:tc>
        <w:tc>
          <w:tcPr>
            <w:tcW w:w="2272" w:type="dxa"/>
            <w:vAlign w:val="center"/>
          </w:tcPr>
          <w:p w:rsidR="004C7A02" w:rsidRPr="00B628A9" w:rsidRDefault="004C7A02" w:rsidP="00B628A9">
            <w:pPr>
              <w:spacing w:before="29" w:line="288" w:lineRule="auto"/>
              <w:ind w:left="17"/>
              <w:jc w:val="right"/>
              <w:rPr>
                <w:sz w:val="24"/>
              </w:rPr>
            </w:pPr>
            <w:r w:rsidRPr="00B628A9">
              <w:rPr>
                <w:rFonts w:hint="eastAsia"/>
                <w:sz w:val="24"/>
              </w:rPr>
              <w:t>-</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7"/>
      <w:r w:rsidRPr="00FB19E8">
        <w:rPr>
          <w:rFonts w:ascii="Times New Roman" w:hAnsi="Times New Roman" w:cs="Times New Roman" w:hint="eastAsia"/>
          <w:kern w:val="0"/>
          <w:szCs w:val="24"/>
        </w:rPr>
        <w:t>8.5</w:t>
      </w:r>
      <w:bookmarkEnd w:id="22"/>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3768CA">
        <w:tc>
          <w:tcPr>
            <w:tcW w:w="1493" w:type="dxa"/>
            <w:vAlign w:val="center"/>
          </w:tcPr>
          <w:p w:rsidR="003768CA" w:rsidRDefault="007529CB">
            <w:pPr>
              <w:jc w:val="center"/>
            </w:pPr>
            <w:r>
              <w:rPr>
                <w:rFonts w:hint="eastAsia"/>
                <w:sz w:val="24"/>
              </w:rPr>
              <w:t>1</w:t>
            </w:r>
          </w:p>
        </w:tc>
        <w:tc>
          <w:tcPr>
            <w:tcW w:w="1493" w:type="dxa"/>
            <w:vAlign w:val="center"/>
          </w:tcPr>
          <w:p w:rsidR="003768CA" w:rsidRDefault="007529CB">
            <w:pPr>
              <w:jc w:val="center"/>
            </w:pPr>
            <w:r>
              <w:rPr>
                <w:rFonts w:hint="eastAsia"/>
                <w:sz w:val="24"/>
              </w:rPr>
              <w:t>041462004</w:t>
            </w:r>
          </w:p>
        </w:tc>
        <w:tc>
          <w:tcPr>
            <w:tcW w:w="1503" w:type="dxa"/>
            <w:vAlign w:val="center"/>
          </w:tcPr>
          <w:p w:rsidR="003768CA" w:rsidRDefault="007529CB">
            <w:pPr>
              <w:jc w:val="center"/>
            </w:pPr>
            <w:r>
              <w:rPr>
                <w:rFonts w:hint="eastAsia"/>
                <w:sz w:val="24"/>
              </w:rPr>
              <w:t>14</w:t>
            </w:r>
            <w:r>
              <w:rPr>
                <w:rFonts w:hint="eastAsia"/>
                <w:sz w:val="24"/>
              </w:rPr>
              <w:t>东方</w:t>
            </w:r>
            <w:r>
              <w:rPr>
                <w:rFonts w:hint="eastAsia"/>
                <w:sz w:val="24"/>
              </w:rPr>
              <w:t>CP001</w:t>
            </w:r>
          </w:p>
        </w:tc>
        <w:tc>
          <w:tcPr>
            <w:tcW w:w="1503" w:type="dxa"/>
            <w:vAlign w:val="center"/>
          </w:tcPr>
          <w:p w:rsidR="003768CA" w:rsidRDefault="007529CB">
            <w:pPr>
              <w:jc w:val="center"/>
            </w:pPr>
            <w:r>
              <w:rPr>
                <w:rFonts w:hint="eastAsia"/>
                <w:sz w:val="24"/>
              </w:rPr>
              <w:t>200,000</w:t>
            </w:r>
          </w:p>
        </w:tc>
        <w:tc>
          <w:tcPr>
            <w:tcW w:w="1503" w:type="dxa"/>
            <w:vAlign w:val="center"/>
          </w:tcPr>
          <w:p w:rsidR="003768CA" w:rsidRDefault="007529CB">
            <w:pPr>
              <w:jc w:val="center"/>
            </w:pPr>
            <w:r>
              <w:rPr>
                <w:rFonts w:hint="eastAsia"/>
                <w:sz w:val="24"/>
              </w:rPr>
              <w:t>20,190,073.41</w:t>
            </w:r>
          </w:p>
        </w:tc>
        <w:tc>
          <w:tcPr>
            <w:tcW w:w="1503" w:type="dxa"/>
            <w:vAlign w:val="center"/>
          </w:tcPr>
          <w:p w:rsidR="003768CA" w:rsidRDefault="007529CB">
            <w:pPr>
              <w:jc w:val="center"/>
            </w:pPr>
            <w:r>
              <w:rPr>
                <w:rFonts w:hint="eastAsia"/>
                <w:sz w:val="24"/>
              </w:rPr>
              <w:t>8.54</w:t>
            </w:r>
          </w:p>
        </w:tc>
      </w:tr>
      <w:tr w:rsidR="003768CA">
        <w:tc>
          <w:tcPr>
            <w:tcW w:w="1493" w:type="dxa"/>
            <w:vAlign w:val="center"/>
          </w:tcPr>
          <w:p w:rsidR="003768CA" w:rsidRDefault="007529CB">
            <w:pPr>
              <w:jc w:val="center"/>
            </w:pPr>
            <w:r>
              <w:rPr>
                <w:rFonts w:hint="eastAsia"/>
                <w:sz w:val="24"/>
              </w:rPr>
              <w:t>2</w:t>
            </w:r>
          </w:p>
        </w:tc>
        <w:tc>
          <w:tcPr>
            <w:tcW w:w="1493" w:type="dxa"/>
            <w:vAlign w:val="center"/>
          </w:tcPr>
          <w:p w:rsidR="003768CA" w:rsidRDefault="007529CB">
            <w:pPr>
              <w:jc w:val="center"/>
            </w:pPr>
            <w:r>
              <w:rPr>
                <w:rFonts w:hint="eastAsia"/>
                <w:sz w:val="24"/>
              </w:rPr>
              <w:t>041466002</w:t>
            </w:r>
          </w:p>
        </w:tc>
        <w:tc>
          <w:tcPr>
            <w:tcW w:w="1503" w:type="dxa"/>
            <w:vAlign w:val="center"/>
          </w:tcPr>
          <w:p w:rsidR="003768CA" w:rsidRDefault="007529CB">
            <w:pPr>
              <w:jc w:val="center"/>
            </w:pPr>
            <w:r>
              <w:rPr>
                <w:rFonts w:hint="eastAsia"/>
                <w:sz w:val="24"/>
              </w:rPr>
              <w:t>14</w:t>
            </w:r>
            <w:r>
              <w:rPr>
                <w:rFonts w:hint="eastAsia"/>
                <w:sz w:val="24"/>
              </w:rPr>
              <w:t>冀水泥</w:t>
            </w:r>
            <w:r>
              <w:rPr>
                <w:rFonts w:hint="eastAsia"/>
                <w:sz w:val="24"/>
              </w:rPr>
              <w:t>CP001</w:t>
            </w:r>
          </w:p>
        </w:tc>
        <w:tc>
          <w:tcPr>
            <w:tcW w:w="1503" w:type="dxa"/>
            <w:vAlign w:val="center"/>
          </w:tcPr>
          <w:p w:rsidR="003768CA" w:rsidRDefault="007529CB">
            <w:pPr>
              <w:jc w:val="center"/>
            </w:pPr>
            <w:r>
              <w:rPr>
                <w:rFonts w:hint="eastAsia"/>
                <w:sz w:val="24"/>
              </w:rPr>
              <w:t>200,000</w:t>
            </w:r>
          </w:p>
        </w:tc>
        <w:tc>
          <w:tcPr>
            <w:tcW w:w="1503" w:type="dxa"/>
            <w:vAlign w:val="center"/>
          </w:tcPr>
          <w:p w:rsidR="003768CA" w:rsidRDefault="007529CB">
            <w:pPr>
              <w:jc w:val="center"/>
            </w:pPr>
            <w:r>
              <w:rPr>
                <w:rFonts w:hint="eastAsia"/>
                <w:sz w:val="24"/>
              </w:rPr>
              <w:t>20,142,956.62</w:t>
            </w:r>
          </w:p>
        </w:tc>
        <w:tc>
          <w:tcPr>
            <w:tcW w:w="1503" w:type="dxa"/>
            <w:vAlign w:val="center"/>
          </w:tcPr>
          <w:p w:rsidR="003768CA" w:rsidRDefault="007529CB">
            <w:pPr>
              <w:jc w:val="center"/>
            </w:pPr>
            <w:r>
              <w:rPr>
                <w:rFonts w:hint="eastAsia"/>
                <w:sz w:val="24"/>
              </w:rPr>
              <w:t>8.52</w:t>
            </w:r>
          </w:p>
        </w:tc>
      </w:tr>
      <w:tr w:rsidR="003768CA">
        <w:tc>
          <w:tcPr>
            <w:tcW w:w="1493" w:type="dxa"/>
            <w:vAlign w:val="center"/>
          </w:tcPr>
          <w:p w:rsidR="003768CA" w:rsidRDefault="007529CB">
            <w:pPr>
              <w:jc w:val="center"/>
            </w:pPr>
            <w:r>
              <w:rPr>
                <w:rFonts w:hint="eastAsia"/>
                <w:sz w:val="24"/>
              </w:rPr>
              <w:t>3</w:t>
            </w:r>
          </w:p>
        </w:tc>
        <w:tc>
          <w:tcPr>
            <w:tcW w:w="1493" w:type="dxa"/>
            <w:vAlign w:val="center"/>
          </w:tcPr>
          <w:p w:rsidR="003768CA" w:rsidRDefault="007529CB">
            <w:pPr>
              <w:jc w:val="center"/>
            </w:pPr>
            <w:r>
              <w:rPr>
                <w:rFonts w:hint="eastAsia"/>
                <w:sz w:val="24"/>
              </w:rPr>
              <w:t>071417004</w:t>
            </w:r>
          </w:p>
        </w:tc>
        <w:tc>
          <w:tcPr>
            <w:tcW w:w="1503" w:type="dxa"/>
            <w:vAlign w:val="center"/>
          </w:tcPr>
          <w:p w:rsidR="003768CA" w:rsidRDefault="007529CB">
            <w:pPr>
              <w:jc w:val="center"/>
            </w:pPr>
            <w:r>
              <w:rPr>
                <w:rFonts w:hint="eastAsia"/>
                <w:sz w:val="24"/>
              </w:rPr>
              <w:t>14</w:t>
            </w:r>
            <w:r>
              <w:rPr>
                <w:rFonts w:hint="eastAsia"/>
                <w:sz w:val="24"/>
              </w:rPr>
              <w:t>东北证券</w:t>
            </w:r>
            <w:r>
              <w:rPr>
                <w:rFonts w:hint="eastAsia"/>
                <w:sz w:val="24"/>
              </w:rPr>
              <w:t>CP004</w:t>
            </w:r>
          </w:p>
        </w:tc>
        <w:tc>
          <w:tcPr>
            <w:tcW w:w="1503" w:type="dxa"/>
            <w:vAlign w:val="center"/>
          </w:tcPr>
          <w:p w:rsidR="003768CA" w:rsidRDefault="007529CB">
            <w:pPr>
              <w:jc w:val="center"/>
            </w:pPr>
            <w:r>
              <w:rPr>
                <w:rFonts w:hint="eastAsia"/>
                <w:sz w:val="24"/>
              </w:rPr>
              <w:t>200,000</w:t>
            </w:r>
          </w:p>
        </w:tc>
        <w:tc>
          <w:tcPr>
            <w:tcW w:w="1503" w:type="dxa"/>
            <w:vAlign w:val="center"/>
          </w:tcPr>
          <w:p w:rsidR="003768CA" w:rsidRDefault="007529CB">
            <w:pPr>
              <w:jc w:val="center"/>
            </w:pPr>
            <w:r>
              <w:rPr>
                <w:rFonts w:hint="eastAsia"/>
                <w:sz w:val="24"/>
              </w:rPr>
              <w:t>19,998,299.60</w:t>
            </w:r>
          </w:p>
        </w:tc>
        <w:tc>
          <w:tcPr>
            <w:tcW w:w="1503" w:type="dxa"/>
            <w:vAlign w:val="center"/>
          </w:tcPr>
          <w:p w:rsidR="003768CA" w:rsidRDefault="007529CB">
            <w:pPr>
              <w:jc w:val="center"/>
            </w:pPr>
            <w:r>
              <w:rPr>
                <w:rFonts w:hint="eastAsia"/>
                <w:sz w:val="24"/>
              </w:rPr>
              <w:t>8.46</w:t>
            </w:r>
          </w:p>
        </w:tc>
      </w:tr>
      <w:tr w:rsidR="003768CA">
        <w:tc>
          <w:tcPr>
            <w:tcW w:w="1493" w:type="dxa"/>
            <w:vAlign w:val="center"/>
          </w:tcPr>
          <w:p w:rsidR="003768CA" w:rsidRDefault="007529CB">
            <w:pPr>
              <w:jc w:val="center"/>
            </w:pPr>
            <w:r>
              <w:rPr>
                <w:rFonts w:hint="eastAsia"/>
                <w:sz w:val="24"/>
              </w:rPr>
              <w:t>4</w:t>
            </w:r>
          </w:p>
        </w:tc>
        <w:tc>
          <w:tcPr>
            <w:tcW w:w="1493" w:type="dxa"/>
            <w:vAlign w:val="center"/>
          </w:tcPr>
          <w:p w:rsidR="003768CA" w:rsidRDefault="007529CB">
            <w:pPr>
              <w:jc w:val="center"/>
            </w:pPr>
            <w:r>
              <w:rPr>
                <w:rFonts w:hint="eastAsia"/>
                <w:sz w:val="24"/>
              </w:rPr>
              <w:t>071436005</w:t>
            </w:r>
          </w:p>
        </w:tc>
        <w:tc>
          <w:tcPr>
            <w:tcW w:w="1503" w:type="dxa"/>
            <w:vAlign w:val="center"/>
          </w:tcPr>
          <w:p w:rsidR="003768CA" w:rsidRDefault="007529CB">
            <w:pPr>
              <w:jc w:val="center"/>
            </w:pPr>
            <w:r>
              <w:rPr>
                <w:rFonts w:hint="eastAsia"/>
                <w:sz w:val="24"/>
              </w:rPr>
              <w:t>14</w:t>
            </w:r>
            <w:r>
              <w:rPr>
                <w:rFonts w:hint="eastAsia"/>
                <w:sz w:val="24"/>
              </w:rPr>
              <w:t>华安证券</w:t>
            </w:r>
            <w:r>
              <w:rPr>
                <w:rFonts w:hint="eastAsia"/>
                <w:sz w:val="24"/>
              </w:rPr>
              <w:t>CP005</w:t>
            </w:r>
          </w:p>
        </w:tc>
        <w:tc>
          <w:tcPr>
            <w:tcW w:w="1503" w:type="dxa"/>
            <w:vAlign w:val="center"/>
          </w:tcPr>
          <w:p w:rsidR="003768CA" w:rsidRDefault="007529CB">
            <w:pPr>
              <w:jc w:val="center"/>
            </w:pPr>
            <w:r>
              <w:rPr>
                <w:rFonts w:hint="eastAsia"/>
                <w:sz w:val="24"/>
              </w:rPr>
              <w:t>200,000</w:t>
            </w:r>
          </w:p>
        </w:tc>
        <w:tc>
          <w:tcPr>
            <w:tcW w:w="1503" w:type="dxa"/>
            <w:vAlign w:val="center"/>
          </w:tcPr>
          <w:p w:rsidR="003768CA" w:rsidRDefault="007529CB">
            <w:pPr>
              <w:jc w:val="center"/>
            </w:pPr>
            <w:r>
              <w:rPr>
                <w:rFonts w:hint="eastAsia"/>
                <w:sz w:val="24"/>
              </w:rPr>
              <w:t>19,997,703.08</w:t>
            </w:r>
          </w:p>
        </w:tc>
        <w:tc>
          <w:tcPr>
            <w:tcW w:w="1503" w:type="dxa"/>
            <w:vAlign w:val="center"/>
          </w:tcPr>
          <w:p w:rsidR="003768CA" w:rsidRDefault="007529CB">
            <w:pPr>
              <w:jc w:val="center"/>
            </w:pPr>
            <w:r>
              <w:rPr>
                <w:rFonts w:hint="eastAsia"/>
                <w:sz w:val="24"/>
              </w:rPr>
              <w:t>8.46</w:t>
            </w:r>
          </w:p>
        </w:tc>
      </w:tr>
      <w:tr w:rsidR="003768CA">
        <w:tc>
          <w:tcPr>
            <w:tcW w:w="1493" w:type="dxa"/>
            <w:vAlign w:val="center"/>
          </w:tcPr>
          <w:p w:rsidR="003768CA" w:rsidRDefault="007529CB">
            <w:pPr>
              <w:jc w:val="center"/>
            </w:pPr>
            <w:r>
              <w:rPr>
                <w:rFonts w:hint="eastAsia"/>
                <w:sz w:val="24"/>
              </w:rPr>
              <w:t>5</w:t>
            </w:r>
          </w:p>
        </w:tc>
        <w:tc>
          <w:tcPr>
            <w:tcW w:w="1493" w:type="dxa"/>
            <w:vAlign w:val="center"/>
          </w:tcPr>
          <w:p w:rsidR="003768CA" w:rsidRDefault="007529CB">
            <w:pPr>
              <w:jc w:val="center"/>
            </w:pPr>
            <w:r>
              <w:rPr>
                <w:rFonts w:hint="eastAsia"/>
                <w:sz w:val="24"/>
              </w:rPr>
              <w:t>071441003</w:t>
            </w:r>
          </w:p>
        </w:tc>
        <w:tc>
          <w:tcPr>
            <w:tcW w:w="1503" w:type="dxa"/>
            <w:vAlign w:val="center"/>
          </w:tcPr>
          <w:p w:rsidR="003768CA" w:rsidRDefault="007529CB">
            <w:pPr>
              <w:jc w:val="center"/>
            </w:pPr>
            <w:r>
              <w:rPr>
                <w:rFonts w:hint="eastAsia"/>
                <w:sz w:val="24"/>
              </w:rPr>
              <w:t>14</w:t>
            </w:r>
            <w:r>
              <w:rPr>
                <w:rFonts w:hint="eastAsia"/>
                <w:sz w:val="24"/>
              </w:rPr>
              <w:t>恒泰证券</w:t>
            </w:r>
            <w:r>
              <w:rPr>
                <w:rFonts w:hint="eastAsia"/>
                <w:sz w:val="24"/>
              </w:rPr>
              <w:t>CP003</w:t>
            </w:r>
          </w:p>
        </w:tc>
        <w:tc>
          <w:tcPr>
            <w:tcW w:w="1503" w:type="dxa"/>
            <w:vAlign w:val="center"/>
          </w:tcPr>
          <w:p w:rsidR="003768CA" w:rsidRDefault="007529CB">
            <w:pPr>
              <w:jc w:val="center"/>
            </w:pPr>
            <w:r>
              <w:rPr>
                <w:rFonts w:hint="eastAsia"/>
                <w:sz w:val="24"/>
              </w:rPr>
              <w:t>200,000</w:t>
            </w:r>
          </w:p>
        </w:tc>
        <w:tc>
          <w:tcPr>
            <w:tcW w:w="1503" w:type="dxa"/>
            <w:vAlign w:val="center"/>
          </w:tcPr>
          <w:p w:rsidR="003768CA" w:rsidRDefault="007529CB">
            <w:pPr>
              <w:jc w:val="center"/>
            </w:pPr>
            <w:r>
              <w:rPr>
                <w:rFonts w:hint="eastAsia"/>
                <w:sz w:val="24"/>
              </w:rPr>
              <w:t>19,997,632.05</w:t>
            </w:r>
          </w:p>
        </w:tc>
        <w:tc>
          <w:tcPr>
            <w:tcW w:w="1503" w:type="dxa"/>
            <w:vAlign w:val="center"/>
          </w:tcPr>
          <w:p w:rsidR="003768CA" w:rsidRDefault="007529CB">
            <w:pPr>
              <w:jc w:val="center"/>
            </w:pPr>
            <w:r>
              <w:rPr>
                <w:rFonts w:hint="eastAsia"/>
                <w:sz w:val="24"/>
              </w:rPr>
              <w:t>8.46</w:t>
            </w:r>
          </w:p>
        </w:tc>
      </w:tr>
      <w:tr w:rsidR="003768CA">
        <w:tc>
          <w:tcPr>
            <w:tcW w:w="1493" w:type="dxa"/>
            <w:vAlign w:val="center"/>
          </w:tcPr>
          <w:p w:rsidR="003768CA" w:rsidRDefault="007529CB">
            <w:pPr>
              <w:jc w:val="center"/>
            </w:pPr>
            <w:r>
              <w:rPr>
                <w:rFonts w:hint="eastAsia"/>
                <w:sz w:val="24"/>
              </w:rPr>
              <w:t>6</w:t>
            </w:r>
          </w:p>
        </w:tc>
        <w:tc>
          <w:tcPr>
            <w:tcW w:w="1493" w:type="dxa"/>
            <w:vAlign w:val="center"/>
          </w:tcPr>
          <w:p w:rsidR="003768CA" w:rsidRDefault="007529CB">
            <w:pPr>
              <w:jc w:val="center"/>
            </w:pPr>
            <w:r>
              <w:rPr>
                <w:rFonts w:hint="eastAsia"/>
                <w:sz w:val="24"/>
              </w:rPr>
              <w:t>140429</w:t>
            </w:r>
          </w:p>
        </w:tc>
        <w:tc>
          <w:tcPr>
            <w:tcW w:w="1503" w:type="dxa"/>
            <w:vAlign w:val="center"/>
          </w:tcPr>
          <w:p w:rsidR="003768CA" w:rsidRDefault="007529CB">
            <w:pPr>
              <w:jc w:val="center"/>
            </w:pPr>
            <w:r>
              <w:rPr>
                <w:rFonts w:hint="eastAsia"/>
                <w:sz w:val="24"/>
              </w:rPr>
              <w:t>14</w:t>
            </w:r>
            <w:r>
              <w:rPr>
                <w:rFonts w:hint="eastAsia"/>
                <w:sz w:val="24"/>
              </w:rPr>
              <w:t>农发</w:t>
            </w:r>
            <w:r>
              <w:rPr>
                <w:rFonts w:hint="eastAsia"/>
                <w:sz w:val="24"/>
              </w:rPr>
              <w:t>29</w:t>
            </w:r>
          </w:p>
        </w:tc>
        <w:tc>
          <w:tcPr>
            <w:tcW w:w="1503" w:type="dxa"/>
            <w:vAlign w:val="center"/>
          </w:tcPr>
          <w:p w:rsidR="003768CA" w:rsidRDefault="007529CB">
            <w:pPr>
              <w:jc w:val="center"/>
            </w:pPr>
            <w:r>
              <w:rPr>
                <w:rFonts w:hint="eastAsia"/>
                <w:sz w:val="24"/>
              </w:rPr>
              <w:t>150,000</w:t>
            </w:r>
          </w:p>
        </w:tc>
        <w:tc>
          <w:tcPr>
            <w:tcW w:w="1503" w:type="dxa"/>
            <w:vAlign w:val="center"/>
          </w:tcPr>
          <w:p w:rsidR="003768CA" w:rsidRDefault="007529CB">
            <w:pPr>
              <w:jc w:val="center"/>
            </w:pPr>
            <w:r>
              <w:rPr>
                <w:rFonts w:hint="eastAsia"/>
                <w:sz w:val="24"/>
              </w:rPr>
              <w:t>15,045,318.79</w:t>
            </w:r>
          </w:p>
        </w:tc>
        <w:tc>
          <w:tcPr>
            <w:tcW w:w="1503" w:type="dxa"/>
            <w:vAlign w:val="center"/>
          </w:tcPr>
          <w:p w:rsidR="003768CA" w:rsidRDefault="007529CB">
            <w:pPr>
              <w:jc w:val="center"/>
            </w:pPr>
            <w:r>
              <w:rPr>
                <w:rFonts w:hint="eastAsia"/>
                <w:sz w:val="24"/>
              </w:rPr>
              <w:t>6.37</w:t>
            </w:r>
          </w:p>
        </w:tc>
      </w:tr>
      <w:tr w:rsidR="003768CA">
        <w:tc>
          <w:tcPr>
            <w:tcW w:w="1493" w:type="dxa"/>
            <w:vAlign w:val="center"/>
          </w:tcPr>
          <w:p w:rsidR="003768CA" w:rsidRDefault="007529CB">
            <w:pPr>
              <w:jc w:val="center"/>
            </w:pPr>
            <w:r>
              <w:rPr>
                <w:rFonts w:hint="eastAsia"/>
                <w:sz w:val="24"/>
              </w:rPr>
              <w:t>7</w:t>
            </w:r>
          </w:p>
        </w:tc>
        <w:tc>
          <w:tcPr>
            <w:tcW w:w="1493" w:type="dxa"/>
            <w:vAlign w:val="center"/>
          </w:tcPr>
          <w:p w:rsidR="003768CA" w:rsidRDefault="007529CB">
            <w:pPr>
              <w:jc w:val="center"/>
            </w:pPr>
            <w:r>
              <w:rPr>
                <w:rFonts w:hint="eastAsia"/>
                <w:sz w:val="24"/>
              </w:rPr>
              <w:t>041469057</w:t>
            </w:r>
          </w:p>
        </w:tc>
        <w:tc>
          <w:tcPr>
            <w:tcW w:w="1503" w:type="dxa"/>
            <w:vAlign w:val="center"/>
          </w:tcPr>
          <w:p w:rsidR="003768CA" w:rsidRDefault="007529CB">
            <w:pPr>
              <w:jc w:val="center"/>
            </w:pPr>
            <w:r>
              <w:rPr>
                <w:rFonts w:hint="eastAsia"/>
                <w:sz w:val="24"/>
              </w:rPr>
              <w:t>14</w:t>
            </w:r>
            <w:r>
              <w:rPr>
                <w:rFonts w:hint="eastAsia"/>
                <w:sz w:val="24"/>
              </w:rPr>
              <w:t>鲁西化工</w:t>
            </w:r>
            <w:r>
              <w:rPr>
                <w:rFonts w:hint="eastAsia"/>
                <w:sz w:val="24"/>
              </w:rPr>
              <w:t>CP002</w:t>
            </w:r>
          </w:p>
        </w:tc>
        <w:tc>
          <w:tcPr>
            <w:tcW w:w="1503" w:type="dxa"/>
            <w:vAlign w:val="center"/>
          </w:tcPr>
          <w:p w:rsidR="003768CA" w:rsidRDefault="007529CB">
            <w:pPr>
              <w:jc w:val="center"/>
            </w:pPr>
            <w:r>
              <w:rPr>
                <w:rFonts w:hint="eastAsia"/>
                <w:sz w:val="24"/>
              </w:rPr>
              <w:t>150,000</w:t>
            </w:r>
          </w:p>
        </w:tc>
        <w:tc>
          <w:tcPr>
            <w:tcW w:w="1503" w:type="dxa"/>
            <w:vAlign w:val="center"/>
          </w:tcPr>
          <w:p w:rsidR="003768CA" w:rsidRDefault="007529CB">
            <w:pPr>
              <w:jc w:val="center"/>
            </w:pPr>
            <w:r>
              <w:rPr>
                <w:rFonts w:hint="eastAsia"/>
                <w:sz w:val="24"/>
              </w:rPr>
              <w:t>15,000,479.20</w:t>
            </w:r>
          </w:p>
        </w:tc>
        <w:tc>
          <w:tcPr>
            <w:tcW w:w="1503" w:type="dxa"/>
            <w:vAlign w:val="center"/>
          </w:tcPr>
          <w:p w:rsidR="003768CA" w:rsidRDefault="007529CB">
            <w:pPr>
              <w:jc w:val="center"/>
            </w:pPr>
            <w:r>
              <w:rPr>
                <w:rFonts w:hint="eastAsia"/>
                <w:sz w:val="24"/>
              </w:rPr>
              <w:t>6.35</w:t>
            </w:r>
          </w:p>
        </w:tc>
      </w:tr>
      <w:tr w:rsidR="003768CA">
        <w:tc>
          <w:tcPr>
            <w:tcW w:w="1493" w:type="dxa"/>
            <w:vAlign w:val="center"/>
          </w:tcPr>
          <w:p w:rsidR="003768CA" w:rsidRDefault="007529CB">
            <w:pPr>
              <w:jc w:val="center"/>
            </w:pPr>
            <w:r>
              <w:rPr>
                <w:rFonts w:hint="eastAsia"/>
                <w:sz w:val="24"/>
              </w:rPr>
              <w:t>8</w:t>
            </w:r>
          </w:p>
        </w:tc>
        <w:tc>
          <w:tcPr>
            <w:tcW w:w="1493" w:type="dxa"/>
            <w:vAlign w:val="center"/>
          </w:tcPr>
          <w:p w:rsidR="003768CA" w:rsidRDefault="007529CB">
            <w:pPr>
              <w:jc w:val="center"/>
            </w:pPr>
            <w:r>
              <w:rPr>
                <w:rFonts w:hint="eastAsia"/>
                <w:sz w:val="24"/>
              </w:rPr>
              <w:t>041462038</w:t>
            </w:r>
          </w:p>
        </w:tc>
        <w:tc>
          <w:tcPr>
            <w:tcW w:w="1503" w:type="dxa"/>
            <w:vAlign w:val="center"/>
          </w:tcPr>
          <w:p w:rsidR="003768CA" w:rsidRDefault="007529CB">
            <w:pPr>
              <w:jc w:val="center"/>
            </w:pPr>
            <w:r>
              <w:rPr>
                <w:rFonts w:hint="eastAsia"/>
                <w:sz w:val="24"/>
              </w:rPr>
              <w:t>14</w:t>
            </w:r>
            <w:r>
              <w:rPr>
                <w:rFonts w:hint="eastAsia"/>
                <w:sz w:val="24"/>
              </w:rPr>
              <w:t>华谊兄弟</w:t>
            </w:r>
            <w:r>
              <w:rPr>
                <w:rFonts w:hint="eastAsia"/>
                <w:sz w:val="24"/>
              </w:rPr>
              <w:t>CP002</w:t>
            </w:r>
          </w:p>
        </w:tc>
        <w:tc>
          <w:tcPr>
            <w:tcW w:w="1503" w:type="dxa"/>
            <w:vAlign w:val="center"/>
          </w:tcPr>
          <w:p w:rsidR="003768CA" w:rsidRDefault="007529CB">
            <w:pPr>
              <w:jc w:val="center"/>
            </w:pPr>
            <w:r>
              <w:rPr>
                <w:rFonts w:hint="eastAsia"/>
                <w:sz w:val="24"/>
              </w:rPr>
              <w:t>100,000</w:t>
            </w:r>
          </w:p>
        </w:tc>
        <w:tc>
          <w:tcPr>
            <w:tcW w:w="1503" w:type="dxa"/>
            <w:vAlign w:val="center"/>
          </w:tcPr>
          <w:p w:rsidR="003768CA" w:rsidRDefault="007529CB">
            <w:pPr>
              <w:jc w:val="center"/>
            </w:pPr>
            <w:r>
              <w:rPr>
                <w:rFonts w:hint="eastAsia"/>
                <w:sz w:val="24"/>
              </w:rPr>
              <w:t>10,064,683.46</w:t>
            </w:r>
          </w:p>
        </w:tc>
        <w:tc>
          <w:tcPr>
            <w:tcW w:w="1503" w:type="dxa"/>
            <w:vAlign w:val="center"/>
          </w:tcPr>
          <w:p w:rsidR="003768CA" w:rsidRDefault="007529CB">
            <w:pPr>
              <w:jc w:val="center"/>
            </w:pPr>
            <w:r>
              <w:rPr>
                <w:rFonts w:hint="eastAsia"/>
                <w:sz w:val="24"/>
              </w:rPr>
              <w:t>4.26</w:t>
            </w:r>
          </w:p>
        </w:tc>
      </w:tr>
      <w:tr w:rsidR="003768CA">
        <w:tc>
          <w:tcPr>
            <w:tcW w:w="1493" w:type="dxa"/>
            <w:vAlign w:val="center"/>
          </w:tcPr>
          <w:p w:rsidR="003768CA" w:rsidRDefault="007529CB">
            <w:pPr>
              <w:jc w:val="center"/>
            </w:pPr>
            <w:r>
              <w:rPr>
                <w:rFonts w:hint="eastAsia"/>
                <w:sz w:val="24"/>
              </w:rPr>
              <w:t>9</w:t>
            </w:r>
          </w:p>
        </w:tc>
        <w:tc>
          <w:tcPr>
            <w:tcW w:w="1493" w:type="dxa"/>
            <w:vAlign w:val="center"/>
          </w:tcPr>
          <w:p w:rsidR="003768CA" w:rsidRDefault="007529CB">
            <w:pPr>
              <w:jc w:val="center"/>
            </w:pPr>
            <w:r>
              <w:rPr>
                <w:rFonts w:hint="eastAsia"/>
                <w:sz w:val="24"/>
              </w:rPr>
              <w:t>041459044</w:t>
            </w:r>
          </w:p>
        </w:tc>
        <w:tc>
          <w:tcPr>
            <w:tcW w:w="1503" w:type="dxa"/>
            <w:vAlign w:val="center"/>
          </w:tcPr>
          <w:p w:rsidR="003768CA" w:rsidRDefault="007529CB">
            <w:pPr>
              <w:jc w:val="center"/>
            </w:pPr>
            <w:r>
              <w:rPr>
                <w:rFonts w:hint="eastAsia"/>
                <w:sz w:val="24"/>
              </w:rPr>
              <w:t>14</w:t>
            </w:r>
            <w:r>
              <w:rPr>
                <w:rFonts w:hint="eastAsia"/>
                <w:sz w:val="24"/>
              </w:rPr>
              <w:t>青松</w:t>
            </w:r>
            <w:r>
              <w:rPr>
                <w:rFonts w:hint="eastAsia"/>
                <w:sz w:val="24"/>
              </w:rPr>
              <w:t>CP001</w:t>
            </w:r>
          </w:p>
        </w:tc>
        <w:tc>
          <w:tcPr>
            <w:tcW w:w="1503" w:type="dxa"/>
            <w:vAlign w:val="center"/>
          </w:tcPr>
          <w:p w:rsidR="003768CA" w:rsidRDefault="007529CB">
            <w:pPr>
              <w:jc w:val="center"/>
            </w:pPr>
            <w:r>
              <w:rPr>
                <w:rFonts w:hint="eastAsia"/>
                <w:sz w:val="24"/>
              </w:rPr>
              <w:t>100,000</w:t>
            </w:r>
          </w:p>
        </w:tc>
        <w:tc>
          <w:tcPr>
            <w:tcW w:w="1503" w:type="dxa"/>
            <w:vAlign w:val="center"/>
          </w:tcPr>
          <w:p w:rsidR="003768CA" w:rsidRDefault="007529CB">
            <w:pPr>
              <w:jc w:val="center"/>
            </w:pPr>
            <w:r>
              <w:rPr>
                <w:rFonts w:hint="eastAsia"/>
                <w:sz w:val="24"/>
              </w:rPr>
              <w:t>10,038,139.01</w:t>
            </w:r>
          </w:p>
        </w:tc>
        <w:tc>
          <w:tcPr>
            <w:tcW w:w="1503" w:type="dxa"/>
            <w:vAlign w:val="center"/>
          </w:tcPr>
          <w:p w:rsidR="003768CA" w:rsidRDefault="007529CB">
            <w:pPr>
              <w:jc w:val="center"/>
            </w:pPr>
            <w:r>
              <w:rPr>
                <w:rFonts w:hint="eastAsia"/>
                <w:sz w:val="24"/>
              </w:rPr>
              <w:t>4.25</w:t>
            </w:r>
          </w:p>
        </w:tc>
      </w:tr>
      <w:tr w:rsidR="003768CA">
        <w:tc>
          <w:tcPr>
            <w:tcW w:w="1493" w:type="dxa"/>
            <w:vAlign w:val="center"/>
          </w:tcPr>
          <w:p w:rsidR="003768CA" w:rsidRDefault="007529CB">
            <w:pPr>
              <w:jc w:val="center"/>
            </w:pPr>
            <w:r>
              <w:rPr>
                <w:rFonts w:hint="eastAsia"/>
                <w:sz w:val="24"/>
              </w:rPr>
              <w:t>10</w:t>
            </w:r>
          </w:p>
        </w:tc>
        <w:tc>
          <w:tcPr>
            <w:tcW w:w="1493" w:type="dxa"/>
            <w:vAlign w:val="center"/>
          </w:tcPr>
          <w:p w:rsidR="003768CA" w:rsidRDefault="007529CB">
            <w:pPr>
              <w:jc w:val="center"/>
            </w:pPr>
            <w:r>
              <w:rPr>
                <w:rFonts w:hint="eastAsia"/>
                <w:sz w:val="24"/>
              </w:rPr>
              <w:t>041462023</w:t>
            </w:r>
          </w:p>
        </w:tc>
        <w:tc>
          <w:tcPr>
            <w:tcW w:w="1503" w:type="dxa"/>
            <w:vAlign w:val="center"/>
          </w:tcPr>
          <w:p w:rsidR="003768CA" w:rsidRDefault="007529CB">
            <w:pPr>
              <w:jc w:val="center"/>
            </w:pPr>
            <w:r>
              <w:rPr>
                <w:rFonts w:hint="eastAsia"/>
                <w:sz w:val="24"/>
              </w:rPr>
              <w:t>14</w:t>
            </w:r>
            <w:r>
              <w:rPr>
                <w:rFonts w:hint="eastAsia"/>
                <w:sz w:val="24"/>
              </w:rPr>
              <w:t>华谊兄弟</w:t>
            </w:r>
            <w:r>
              <w:rPr>
                <w:rFonts w:hint="eastAsia"/>
                <w:sz w:val="24"/>
              </w:rPr>
              <w:t>CP001</w:t>
            </w:r>
          </w:p>
        </w:tc>
        <w:tc>
          <w:tcPr>
            <w:tcW w:w="1503" w:type="dxa"/>
            <w:vAlign w:val="center"/>
          </w:tcPr>
          <w:p w:rsidR="003768CA" w:rsidRDefault="007529CB">
            <w:pPr>
              <w:jc w:val="center"/>
            </w:pPr>
            <w:r>
              <w:rPr>
                <w:rFonts w:hint="eastAsia"/>
                <w:sz w:val="24"/>
              </w:rPr>
              <w:t>100,000</w:t>
            </w:r>
          </w:p>
        </w:tc>
        <w:tc>
          <w:tcPr>
            <w:tcW w:w="1503" w:type="dxa"/>
            <w:vAlign w:val="center"/>
          </w:tcPr>
          <w:p w:rsidR="003768CA" w:rsidRDefault="007529CB">
            <w:pPr>
              <w:jc w:val="center"/>
            </w:pPr>
            <w:r>
              <w:rPr>
                <w:rFonts w:hint="eastAsia"/>
                <w:sz w:val="24"/>
              </w:rPr>
              <w:t>10,009,063.17</w:t>
            </w:r>
          </w:p>
        </w:tc>
        <w:tc>
          <w:tcPr>
            <w:tcW w:w="1503" w:type="dxa"/>
            <w:vAlign w:val="center"/>
          </w:tcPr>
          <w:p w:rsidR="003768CA" w:rsidRDefault="007529CB">
            <w:pPr>
              <w:jc w:val="center"/>
            </w:pPr>
            <w:r>
              <w:rPr>
                <w:rFonts w:hint="eastAsia"/>
                <w:sz w:val="24"/>
              </w:rPr>
              <w:t>4.24</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8"/>
      <w:r w:rsidRPr="00FB19E8">
        <w:rPr>
          <w:rFonts w:ascii="Times New Roman" w:hAnsi="Times New Roman" w:cs="Times New Roman" w:hint="eastAsia"/>
          <w:kern w:val="0"/>
          <w:szCs w:val="24"/>
        </w:rPr>
        <w:t>8.6</w:t>
      </w:r>
      <w:bookmarkEnd w:id="23"/>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0.1391%</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-0.2393%</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0.0284%</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4" w:name="_Toc331410109"/>
      <w:r w:rsidRPr="00FB19E8">
        <w:rPr>
          <w:rFonts w:ascii="Times New Roman" w:hAnsi="Times New Roman" w:cs="Times New Roman" w:hint="eastAsia"/>
          <w:kern w:val="0"/>
          <w:szCs w:val="24"/>
        </w:rPr>
        <w:t>8.7</w:t>
      </w:r>
      <w:bookmarkEnd w:id="24"/>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Default="006D141C" w:rsidP="005124D4">
      <w:pPr>
        <w:spacing w:before="29" w:line="288" w:lineRule="auto"/>
        <w:jc w:val="left"/>
        <w:rPr>
          <w:kern w:val="0"/>
          <w:sz w:val="24"/>
        </w:rPr>
      </w:pPr>
      <w:r w:rsidRPr="005124D4">
        <w:rPr>
          <w:rFonts w:hint="eastAsia"/>
          <w:kern w:val="0"/>
          <w:sz w:val="24"/>
        </w:rPr>
        <w:t>本基金本报告期末未持有资产支持证券。</w:t>
      </w:r>
    </w:p>
    <w:p w:rsidR="007529CB" w:rsidRPr="00CB1276" w:rsidRDefault="007529CB" w:rsidP="005124D4">
      <w:pPr>
        <w:spacing w:before="29" w:line="288" w:lineRule="auto"/>
        <w:jc w:val="left"/>
        <w:rPr>
          <w:rFonts w:asciiTheme="minorEastAsia" w:eastAsiaTheme="minorEastAsia" w:hAnsiTheme="minorEastAsia" w:cs="宋体"/>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5" w:name="_Toc331410110"/>
      <w:r w:rsidRPr="00FB19E8">
        <w:rPr>
          <w:rFonts w:ascii="Times New Roman" w:hAnsi="Times New Roman" w:cs="Times New Roman" w:hint="eastAsia"/>
          <w:kern w:val="0"/>
          <w:szCs w:val="24"/>
        </w:rPr>
        <w:t xml:space="preserve">8.8 </w:t>
      </w:r>
      <w:r w:rsidRPr="00FB19E8">
        <w:rPr>
          <w:rFonts w:ascii="Times New Roman" w:hAnsi="Times New Roman" w:cs="Times New Roman" w:hint="eastAsia"/>
          <w:kern w:val="0"/>
          <w:szCs w:val="24"/>
        </w:rPr>
        <w:t>投资组合报告附注</w:t>
      </w:r>
      <w:bookmarkEnd w:id="25"/>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704580">
      <w:pPr>
        <w:spacing w:before="29" w:line="288" w:lineRule="auto"/>
        <w:ind w:firstLineChars="200" w:firstLine="480"/>
        <w:rPr>
          <w:color w:val="000000"/>
          <w:sz w:val="24"/>
        </w:rPr>
      </w:pPr>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114CF6" w:rsidRPr="00CB1276" w:rsidRDefault="00114CF6" w:rsidP="00CB1276">
      <w:pPr>
        <w:spacing w:line="360" w:lineRule="auto"/>
        <w:ind w:firstLine="420"/>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b w:val="0"/>
          <w:bCs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2</w:t>
      </w:r>
      <w:r w:rsidRPr="00CC3E04">
        <w:rPr>
          <w:rFonts w:ascii="Times New Roman" w:hAnsi="Times New Roman" w:cs="Times New Roman" w:hint="eastAsia"/>
          <w:b w:val="0"/>
          <w:bCs w:val="0"/>
          <w:szCs w:val="24"/>
        </w:rPr>
        <w:t>本基金报告期每日持有剩余期限小于</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天但剩余存续期超过</w:t>
      </w:r>
      <w:r w:rsidRPr="00CC3E04">
        <w:rPr>
          <w:rFonts w:ascii="Times New Roman" w:hAnsi="Times New Roman" w:cs="Times New Roman" w:hint="eastAsia"/>
          <w:b w:val="0"/>
          <w:bCs w:val="0"/>
          <w:szCs w:val="24"/>
        </w:rPr>
        <w:t>397</w:t>
      </w:r>
      <w:r w:rsidRPr="00CC3E04">
        <w:rPr>
          <w:rFonts w:ascii="Times New Roman" w:hAnsi="Times New Roman" w:cs="Times New Roman" w:hint="eastAsia"/>
          <w:b w:val="0"/>
          <w:bCs w:val="0"/>
          <w:szCs w:val="24"/>
        </w:rPr>
        <w:t>天的浮动利率债券的摊余成本均未超过当日基金资产净值的</w:t>
      </w:r>
      <w:r w:rsidRPr="00CC3E04">
        <w:rPr>
          <w:rFonts w:ascii="Times New Roman" w:hAnsi="Times New Roman" w:cs="Times New Roman" w:hint="eastAsia"/>
          <w:b w:val="0"/>
          <w:bCs w:val="0"/>
          <w:szCs w:val="24"/>
        </w:rPr>
        <w:t>20%</w:t>
      </w:r>
      <w:r w:rsidRPr="00CC3E04">
        <w:rPr>
          <w:rFonts w:ascii="Times New Roman" w:hAnsi="Times New Roman" w:cs="Times New Roman" w:hint="eastAsia"/>
          <w:b w:val="0"/>
          <w:bCs w:val="0"/>
          <w:szCs w:val="24"/>
        </w:rPr>
        <w:t>。</w:t>
      </w:r>
    </w:p>
    <w:p w:rsidR="007529CB" w:rsidRPr="007529CB" w:rsidRDefault="007529CB" w:rsidP="007529CB">
      <w:pPr>
        <w:pStyle w:val="a0"/>
      </w:pPr>
    </w:p>
    <w:p w:rsidR="006D141C" w:rsidRPr="00781B15" w:rsidRDefault="006D141C" w:rsidP="00CB1276">
      <w:pPr>
        <w:spacing w:line="360" w:lineRule="auto"/>
        <w:rPr>
          <w:sz w:val="24"/>
        </w:rPr>
      </w:pPr>
      <w:r w:rsidRPr="00781B15">
        <w:rPr>
          <w:rFonts w:hint="eastAsia"/>
          <w:b/>
          <w:sz w:val="24"/>
        </w:rPr>
        <w:t>8.8.</w:t>
      </w:r>
      <w:r w:rsidR="008A28D4" w:rsidRPr="00781B15">
        <w:rPr>
          <w:rFonts w:hint="eastAsia"/>
          <w:b/>
          <w:sz w:val="24"/>
        </w:rPr>
        <w:t>3</w:t>
      </w:r>
      <w:r w:rsidR="001C2813" w:rsidRPr="00781B15">
        <w:rPr>
          <w:rFonts w:hint="eastAsia"/>
          <w:sz w:val="24"/>
        </w:rPr>
        <w:t>报告期内本基金投资的前十名证券的发行主体除</w:t>
      </w:r>
      <w:r w:rsidR="001C2813" w:rsidRPr="00781B15">
        <w:rPr>
          <w:rFonts w:hint="eastAsia"/>
          <w:sz w:val="24"/>
        </w:rPr>
        <w:t>14</w:t>
      </w:r>
      <w:r w:rsidR="001C2813" w:rsidRPr="00781B15">
        <w:rPr>
          <w:rFonts w:hint="eastAsia"/>
          <w:sz w:val="24"/>
        </w:rPr>
        <w:t>冀水泥</w:t>
      </w:r>
      <w:r w:rsidR="001C2813" w:rsidRPr="00781B15">
        <w:rPr>
          <w:rFonts w:hint="eastAsia"/>
          <w:sz w:val="24"/>
        </w:rPr>
        <w:t>CP001</w:t>
      </w:r>
      <w:r w:rsidR="001C2813" w:rsidRPr="00781B15">
        <w:rPr>
          <w:rFonts w:hint="eastAsia"/>
          <w:sz w:val="24"/>
        </w:rPr>
        <w:t>（证券代码：</w:t>
      </w:r>
      <w:r w:rsidR="001C2813" w:rsidRPr="00781B15">
        <w:rPr>
          <w:rFonts w:hint="eastAsia"/>
          <w:sz w:val="24"/>
        </w:rPr>
        <w:t>041466002</w:t>
      </w:r>
      <w:r w:rsidR="001C2813" w:rsidRPr="00781B15">
        <w:rPr>
          <w:rFonts w:hint="eastAsia"/>
          <w:sz w:val="24"/>
        </w:rPr>
        <w:t>）外，未出现被监管部门立案调查，或在报告编制日前一年内受到公开谴责、处罚的情形。</w:t>
      </w:r>
    </w:p>
    <w:p w:rsidR="003768CA" w:rsidRDefault="007529CB" w:rsidP="00086FC8">
      <w:pPr>
        <w:spacing w:line="360" w:lineRule="auto"/>
        <w:ind w:firstLineChars="250" w:firstLine="600"/>
        <w:rPr>
          <w:sz w:val="24"/>
        </w:rPr>
      </w:pPr>
      <w:r>
        <w:rPr>
          <w:rFonts w:hint="eastAsia"/>
          <w:sz w:val="24"/>
        </w:rPr>
        <w:t>报告期内本基金投资的前十名证券之一</w:t>
      </w:r>
      <w:r>
        <w:rPr>
          <w:rFonts w:hint="eastAsia"/>
          <w:sz w:val="24"/>
        </w:rPr>
        <w:t>14</w:t>
      </w:r>
      <w:r>
        <w:rPr>
          <w:rFonts w:hint="eastAsia"/>
          <w:sz w:val="24"/>
        </w:rPr>
        <w:t>冀水泥</w:t>
      </w:r>
      <w:r>
        <w:rPr>
          <w:rFonts w:hint="eastAsia"/>
          <w:sz w:val="24"/>
        </w:rPr>
        <w:t>CP001</w:t>
      </w:r>
      <w:r>
        <w:rPr>
          <w:rFonts w:hint="eastAsia"/>
          <w:sz w:val="24"/>
        </w:rPr>
        <w:t>（证券代码：</w:t>
      </w:r>
      <w:r>
        <w:rPr>
          <w:rFonts w:hint="eastAsia"/>
          <w:sz w:val="24"/>
        </w:rPr>
        <w:t>041466002</w:t>
      </w:r>
      <w:r>
        <w:rPr>
          <w:rFonts w:hint="eastAsia"/>
          <w:sz w:val="24"/>
        </w:rPr>
        <w:t>）的发行主体冀东水泥于</w:t>
      </w:r>
      <w:r>
        <w:rPr>
          <w:rFonts w:hint="eastAsia"/>
          <w:sz w:val="24"/>
        </w:rPr>
        <w:t>2014</w:t>
      </w:r>
      <w:r>
        <w:rPr>
          <w:rFonts w:hint="eastAsia"/>
          <w:sz w:val="24"/>
        </w:rPr>
        <w:t>年</w:t>
      </w:r>
      <w:r>
        <w:rPr>
          <w:rFonts w:hint="eastAsia"/>
          <w:sz w:val="24"/>
        </w:rPr>
        <w:t>9</w:t>
      </w:r>
      <w:r>
        <w:rPr>
          <w:rFonts w:hint="eastAsia"/>
          <w:sz w:val="24"/>
        </w:rPr>
        <w:t>月</w:t>
      </w:r>
      <w:r>
        <w:rPr>
          <w:rFonts w:hint="eastAsia"/>
          <w:sz w:val="24"/>
        </w:rPr>
        <w:t>11</w:t>
      </w:r>
      <w:r>
        <w:rPr>
          <w:rFonts w:hint="eastAsia"/>
          <w:sz w:val="24"/>
        </w:rPr>
        <w:t>日公告称，唐山冀东水泥股份有限公司的全资子公司冀东水泥吉林有限责任公司被认定存在与具有竞争关系的经营者达成并实施价格垄断协议的行为，因而收到吉林省物价局《行政处罚决定书》。</w:t>
      </w:r>
    </w:p>
    <w:p w:rsidR="003768CA" w:rsidRDefault="007529CB" w:rsidP="00086FC8">
      <w:pPr>
        <w:spacing w:line="360" w:lineRule="auto"/>
        <w:ind w:firstLineChars="250" w:firstLine="600"/>
        <w:rPr>
          <w:sz w:val="24"/>
        </w:rPr>
      </w:pPr>
      <w:r>
        <w:rPr>
          <w:rFonts w:hint="eastAsia"/>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CE77DD" w:rsidRPr="00781B15" w:rsidRDefault="00CE77DD" w:rsidP="00CB1276">
      <w:pPr>
        <w:spacing w:line="360" w:lineRule="auto"/>
        <w:rPr>
          <w:sz w:val="24"/>
        </w:rPr>
      </w:pP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4</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3,337,067.76</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3,337,067.76</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8.8.</w:t>
      </w:r>
      <w:r w:rsidR="008A28D4" w:rsidRPr="00FB19E8">
        <w:rPr>
          <w:rFonts w:ascii="Times New Roman" w:hAnsi="Times New Roman" w:cs="Times New Roman" w:hint="eastAsia"/>
          <w:kern w:val="0"/>
          <w:szCs w:val="24"/>
        </w:rPr>
        <w:t>5</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7529CB">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ook w:val="00A0" w:firstRow="1" w:lastRow="0" w:firstColumn="1" w:lastColumn="0" w:noHBand="0" w:noVBand="0"/>
      </w:tblPr>
      <w:tblGrid>
        <w:gridCol w:w="1691"/>
        <w:gridCol w:w="1091"/>
        <w:gridCol w:w="1424"/>
        <w:gridCol w:w="1529"/>
        <w:gridCol w:w="969"/>
        <w:gridCol w:w="1472"/>
        <w:gridCol w:w="879"/>
      </w:tblGrid>
      <w:tr w:rsidR="00A85DBF" w:rsidRPr="00947C5B" w:rsidTr="00086FC8">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户均持有的基金份额</w:t>
            </w:r>
          </w:p>
        </w:tc>
        <w:tc>
          <w:tcPr>
            <w:tcW w:w="2716"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持有人结构</w:t>
            </w:r>
          </w:p>
        </w:tc>
      </w:tr>
      <w:tr w:rsidR="00A85DBF" w:rsidRPr="00947C5B" w:rsidTr="00086FC8">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086FC8">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086FC8">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60</w:t>
            </w:r>
            <w:r w:rsidRPr="00947C5B">
              <w:rPr>
                <w:szCs w:val="21"/>
              </w:rPr>
              <w:t>天债券</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288</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51,835.52</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237,058.12</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1.59%</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14,691,570.60</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98.41%</w:t>
            </w:r>
          </w:p>
        </w:tc>
      </w:tr>
      <w:tr w:rsidR="00A85DBF" w:rsidRPr="00947C5B" w:rsidTr="00086FC8">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60</w:t>
            </w:r>
            <w:r w:rsidRPr="00947C5B">
              <w:rPr>
                <w:szCs w:val="21"/>
              </w:rPr>
              <w:t>天债券</w:t>
            </w:r>
            <w:r w:rsidRPr="00947C5B">
              <w:rPr>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3</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73,791,091.14</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221,373,273.42</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w:t>
            </w:r>
          </w:p>
        </w:tc>
      </w:tr>
      <w:tr w:rsidR="00A85DBF" w:rsidRPr="00947C5B" w:rsidTr="00086FC8">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291</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812,034.03</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221,610,331.54</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93.78%</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14,691,570.60</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6.22%</w:t>
            </w:r>
          </w:p>
        </w:tc>
      </w:tr>
    </w:tbl>
    <w:p w:rsidR="00A66BB5" w:rsidRPr="00A85DBF" w:rsidRDefault="00A66BB5" w:rsidP="004B36C2">
      <w:pPr>
        <w:spacing w:line="360" w:lineRule="auto"/>
        <w:rPr>
          <w:rFonts w:asciiTheme="minorEastAsia" w:eastAsiaTheme="minorEastAsia" w:hAnsiTheme="minorEastAsia"/>
          <w:szCs w:val="21"/>
        </w:rPr>
      </w:pPr>
    </w:p>
    <w:p w:rsidR="006D141C" w:rsidRDefault="00A66BB5" w:rsidP="00F02139">
      <w:pPr>
        <w:pStyle w:val="20"/>
        <w:spacing w:before="29" w:after="0" w:line="288" w:lineRule="auto"/>
        <w:rPr>
          <w:rFonts w:asciiTheme="minorEastAsia" w:eastAsiaTheme="minorEastAsia" w:hAnsiTheme="minorEastAsia"/>
          <w:szCs w:val="21"/>
        </w:rPr>
      </w:pPr>
      <w:bookmarkStart w:id="30" w:name="_Toc331410113"/>
      <w:r w:rsidRPr="00FB19E8">
        <w:rPr>
          <w:rFonts w:ascii="Times New Roman" w:hAnsi="Times New Roman" w:cs="Times New Roman" w:hint="eastAsia"/>
          <w:kern w:val="0"/>
          <w:szCs w:val="24"/>
        </w:rPr>
        <w:t>9.2</w:t>
      </w:r>
      <w:r w:rsidRPr="00FB19E8">
        <w:rPr>
          <w:rFonts w:ascii="Times New Roman" w:hAnsi="Times New Roman" w:cs="Times New Roman" w:hint="eastAsia"/>
          <w:kern w:val="0"/>
          <w:szCs w:val="24"/>
        </w:rPr>
        <w:t>期末基金管理人的从业人员持有本基金的情况</w:t>
      </w:r>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F02139" w:rsidRPr="00D564C7" w:rsidTr="001B7697">
        <w:trPr>
          <w:trHeight w:val="285"/>
        </w:trPr>
        <w:tc>
          <w:tcPr>
            <w:tcW w:w="2268"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F02139" w:rsidRPr="00640CFF" w:rsidRDefault="00F02139"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F02139" w:rsidRPr="00D564C7" w:rsidTr="001B7697">
        <w:trPr>
          <w:trHeight w:val="285"/>
        </w:trPr>
        <w:tc>
          <w:tcPr>
            <w:tcW w:w="2268" w:type="dxa"/>
            <w:vMerge w:val="restart"/>
            <w:noWrap/>
            <w:vAlign w:val="center"/>
          </w:tcPr>
          <w:p w:rsidR="00F02139" w:rsidRPr="00D0515B" w:rsidRDefault="00F02139" w:rsidP="001B7697">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F02139" w:rsidRPr="00BF1B19" w:rsidRDefault="00F02139" w:rsidP="001B7697">
            <w:pPr>
              <w:spacing w:before="29" w:line="288" w:lineRule="auto"/>
              <w:rPr>
                <w:sz w:val="24"/>
              </w:rPr>
            </w:pPr>
            <w:r w:rsidRPr="00BF1B19">
              <w:rPr>
                <w:rFonts w:hint="eastAsia"/>
                <w:sz w:val="24"/>
              </w:rPr>
              <w:t>交银理财</w:t>
            </w:r>
            <w:r w:rsidRPr="00BF1B19">
              <w:rPr>
                <w:rFonts w:hint="eastAsia"/>
                <w:sz w:val="24"/>
              </w:rPr>
              <w:t>60</w:t>
            </w:r>
            <w:r w:rsidRPr="00BF1B19">
              <w:rPr>
                <w:rFonts w:hint="eastAsia"/>
                <w:sz w:val="24"/>
              </w:rPr>
              <w:t>天债券</w:t>
            </w:r>
            <w:r w:rsidRPr="00BF1B19">
              <w:rPr>
                <w:rFonts w:hint="eastAsia"/>
                <w:sz w:val="24"/>
              </w:rPr>
              <w:t>A</w:t>
            </w:r>
          </w:p>
        </w:tc>
        <w:tc>
          <w:tcPr>
            <w:tcW w:w="2126"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1,061.67</w:t>
            </w:r>
          </w:p>
        </w:tc>
        <w:tc>
          <w:tcPr>
            <w:tcW w:w="1910" w:type="dxa"/>
            <w:noWrap/>
            <w:vAlign w:val="center"/>
          </w:tcPr>
          <w:p w:rsidR="00F02139" w:rsidRPr="00BF1B19" w:rsidRDefault="00F02139" w:rsidP="001B7697">
            <w:pPr>
              <w:widowControl/>
              <w:spacing w:before="29" w:line="288" w:lineRule="auto"/>
              <w:jc w:val="right"/>
              <w:rPr>
                <w:sz w:val="24"/>
              </w:rPr>
            </w:pPr>
            <w:r w:rsidRPr="00BF1B19">
              <w:rPr>
                <w:rFonts w:hint="eastAsia"/>
                <w:sz w:val="24"/>
              </w:rPr>
              <w:t>0.01%</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rPr>
                <w:color w:val="000000"/>
                <w:kern w:val="0"/>
                <w:sz w:val="24"/>
              </w:rPr>
            </w:pPr>
            <w:r w:rsidRPr="00BF1B19">
              <w:rPr>
                <w:rFonts w:hint="eastAsia"/>
                <w:sz w:val="24"/>
              </w:rPr>
              <w:t>交银理财</w:t>
            </w:r>
            <w:r w:rsidRPr="00BF1B19">
              <w:rPr>
                <w:rFonts w:hint="eastAsia"/>
                <w:sz w:val="24"/>
              </w:rPr>
              <w:t>60</w:t>
            </w:r>
            <w:r w:rsidRPr="00BF1B19">
              <w:rPr>
                <w:rFonts w:hint="eastAsia"/>
                <w:sz w:val="24"/>
              </w:rPr>
              <w:t>天债券</w:t>
            </w:r>
            <w:r w:rsidRPr="00BF1B19">
              <w:rPr>
                <w:rFonts w:hint="eastAsia"/>
                <w:sz w:val="24"/>
              </w:rPr>
              <w:t>B</w:t>
            </w:r>
          </w:p>
        </w:tc>
        <w:tc>
          <w:tcPr>
            <w:tcW w:w="2126"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c>
          <w:tcPr>
            <w:tcW w:w="1910" w:type="dxa"/>
            <w:noWrap/>
            <w:vAlign w:val="center"/>
          </w:tcPr>
          <w:p w:rsidR="00F02139" w:rsidRPr="006E3F38" w:rsidRDefault="00F02139" w:rsidP="001B7697">
            <w:pPr>
              <w:widowControl/>
              <w:spacing w:before="29" w:line="288" w:lineRule="auto"/>
              <w:jc w:val="right"/>
              <w:rPr>
                <w:color w:val="000000"/>
                <w:kern w:val="0"/>
                <w:sz w:val="24"/>
              </w:rPr>
            </w:pPr>
            <w:r w:rsidRPr="00BF1B19">
              <w:rPr>
                <w:rFonts w:hint="eastAsia"/>
                <w:sz w:val="24"/>
              </w:rPr>
              <w:t>-</w:t>
            </w:r>
          </w:p>
        </w:tc>
      </w:tr>
      <w:tr w:rsidR="00F02139" w:rsidRPr="00D564C7" w:rsidTr="001B7697">
        <w:trPr>
          <w:trHeight w:val="285"/>
        </w:trPr>
        <w:tc>
          <w:tcPr>
            <w:tcW w:w="2268" w:type="dxa"/>
            <w:vMerge/>
            <w:vAlign w:val="center"/>
          </w:tcPr>
          <w:p w:rsidR="00F02139" w:rsidRPr="00D564C7" w:rsidRDefault="00F02139"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1B7697">
            <w:pPr>
              <w:spacing w:before="29" w:line="288" w:lineRule="auto"/>
              <w:jc w:val="center"/>
              <w:rPr>
                <w:color w:val="000000"/>
                <w:kern w:val="0"/>
                <w:sz w:val="24"/>
              </w:rPr>
            </w:pPr>
            <w:r w:rsidRPr="00BF1B19">
              <w:rPr>
                <w:rFonts w:hint="eastAsia"/>
                <w:sz w:val="24"/>
              </w:rPr>
              <w:t>合计</w:t>
            </w:r>
          </w:p>
        </w:tc>
        <w:tc>
          <w:tcPr>
            <w:tcW w:w="2126"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1,061.67</w:t>
            </w:r>
          </w:p>
        </w:tc>
        <w:tc>
          <w:tcPr>
            <w:tcW w:w="1910" w:type="dxa"/>
            <w:noWrap/>
            <w:vAlign w:val="center"/>
          </w:tcPr>
          <w:p w:rsidR="00F02139" w:rsidRPr="006E3F38" w:rsidRDefault="00F02139" w:rsidP="001B7697">
            <w:pPr>
              <w:spacing w:before="29" w:line="288" w:lineRule="auto"/>
              <w:jc w:val="right"/>
              <w:rPr>
                <w:color w:val="000000"/>
                <w:kern w:val="0"/>
                <w:sz w:val="24"/>
              </w:rPr>
            </w:pPr>
            <w:r w:rsidRPr="00BF1B19">
              <w:rPr>
                <w:rFonts w:hint="eastAsia"/>
                <w:sz w:val="24"/>
              </w:rPr>
              <w:t>0.00%</w:t>
            </w:r>
          </w:p>
        </w:tc>
      </w:tr>
    </w:tbl>
    <w:p w:rsidR="00F02139" w:rsidRPr="00F02139" w:rsidRDefault="00F02139" w:rsidP="004B36C2">
      <w:pPr>
        <w:spacing w:line="360" w:lineRule="auto"/>
        <w:rPr>
          <w:rFonts w:asciiTheme="minorEastAsia" w:eastAsiaTheme="minorEastAsia" w:hAnsiTheme="minorEastAsia"/>
          <w:szCs w:val="21"/>
        </w:rPr>
      </w:pPr>
    </w:p>
    <w:p w:rsidR="00CD1658" w:rsidRPr="00FB19E8" w:rsidRDefault="00CD1658"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9.3</w:t>
      </w:r>
      <w:r w:rsidRPr="00FB19E8">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01"/>
        <w:gridCol w:w="2977"/>
        <w:gridCol w:w="4320"/>
      </w:tblGrid>
      <w:tr w:rsidR="00CD1658" w:rsidRPr="00CF4F4B" w:rsidTr="009D3A6F">
        <w:trPr>
          <w:trHeight w:val="285"/>
        </w:trPr>
        <w:tc>
          <w:tcPr>
            <w:tcW w:w="1701"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项目</w:t>
            </w:r>
          </w:p>
        </w:tc>
        <w:tc>
          <w:tcPr>
            <w:tcW w:w="2977"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份额级别</w:t>
            </w:r>
          </w:p>
        </w:tc>
        <w:tc>
          <w:tcPr>
            <w:tcW w:w="4320"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持有基金份额总量的数量区间（万份）</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本公司高级管理人员、基金投资和研究部门负责人持有本开放式基金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60</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60</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rFonts w:hint="eastAsia"/>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D4A46">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sz w:val="24"/>
              </w:rPr>
              <w:t>0</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本基金基金经理持有本开放式基金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60</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sz w:val="24"/>
              </w:rPr>
              <w:t>0</w:t>
            </w:r>
          </w:p>
        </w:tc>
      </w:tr>
      <w:tr w:rsidR="00CD1658" w:rsidRPr="00CF4F4B" w:rsidTr="009D3A6F">
        <w:trPr>
          <w:trHeight w:val="525"/>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60</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sz w:val="24"/>
              </w:rPr>
              <w:t>0</w:t>
            </w:r>
          </w:p>
        </w:tc>
      </w:tr>
      <w:tr w:rsidR="00CD1658" w:rsidRPr="00CF4F4B" w:rsidTr="009D3A6F">
        <w:trPr>
          <w:trHeight w:val="653"/>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E5ACF">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BD0A02" w:rsidP="005B286F">
            <w:pPr>
              <w:spacing w:before="29" w:line="288" w:lineRule="auto"/>
              <w:jc w:val="right"/>
              <w:rPr>
                <w:sz w:val="24"/>
              </w:rPr>
            </w:pPr>
            <w:r>
              <w:rPr>
                <w:sz w:val="24"/>
              </w:rPr>
              <w:t>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7529CB">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1"/>
      <w:bookmarkEnd w:id="32"/>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02"/>
        <w:gridCol w:w="2678"/>
        <w:gridCol w:w="2680"/>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60</w:t>
            </w:r>
            <w:r w:rsidRPr="0031518D">
              <w:rPr>
                <w:rFonts w:hint="eastAsia"/>
                <w:sz w:val="24"/>
              </w:rPr>
              <w:t>天债券</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60</w:t>
            </w:r>
            <w:r w:rsidRPr="0031518D">
              <w:rPr>
                <w:rFonts w:hint="eastAsia"/>
                <w:sz w:val="24"/>
              </w:rPr>
              <w:t>天债券</w:t>
            </w:r>
            <w:r w:rsidRPr="0031518D">
              <w:rPr>
                <w:rFonts w:hint="eastAsia"/>
                <w:sz w:val="24"/>
              </w:rPr>
              <w:t>B</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2013</w:t>
            </w:r>
            <w:r w:rsidRPr="0031518D">
              <w:rPr>
                <w:rFonts w:hint="eastAsia"/>
                <w:sz w:val="24"/>
              </w:rPr>
              <w:t>年</w:t>
            </w:r>
            <w:r w:rsidRPr="0031518D">
              <w:rPr>
                <w:rFonts w:hint="eastAsia"/>
                <w:sz w:val="24"/>
              </w:rPr>
              <w:t>3</w:t>
            </w:r>
            <w:r w:rsidRPr="0031518D">
              <w:rPr>
                <w:rFonts w:hint="eastAsia"/>
                <w:sz w:val="24"/>
              </w:rPr>
              <w:t>月</w:t>
            </w:r>
            <w:r w:rsidRPr="0031518D">
              <w:rPr>
                <w:rFonts w:hint="eastAsia"/>
                <w:sz w:val="24"/>
              </w:rPr>
              <w:t>13</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756,744,683.05</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21,172,518.09</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37,692,092.20</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50,000,000.00</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7,297,931.65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228,489,085.10</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30,061,395.13</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57,115,811.68</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14,928,628.72</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221,373,273.42</w:t>
            </w:r>
          </w:p>
        </w:tc>
      </w:tr>
    </w:tbl>
    <w:p w:rsidR="003768CA" w:rsidRDefault="007529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r>
        <w:rPr>
          <w:rFonts w:hint="eastAsia"/>
          <w:kern w:val="0"/>
          <w:sz w:val="24"/>
        </w:rPr>
        <w:t xml:space="preserve"> </w:t>
      </w:r>
    </w:p>
    <w:p w:rsidR="00D03082" w:rsidRDefault="00D03082" w:rsidP="005124D4">
      <w:pPr>
        <w:spacing w:before="29" w:line="288" w:lineRule="auto"/>
        <w:jc w:val="left"/>
        <w:rPr>
          <w:kern w:val="0"/>
          <w:sz w:val="24"/>
        </w:rPr>
      </w:pPr>
      <w:r w:rsidRPr="005124D4">
        <w:rPr>
          <w:rFonts w:hint="eastAsia"/>
          <w:kern w:val="0"/>
          <w:sz w:val="24"/>
        </w:rPr>
        <w:t xml:space="preserve">    2</w:t>
      </w:r>
      <w:r w:rsidRPr="005124D4">
        <w:rPr>
          <w:rFonts w:hint="eastAsia"/>
          <w:kern w:val="0"/>
          <w:sz w:val="24"/>
        </w:rPr>
        <w:t>、如果本报告期间发生转换出、份额类别调整业务，则总赎回份额中包含该业务。</w:t>
      </w:r>
    </w:p>
    <w:p w:rsidR="005D5C49" w:rsidRPr="005124D4" w:rsidRDefault="005D5C49" w:rsidP="005124D4">
      <w:pPr>
        <w:spacing w:before="29" w:line="288" w:lineRule="auto"/>
        <w:jc w:val="left"/>
        <w:rPr>
          <w:kern w:val="0"/>
          <w:sz w:val="24"/>
        </w:rPr>
      </w:pPr>
    </w:p>
    <w:p w:rsidR="006D141C" w:rsidRDefault="006D141C" w:rsidP="007529CB">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81565E">
        <w:rPr>
          <w:rFonts w:hint="eastAsia"/>
          <w:b/>
          <w:bCs/>
          <w:szCs w:val="24"/>
          <w:lang w:val="en-US"/>
        </w:rPr>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3"/>
      <w:bookmarkEnd w:id="34"/>
    </w:p>
    <w:p w:rsidR="00C067D3" w:rsidRPr="00C067D3" w:rsidRDefault="00C067D3" w:rsidP="00C067D3"/>
    <w:p w:rsidR="006D141C" w:rsidRPr="00FB19E8" w:rsidRDefault="00EE1CF9" w:rsidP="00FB19E8">
      <w:pPr>
        <w:pStyle w:val="20"/>
        <w:spacing w:before="29" w:after="0" w:line="288" w:lineRule="auto"/>
        <w:rPr>
          <w:rFonts w:ascii="Times New Roman" w:hAnsi="Times New Roman" w:cs="Times New Roman"/>
          <w:kern w:val="0"/>
          <w:szCs w:val="24"/>
        </w:rPr>
      </w:pPr>
      <w:bookmarkStart w:id="35"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5"/>
    </w:p>
    <w:p w:rsidR="006D141C" w:rsidRDefault="006D141C" w:rsidP="0081565E">
      <w:pPr>
        <w:spacing w:before="29" w:line="288" w:lineRule="auto"/>
        <w:ind w:firstLineChars="200" w:firstLine="480"/>
        <w:rPr>
          <w:color w:val="000000"/>
          <w:sz w:val="24"/>
        </w:rPr>
      </w:pPr>
      <w:bookmarkStart w:id="36" w:name="_Toc331410118"/>
      <w:r w:rsidRPr="0081565E">
        <w:rPr>
          <w:rFonts w:hint="eastAsia"/>
          <w:color w:val="000000"/>
          <w:sz w:val="24"/>
        </w:rPr>
        <w:t>本基金本报告期内未召开基金份额持有人大会。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36"/>
    </w:p>
    <w:p w:rsidR="003768CA" w:rsidRPr="00CB3508" w:rsidRDefault="007529CB" w:rsidP="00CB3508">
      <w:pPr>
        <w:widowControl/>
        <w:spacing w:before="29" w:line="288" w:lineRule="auto"/>
        <w:ind w:firstLineChars="200" w:firstLine="480"/>
        <w:rPr>
          <w:kern w:val="0"/>
          <w:sz w:val="24"/>
        </w:rPr>
      </w:pPr>
      <w:r>
        <w:rPr>
          <w:rFonts w:hint="eastAsia"/>
          <w:color w:val="000000"/>
          <w:sz w:val="24"/>
        </w:rPr>
        <w:t>1</w:t>
      </w:r>
      <w:r>
        <w:rPr>
          <w:rFonts w:hint="eastAsia"/>
          <w:color w:val="000000"/>
          <w:sz w:val="24"/>
        </w:rPr>
        <w:t>、基金管理人的重大人事变动：</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rFonts w:hint="eastAsia"/>
          <w:color w:val="000000"/>
          <w:sz w:val="24"/>
        </w:rPr>
        <w:t>90</w:t>
      </w:r>
      <w:r>
        <w:rPr>
          <w:rFonts w:hint="eastAsia"/>
          <w:color w:val="000000"/>
          <w:sz w:val="24"/>
        </w:rPr>
        <w:t>日。</w:t>
      </w:r>
      <w:r w:rsidR="00CB3508">
        <w:rPr>
          <w:rFonts w:ascii="宋体" w:hAnsi="宋体" w:hint="eastAsia"/>
          <w:kern w:val="0"/>
          <w:sz w:val="24"/>
        </w:rPr>
        <w:t>期后变动（如有）敬请关注基金管理人发布的相关公告。</w:t>
      </w:r>
    </w:p>
    <w:p w:rsidR="006D141C" w:rsidRDefault="006D141C" w:rsidP="0081565E">
      <w:pPr>
        <w:spacing w:before="29" w:line="288" w:lineRule="auto"/>
        <w:ind w:firstLineChars="200" w:firstLine="480"/>
        <w:rPr>
          <w:color w:val="000000"/>
          <w:sz w:val="24"/>
        </w:rPr>
      </w:pPr>
      <w:bookmarkStart w:id="37" w:name="_Toc331410119"/>
      <w:r w:rsidRPr="0081565E">
        <w:rPr>
          <w:rFonts w:hint="eastAsia"/>
          <w:color w:val="000000"/>
          <w:sz w:val="24"/>
        </w:rPr>
        <w:t>2</w:t>
      </w:r>
      <w:r w:rsidRPr="0081565E">
        <w:rPr>
          <w:rFonts w:hint="eastAsia"/>
          <w:color w:val="000000"/>
          <w:sz w:val="24"/>
        </w:rPr>
        <w:t>、基金托管人的基金托管部门的重大人事变动：本基金托管人</w:t>
      </w:r>
      <w:r w:rsidRPr="0081565E">
        <w:rPr>
          <w:rFonts w:hint="eastAsia"/>
          <w:color w:val="000000"/>
          <w:sz w:val="24"/>
        </w:rPr>
        <w:t>2014</w:t>
      </w:r>
      <w:r w:rsidRPr="0081565E">
        <w:rPr>
          <w:rFonts w:hint="eastAsia"/>
          <w:color w:val="000000"/>
          <w:sz w:val="24"/>
        </w:rPr>
        <w:t>年</w:t>
      </w:r>
      <w:r w:rsidRPr="0081565E">
        <w:rPr>
          <w:rFonts w:hint="eastAsia"/>
          <w:color w:val="000000"/>
          <w:sz w:val="24"/>
        </w:rPr>
        <w:t>2</w:t>
      </w:r>
      <w:r w:rsidRPr="0081565E">
        <w:rPr>
          <w:rFonts w:hint="eastAsia"/>
          <w:color w:val="000000"/>
          <w:sz w:val="24"/>
        </w:rPr>
        <w:t>月</w:t>
      </w:r>
      <w:r w:rsidRPr="0081565E">
        <w:rPr>
          <w:rFonts w:hint="eastAsia"/>
          <w:color w:val="000000"/>
          <w:sz w:val="24"/>
        </w:rPr>
        <w:t>7</w:t>
      </w:r>
      <w:r w:rsidRPr="0081565E">
        <w:rPr>
          <w:rFonts w:hint="eastAsia"/>
          <w:color w:val="000000"/>
          <w:sz w:val="24"/>
        </w:rPr>
        <w:t>日发布任免通知，解聘尹东中国建设银行投资托管业务部总经理助理职务，并于</w:t>
      </w:r>
      <w:r w:rsidRPr="0081565E">
        <w:rPr>
          <w:rFonts w:hint="eastAsia"/>
          <w:color w:val="000000"/>
          <w:sz w:val="24"/>
        </w:rPr>
        <w:t>2014</w:t>
      </w:r>
      <w:r w:rsidRPr="0081565E">
        <w:rPr>
          <w:rFonts w:hint="eastAsia"/>
          <w:color w:val="000000"/>
          <w:sz w:val="24"/>
        </w:rPr>
        <w:t>年</w:t>
      </w:r>
      <w:r w:rsidRPr="0081565E">
        <w:rPr>
          <w:rFonts w:hint="eastAsia"/>
          <w:color w:val="000000"/>
          <w:sz w:val="24"/>
        </w:rPr>
        <w:t>11</w:t>
      </w:r>
      <w:r w:rsidRPr="0081565E">
        <w:rPr>
          <w:rFonts w:hint="eastAsia"/>
          <w:color w:val="000000"/>
          <w:sz w:val="24"/>
        </w:rPr>
        <w:t>月</w:t>
      </w:r>
      <w:r w:rsidRPr="0081565E">
        <w:rPr>
          <w:rFonts w:hint="eastAsia"/>
          <w:color w:val="000000"/>
          <w:sz w:val="24"/>
        </w:rPr>
        <w:t>3</w:t>
      </w:r>
      <w:r w:rsidRPr="0081565E">
        <w:rPr>
          <w:rFonts w:hint="eastAsia"/>
          <w:color w:val="000000"/>
          <w:sz w:val="24"/>
        </w:rPr>
        <w:t>日发布公告，聘任赵观甫为中国建设银行投资托管业务部总经理。</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37"/>
    </w:p>
    <w:p w:rsidR="006D141C" w:rsidRDefault="006D141C" w:rsidP="0081565E">
      <w:pPr>
        <w:spacing w:before="29" w:line="288" w:lineRule="auto"/>
        <w:ind w:firstLineChars="200" w:firstLine="480"/>
        <w:rPr>
          <w:color w:val="000000"/>
          <w:sz w:val="24"/>
        </w:rPr>
      </w:pPr>
      <w:bookmarkStart w:id="38"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38"/>
    </w:p>
    <w:p w:rsidR="006D141C" w:rsidRDefault="006D141C" w:rsidP="0081565E">
      <w:pPr>
        <w:spacing w:before="29" w:line="288" w:lineRule="auto"/>
        <w:ind w:firstLineChars="200" w:firstLine="480"/>
        <w:rPr>
          <w:color w:val="000000"/>
          <w:sz w:val="24"/>
        </w:rPr>
      </w:pPr>
      <w:bookmarkStart w:id="39"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39"/>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0" w:name="OLE_LINK3"/>
      <w:bookmarkStart w:id="41" w:name="_Toc331410122"/>
      <w:r w:rsidRPr="0081565E">
        <w:rPr>
          <w:rFonts w:hint="eastAsia"/>
          <w:color w:val="000000"/>
          <w:sz w:val="24"/>
        </w:rPr>
        <w:t>本报告期内，为本基金提供审计服务的会计师事务所为普华永道中天会计师事务所（特殊普通合伙），本期审计费用为</w:t>
      </w:r>
      <w:r w:rsidRPr="0081565E">
        <w:rPr>
          <w:rFonts w:hint="eastAsia"/>
          <w:color w:val="000000"/>
          <w:sz w:val="24"/>
        </w:rPr>
        <w:t>40,000.00</w:t>
      </w:r>
      <w:r w:rsidRPr="0081565E">
        <w:rPr>
          <w:rFonts w:hint="eastAsia"/>
          <w:color w:val="000000"/>
          <w:sz w:val="24"/>
        </w:rPr>
        <w:t>元。自本基金基金合同生效以来，本基金未改聘为其审计的会计师事务所。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0"/>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1"/>
    </w:p>
    <w:p w:rsidR="006D141C" w:rsidRDefault="006D141C" w:rsidP="0081565E">
      <w:pPr>
        <w:spacing w:before="29" w:line="288" w:lineRule="auto"/>
        <w:ind w:firstLineChars="200" w:firstLine="480"/>
        <w:rPr>
          <w:color w:val="000000"/>
          <w:sz w:val="24"/>
        </w:rPr>
      </w:pPr>
      <w:bookmarkStart w:id="42" w:name="_Toc331410123"/>
      <w:r w:rsidRPr="0081565E">
        <w:rPr>
          <w:rFonts w:hint="eastAsia"/>
          <w:color w:val="000000"/>
          <w:sz w:val="24"/>
        </w:rPr>
        <w:t>本基金管理人、基金托管人及其高级管理人员本报告期内未受监管部门稽查或处罚。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2"/>
    </w:p>
    <w:p w:rsidR="006D141C" w:rsidRPr="00FB19E8" w:rsidRDefault="00EE1CF9" w:rsidP="00FB19E8">
      <w:pPr>
        <w:pStyle w:val="20"/>
        <w:spacing w:before="29" w:after="0" w:line="288" w:lineRule="auto"/>
        <w:rPr>
          <w:rFonts w:ascii="Times New Roman" w:hAnsi="Times New Roman" w:cs="Times New Roman"/>
          <w:kern w:val="0"/>
          <w:szCs w:val="24"/>
        </w:rPr>
      </w:pPr>
      <w:bookmarkStart w:id="43"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3"/>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4"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3768CA">
        <w:tc>
          <w:tcPr>
            <w:tcW w:w="1286" w:type="dxa"/>
            <w:vAlign w:val="center"/>
          </w:tcPr>
          <w:p w:rsidR="003768CA" w:rsidRDefault="007529CB">
            <w:pPr>
              <w:jc w:val="center"/>
            </w:pPr>
            <w:r>
              <w:rPr>
                <w:rFonts w:hint="eastAsia"/>
                <w:szCs w:val="21"/>
              </w:rPr>
              <w:t>申银万国证券股份有限公司</w:t>
            </w:r>
          </w:p>
        </w:tc>
        <w:tc>
          <w:tcPr>
            <w:tcW w:w="1286" w:type="dxa"/>
            <w:vAlign w:val="center"/>
          </w:tcPr>
          <w:p w:rsidR="003768CA" w:rsidRDefault="007529CB">
            <w:pPr>
              <w:jc w:val="right"/>
            </w:pPr>
            <w:r>
              <w:rPr>
                <w:rFonts w:hint="eastAsia"/>
                <w:szCs w:val="21"/>
              </w:rPr>
              <w:t>1</w:t>
            </w:r>
          </w:p>
        </w:tc>
        <w:tc>
          <w:tcPr>
            <w:tcW w:w="1286"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left"/>
            </w:pPr>
            <w:r>
              <w:rPr>
                <w:rFonts w:hint="eastAsia"/>
                <w:szCs w:val="21"/>
              </w:rPr>
              <w:t>-</w:t>
            </w:r>
          </w:p>
        </w:tc>
      </w:tr>
      <w:tr w:rsidR="003768CA">
        <w:tc>
          <w:tcPr>
            <w:tcW w:w="1286" w:type="dxa"/>
            <w:vAlign w:val="center"/>
          </w:tcPr>
          <w:p w:rsidR="003768CA" w:rsidRDefault="007529CB">
            <w:pPr>
              <w:jc w:val="center"/>
            </w:pPr>
            <w:r>
              <w:rPr>
                <w:rFonts w:hint="eastAsia"/>
                <w:szCs w:val="21"/>
              </w:rPr>
              <w:t>中信建投证券股份有限公司</w:t>
            </w:r>
          </w:p>
        </w:tc>
        <w:tc>
          <w:tcPr>
            <w:tcW w:w="1286" w:type="dxa"/>
            <w:vAlign w:val="center"/>
          </w:tcPr>
          <w:p w:rsidR="003768CA" w:rsidRDefault="007529CB">
            <w:pPr>
              <w:jc w:val="right"/>
            </w:pPr>
            <w:r>
              <w:rPr>
                <w:rFonts w:hint="eastAsia"/>
                <w:szCs w:val="21"/>
              </w:rPr>
              <w:t>1</w:t>
            </w:r>
          </w:p>
        </w:tc>
        <w:tc>
          <w:tcPr>
            <w:tcW w:w="1286"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4"/>
    </w:p>
    <w:p w:rsidR="006D141C" w:rsidRPr="006A1080" w:rsidRDefault="00644AB5" w:rsidP="006A1080">
      <w:pPr>
        <w:spacing w:before="29" w:line="288" w:lineRule="auto"/>
        <w:ind w:right="105"/>
        <w:jc w:val="right"/>
        <w:rPr>
          <w:color w:val="000000"/>
          <w:sz w:val="24"/>
        </w:rPr>
      </w:pPr>
      <w:bookmarkStart w:id="45" w:name="_Toc249707408"/>
      <w:r w:rsidRPr="006A1080">
        <w:rPr>
          <w:rFonts w:hint="eastAsia"/>
          <w:color w:val="000000"/>
          <w:sz w:val="24"/>
        </w:rPr>
        <w:t>金额单位</w:t>
      </w:r>
      <w:r w:rsidR="006D141C" w:rsidRPr="006A1080">
        <w:rPr>
          <w:rFonts w:hint="eastAsia"/>
          <w:color w:val="000000"/>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3768CA">
        <w:tc>
          <w:tcPr>
            <w:tcW w:w="1286" w:type="dxa"/>
            <w:vAlign w:val="center"/>
          </w:tcPr>
          <w:p w:rsidR="003768CA" w:rsidRDefault="007529CB">
            <w:pPr>
              <w:jc w:val="left"/>
            </w:pPr>
            <w:r>
              <w:rPr>
                <w:rFonts w:hint="eastAsia"/>
                <w:szCs w:val="21"/>
              </w:rPr>
              <w:t>申银万国证券股份有限公司</w:t>
            </w:r>
          </w:p>
        </w:tc>
        <w:tc>
          <w:tcPr>
            <w:tcW w:w="1286" w:type="dxa"/>
            <w:vAlign w:val="center"/>
          </w:tcPr>
          <w:p w:rsidR="003768CA" w:rsidRDefault="007529CB">
            <w:pPr>
              <w:jc w:val="right"/>
            </w:pPr>
            <w:r>
              <w:rPr>
                <w:rFonts w:hint="eastAsia"/>
                <w:szCs w:val="21"/>
              </w:rPr>
              <w:t>1,679,651.89</w:t>
            </w:r>
          </w:p>
        </w:tc>
        <w:tc>
          <w:tcPr>
            <w:tcW w:w="1286" w:type="dxa"/>
            <w:vAlign w:val="center"/>
          </w:tcPr>
          <w:p w:rsidR="003768CA" w:rsidRDefault="007529CB">
            <w:pPr>
              <w:jc w:val="right"/>
            </w:pPr>
            <w:r>
              <w:rPr>
                <w:rFonts w:hint="eastAsia"/>
                <w:szCs w:val="21"/>
              </w:rPr>
              <w:t>100.00%</w:t>
            </w:r>
          </w:p>
        </w:tc>
        <w:tc>
          <w:tcPr>
            <w:tcW w:w="1285" w:type="dxa"/>
            <w:vAlign w:val="center"/>
          </w:tcPr>
          <w:p w:rsidR="003768CA" w:rsidRDefault="007529CB">
            <w:pPr>
              <w:jc w:val="right"/>
            </w:pPr>
            <w:r>
              <w:rPr>
                <w:rFonts w:hint="eastAsia"/>
                <w:szCs w:val="21"/>
              </w:rPr>
              <w:t>242,600,000.00</w:t>
            </w:r>
          </w:p>
        </w:tc>
        <w:tc>
          <w:tcPr>
            <w:tcW w:w="1285" w:type="dxa"/>
            <w:vAlign w:val="center"/>
          </w:tcPr>
          <w:p w:rsidR="003768CA" w:rsidRDefault="007529CB">
            <w:pPr>
              <w:jc w:val="right"/>
            </w:pPr>
            <w:r>
              <w:rPr>
                <w:rFonts w:hint="eastAsia"/>
                <w:szCs w:val="21"/>
              </w:rPr>
              <w:t>99.75%</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r>
      <w:tr w:rsidR="003768CA">
        <w:tc>
          <w:tcPr>
            <w:tcW w:w="1286" w:type="dxa"/>
            <w:vAlign w:val="center"/>
          </w:tcPr>
          <w:p w:rsidR="003768CA" w:rsidRDefault="007529CB">
            <w:pPr>
              <w:jc w:val="left"/>
            </w:pPr>
            <w:r>
              <w:rPr>
                <w:rFonts w:hint="eastAsia"/>
                <w:szCs w:val="21"/>
              </w:rPr>
              <w:t>中信建投证券股份有限公司</w:t>
            </w:r>
          </w:p>
        </w:tc>
        <w:tc>
          <w:tcPr>
            <w:tcW w:w="1286" w:type="dxa"/>
            <w:vAlign w:val="center"/>
          </w:tcPr>
          <w:p w:rsidR="003768CA" w:rsidRDefault="007529CB">
            <w:pPr>
              <w:jc w:val="right"/>
            </w:pPr>
            <w:r>
              <w:rPr>
                <w:rFonts w:hint="eastAsia"/>
                <w:szCs w:val="21"/>
              </w:rPr>
              <w:t>-</w:t>
            </w:r>
          </w:p>
        </w:tc>
        <w:tc>
          <w:tcPr>
            <w:tcW w:w="1286"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620,000.00</w:t>
            </w:r>
          </w:p>
        </w:tc>
        <w:tc>
          <w:tcPr>
            <w:tcW w:w="1285" w:type="dxa"/>
            <w:vAlign w:val="center"/>
          </w:tcPr>
          <w:p w:rsidR="003768CA" w:rsidRDefault="007529CB">
            <w:pPr>
              <w:jc w:val="right"/>
            </w:pPr>
            <w:r>
              <w:rPr>
                <w:rFonts w:hint="eastAsia"/>
                <w:szCs w:val="21"/>
              </w:rPr>
              <w:t>0.25%</w:t>
            </w:r>
          </w:p>
        </w:tc>
        <w:tc>
          <w:tcPr>
            <w:tcW w:w="1285" w:type="dxa"/>
            <w:vAlign w:val="center"/>
          </w:tcPr>
          <w:p w:rsidR="003768CA" w:rsidRDefault="007529CB">
            <w:pPr>
              <w:jc w:val="right"/>
            </w:pPr>
            <w:r>
              <w:rPr>
                <w:rFonts w:hint="eastAsia"/>
                <w:szCs w:val="21"/>
              </w:rPr>
              <w:t>-</w:t>
            </w:r>
          </w:p>
        </w:tc>
        <w:tc>
          <w:tcPr>
            <w:tcW w:w="1285" w:type="dxa"/>
            <w:vAlign w:val="center"/>
          </w:tcPr>
          <w:p w:rsidR="003768CA" w:rsidRDefault="007529CB">
            <w:pPr>
              <w:jc w:val="right"/>
            </w:pPr>
            <w:r>
              <w:rPr>
                <w:rFonts w:hint="eastAsia"/>
                <w:szCs w:val="21"/>
              </w:rPr>
              <w:t>-</w:t>
            </w:r>
          </w:p>
        </w:tc>
      </w:tr>
    </w:tbl>
    <w:p w:rsidR="003768CA" w:rsidRDefault="007529CB">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3768CA" w:rsidRDefault="007529CB">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6D141C"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Default="00444BE7" w:rsidP="005124D4">
      <w:pPr>
        <w:spacing w:before="29" w:line="288" w:lineRule="auto"/>
        <w:jc w:val="left"/>
        <w:rPr>
          <w:kern w:val="0"/>
          <w:sz w:val="24"/>
        </w:rPr>
      </w:pPr>
    </w:p>
    <w:p w:rsidR="00AE30BC" w:rsidRDefault="00AE30BC" w:rsidP="005124D4">
      <w:pPr>
        <w:spacing w:before="29" w:line="288" w:lineRule="auto"/>
        <w:jc w:val="left"/>
        <w:rPr>
          <w:kern w:val="0"/>
          <w:sz w:val="24"/>
        </w:rPr>
      </w:pPr>
    </w:p>
    <w:p w:rsidR="00AE30BC" w:rsidRDefault="00AE30BC" w:rsidP="005124D4">
      <w:pPr>
        <w:spacing w:before="29" w:line="288" w:lineRule="auto"/>
        <w:jc w:val="left"/>
        <w:rPr>
          <w:kern w:val="0"/>
          <w:sz w:val="24"/>
        </w:rPr>
      </w:pPr>
    </w:p>
    <w:p w:rsidR="00AE30BC" w:rsidRDefault="00AE30BC" w:rsidP="005124D4">
      <w:pPr>
        <w:spacing w:before="29" w:line="288" w:lineRule="auto"/>
        <w:jc w:val="left"/>
        <w:rPr>
          <w:kern w:val="0"/>
          <w:sz w:val="24"/>
        </w:rPr>
      </w:pPr>
    </w:p>
    <w:p w:rsidR="00AE30BC" w:rsidRDefault="00AE30BC" w:rsidP="005124D4">
      <w:pPr>
        <w:spacing w:before="29" w:line="288" w:lineRule="auto"/>
        <w:jc w:val="left"/>
        <w:rPr>
          <w:kern w:val="0"/>
          <w:sz w:val="24"/>
        </w:rPr>
      </w:pPr>
    </w:p>
    <w:p w:rsidR="00AE30BC" w:rsidRPr="005124D4" w:rsidRDefault="00AE30BC" w:rsidP="005124D4">
      <w:pPr>
        <w:spacing w:before="29" w:line="288" w:lineRule="auto"/>
        <w:jc w:val="left"/>
        <w:rPr>
          <w:kern w:val="0"/>
          <w:sz w:val="24"/>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二〇一五年三月三十一日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30" w:rsidRDefault="00483830">
      <w:r>
        <w:separator/>
      </w:r>
    </w:p>
  </w:endnote>
  <w:endnote w:type="continuationSeparator" w:id="0">
    <w:p w:rsidR="00483830" w:rsidRDefault="0048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3768CA" w:rsidP="00C03B3A">
    <w:pPr>
      <w:pStyle w:val="a6"/>
      <w:framePr w:wrap="around" w:vAnchor="text" w:hAnchor="margin" w:xAlign="right" w:y="1"/>
      <w:rPr>
        <w:rStyle w:val="a7"/>
      </w:rPr>
    </w:pPr>
    <w:r>
      <w:rPr>
        <w:rStyle w:val="a7"/>
      </w:rPr>
      <w:fldChar w:fldCharType="begin"/>
    </w:r>
    <w:r w:rsidR="00654D9C">
      <w:rPr>
        <w:rStyle w:val="a7"/>
      </w:rPr>
      <w:instrText xml:space="preserve">PAGE  </w:instrText>
    </w:r>
    <w:r>
      <w:rPr>
        <w:rStyle w:val="a7"/>
      </w:rPr>
      <w:fldChar w:fldCharType="end"/>
    </w:r>
  </w:p>
  <w:p w:rsidR="00654D9C" w:rsidRDefault="00654D9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Default="00654D9C" w:rsidP="00C03B3A">
    <w:pPr>
      <w:pStyle w:val="a6"/>
      <w:ind w:right="360"/>
      <w:jc w:val="center"/>
    </w:pPr>
    <w:r>
      <w:rPr>
        <w:rFonts w:hint="eastAsia"/>
        <w:kern w:val="0"/>
        <w:szCs w:val="21"/>
      </w:rPr>
      <w:t>第</w:t>
    </w:r>
    <w:r w:rsidR="00D136FA">
      <w:rPr>
        <w:rFonts w:hint="eastAsia"/>
        <w:kern w:val="0"/>
        <w:szCs w:val="21"/>
      </w:rPr>
      <w:t xml:space="preserve"> </w:t>
    </w:r>
    <w:r w:rsidR="003768CA">
      <w:rPr>
        <w:kern w:val="0"/>
        <w:szCs w:val="21"/>
      </w:rPr>
      <w:fldChar w:fldCharType="begin"/>
    </w:r>
    <w:r>
      <w:rPr>
        <w:kern w:val="0"/>
        <w:szCs w:val="21"/>
      </w:rPr>
      <w:instrText xml:space="preserve"> PAGE </w:instrText>
    </w:r>
    <w:r w:rsidR="003768CA">
      <w:rPr>
        <w:kern w:val="0"/>
        <w:szCs w:val="21"/>
      </w:rPr>
      <w:fldChar w:fldCharType="separate"/>
    </w:r>
    <w:r w:rsidR="00F224A0">
      <w:rPr>
        <w:noProof/>
        <w:kern w:val="0"/>
        <w:szCs w:val="21"/>
      </w:rPr>
      <w:t>11</w:t>
    </w:r>
    <w:r w:rsidR="003768CA">
      <w:rPr>
        <w:kern w:val="0"/>
        <w:szCs w:val="21"/>
      </w:rPr>
      <w:fldChar w:fldCharType="end"/>
    </w:r>
    <w:r w:rsidR="00D136FA">
      <w:rPr>
        <w:rFonts w:hint="eastAsia"/>
        <w:kern w:val="0"/>
        <w:szCs w:val="21"/>
      </w:rPr>
      <w:t xml:space="preserve"> </w:t>
    </w:r>
    <w:r>
      <w:rPr>
        <w:rFonts w:hint="eastAsia"/>
        <w:kern w:val="0"/>
        <w:szCs w:val="21"/>
      </w:rPr>
      <w:t>页</w:t>
    </w:r>
    <w:r w:rsidR="00D136FA">
      <w:rPr>
        <w:rFonts w:hint="eastAsia"/>
        <w:kern w:val="0"/>
        <w:szCs w:val="21"/>
      </w:rPr>
      <w:t xml:space="preserve"> </w:t>
    </w:r>
    <w:r>
      <w:rPr>
        <w:rFonts w:hint="eastAsia"/>
        <w:kern w:val="0"/>
        <w:szCs w:val="21"/>
      </w:rPr>
      <w:t>共</w:t>
    </w:r>
    <w:r w:rsidR="00D136FA">
      <w:rPr>
        <w:rFonts w:hint="eastAsia"/>
        <w:kern w:val="0"/>
        <w:szCs w:val="21"/>
      </w:rPr>
      <w:t xml:space="preserve"> </w:t>
    </w:r>
    <w:r w:rsidR="003768CA">
      <w:rPr>
        <w:kern w:val="0"/>
        <w:szCs w:val="21"/>
      </w:rPr>
      <w:fldChar w:fldCharType="begin"/>
    </w:r>
    <w:r>
      <w:rPr>
        <w:kern w:val="0"/>
        <w:szCs w:val="21"/>
      </w:rPr>
      <w:instrText xml:space="preserve"> NUMPAGES </w:instrText>
    </w:r>
    <w:r w:rsidR="003768CA">
      <w:rPr>
        <w:kern w:val="0"/>
        <w:szCs w:val="21"/>
      </w:rPr>
      <w:fldChar w:fldCharType="separate"/>
    </w:r>
    <w:r w:rsidR="00F224A0">
      <w:rPr>
        <w:noProof/>
        <w:kern w:val="0"/>
        <w:szCs w:val="21"/>
      </w:rPr>
      <w:t>33</w:t>
    </w:r>
    <w:r w:rsidR="003768CA">
      <w:rPr>
        <w:kern w:val="0"/>
        <w:szCs w:val="21"/>
      </w:rPr>
      <w:fldChar w:fldCharType="end"/>
    </w:r>
    <w:r w:rsidR="00D136FA">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30" w:rsidRDefault="00483830">
      <w:r>
        <w:separator/>
      </w:r>
    </w:p>
  </w:footnote>
  <w:footnote w:type="continuationSeparator" w:id="0">
    <w:p w:rsidR="00483830" w:rsidRDefault="00483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D9C" w:rsidRPr="00F163BF" w:rsidRDefault="00654D9C" w:rsidP="00B56BD2">
    <w:pPr>
      <w:pStyle w:val="a9"/>
      <w:pBdr>
        <w:bottom w:val="single" w:sz="6" w:space="0" w:color="auto"/>
      </w:pBdr>
      <w:jc w:val="right"/>
    </w:pPr>
    <w:r w:rsidRPr="004D2C6A">
      <w:rPr>
        <w:rFonts w:hint="eastAsia"/>
        <w:noProof/>
        <w:sz w:val="21"/>
        <w:szCs w:val="21"/>
      </w:rPr>
      <w:drawing>
        <wp:anchor distT="0" distB="0" distL="114300" distR="114300" simplePos="0" relativeHeight="251659264" behindDoc="0" locked="0" layoutInCell="1" allowOverlap="1">
          <wp:simplePos x="0" y="0"/>
          <wp:positionH relativeFrom="column">
            <wp:posOffset>-3283</wp:posOffset>
          </wp:positionH>
          <wp:positionV relativeFrom="paragraph">
            <wp:posOffset>-307472</wp:posOffset>
          </wp:positionV>
          <wp:extent cx="2087593"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346A"/>
    <w:rsid w:val="000534CD"/>
    <w:rsid w:val="00053EED"/>
    <w:rsid w:val="00054067"/>
    <w:rsid w:val="0005448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6FC8"/>
    <w:rsid w:val="00087011"/>
    <w:rsid w:val="000874BC"/>
    <w:rsid w:val="00087CF7"/>
    <w:rsid w:val="00087D8D"/>
    <w:rsid w:val="0009000C"/>
    <w:rsid w:val="000908ED"/>
    <w:rsid w:val="0009091B"/>
    <w:rsid w:val="0009142E"/>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AE2"/>
    <w:rsid w:val="00190E27"/>
    <w:rsid w:val="0019215E"/>
    <w:rsid w:val="0019272B"/>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D7"/>
    <w:rsid w:val="00254AC8"/>
    <w:rsid w:val="00254DA8"/>
    <w:rsid w:val="00255292"/>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300951"/>
    <w:rsid w:val="0030097B"/>
    <w:rsid w:val="00300E8A"/>
    <w:rsid w:val="003023C9"/>
    <w:rsid w:val="00302CA8"/>
    <w:rsid w:val="00302DE9"/>
    <w:rsid w:val="003046A6"/>
    <w:rsid w:val="00304860"/>
    <w:rsid w:val="00304E23"/>
    <w:rsid w:val="00305084"/>
    <w:rsid w:val="00306408"/>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8CA"/>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E3D"/>
    <w:rsid w:val="00395CAA"/>
    <w:rsid w:val="00396588"/>
    <w:rsid w:val="00396863"/>
    <w:rsid w:val="00397156"/>
    <w:rsid w:val="00397960"/>
    <w:rsid w:val="003A0030"/>
    <w:rsid w:val="003A0663"/>
    <w:rsid w:val="003A0E36"/>
    <w:rsid w:val="003A12AE"/>
    <w:rsid w:val="003A1FE0"/>
    <w:rsid w:val="003A28C8"/>
    <w:rsid w:val="003A3BC4"/>
    <w:rsid w:val="003A458A"/>
    <w:rsid w:val="003A4FE2"/>
    <w:rsid w:val="003A551D"/>
    <w:rsid w:val="003A5628"/>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2795D"/>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5165"/>
    <w:rsid w:val="00455F9A"/>
    <w:rsid w:val="00457804"/>
    <w:rsid w:val="00460672"/>
    <w:rsid w:val="00460AEF"/>
    <w:rsid w:val="00460C52"/>
    <w:rsid w:val="00460FCA"/>
    <w:rsid w:val="00462279"/>
    <w:rsid w:val="004646BF"/>
    <w:rsid w:val="00464744"/>
    <w:rsid w:val="004665E3"/>
    <w:rsid w:val="0046760F"/>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830"/>
    <w:rsid w:val="00483ECB"/>
    <w:rsid w:val="00483F72"/>
    <w:rsid w:val="00485215"/>
    <w:rsid w:val="00485340"/>
    <w:rsid w:val="00485680"/>
    <w:rsid w:val="0048587E"/>
    <w:rsid w:val="00487AB1"/>
    <w:rsid w:val="00487C2B"/>
    <w:rsid w:val="00487D4C"/>
    <w:rsid w:val="004900FF"/>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E6D"/>
    <w:rsid w:val="004B0FE5"/>
    <w:rsid w:val="004B16E8"/>
    <w:rsid w:val="004B171B"/>
    <w:rsid w:val="004B2CA5"/>
    <w:rsid w:val="004B36C2"/>
    <w:rsid w:val="004B3D72"/>
    <w:rsid w:val="004B412E"/>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B3E"/>
    <w:rsid w:val="004E5990"/>
    <w:rsid w:val="004E5EDB"/>
    <w:rsid w:val="004E60FB"/>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602"/>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2B7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295"/>
    <w:rsid w:val="00706C1F"/>
    <w:rsid w:val="00706EA3"/>
    <w:rsid w:val="007078BE"/>
    <w:rsid w:val="00710BF6"/>
    <w:rsid w:val="007112BE"/>
    <w:rsid w:val="00711522"/>
    <w:rsid w:val="007118A6"/>
    <w:rsid w:val="00711C48"/>
    <w:rsid w:val="007124FE"/>
    <w:rsid w:val="00712533"/>
    <w:rsid w:val="0071300D"/>
    <w:rsid w:val="00713186"/>
    <w:rsid w:val="00713757"/>
    <w:rsid w:val="00713758"/>
    <w:rsid w:val="007137D8"/>
    <w:rsid w:val="00714064"/>
    <w:rsid w:val="0071409E"/>
    <w:rsid w:val="00715B63"/>
    <w:rsid w:val="00716B1B"/>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29CB"/>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156E"/>
    <w:rsid w:val="007F1595"/>
    <w:rsid w:val="007F1CF3"/>
    <w:rsid w:val="007F25C0"/>
    <w:rsid w:val="007F30BB"/>
    <w:rsid w:val="007F32F0"/>
    <w:rsid w:val="007F564B"/>
    <w:rsid w:val="007F5F52"/>
    <w:rsid w:val="007F672A"/>
    <w:rsid w:val="007F6A1D"/>
    <w:rsid w:val="007F77C6"/>
    <w:rsid w:val="007F79D4"/>
    <w:rsid w:val="008003A1"/>
    <w:rsid w:val="008006B7"/>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6671"/>
    <w:rsid w:val="00957466"/>
    <w:rsid w:val="009576F7"/>
    <w:rsid w:val="00960722"/>
    <w:rsid w:val="00961356"/>
    <w:rsid w:val="00962401"/>
    <w:rsid w:val="00962510"/>
    <w:rsid w:val="0096260B"/>
    <w:rsid w:val="0096275C"/>
    <w:rsid w:val="009627FF"/>
    <w:rsid w:val="00962A27"/>
    <w:rsid w:val="00962B9D"/>
    <w:rsid w:val="00962EDC"/>
    <w:rsid w:val="009631D5"/>
    <w:rsid w:val="00964E3D"/>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2CAC"/>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6F9"/>
    <w:rsid w:val="00A947AA"/>
    <w:rsid w:val="00A94888"/>
    <w:rsid w:val="00A9645D"/>
    <w:rsid w:val="00A9681C"/>
    <w:rsid w:val="00A96867"/>
    <w:rsid w:val="00A96B3D"/>
    <w:rsid w:val="00A96CD0"/>
    <w:rsid w:val="00AA0467"/>
    <w:rsid w:val="00AA1B53"/>
    <w:rsid w:val="00AA1DEA"/>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0BC"/>
    <w:rsid w:val="00AE37ED"/>
    <w:rsid w:val="00AE3A4F"/>
    <w:rsid w:val="00AE3E30"/>
    <w:rsid w:val="00AE4518"/>
    <w:rsid w:val="00AE5D7F"/>
    <w:rsid w:val="00AE79F0"/>
    <w:rsid w:val="00AF07B0"/>
    <w:rsid w:val="00AF0FAB"/>
    <w:rsid w:val="00AF109C"/>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A02"/>
    <w:rsid w:val="00BD0ECF"/>
    <w:rsid w:val="00BD2220"/>
    <w:rsid w:val="00BD2C2E"/>
    <w:rsid w:val="00BD30C8"/>
    <w:rsid w:val="00BD38F4"/>
    <w:rsid w:val="00BD3B22"/>
    <w:rsid w:val="00BD3EB4"/>
    <w:rsid w:val="00BD4C5B"/>
    <w:rsid w:val="00BD5359"/>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71BF"/>
    <w:rsid w:val="00C371C9"/>
    <w:rsid w:val="00C37434"/>
    <w:rsid w:val="00C37752"/>
    <w:rsid w:val="00C379E9"/>
    <w:rsid w:val="00C403CD"/>
    <w:rsid w:val="00C42041"/>
    <w:rsid w:val="00C43934"/>
    <w:rsid w:val="00C439FB"/>
    <w:rsid w:val="00C43AA8"/>
    <w:rsid w:val="00C43F23"/>
    <w:rsid w:val="00C441A4"/>
    <w:rsid w:val="00C44D1B"/>
    <w:rsid w:val="00C463C9"/>
    <w:rsid w:val="00C46A0B"/>
    <w:rsid w:val="00C47648"/>
    <w:rsid w:val="00C47852"/>
    <w:rsid w:val="00C47C29"/>
    <w:rsid w:val="00C50011"/>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1276"/>
    <w:rsid w:val="00CB1E4B"/>
    <w:rsid w:val="00CB21C1"/>
    <w:rsid w:val="00CB259F"/>
    <w:rsid w:val="00CB3137"/>
    <w:rsid w:val="00CB3508"/>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D04"/>
    <w:rsid w:val="00D504B9"/>
    <w:rsid w:val="00D5056A"/>
    <w:rsid w:val="00D50DCD"/>
    <w:rsid w:val="00D510A0"/>
    <w:rsid w:val="00D522CB"/>
    <w:rsid w:val="00D527EE"/>
    <w:rsid w:val="00D529C4"/>
    <w:rsid w:val="00D53929"/>
    <w:rsid w:val="00D539D0"/>
    <w:rsid w:val="00D53F11"/>
    <w:rsid w:val="00D540DC"/>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6443"/>
    <w:rsid w:val="00DA6B5E"/>
    <w:rsid w:val="00DA7068"/>
    <w:rsid w:val="00DA7146"/>
    <w:rsid w:val="00DA716A"/>
    <w:rsid w:val="00DA7531"/>
    <w:rsid w:val="00DA78ED"/>
    <w:rsid w:val="00DA7B82"/>
    <w:rsid w:val="00DB1F4F"/>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116"/>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96D43"/>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1A0B"/>
    <w:rsid w:val="00ED1EF0"/>
    <w:rsid w:val="00ED27DD"/>
    <w:rsid w:val="00ED3706"/>
    <w:rsid w:val="00ED5162"/>
    <w:rsid w:val="00ED5669"/>
    <w:rsid w:val="00ED697C"/>
    <w:rsid w:val="00ED69D3"/>
    <w:rsid w:val="00EE06CA"/>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4A0"/>
    <w:rsid w:val="00F2285F"/>
    <w:rsid w:val="00F22C7B"/>
    <w:rsid w:val="00F23155"/>
    <w:rsid w:val="00F23EE4"/>
    <w:rsid w:val="00F24236"/>
    <w:rsid w:val="00F24E0E"/>
    <w:rsid w:val="00F25707"/>
    <w:rsid w:val="00F25AE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CA1"/>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D5CDE99-B2C5-4634-92A3-172198F4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31651394">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19295701">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001F2-7F54-4701-B24C-B03C42D0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16167</Words>
  <Characters>6421</Characters>
  <Application>Microsoft Office Word</Application>
  <DocSecurity>0</DocSecurity>
  <Lines>53</Lines>
  <Paragraphs>45</Paragraphs>
  <ScaleCrop>false</ScaleCrop>
  <Company/>
  <LinksUpToDate>false</LinksUpToDate>
  <CharactersWithSpaces>22543</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王晚婷</cp:lastModifiedBy>
  <cp:revision>13</cp:revision>
  <cp:lastPrinted>2007-07-19T00:46:00Z</cp:lastPrinted>
  <dcterms:created xsi:type="dcterms:W3CDTF">2015-03-27T10:47:00Z</dcterms:created>
  <dcterms:modified xsi:type="dcterms:W3CDTF">2015-03-27T12:59:00Z</dcterms:modified>
</cp:coreProperties>
</file>