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bookmarkStart w:id="0" w:name="_GoBack"/>
      <w:bookmarkEnd w:id="0"/>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22D37" w:rsidRDefault="001A59F9" w:rsidP="00A66C69">
      <w:pPr>
        <w:spacing w:before="29" w:line="288" w:lineRule="auto"/>
        <w:jc w:val="center"/>
        <w:rPr>
          <w:b/>
          <w:sz w:val="36"/>
          <w:szCs w:val="36"/>
        </w:rPr>
      </w:pPr>
      <w:bookmarkStart w:id="1" w:name="_Toc361324840"/>
      <w:r w:rsidRPr="00922D37">
        <w:rPr>
          <w:b/>
          <w:sz w:val="36"/>
          <w:szCs w:val="36"/>
        </w:rPr>
        <w:t>交银施罗德荣祥保本混合型证券投资基金</w:t>
      </w:r>
      <w:bookmarkEnd w:id="1"/>
    </w:p>
    <w:p w:rsidR="001A59F9" w:rsidRPr="00922D37" w:rsidRDefault="001A59F9" w:rsidP="00A66C69">
      <w:pPr>
        <w:spacing w:before="29" w:line="288" w:lineRule="auto"/>
        <w:jc w:val="center"/>
        <w:rPr>
          <w:b/>
          <w:sz w:val="36"/>
          <w:szCs w:val="36"/>
        </w:rPr>
      </w:pPr>
      <w:bookmarkStart w:id="2" w:name="_Toc361324841"/>
      <w:r w:rsidRPr="00922D37">
        <w:rPr>
          <w:b/>
          <w:sz w:val="36"/>
          <w:szCs w:val="36"/>
        </w:rPr>
        <w:t>2014</w:t>
      </w:r>
      <w:r w:rsidRPr="00922D37">
        <w:rPr>
          <w:b/>
          <w:sz w:val="36"/>
          <w:szCs w:val="36"/>
        </w:rPr>
        <w:t>年年度报告</w:t>
      </w:r>
      <w:bookmarkEnd w:id="2"/>
      <w:r w:rsidR="005961DD" w:rsidRPr="00922D37">
        <w:rPr>
          <w:rFonts w:hint="eastAsia"/>
          <w:b/>
          <w:sz w:val="36"/>
          <w:szCs w:val="36"/>
        </w:rPr>
        <w:t>摘要</w:t>
      </w:r>
    </w:p>
    <w:p w:rsidR="001A59F9" w:rsidRPr="00922D37" w:rsidRDefault="00F64FAD" w:rsidP="00A66C69">
      <w:pPr>
        <w:spacing w:before="29" w:line="288" w:lineRule="auto"/>
        <w:jc w:val="center"/>
        <w:rPr>
          <w:b/>
          <w:sz w:val="36"/>
          <w:szCs w:val="36"/>
        </w:rPr>
      </w:pPr>
      <w:r w:rsidRPr="00922D37">
        <w:rPr>
          <w:b/>
          <w:sz w:val="36"/>
          <w:szCs w:val="36"/>
        </w:rPr>
        <w:t>2014</w:t>
      </w:r>
      <w:r w:rsidRPr="00922D37">
        <w:rPr>
          <w:b/>
          <w:sz w:val="36"/>
          <w:szCs w:val="36"/>
        </w:rPr>
        <w:t>年</w:t>
      </w:r>
      <w:r w:rsidRPr="00922D37">
        <w:rPr>
          <w:b/>
          <w:sz w:val="36"/>
          <w:szCs w:val="36"/>
        </w:rPr>
        <w:t>12</w:t>
      </w:r>
      <w:r w:rsidRPr="00922D37">
        <w:rPr>
          <w:b/>
          <w:sz w:val="36"/>
          <w:szCs w:val="36"/>
        </w:rPr>
        <w:t>月</w:t>
      </w:r>
      <w:r w:rsidRPr="00922D37">
        <w:rPr>
          <w:b/>
          <w:sz w:val="36"/>
          <w:szCs w:val="36"/>
        </w:rPr>
        <w:t>31</w:t>
      </w:r>
      <w:r w:rsidRPr="00922D37">
        <w:rPr>
          <w:b/>
          <w:sz w:val="36"/>
          <w:szCs w:val="36"/>
        </w:rPr>
        <w:t>日</w:t>
      </w:r>
    </w:p>
    <w:p w:rsidR="001A59F9" w:rsidRPr="00C51C77" w:rsidRDefault="001A59F9" w:rsidP="00922D37">
      <w:pPr>
        <w:spacing w:before="29" w:line="288"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基金管理人：</w:t>
      </w:r>
      <w:r w:rsidRPr="00922D37">
        <w:rPr>
          <w:b/>
          <w:color w:val="000000"/>
          <w:sz w:val="24"/>
        </w:rPr>
        <w:t>交银施罗德基金管理有限公司</w:t>
      </w: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基金托管人：</w:t>
      </w:r>
      <w:r w:rsidRPr="00922D37">
        <w:rPr>
          <w:b/>
          <w:color w:val="000000"/>
          <w:sz w:val="24"/>
        </w:rPr>
        <w:t>中国农业银行股份有限公司</w:t>
      </w:r>
    </w:p>
    <w:p w:rsidR="001A59F9" w:rsidRPr="00922D37" w:rsidRDefault="001A59F9" w:rsidP="00922D37">
      <w:pPr>
        <w:spacing w:before="29" w:line="288" w:lineRule="auto"/>
        <w:ind w:firstLineChars="900" w:firstLine="2168"/>
        <w:rPr>
          <w:b/>
          <w:color w:val="000000"/>
          <w:sz w:val="24"/>
        </w:rPr>
        <w:sectPr w:rsidR="001A59F9" w:rsidRPr="00922D37">
          <w:headerReference w:type="default" r:id="rId7"/>
          <w:pgSz w:w="11926" w:h="15840"/>
          <w:pgMar w:top="1418" w:right="1418" w:bottom="851" w:left="1418" w:header="851" w:footer="992" w:gutter="0"/>
          <w:cols w:space="720"/>
        </w:sectPr>
      </w:pPr>
      <w:r w:rsidRPr="00922D37">
        <w:rPr>
          <w:rFonts w:hint="eastAsia"/>
          <w:b/>
          <w:color w:val="000000"/>
          <w:sz w:val="24"/>
        </w:rPr>
        <w:t>报告送出日期：</w:t>
      </w:r>
      <w:r w:rsidRPr="00922D37">
        <w:rPr>
          <w:b/>
          <w:color w:val="000000"/>
          <w:sz w:val="24"/>
        </w:rPr>
        <w:t>二〇一五年三月三十一日</w:t>
      </w:r>
    </w:p>
    <w:p w:rsidR="001A59F9" w:rsidRDefault="001A59F9" w:rsidP="00FD6859">
      <w:pPr>
        <w:pStyle w:val="1"/>
        <w:keepNext/>
        <w:keepLines/>
        <w:widowControl w:val="0"/>
        <w:spacing w:beforeLines="100" w:before="312" w:afterLines="100" w:after="312" w:line="288" w:lineRule="auto"/>
        <w:jc w:val="center"/>
        <w:rPr>
          <w:b/>
          <w:bCs/>
          <w:szCs w:val="24"/>
          <w:lang w:val="en-US"/>
        </w:rPr>
      </w:pPr>
      <w:bookmarkStart w:id="3" w:name="_Toc225498243"/>
      <w:bookmarkStart w:id="4" w:name="_Toc361324842"/>
      <w:r w:rsidRPr="00FF0E34">
        <w:rPr>
          <w:rFonts w:hint="eastAsia"/>
          <w:b/>
          <w:bCs/>
          <w:szCs w:val="24"/>
          <w:lang w:val="en-US"/>
        </w:rPr>
        <w:lastRenderedPageBreak/>
        <w:t>§</w:t>
      </w:r>
      <w:r w:rsidRPr="00FF0E34">
        <w:rPr>
          <w:b/>
          <w:bCs/>
          <w:szCs w:val="24"/>
          <w:lang w:val="en-US"/>
        </w:rPr>
        <w:t xml:space="preserve">1  </w:t>
      </w:r>
      <w:r w:rsidRPr="00FF0E34">
        <w:rPr>
          <w:rFonts w:hint="eastAsia"/>
          <w:b/>
          <w:bCs/>
          <w:szCs w:val="24"/>
          <w:lang w:val="en-US"/>
        </w:rPr>
        <w:t>重要提示</w:t>
      </w:r>
      <w:bookmarkEnd w:id="3"/>
      <w:bookmarkEnd w:id="4"/>
    </w:p>
    <w:p w:rsidR="002546CC" w:rsidRPr="002546CC" w:rsidRDefault="002546CC" w:rsidP="002546CC"/>
    <w:p w:rsidR="000C58C9" w:rsidRPr="00FF0E34" w:rsidRDefault="001A59F9" w:rsidP="00FF0E34">
      <w:pPr>
        <w:pStyle w:val="20"/>
        <w:spacing w:before="29" w:after="0" w:line="288" w:lineRule="auto"/>
        <w:rPr>
          <w:rFonts w:ascii="Times New Roman" w:hAnsi="Times New Roman"/>
          <w:kern w:val="0"/>
          <w:szCs w:val="24"/>
        </w:rPr>
      </w:pPr>
      <w:bookmarkStart w:id="5" w:name="_Toc361324843"/>
      <w:r w:rsidRPr="00FF0E34">
        <w:rPr>
          <w:rFonts w:ascii="Times New Roman" w:hAnsi="Times New Roman"/>
          <w:kern w:val="0"/>
          <w:szCs w:val="24"/>
        </w:rPr>
        <w:t xml:space="preserve">1.1 </w:t>
      </w:r>
      <w:r w:rsidRPr="00FF0E34">
        <w:rPr>
          <w:rFonts w:ascii="Times New Roman" w:hAnsi="Times New Roman" w:hint="eastAsia"/>
          <w:kern w:val="0"/>
          <w:szCs w:val="24"/>
        </w:rPr>
        <w:t>重要提示</w:t>
      </w:r>
      <w:bookmarkEnd w:id="5"/>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基金托管人</w:t>
      </w:r>
      <w:r w:rsidRPr="00FF0E34">
        <w:rPr>
          <w:color w:val="000000"/>
          <w:sz w:val="24"/>
        </w:rPr>
        <w:t>中国农业银行股份有限公司</w:t>
      </w:r>
      <w:r w:rsidR="00D91873">
        <w:rPr>
          <w:color w:val="000000"/>
          <w:sz w:val="24"/>
        </w:rPr>
        <w:t>(</w:t>
      </w:r>
      <w:r w:rsidR="00D91873">
        <w:rPr>
          <w:rFonts w:hint="eastAsia"/>
          <w:color w:val="000000"/>
          <w:sz w:val="24"/>
        </w:rPr>
        <w:t>以下简称“</w:t>
      </w:r>
      <w:r w:rsidR="00D91873">
        <w:rPr>
          <w:color w:val="000000"/>
          <w:sz w:val="24"/>
        </w:rPr>
        <w:t>中国农业银行</w:t>
      </w:r>
      <w:r w:rsidR="00D91873">
        <w:rPr>
          <w:rFonts w:hint="eastAsia"/>
          <w:color w:val="000000"/>
          <w:sz w:val="24"/>
        </w:rPr>
        <w:t>”</w:t>
      </w:r>
      <w:r w:rsidR="00D91873">
        <w:rPr>
          <w:color w:val="000000"/>
          <w:sz w:val="24"/>
        </w:rPr>
        <w:t>)</w:t>
      </w:r>
      <w:r w:rsidRPr="00FF0E34">
        <w:rPr>
          <w:rFonts w:hint="eastAsia"/>
          <w:color w:val="000000"/>
          <w:sz w:val="24"/>
        </w:rPr>
        <w:t>根据本基金合同规定，于</w:t>
      </w:r>
      <w:r w:rsidRPr="00FF0E34">
        <w:rPr>
          <w:color w:val="000000"/>
          <w:sz w:val="24"/>
        </w:rPr>
        <w:t>2015</w:t>
      </w:r>
      <w:r w:rsidRPr="00FF0E34">
        <w:rPr>
          <w:color w:val="000000"/>
          <w:sz w:val="24"/>
        </w:rPr>
        <w:t>年</w:t>
      </w:r>
      <w:r w:rsidRPr="00FF0E34">
        <w:rPr>
          <w:color w:val="000000"/>
          <w:sz w:val="24"/>
        </w:rPr>
        <w:t>3</w:t>
      </w:r>
      <w:r w:rsidRPr="00FF0E34">
        <w:rPr>
          <w:color w:val="000000"/>
          <w:sz w:val="24"/>
        </w:rPr>
        <w:t>月</w:t>
      </w:r>
      <w:r w:rsidRPr="00FF0E34">
        <w:rPr>
          <w:color w:val="000000"/>
          <w:sz w:val="24"/>
        </w:rPr>
        <w:t>30</w:t>
      </w:r>
      <w:r w:rsidRPr="00FF0E34">
        <w:rPr>
          <w:color w:val="000000"/>
          <w:sz w:val="24"/>
        </w:rPr>
        <w:t>日</w:t>
      </w:r>
      <w:r w:rsidRPr="00FF0E34">
        <w:rPr>
          <w:rFonts w:hint="eastAsia"/>
          <w:color w:val="000000"/>
          <w:sz w:val="24"/>
        </w:rPr>
        <w:t>复核了本报告中的财务指标、净值表现、利润分配情况、财务会计报告、投资组合报告等内容，保证复核内容不存在虚假记载、误导性陈述或者重大遗漏。</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基金管理人承诺以诚实信用、勤勉尽责的原则管理和运用基金资产，但不保证基金一定盈利。</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基金的过往业绩并不代表其未来表现。投资有风险，投资者在</w:t>
      </w:r>
      <w:r w:rsidR="009414BB" w:rsidRPr="00FF0E34">
        <w:rPr>
          <w:rFonts w:hint="eastAsia"/>
          <w:color w:val="000000"/>
          <w:sz w:val="24"/>
        </w:rPr>
        <w:t>作</w:t>
      </w:r>
      <w:r w:rsidRPr="00FF0E34">
        <w:rPr>
          <w:rFonts w:hint="eastAsia"/>
          <w:color w:val="000000"/>
          <w:sz w:val="24"/>
        </w:rPr>
        <w:t>出投资决策前应仔细阅读本基金的招募说明书及其更新。</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本年度报告摘要摘自年度报告正文，投资者欲了解详细内容，应阅读年度报告正文。</w:t>
      </w:r>
    </w:p>
    <w:p w:rsidR="00DA70F5" w:rsidRPr="00FF0E34" w:rsidRDefault="00DA70F5" w:rsidP="00FF0E34">
      <w:pPr>
        <w:spacing w:before="29" w:line="288" w:lineRule="auto"/>
        <w:ind w:firstLineChars="200" w:firstLine="480"/>
        <w:rPr>
          <w:color w:val="000000"/>
          <w:sz w:val="24"/>
        </w:rPr>
      </w:pPr>
      <w:r w:rsidRPr="00FF0E34">
        <w:rPr>
          <w:rFonts w:hint="eastAsia"/>
          <w:color w:val="000000"/>
          <w:sz w:val="24"/>
        </w:rPr>
        <w:t>本报告期自</w:t>
      </w:r>
      <w:r w:rsidRPr="00FF0E34">
        <w:rPr>
          <w:color w:val="000000"/>
          <w:sz w:val="24"/>
        </w:rPr>
        <w:t>2014</w:t>
      </w:r>
      <w:r w:rsidRPr="00FF0E34">
        <w:rPr>
          <w:color w:val="000000"/>
          <w:sz w:val="24"/>
        </w:rPr>
        <w:t>年</w:t>
      </w:r>
      <w:r w:rsidRPr="00FF0E34">
        <w:rPr>
          <w:color w:val="000000"/>
          <w:sz w:val="24"/>
        </w:rPr>
        <w:t>1</w:t>
      </w:r>
      <w:r w:rsidRPr="00FF0E34">
        <w:rPr>
          <w:color w:val="000000"/>
          <w:sz w:val="24"/>
        </w:rPr>
        <w:t>月</w:t>
      </w:r>
      <w:r w:rsidRPr="00FF0E34">
        <w:rPr>
          <w:color w:val="000000"/>
          <w:sz w:val="24"/>
        </w:rPr>
        <w:t>1</w:t>
      </w:r>
      <w:r w:rsidRPr="00FF0E34">
        <w:rPr>
          <w:color w:val="000000"/>
          <w:sz w:val="24"/>
        </w:rPr>
        <w:t>日</w:t>
      </w:r>
      <w:r w:rsidRPr="00FF0E34">
        <w:rPr>
          <w:rFonts w:hint="eastAsia"/>
          <w:color w:val="000000"/>
          <w:sz w:val="24"/>
        </w:rPr>
        <w:t>起至</w:t>
      </w:r>
      <w:r w:rsidRPr="00FF0E34">
        <w:rPr>
          <w:color w:val="000000"/>
          <w:sz w:val="24"/>
        </w:rPr>
        <w:t>12</w:t>
      </w:r>
      <w:r w:rsidRPr="00FF0E34">
        <w:rPr>
          <w:color w:val="000000"/>
          <w:sz w:val="24"/>
        </w:rPr>
        <w:t>月</w:t>
      </w:r>
      <w:r w:rsidRPr="00FF0E34">
        <w:rPr>
          <w:color w:val="000000"/>
          <w:sz w:val="24"/>
        </w:rPr>
        <w:t>31</w:t>
      </w:r>
      <w:r w:rsidRPr="00FF0E34">
        <w:rPr>
          <w:color w:val="000000"/>
          <w:sz w:val="24"/>
        </w:rPr>
        <w:t>日</w:t>
      </w:r>
      <w:r w:rsidRPr="00FF0E34">
        <w:rPr>
          <w:rFonts w:hint="eastAsia"/>
          <w:color w:val="000000"/>
          <w:sz w:val="24"/>
        </w:rPr>
        <w:t>止。</w:t>
      </w:r>
    </w:p>
    <w:p w:rsidR="00D35947" w:rsidRPr="00C51C77" w:rsidRDefault="001A59F9" w:rsidP="00D35947">
      <w:pPr>
        <w:spacing w:line="360" w:lineRule="auto"/>
        <w:rPr>
          <w:rFonts w:asciiTheme="minorEastAsia" w:eastAsiaTheme="minorEastAsia" w:hAnsiTheme="minorEastAsia"/>
          <w:b/>
          <w:color w:val="000000"/>
          <w:kern w:val="0"/>
          <w:szCs w:val="21"/>
        </w:rPr>
      </w:pPr>
      <w:r w:rsidRPr="00C51C77">
        <w:rPr>
          <w:rFonts w:asciiTheme="minorEastAsia" w:eastAsiaTheme="minorEastAsia" w:hAnsiTheme="minorEastAsia"/>
          <w:szCs w:val="21"/>
        </w:rPr>
        <w:br w:type="page"/>
      </w:r>
    </w:p>
    <w:p w:rsidR="001A59F9" w:rsidRDefault="001A59F9" w:rsidP="00FD6859">
      <w:pPr>
        <w:pStyle w:val="1"/>
        <w:keepNext/>
        <w:keepLines/>
        <w:widowControl w:val="0"/>
        <w:spacing w:beforeLines="100" w:before="312" w:afterLines="100" w:after="312" w:line="288" w:lineRule="auto"/>
        <w:jc w:val="center"/>
        <w:rPr>
          <w:b/>
          <w:bCs/>
          <w:szCs w:val="24"/>
          <w:lang w:val="en-US"/>
        </w:rPr>
      </w:pPr>
      <w:bookmarkStart w:id="6" w:name="_Toc225498244"/>
      <w:bookmarkStart w:id="7" w:name="_Toc361324844"/>
      <w:r w:rsidRPr="00176E90">
        <w:rPr>
          <w:rFonts w:hint="eastAsia"/>
          <w:b/>
          <w:bCs/>
          <w:szCs w:val="24"/>
          <w:lang w:val="en-US"/>
        </w:rPr>
        <w:t>§</w:t>
      </w:r>
      <w:r w:rsidRPr="00176E90">
        <w:rPr>
          <w:b/>
          <w:bCs/>
          <w:szCs w:val="24"/>
          <w:lang w:val="en-US"/>
        </w:rPr>
        <w:t xml:space="preserve">2  </w:t>
      </w:r>
      <w:r w:rsidRPr="00176E90">
        <w:rPr>
          <w:rFonts w:hint="eastAsia"/>
          <w:b/>
          <w:bCs/>
          <w:szCs w:val="24"/>
          <w:lang w:val="en-US"/>
        </w:rPr>
        <w:t>基金简介</w:t>
      </w:r>
      <w:bookmarkEnd w:id="6"/>
      <w:bookmarkEnd w:id="7"/>
    </w:p>
    <w:p w:rsidR="002546CC" w:rsidRPr="002546CC" w:rsidRDefault="002546CC" w:rsidP="002546CC"/>
    <w:p w:rsidR="001A59F9" w:rsidRPr="00701155" w:rsidRDefault="0040762F" w:rsidP="00701155">
      <w:pPr>
        <w:pStyle w:val="20"/>
        <w:spacing w:before="29" w:after="0" w:line="288" w:lineRule="auto"/>
        <w:rPr>
          <w:rFonts w:ascii="Times New Roman" w:hAnsi="Times New Roman"/>
          <w:kern w:val="0"/>
          <w:szCs w:val="24"/>
        </w:rPr>
      </w:pPr>
      <w:bookmarkStart w:id="8" w:name="_Toc361324845"/>
      <w:r w:rsidRPr="00701155">
        <w:rPr>
          <w:rFonts w:ascii="Times New Roman" w:hAnsi="Times New Roman"/>
          <w:kern w:val="0"/>
          <w:szCs w:val="24"/>
        </w:rPr>
        <w:t>2.1</w:t>
      </w:r>
      <w:r w:rsidR="00CE28F0" w:rsidRPr="00701155">
        <w:rPr>
          <w:rFonts w:ascii="Times New Roman" w:hAnsi="Times New Roman" w:hint="eastAsia"/>
          <w:kern w:val="0"/>
          <w:szCs w:val="24"/>
        </w:rPr>
        <w:t xml:space="preserve"> </w:t>
      </w:r>
      <w:r w:rsidR="001A59F9" w:rsidRPr="00701155">
        <w:rPr>
          <w:rFonts w:ascii="Times New Roman" w:hAnsi="Times New Roman" w:hint="eastAsia"/>
          <w:kern w:val="0"/>
          <w:szCs w:val="24"/>
        </w:rPr>
        <w:t>基金基本情况</w:t>
      </w:r>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5879"/>
      </w:tblGrid>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基金简称</w:t>
            </w:r>
          </w:p>
        </w:tc>
        <w:tc>
          <w:tcPr>
            <w:tcW w:w="5879" w:type="dxa"/>
            <w:vAlign w:val="center"/>
          </w:tcPr>
          <w:p w:rsidR="001A59F9" w:rsidRPr="00AF05D4" w:rsidRDefault="001A59F9" w:rsidP="00AF05D4">
            <w:pPr>
              <w:spacing w:before="29" w:line="288" w:lineRule="auto"/>
              <w:jc w:val="center"/>
              <w:rPr>
                <w:sz w:val="24"/>
              </w:rPr>
            </w:pPr>
            <w:r w:rsidRPr="00AF05D4">
              <w:rPr>
                <w:sz w:val="24"/>
              </w:rPr>
              <w:t>交银荣祥保本混合</w:t>
            </w:r>
          </w:p>
        </w:tc>
      </w:tr>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基金主代码</w:t>
            </w:r>
          </w:p>
        </w:tc>
        <w:tc>
          <w:tcPr>
            <w:tcW w:w="5879" w:type="dxa"/>
            <w:vAlign w:val="center"/>
          </w:tcPr>
          <w:p w:rsidR="001A59F9" w:rsidRPr="00AF05D4" w:rsidRDefault="001A59F9" w:rsidP="00AF05D4">
            <w:pPr>
              <w:spacing w:before="29" w:line="288" w:lineRule="auto"/>
              <w:jc w:val="center"/>
              <w:rPr>
                <w:sz w:val="24"/>
              </w:rPr>
            </w:pPr>
            <w:r w:rsidRPr="00AF05D4">
              <w:rPr>
                <w:sz w:val="24"/>
              </w:rPr>
              <w:t>519726</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交易代码</w:t>
            </w:r>
          </w:p>
        </w:tc>
        <w:tc>
          <w:tcPr>
            <w:tcW w:w="5879" w:type="dxa"/>
            <w:vAlign w:val="center"/>
          </w:tcPr>
          <w:p w:rsidR="0040762F" w:rsidRPr="00AF05D4" w:rsidRDefault="0040762F" w:rsidP="00AF05D4">
            <w:pPr>
              <w:spacing w:before="29" w:line="288" w:lineRule="auto"/>
              <w:jc w:val="center"/>
              <w:rPr>
                <w:sz w:val="24"/>
              </w:rPr>
            </w:pPr>
            <w:r w:rsidRPr="00AF05D4">
              <w:rPr>
                <w:sz w:val="24"/>
              </w:rPr>
              <w:t>519726</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基金运作方式</w:t>
            </w:r>
          </w:p>
        </w:tc>
        <w:tc>
          <w:tcPr>
            <w:tcW w:w="5879" w:type="dxa"/>
            <w:vAlign w:val="center"/>
          </w:tcPr>
          <w:p w:rsidR="0040762F" w:rsidRPr="00AF05D4" w:rsidRDefault="0040762F" w:rsidP="00AF05D4">
            <w:pPr>
              <w:spacing w:before="29" w:line="288" w:lineRule="auto"/>
              <w:jc w:val="center"/>
              <w:rPr>
                <w:sz w:val="24"/>
              </w:rPr>
            </w:pPr>
            <w:r w:rsidRPr="00AF05D4">
              <w:rPr>
                <w:sz w:val="24"/>
              </w:rPr>
              <w:t>契约型开放式</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基金合同生效日</w:t>
            </w:r>
          </w:p>
        </w:tc>
        <w:tc>
          <w:tcPr>
            <w:tcW w:w="5879" w:type="dxa"/>
            <w:vAlign w:val="center"/>
          </w:tcPr>
          <w:p w:rsidR="0040762F" w:rsidRPr="00AF05D4" w:rsidRDefault="0040762F" w:rsidP="00AF05D4">
            <w:pPr>
              <w:spacing w:before="29" w:line="288" w:lineRule="auto"/>
              <w:jc w:val="center"/>
              <w:rPr>
                <w:sz w:val="24"/>
              </w:rPr>
            </w:pPr>
            <w:r w:rsidRPr="00AF05D4">
              <w:rPr>
                <w:sz w:val="24"/>
              </w:rPr>
              <w:t>2013</w:t>
            </w:r>
            <w:r w:rsidRPr="00AF05D4">
              <w:rPr>
                <w:sz w:val="24"/>
              </w:rPr>
              <w:t>年</w:t>
            </w:r>
            <w:r w:rsidRPr="00AF05D4">
              <w:rPr>
                <w:sz w:val="24"/>
              </w:rPr>
              <w:t>4</w:t>
            </w:r>
            <w:r w:rsidRPr="00AF05D4">
              <w:rPr>
                <w:sz w:val="24"/>
              </w:rPr>
              <w:t>月</w:t>
            </w:r>
            <w:r w:rsidRPr="00AF05D4">
              <w:rPr>
                <w:sz w:val="24"/>
              </w:rPr>
              <w:t>24</w:t>
            </w:r>
            <w:r w:rsidRPr="00AF05D4">
              <w:rPr>
                <w:sz w:val="24"/>
              </w:rPr>
              <w:t>日</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基金管理人</w:t>
            </w:r>
          </w:p>
        </w:tc>
        <w:tc>
          <w:tcPr>
            <w:tcW w:w="5879" w:type="dxa"/>
            <w:vAlign w:val="center"/>
          </w:tcPr>
          <w:p w:rsidR="0040762F" w:rsidRPr="00AF05D4" w:rsidRDefault="0040762F" w:rsidP="00AF05D4">
            <w:pPr>
              <w:spacing w:before="29" w:line="288" w:lineRule="auto"/>
              <w:jc w:val="center"/>
              <w:rPr>
                <w:sz w:val="24"/>
              </w:rPr>
            </w:pPr>
            <w:r w:rsidRPr="00AF05D4">
              <w:rPr>
                <w:sz w:val="24"/>
              </w:rPr>
              <w:t>交银施罗德基金管理有限公司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基金托管人</w:t>
            </w:r>
          </w:p>
        </w:tc>
        <w:tc>
          <w:tcPr>
            <w:tcW w:w="5879" w:type="dxa"/>
            <w:vAlign w:val="center"/>
          </w:tcPr>
          <w:p w:rsidR="0040762F" w:rsidRPr="00AF05D4" w:rsidRDefault="0040762F" w:rsidP="00AF05D4">
            <w:pPr>
              <w:spacing w:before="29" w:line="288" w:lineRule="auto"/>
              <w:jc w:val="center"/>
              <w:rPr>
                <w:sz w:val="24"/>
              </w:rPr>
            </w:pPr>
            <w:r w:rsidRPr="00AF05D4">
              <w:rPr>
                <w:sz w:val="24"/>
              </w:rPr>
              <w:t>中国农业银行股份有限公司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报告期末基金份额总额</w:t>
            </w:r>
          </w:p>
        </w:tc>
        <w:tc>
          <w:tcPr>
            <w:tcW w:w="5879" w:type="dxa"/>
            <w:vAlign w:val="center"/>
          </w:tcPr>
          <w:p w:rsidR="0040762F" w:rsidRPr="00AF05D4" w:rsidRDefault="0040762F" w:rsidP="00AF05D4">
            <w:pPr>
              <w:spacing w:before="29" w:line="288" w:lineRule="auto"/>
              <w:jc w:val="center"/>
              <w:rPr>
                <w:sz w:val="24"/>
              </w:rPr>
            </w:pPr>
            <w:r w:rsidRPr="00AF05D4">
              <w:rPr>
                <w:sz w:val="24"/>
              </w:rPr>
              <w:t>295,417,100.29</w:t>
            </w:r>
            <w:r w:rsidRPr="00AF05D4">
              <w:rPr>
                <w:rFonts w:hint="eastAsia"/>
                <w:sz w:val="24"/>
              </w:rPr>
              <w:t>份</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基金合同存续期</w:t>
            </w:r>
          </w:p>
        </w:tc>
        <w:tc>
          <w:tcPr>
            <w:tcW w:w="5879" w:type="dxa"/>
            <w:vAlign w:val="center"/>
          </w:tcPr>
          <w:p w:rsidR="0040762F" w:rsidRPr="00AF05D4" w:rsidRDefault="0040762F" w:rsidP="00AF05D4">
            <w:pPr>
              <w:spacing w:before="29" w:line="288" w:lineRule="auto"/>
              <w:jc w:val="center"/>
              <w:rPr>
                <w:sz w:val="24"/>
              </w:rPr>
            </w:pPr>
            <w:r w:rsidRPr="00AF05D4">
              <w:rPr>
                <w:sz w:val="24"/>
              </w:rPr>
              <w:t>不定期</w:t>
            </w:r>
          </w:p>
        </w:tc>
      </w:tr>
    </w:tbl>
    <w:p w:rsidR="00FF7B7E" w:rsidRPr="00F017B1" w:rsidRDefault="00FF7B7E" w:rsidP="00F017B1">
      <w:pPr>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9" w:name="_Toc361324846"/>
      <w:r w:rsidRPr="00701155">
        <w:rPr>
          <w:rFonts w:ascii="Times New Roman" w:hAnsi="Times New Roman"/>
          <w:kern w:val="0"/>
          <w:szCs w:val="24"/>
        </w:rPr>
        <w:t xml:space="preserve">2.2 </w:t>
      </w:r>
      <w:r w:rsidRPr="00701155">
        <w:rPr>
          <w:rFonts w:ascii="Times New Roman" w:hAnsi="Times New Roman" w:hint="eastAsia"/>
          <w:kern w:val="0"/>
          <w:szCs w:val="24"/>
        </w:rPr>
        <w:t>基金产品说明</w:t>
      </w:r>
      <w:bookmarkEnd w:id="9"/>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00"/>
        <w:gridCol w:w="5998"/>
      </w:tblGrid>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投资目标</w:t>
            </w:r>
          </w:p>
        </w:tc>
        <w:tc>
          <w:tcPr>
            <w:tcW w:w="5998" w:type="dxa"/>
            <w:vAlign w:val="center"/>
          </w:tcPr>
          <w:p w:rsidR="001A59F9" w:rsidRPr="00A57672" w:rsidRDefault="001A59F9" w:rsidP="00A57672">
            <w:pPr>
              <w:spacing w:before="29" w:line="288" w:lineRule="auto"/>
              <w:rPr>
                <w:sz w:val="24"/>
              </w:rPr>
            </w:pPr>
            <w:r w:rsidRPr="00A57672">
              <w:rPr>
                <w:sz w:val="24"/>
              </w:rPr>
              <w:t>本基金在严格控制风险和追求本金安全的前提下，力争实现基金资产在保本周期内的稳定增值。</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投资策略</w:t>
            </w:r>
          </w:p>
        </w:tc>
        <w:tc>
          <w:tcPr>
            <w:tcW w:w="5998" w:type="dxa"/>
            <w:vAlign w:val="center"/>
          </w:tcPr>
          <w:p w:rsidR="001A59F9" w:rsidRPr="00A57672" w:rsidRDefault="001A59F9" w:rsidP="00A57672">
            <w:pPr>
              <w:spacing w:before="29" w:line="288" w:lineRule="auto"/>
              <w:rPr>
                <w:sz w:val="24"/>
              </w:rPr>
            </w:pPr>
            <w:r w:rsidRPr="00A57672">
              <w:rPr>
                <w:sz w:val="24"/>
              </w:rPr>
              <w:t>本基金运用恒定比例组合保险（</w:t>
            </w:r>
            <w:r w:rsidRPr="00A57672">
              <w:rPr>
                <w:sz w:val="24"/>
              </w:rPr>
              <w:t>CPPI</w:t>
            </w:r>
            <w:r w:rsidRPr="00A57672">
              <w:rPr>
                <w:sz w:val="24"/>
              </w:rPr>
              <w:t>，</w:t>
            </w:r>
            <w:r w:rsidRPr="00A57672">
              <w:rPr>
                <w:sz w:val="24"/>
              </w:rPr>
              <w:t>Constant Proportion Portfolio Insurance</w:t>
            </w:r>
            <w:r w:rsidRPr="00A57672">
              <w:rPr>
                <w:sz w:val="24"/>
              </w:rPr>
              <w:t>）原理，动态调整稳健资产与风险资产在基金组合中的投资比例，以确保本基金在保本周期到期时的本金安全，并实现基金资产在保本基础上的保值增值目的。</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业绩比较基准</w:t>
            </w:r>
          </w:p>
        </w:tc>
        <w:tc>
          <w:tcPr>
            <w:tcW w:w="5998" w:type="dxa"/>
            <w:vAlign w:val="center"/>
          </w:tcPr>
          <w:p w:rsidR="001A59F9" w:rsidRPr="00A57672" w:rsidRDefault="001A59F9" w:rsidP="00A57672">
            <w:pPr>
              <w:spacing w:before="29" w:line="288" w:lineRule="auto"/>
              <w:rPr>
                <w:sz w:val="24"/>
              </w:rPr>
            </w:pPr>
            <w:r w:rsidRPr="00A57672">
              <w:rPr>
                <w:sz w:val="24"/>
              </w:rPr>
              <w:t>三年期银行定期存款税后收益率</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风险收益特征</w:t>
            </w:r>
          </w:p>
        </w:tc>
        <w:tc>
          <w:tcPr>
            <w:tcW w:w="5998" w:type="dxa"/>
            <w:vAlign w:val="center"/>
          </w:tcPr>
          <w:p w:rsidR="001A59F9" w:rsidRPr="00A57672" w:rsidRDefault="001A59F9" w:rsidP="00A57672">
            <w:pPr>
              <w:spacing w:before="29" w:line="288" w:lineRule="auto"/>
              <w:rPr>
                <w:sz w:val="24"/>
              </w:rPr>
            </w:pPr>
            <w:r w:rsidRPr="00A57672">
              <w:rPr>
                <w:sz w:val="24"/>
              </w:rPr>
              <w:t>本基金是一只保本混合型基金，在证券投资基金中属于低风险品种。</w:t>
            </w:r>
          </w:p>
        </w:tc>
      </w:tr>
    </w:tbl>
    <w:p w:rsidR="000F6F95" w:rsidRPr="001A20CE" w:rsidRDefault="000F6F95" w:rsidP="001A20CE">
      <w:pPr>
        <w:tabs>
          <w:tab w:val="left" w:pos="426"/>
        </w:tabs>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10" w:name="_Toc225498247"/>
      <w:bookmarkStart w:id="11" w:name="_Toc361324847"/>
      <w:r w:rsidRPr="00701155">
        <w:rPr>
          <w:rFonts w:ascii="Times New Roman" w:hAnsi="Times New Roman"/>
          <w:kern w:val="0"/>
          <w:szCs w:val="24"/>
        </w:rPr>
        <w:t xml:space="preserve">2.3 </w:t>
      </w:r>
      <w:r w:rsidRPr="00701155">
        <w:rPr>
          <w:rFonts w:ascii="Times New Roman" w:hAnsi="Times New Roman" w:hint="eastAsia"/>
          <w:kern w:val="0"/>
          <w:szCs w:val="24"/>
        </w:rPr>
        <w:t>基金管理人和基金托管人</w:t>
      </w:r>
      <w:bookmarkEnd w:id="10"/>
      <w:bookmarkEnd w:id="1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1A59F9" w:rsidRPr="00C51C77" w:rsidTr="00961313">
        <w:tc>
          <w:tcPr>
            <w:tcW w:w="2552" w:type="dxa"/>
            <w:gridSpan w:val="2"/>
            <w:vAlign w:val="center"/>
          </w:tcPr>
          <w:p w:rsidR="001A59F9" w:rsidRPr="00475872" w:rsidRDefault="001A59F9" w:rsidP="00475872">
            <w:pPr>
              <w:spacing w:before="29" w:line="288" w:lineRule="auto"/>
              <w:jc w:val="center"/>
              <w:rPr>
                <w:sz w:val="24"/>
              </w:rPr>
            </w:pPr>
            <w:r w:rsidRPr="00475872">
              <w:rPr>
                <w:rFonts w:hint="eastAsia"/>
                <w:sz w:val="24"/>
              </w:rPr>
              <w:t>项目</w:t>
            </w:r>
          </w:p>
        </w:tc>
        <w:tc>
          <w:tcPr>
            <w:tcW w:w="3118" w:type="dxa"/>
            <w:vAlign w:val="center"/>
          </w:tcPr>
          <w:p w:rsidR="001A59F9" w:rsidRPr="00475872" w:rsidRDefault="001A59F9" w:rsidP="00475872">
            <w:pPr>
              <w:spacing w:line="288" w:lineRule="auto"/>
              <w:jc w:val="center"/>
              <w:rPr>
                <w:sz w:val="24"/>
              </w:rPr>
            </w:pPr>
            <w:r w:rsidRPr="00475872">
              <w:rPr>
                <w:rFonts w:hint="eastAsia"/>
                <w:sz w:val="24"/>
              </w:rPr>
              <w:t>基金管理人</w:t>
            </w:r>
          </w:p>
        </w:tc>
        <w:tc>
          <w:tcPr>
            <w:tcW w:w="3328" w:type="dxa"/>
            <w:vAlign w:val="center"/>
          </w:tcPr>
          <w:p w:rsidR="001A59F9" w:rsidRPr="00475872" w:rsidRDefault="001A59F9" w:rsidP="00475872">
            <w:pPr>
              <w:spacing w:line="288" w:lineRule="auto"/>
              <w:jc w:val="center"/>
              <w:rPr>
                <w:sz w:val="24"/>
              </w:rPr>
            </w:pPr>
            <w:r w:rsidRPr="00475872">
              <w:rPr>
                <w:rFonts w:hint="eastAsia"/>
                <w:sz w:val="24"/>
              </w:rPr>
              <w:t>基金托管人</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名称</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交银施罗德基金管理有限公司</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中国农业银行股份有限公司</w:t>
            </w:r>
          </w:p>
        </w:tc>
      </w:tr>
      <w:tr w:rsidR="001A59F9" w:rsidRPr="00C51C77" w:rsidTr="00961313">
        <w:tc>
          <w:tcPr>
            <w:tcW w:w="1276" w:type="dxa"/>
            <w:vMerge w:val="restart"/>
            <w:vAlign w:val="center"/>
          </w:tcPr>
          <w:p w:rsidR="001A59F9" w:rsidRPr="00475872" w:rsidRDefault="001A59F9" w:rsidP="00475872">
            <w:pPr>
              <w:spacing w:before="29" w:line="288" w:lineRule="auto"/>
              <w:rPr>
                <w:sz w:val="24"/>
              </w:rPr>
            </w:pPr>
            <w:r w:rsidRPr="00475872">
              <w:rPr>
                <w:rFonts w:hint="eastAsia"/>
                <w:sz w:val="24"/>
              </w:rPr>
              <w:t>信息披露负责人</w:t>
            </w:r>
          </w:p>
        </w:tc>
        <w:tc>
          <w:tcPr>
            <w:tcW w:w="1276" w:type="dxa"/>
            <w:vAlign w:val="center"/>
          </w:tcPr>
          <w:p w:rsidR="001A59F9" w:rsidRPr="00475872" w:rsidRDefault="001A59F9" w:rsidP="00475872">
            <w:pPr>
              <w:spacing w:line="288" w:lineRule="auto"/>
              <w:jc w:val="center"/>
              <w:rPr>
                <w:sz w:val="24"/>
              </w:rPr>
            </w:pPr>
            <w:r w:rsidRPr="00475872">
              <w:rPr>
                <w:rFonts w:hint="eastAsia"/>
                <w:sz w:val="24"/>
              </w:rPr>
              <w:t>姓名</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孙艳</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林葛</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联系电话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021-61055050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010-66060069</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电子邮箱</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xxpl@jysld.com,disclosure@jysld.com</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tgxxpl@abchina.com</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客户服务电话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400-700-5000</w:t>
            </w:r>
            <w:r w:rsidRPr="00A57672">
              <w:rPr>
                <w:color w:val="000000"/>
                <w:kern w:val="0"/>
                <w:sz w:val="24"/>
              </w:rPr>
              <w:t>，</w:t>
            </w:r>
            <w:r w:rsidRPr="00A57672">
              <w:rPr>
                <w:color w:val="000000"/>
                <w:kern w:val="0"/>
                <w:sz w:val="24"/>
              </w:rPr>
              <w:t>021-61055000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95599</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传真</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021-61055054</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010-68121816</w:t>
            </w:r>
          </w:p>
        </w:tc>
      </w:tr>
    </w:tbl>
    <w:p w:rsidR="001A59F9" w:rsidRPr="00C51C77" w:rsidRDefault="001A59F9" w:rsidP="00026C9C">
      <w:pPr>
        <w:tabs>
          <w:tab w:val="left" w:pos="1740"/>
        </w:tabs>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2" w:name="_Toc225498248"/>
      <w:bookmarkStart w:id="13" w:name="_Toc361324848"/>
      <w:r w:rsidRPr="00701155">
        <w:rPr>
          <w:rFonts w:ascii="Times New Roman" w:hAnsi="Times New Roman"/>
          <w:kern w:val="0"/>
          <w:szCs w:val="24"/>
        </w:rPr>
        <w:t xml:space="preserve">2.4 </w:t>
      </w:r>
      <w:r w:rsidRPr="00701155">
        <w:rPr>
          <w:rFonts w:ascii="Times New Roman" w:hAnsi="Times New Roman" w:hint="eastAsia"/>
          <w:kern w:val="0"/>
          <w:szCs w:val="24"/>
        </w:rPr>
        <w:t>信息披露方式</w:t>
      </w:r>
      <w:bookmarkEnd w:id="12"/>
      <w:bookmarkEnd w:id="13"/>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8"/>
        <w:gridCol w:w="5170"/>
      </w:tblGrid>
      <w:tr w:rsidR="001A59F9" w:rsidRPr="00C51C77" w:rsidTr="002F5C5A">
        <w:tc>
          <w:tcPr>
            <w:tcW w:w="3828" w:type="dxa"/>
            <w:vAlign w:val="center"/>
          </w:tcPr>
          <w:p w:rsidR="001A59F9" w:rsidRPr="009A3C12" w:rsidRDefault="00963D03" w:rsidP="009A3C12">
            <w:pPr>
              <w:autoSpaceDE w:val="0"/>
              <w:autoSpaceDN w:val="0"/>
              <w:adjustRightInd w:val="0"/>
              <w:spacing w:before="29" w:line="288" w:lineRule="auto"/>
              <w:ind w:left="15"/>
              <w:jc w:val="left"/>
              <w:rPr>
                <w:kern w:val="0"/>
                <w:sz w:val="24"/>
              </w:rPr>
            </w:pPr>
            <w:r w:rsidRPr="009A3C12">
              <w:rPr>
                <w:rFonts w:hint="eastAsia"/>
                <w:kern w:val="0"/>
                <w:sz w:val="24"/>
              </w:rPr>
              <w:t>登载基金年度报告</w:t>
            </w:r>
            <w:r w:rsidR="00AB0828">
              <w:rPr>
                <w:rFonts w:hint="eastAsia"/>
                <w:color w:val="000000"/>
                <w:sz w:val="24"/>
              </w:rPr>
              <w:t>正文</w:t>
            </w:r>
            <w:r w:rsidR="001A59F9" w:rsidRPr="009A3C12">
              <w:rPr>
                <w:rFonts w:hint="eastAsia"/>
                <w:kern w:val="0"/>
                <w:sz w:val="24"/>
              </w:rPr>
              <w:t>的管理人互联网网址</w:t>
            </w:r>
          </w:p>
        </w:tc>
        <w:tc>
          <w:tcPr>
            <w:tcW w:w="5170" w:type="dxa"/>
            <w:vAlign w:val="center"/>
          </w:tcPr>
          <w:p w:rsidR="001A59F9" w:rsidRPr="00A57672" w:rsidRDefault="001A59F9" w:rsidP="00A57672">
            <w:pPr>
              <w:tabs>
                <w:tab w:val="left" w:pos="1740"/>
              </w:tabs>
              <w:spacing w:before="29" w:line="288" w:lineRule="auto"/>
              <w:rPr>
                <w:color w:val="000000"/>
                <w:sz w:val="24"/>
              </w:rPr>
            </w:pPr>
            <w:r w:rsidRPr="00A57672">
              <w:rPr>
                <w:color w:val="000000"/>
                <w:sz w:val="24"/>
              </w:rPr>
              <w:t>www.fund001.com</w:t>
            </w:r>
            <w:r w:rsidRPr="00A57672">
              <w:rPr>
                <w:color w:val="000000"/>
                <w:sz w:val="24"/>
              </w:rPr>
              <w:t>，</w:t>
            </w:r>
            <w:r w:rsidRPr="00A57672">
              <w:rPr>
                <w:color w:val="000000"/>
                <w:sz w:val="24"/>
              </w:rPr>
              <w:t>www.bocomschroder.com</w:t>
            </w:r>
          </w:p>
        </w:tc>
      </w:tr>
      <w:tr w:rsidR="001A59F9" w:rsidRPr="00C51C77" w:rsidTr="002F5C5A">
        <w:tc>
          <w:tcPr>
            <w:tcW w:w="3828" w:type="dxa"/>
            <w:vAlign w:val="center"/>
          </w:tcPr>
          <w:p w:rsidR="001A59F9" w:rsidRPr="009A3C12" w:rsidRDefault="001A59F9" w:rsidP="009A3C12">
            <w:pPr>
              <w:autoSpaceDE w:val="0"/>
              <w:autoSpaceDN w:val="0"/>
              <w:adjustRightInd w:val="0"/>
              <w:spacing w:before="29" w:line="288" w:lineRule="auto"/>
              <w:ind w:left="15"/>
              <w:jc w:val="left"/>
              <w:rPr>
                <w:kern w:val="0"/>
                <w:sz w:val="24"/>
              </w:rPr>
            </w:pPr>
            <w:r w:rsidRPr="009A3C12">
              <w:rPr>
                <w:rFonts w:hint="eastAsia"/>
                <w:kern w:val="0"/>
                <w:sz w:val="24"/>
              </w:rPr>
              <w:t>基金年度报告备置地点</w:t>
            </w:r>
          </w:p>
        </w:tc>
        <w:tc>
          <w:tcPr>
            <w:tcW w:w="5170" w:type="dxa"/>
            <w:vAlign w:val="center"/>
          </w:tcPr>
          <w:p w:rsidR="001A59F9" w:rsidRPr="00A57672" w:rsidRDefault="001A59F9" w:rsidP="00A57672">
            <w:pPr>
              <w:tabs>
                <w:tab w:val="left" w:pos="1740"/>
              </w:tabs>
              <w:spacing w:before="29" w:line="288" w:lineRule="auto"/>
              <w:rPr>
                <w:color w:val="000000"/>
                <w:sz w:val="24"/>
              </w:rPr>
            </w:pPr>
            <w:r w:rsidRPr="00A57672">
              <w:rPr>
                <w:color w:val="000000"/>
                <w:sz w:val="24"/>
              </w:rPr>
              <w:t>基金管理人的办公场所</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Default="001A59F9" w:rsidP="00FD6859">
      <w:pPr>
        <w:pStyle w:val="1"/>
        <w:keepNext/>
        <w:keepLines/>
        <w:widowControl w:val="0"/>
        <w:spacing w:beforeLines="100" w:before="312" w:afterLines="100" w:after="312" w:line="288" w:lineRule="auto"/>
        <w:jc w:val="center"/>
        <w:rPr>
          <w:b/>
          <w:bCs/>
          <w:szCs w:val="24"/>
          <w:lang w:val="en-US"/>
        </w:rPr>
      </w:pPr>
      <w:bookmarkStart w:id="14" w:name="_Toc225498250"/>
      <w:bookmarkStart w:id="15" w:name="_Toc361324850"/>
      <w:bookmarkStart w:id="16" w:name="_Toc194312019"/>
      <w:bookmarkStart w:id="17" w:name="_Toc193947512"/>
      <w:r w:rsidRPr="0021360C">
        <w:rPr>
          <w:rFonts w:hint="eastAsia"/>
          <w:b/>
          <w:bCs/>
          <w:szCs w:val="24"/>
          <w:lang w:val="en-US"/>
        </w:rPr>
        <w:t>§</w:t>
      </w:r>
      <w:r w:rsidRPr="0021360C">
        <w:rPr>
          <w:b/>
          <w:bCs/>
          <w:szCs w:val="24"/>
          <w:lang w:val="en-US"/>
        </w:rPr>
        <w:t xml:space="preserve">3 </w:t>
      </w:r>
      <w:r w:rsidR="009153A3" w:rsidRPr="0021360C">
        <w:rPr>
          <w:rFonts w:hint="eastAsia"/>
          <w:b/>
          <w:bCs/>
          <w:szCs w:val="24"/>
          <w:lang w:val="en-US"/>
        </w:rPr>
        <w:t xml:space="preserve"> </w:t>
      </w:r>
      <w:r w:rsidRPr="0021360C">
        <w:rPr>
          <w:rFonts w:hint="eastAsia"/>
          <w:b/>
          <w:bCs/>
          <w:szCs w:val="24"/>
          <w:lang w:val="en-US"/>
        </w:rPr>
        <w:t>主要财务指标、基金净值表现</w:t>
      </w:r>
      <w:bookmarkEnd w:id="14"/>
      <w:r w:rsidRPr="0021360C">
        <w:rPr>
          <w:rFonts w:hint="eastAsia"/>
          <w:b/>
          <w:bCs/>
          <w:szCs w:val="24"/>
          <w:lang w:val="en-US"/>
        </w:rPr>
        <w:t>及利润分配情况</w:t>
      </w:r>
      <w:bookmarkEnd w:id="15"/>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18" w:name="_Toc286996129"/>
      <w:bookmarkStart w:id="19" w:name="_Toc361324851"/>
      <w:r w:rsidRPr="00701155">
        <w:rPr>
          <w:rFonts w:ascii="Times New Roman" w:hAnsi="Times New Roman"/>
          <w:kern w:val="0"/>
          <w:szCs w:val="24"/>
        </w:rPr>
        <w:t xml:space="preserve">3.1 </w:t>
      </w:r>
      <w:r w:rsidRPr="00701155">
        <w:rPr>
          <w:rFonts w:ascii="Times New Roman" w:hAnsi="Times New Roman" w:hint="eastAsia"/>
          <w:kern w:val="0"/>
          <w:szCs w:val="24"/>
        </w:rPr>
        <w:t>主要会计数据和财务指标</w:t>
      </w:r>
      <w:bookmarkEnd w:id="18"/>
      <w:bookmarkEnd w:id="19"/>
    </w:p>
    <w:p w:rsidR="001A59F9" w:rsidRPr="00A6320B" w:rsidRDefault="001A59F9" w:rsidP="00A6320B">
      <w:pPr>
        <w:autoSpaceDE w:val="0"/>
        <w:autoSpaceDN w:val="0"/>
        <w:adjustRightInd w:val="0"/>
        <w:spacing w:before="29" w:line="288" w:lineRule="auto"/>
        <w:ind w:left="15"/>
        <w:jc w:val="right"/>
        <w:rPr>
          <w:color w:val="000000"/>
          <w:kern w:val="0"/>
          <w:sz w:val="24"/>
        </w:rPr>
      </w:pPr>
      <w:r w:rsidRPr="00A6320B">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0"/>
        <w:gridCol w:w="2286"/>
        <w:gridCol w:w="4462"/>
      </w:tblGrid>
      <w:tr w:rsidR="00FD6859" w:rsidRPr="00931B45" w:rsidTr="00FD6859">
        <w:trPr>
          <w:trHeight w:val="487"/>
        </w:trPr>
        <w:tc>
          <w:tcPr>
            <w:tcW w:w="2250" w:type="dxa"/>
            <w:vAlign w:val="center"/>
          </w:tcPr>
          <w:bookmarkEnd w:id="16"/>
          <w:bookmarkEnd w:id="17"/>
          <w:p w:rsidR="00501A91" w:rsidRPr="00931B45" w:rsidRDefault="00501A91" w:rsidP="00D415F5">
            <w:pPr>
              <w:spacing w:before="29" w:line="288" w:lineRule="auto"/>
              <w:rPr>
                <w:b/>
                <w:szCs w:val="21"/>
              </w:rPr>
            </w:pPr>
            <w:r w:rsidRPr="00931B45">
              <w:rPr>
                <w:b/>
                <w:szCs w:val="21"/>
              </w:rPr>
              <w:t xml:space="preserve">3.1.1 </w:t>
            </w:r>
            <w:r w:rsidRPr="00931B45">
              <w:rPr>
                <w:rFonts w:hint="eastAsia"/>
                <w:b/>
                <w:szCs w:val="21"/>
              </w:rPr>
              <w:t>期间数据和指标</w:t>
            </w:r>
          </w:p>
        </w:tc>
        <w:tc>
          <w:tcPr>
            <w:tcW w:w="2286" w:type="dxa"/>
            <w:vAlign w:val="center"/>
          </w:tcPr>
          <w:p w:rsidR="00501A91" w:rsidRPr="00931B45" w:rsidRDefault="00501A91" w:rsidP="00D415F5">
            <w:pPr>
              <w:spacing w:before="29" w:line="288" w:lineRule="auto"/>
              <w:jc w:val="center"/>
              <w:rPr>
                <w:b/>
                <w:szCs w:val="21"/>
              </w:rPr>
            </w:pPr>
            <w:r w:rsidRPr="00931B45">
              <w:rPr>
                <w:b/>
                <w:szCs w:val="21"/>
              </w:rPr>
              <w:t>2014</w:t>
            </w:r>
            <w:r w:rsidRPr="00931B45">
              <w:rPr>
                <w:b/>
                <w:szCs w:val="21"/>
              </w:rPr>
              <w:t>年</w:t>
            </w:r>
          </w:p>
        </w:tc>
        <w:tc>
          <w:tcPr>
            <w:tcW w:w="4462" w:type="dxa"/>
            <w:vAlign w:val="center"/>
          </w:tcPr>
          <w:p w:rsidR="00501A91" w:rsidRPr="00931B45" w:rsidRDefault="00501A91" w:rsidP="00D415F5">
            <w:pPr>
              <w:spacing w:before="29" w:line="288" w:lineRule="auto"/>
              <w:jc w:val="center"/>
              <w:rPr>
                <w:b/>
                <w:szCs w:val="21"/>
              </w:rPr>
            </w:pPr>
            <w:r w:rsidRPr="00931B45">
              <w:rPr>
                <w:b/>
                <w:szCs w:val="21"/>
              </w:rPr>
              <w:t>2013</w:t>
            </w:r>
            <w:r w:rsidRPr="00931B45">
              <w:rPr>
                <w:b/>
                <w:szCs w:val="21"/>
              </w:rPr>
              <w:t>年</w:t>
            </w:r>
            <w:r w:rsidRPr="00931B45">
              <w:rPr>
                <w:b/>
                <w:szCs w:val="21"/>
              </w:rPr>
              <w:t>4</w:t>
            </w:r>
            <w:r w:rsidRPr="00931B45">
              <w:rPr>
                <w:b/>
                <w:szCs w:val="21"/>
              </w:rPr>
              <w:t>月</w:t>
            </w:r>
            <w:r w:rsidRPr="00931B45">
              <w:rPr>
                <w:b/>
                <w:szCs w:val="21"/>
              </w:rPr>
              <w:t>24</w:t>
            </w:r>
            <w:r w:rsidRPr="00931B45">
              <w:rPr>
                <w:b/>
                <w:szCs w:val="21"/>
              </w:rPr>
              <w:t>日（基金合同生效日）至</w:t>
            </w:r>
            <w:r w:rsidRPr="00931B45">
              <w:rPr>
                <w:b/>
                <w:szCs w:val="21"/>
              </w:rPr>
              <w:t>2013</w:t>
            </w:r>
            <w:r w:rsidRPr="00931B45">
              <w:rPr>
                <w:b/>
                <w:szCs w:val="21"/>
              </w:rPr>
              <w:t>年</w:t>
            </w:r>
            <w:r w:rsidRPr="00931B45">
              <w:rPr>
                <w:b/>
                <w:szCs w:val="21"/>
              </w:rPr>
              <w:t>12</w:t>
            </w:r>
            <w:r w:rsidRPr="00931B45">
              <w:rPr>
                <w:b/>
                <w:szCs w:val="21"/>
              </w:rPr>
              <w:t>月</w:t>
            </w:r>
            <w:r w:rsidRPr="00931B45">
              <w:rPr>
                <w:b/>
                <w:szCs w:val="21"/>
              </w:rPr>
              <w:t>31</w:t>
            </w:r>
            <w:r w:rsidRPr="00931B45">
              <w:rPr>
                <w:b/>
                <w:szCs w:val="21"/>
              </w:rPr>
              <w:t>日</w:t>
            </w:r>
          </w:p>
        </w:tc>
      </w:tr>
      <w:tr w:rsidR="00FD6859" w:rsidRPr="00931B45" w:rsidTr="00FD6859">
        <w:tc>
          <w:tcPr>
            <w:tcW w:w="2250" w:type="dxa"/>
            <w:vAlign w:val="center"/>
          </w:tcPr>
          <w:p w:rsidR="00501A91" w:rsidRPr="00931B45" w:rsidRDefault="00501A91" w:rsidP="0050264A">
            <w:pPr>
              <w:spacing w:before="29" w:line="288" w:lineRule="auto"/>
              <w:rPr>
                <w:szCs w:val="21"/>
              </w:rPr>
            </w:pPr>
            <w:r w:rsidRPr="00931B45">
              <w:rPr>
                <w:rFonts w:hint="eastAsia"/>
                <w:szCs w:val="21"/>
              </w:rPr>
              <w:t>本期已实现收益</w:t>
            </w:r>
          </w:p>
        </w:tc>
        <w:tc>
          <w:tcPr>
            <w:tcW w:w="2286" w:type="dxa"/>
            <w:vAlign w:val="center"/>
          </w:tcPr>
          <w:p w:rsidR="00501A91" w:rsidRPr="00931B45" w:rsidRDefault="00501A91" w:rsidP="00D415F5">
            <w:pPr>
              <w:spacing w:before="29" w:line="288" w:lineRule="auto"/>
              <w:jc w:val="right"/>
              <w:rPr>
                <w:szCs w:val="21"/>
              </w:rPr>
            </w:pPr>
            <w:r w:rsidRPr="00931B45">
              <w:rPr>
                <w:szCs w:val="21"/>
              </w:rPr>
              <w:t>41,980,053.60</w:t>
            </w:r>
          </w:p>
        </w:tc>
        <w:tc>
          <w:tcPr>
            <w:tcW w:w="4462" w:type="dxa"/>
            <w:vAlign w:val="center"/>
          </w:tcPr>
          <w:p w:rsidR="00501A91" w:rsidRPr="00931B45" w:rsidRDefault="00501A91" w:rsidP="00D415F5">
            <w:pPr>
              <w:spacing w:before="29" w:line="288" w:lineRule="auto"/>
              <w:jc w:val="right"/>
              <w:rPr>
                <w:szCs w:val="21"/>
              </w:rPr>
            </w:pPr>
            <w:r w:rsidRPr="00931B45">
              <w:rPr>
                <w:szCs w:val="21"/>
              </w:rPr>
              <w:t>29,270,499.52</w:t>
            </w:r>
          </w:p>
        </w:tc>
      </w:tr>
      <w:tr w:rsidR="00FD6859" w:rsidRPr="00931B45" w:rsidTr="00FD6859">
        <w:tc>
          <w:tcPr>
            <w:tcW w:w="2250" w:type="dxa"/>
            <w:vAlign w:val="center"/>
          </w:tcPr>
          <w:p w:rsidR="00501A91" w:rsidRPr="00931B45" w:rsidRDefault="00501A91" w:rsidP="0050264A">
            <w:pPr>
              <w:spacing w:before="29" w:line="288" w:lineRule="auto"/>
              <w:rPr>
                <w:szCs w:val="21"/>
              </w:rPr>
            </w:pPr>
            <w:r w:rsidRPr="00931B45">
              <w:rPr>
                <w:rFonts w:hint="eastAsia"/>
                <w:szCs w:val="21"/>
              </w:rPr>
              <w:t>本期利润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57,225,115.41</w:t>
            </w:r>
          </w:p>
        </w:tc>
        <w:tc>
          <w:tcPr>
            <w:tcW w:w="4462" w:type="dxa"/>
            <w:vAlign w:val="center"/>
          </w:tcPr>
          <w:p w:rsidR="00501A91" w:rsidRPr="00931B45" w:rsidRDefault="00501A91" w:rsidP="00D415F5">
            <w:pPr>
              <w:spacing w:before="29" w:line="288" w:lineRule="auto"/>
              <w:jc w:val="right"/>
              <w:rPr>
                <w:szCs w:val="21"/>
              </w:rPr>
            </w:pPr>
            <w:r w:rsidRPr="00931B45">
              <w:rPr>
                <w:szCs w:val="21"/>
              </w:rPr>
              <w:t>27,361,171.94</w:t>
            </w:r>
          </w:p>
        </w:tc>
      </w:tr>
      <w:tr w:rsidR="00FD6859" w:rsidRPr="00931B45" w:rsidTr="00FD6859">
        <w:tc>
          <w:tcPr>
            <w:tcW w:w="2250" w:type="dxa"/>
            <w:vAlign w:val="center"/>
          </w:tcPr>
          <w:p w:rsidR="00501A91" w:rsidRPr="00931B45" w:rsidRDefault="00501A91" w:rsidP="0050264A">
            <w:pPr>
              <w:spacing w:before="29" w:line="288" w:lineRule="auto"/>
              <w:rPr>
                <w:szCs w:val="21"/>
              </w:rPr>
            </w:pPr>
            <w:r w:rsidRPr="00931B45">
              <w:rPr>
                <w:rFonts w:hint="eastAsia"/>
                <w:szCs w:val="21"/>
              </w:rPr>
              <w:t>加权平均基金份额本期利润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0.1519</w:t>
            </w:r>
          </w:p>
        </w:tc>
        <w:tc>
          <w:tcPr>
            <w:tcW w:w="4462" w:type="dxa"/>
            <w:vAlign w:val="center"/>
          </w:tcPr>
          <w:p w:rsidR="00501A91" w:rsidRPr="00931B45" w:rsidRDefault="00501A91" w:rsidP="00D415F5">
            <w:pPr>
              <w:spacing w:before="29" w:line="288" w:lineRule="auto"/>
              <w:jc w:val="right"/>
              <w:rPr>
                <w:szCs w:val="21"/>
              </w:rPr>
            </w:pPr>
            <w:r w:rsidRPr="00931B45">
              <w:rPr>
                <w:szCs w:val="21"/>
              </w:rPr>
              <w:t>0.0461</w:t>
            </w:r>
          </w:p>
        </w:tc>
      </w:tr>
      <w:tr w:rsidR="00FD6859" w:rsidRPr="00931B45" w:rsidTr="00FD6859">
        <w:tc>
          <w:tcPr>
            <w:tcW w:w="2250" w:type="dxa"/>
            <w:vAlign w:val="center"/>
          </w:tcPr>
          <w:p w:rsidR="00501A91" w:rsidRPr="00931B45" w:rsidRDefault="00501A91" w:rsidP="0050264A">
            <w:pPr>
              <w:spacing w:before="29" w:line="288" w:lineRule="auto"/>
              <w:rPr>
                <w:szCs w:val="21"/>
              </w:rPr>
            </w:pPr>
            <w:r w:rsidRPr="00931B45">
              <w:rPr>
                <w:rFonts w:hint="eastAsia"/>
                <w:szCs w:val="21"/>
              </w:rPr>
              <w:t>本期基金份额净值增长率</w:t>
            </w:r>
          </w:p>
        </w:tc>
        <w:tc>
          <w:tcPr>
            <w:tcW w:w="2286" w:type="dxa"/>
            <w:vAlign w:val="center"/>
          </w:tcPr>
          <w:p w:rsidR="00501A91" w:rsidRPr="00931B45" w:rsidRDefault="00501A91" w:rsidP="00D415F5">
            <w:pPr>
              <w:spacing w:before="29" w:line="288" w:lineRule="auto"/>
              <w:jc w:val="right"/>
              <w:rPr>
                <w:szCs w:val="21"/>
              </w:rPr>
            </w:pPr>
            <w:r w:rsidRPr="00931B45">
              <w:rPr>
                <w:szCs w:val="21"/>
              </w:rPr>
              <w:t>17.80%</w:t>
            </w:r>
          </w:p>
        </w:tc>
        <w:tc>
          <w:tcPr>
            <w:tcW w:w="4462" w:type="dxa"/>
            <w:vAlign w:val="center"/>
          </w:tcPr>
          <w:p w:rsidR="00501A91" w:rsidRPr="00931B45" w:rsidRDefault="00501A91" w:rsidP="00D415F5">
            <w:pPr>
              <w:spacing w:before="29" w:line="288" w:lineRule="auto"/>
              <w:jc w:val="right"/>
              <w:rPr>
                <w:szCs w:val="21"/>
              </w:rPr>
            </w:pPr>
            <w:r w:rsidRPr="00931B45">
              <w:rPr>
                <w:szCs w:val="21"/>
              </w:rPr>
              <w:t>4.37%</w:t>
            </w:r>
          </w:p>
        </w:tc>
      </w:tr>
      <w:tr w:rsidR="00FD6859" w:rsidRPr="00931B45" w:rsidTr="00FD6859">
        <w:tc>
          <w:tcPr>
            <w:tcW w:w="2250" w:type="dxa"/>
            <w:vAlign w:val="center"/>
          </w:tcPr>
          <w:p w:rsidR="00501A91" w:rsidRPr="00931B45" w:rsidRDefault="00501A91" w:rsidP="0050264A">
            <w:pPr>
              <w:spacing w:before="29" w:line="288" w:lineRule="auto"/>
              <w:rPr>
                <w:b/>
                <w:szCs w:val="21"/>
              </w:rPr>
            </w:pPr>
            <w:r w:rsidRPr="00931B45">
              <w:rPr>
                <w:b/>
                <w:szCs w:val="21"/>
              </w:rPr>
              <w:t xml:space="preserve">3.1.2 </w:t>
            </w:r>
            <w:r w:rsidRPr="00931B45">
              <w:rPr>
                <w:rFonts w:hint="eastAsia"/>
                <w:b/>
                <w:szCs w:val="21"/>
              </w:rPr>
              <w:t>期末数据和指标</w:t>
            </w:r>
          </w:p>
        </w:tc>
        <w:tc>
          <w:tcPr>
            <w:tcW w:w="2286" w:type="dxa"/>
            <w:vAlign w:val="center"/>
          </w:tcPr>
          <w:p w:rsidR="00501A91" w:rsidRPr="00931B45" w:rsidRDefault="00501A91" w:rsidP="0050264A">
            <w:pPr>
              <w:spacing w:before="29" w:line="288" w:lineRule="auto"/>
              <w:jc w:val="center"/>
              <w:rPr>
                <w:b/>
                <w:szCs w:val="21"/>
              </w:rPr>
            </w:pPr>
            <w:r w:rsidRPr="00931B45">
              <w:rPr>
                <w:b/>
                <w:szCs w:val="21"/>
              </w:rPr>
              <w:t>2014</w:t>
            </w:r>
            <w:r w:rsidRPr="00931B45">
              <w:rPr>
                <w:rFonts w:hint="eastAsia"/>
                <w:b/>
                <w:szCs w:val="21"/>
              </w:rPr>
              <w:t>年末</w:t>
            </w:r>
          </w:p>
        </w:tc>
        <w:tc>
          <w:tcPr>
            <w:tcW w:w="4462" w:type="dxa"/>
            <w:vAlign w:val="center"/>
          </w:tcPr>
          <w:p w:rsidR="00501A91" w:rsidRPr="00931B45" w:rsidRDefault="00501A91" w:rsidP="0050264A">
            <w:pPr>
              <w:spacing w:before="29" w:line="288" w:lineRule="auto"/>
              <w:jc w:val="center"/>
              <w:rPr>
                <w:b/>
                <w:szCs w:val="21"/>
              </w:rPr>
            </w:pPr>
            <w:r w:rsidRPr="00931B45">
              <w:rPr>
                <w:b/>
                <w:szCs w:val="21"/>
              </w:rPr>
              <w:t>2013</w:t>
            </w:r>
            <w:r w:rsidRPr="00931B45">
              <w:rPr>
                <w:rFonts w:hint="eastAsia"/>
                <w:b/>
                <w:szCs w:val="21"/>
              </w:rPr>
              <w:t>年末</w:t>
            </w:r>
          </w:p>
        </w:tc>
      </w:tr>
      <w:tr w:rsidR="00FD6859" w:rsidRPr="00931B45" w:rsidTr="00FD6859">
        <w:tc>
          <w:tcPr>
            <w:tcW w:w="2250" w:type="dxa"/>
            <w:vAlign w:val="center"/>
          </w:tcPr>
          <w:p w:rsidR="00501A91" w:rsidRPr="00931B45" w:rsidRDefault="00501A91" w:rsidP="0050264A">
            <w:pPr>
              <w:spacing w:before="29" w:line="288" w:lineRule="auto"/>
              <w:rPr>
                <w:szCs w:val="21"/>
              </w:rPr>
            </w:pPr>
            <w:r w:rsidRPr="00931B45">
              <w:rPr>
                <w:rFonts w:hint="eastAsia"/>
                <w:szCs w:val="21"/>
              </w:rPr>
              <w:t>期末可供分配基金份额利润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0.042</w:t>
            </w:r>
          </w:p>
        </w:tc>
        <w:tc>
          <w:tcPr>
            <w:tcW w:w="4462" w:type="dxa"/>
            <w:vAlign w:val="center"/>
          </w:tcPr>
          <w:p w:rsidR="00501A91" w:rsidRPr="00931B45" w:rsidRDefault="00501A91" w:rsidP="00D415F5">
            <w:pPr>
              <w:spacing w:before="29" w:line="288" w:lineRule="auto"/>
              <w:jc w:val="right"/>
              <w:rPr>
                <w:szCs w:val="21"/>
              </w:rPr>
            </w:pPr>
            <w:r w:rsidRPr="00931B45">
              <w:rPr>
                <w:szCs w:val="21"/>
              </w:rPr>
              <w:t>0.014</w:t>
            </w:r>
          </w:p>
        </w:tc>
      </w:tr>
      <w:tr w:rsidR="00FD6859" w:rsidRPr="00931B45" w:rsidTr="00FD6859">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期末基金资产净值</w:t>
            </w:r>
          </w:p>
        </w:tc>
        <w:tc>
          <w:tcPr>
            <w:tcW w:w="2286" w:type="dxa"/>
            <w:vAlign w:val="center"/>
          </w:tcPr>
          <w:p w:rsidR="00501A91" w:rsidRPr="00931B45" w:rsidRDefault="00501A91" w:rsidP="00D415F5">
            <w:pPr>
              <w:spacing w:before="29" w:line="288" w:lineRule="auto"/>
              <w:jc w:val="right"/>
              <w:rPr>
                <w:szCs w:val="21"/>
              </w:rPr>
            </w:pPr>
            <w:r w:rsidRPr="00931B45">
              <w:rPr>
                <w:szCs w:val="21"/>
              </w:rPr>
              <w:t>317,738,147.54</w:t>
            </w:r>
          </w:p>
        </w:tc>
        <w:tc>
          <w:tcPr>
            <w:tcW w:w="4462" w:type="dxa"/>
            <w:vAlign w:val="center"/>
          </w:tcPr>
          <w:p w:rsidR="00501A91" w:rsidRPr="00931B45" w:rsidRDefault="00501A91" w:rsidP="00D415F5">
            <w:pPr>
              <w:spacing w:before="29" w:line="288" w:lineRule="auto"/>
              <w:jc w:val="right"/>
              <w:rPr>
                <w:szCs w:val="21"/>
              </w:rPr>
            </w:pPr>
            <w:r w:rsidRPr="00931B45">
              <w:rPr>
                <w:szCs w:val="21"/>
              </w:rPr>
              <w:t>491,179,513.29</w:t>
            </w:r>
          </w:p>
        </w:tc>
      </w:tr>
      <w:tr w:rsidR="00FD6859" w:rsidRPr="00931B45" w:rsidTr="00FD6859">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期末基金份额净值</w:t>
            </w:r>
          </w:p>
        </w:tc>
        <w:tc>
          <w:tcPr>
            <w:tcW w:w="2286" w:type="dxa"/>
            <w:vAlign w:val="center"/>
          </w:tcPr>
          <w:p w:rsidR="00501A91" w:rsidRPr="00931B45" w:rsidRDefault="00501A91" w:rsidP="00D415F5">
            <w:pPr>
              <w:spacing w:before="29" w:line="288" w:lineRule="auto"/>
              <w:jc w:val="right"/>
              <w:rPr>
                <w:szCs w:val="21"/>
              </w:rPr>
            </w:pPr>
            <w:r w:rsidRPr="00931B45">
              <w:rPr>
                <w:szCs w:val="21"/>
              </w:rPr>
              <w:t>1.076</w:t>
            </w:r>
          </w:p>
        </w:tc>
        <w:tc>
          <w:tcPr>
            <w:tcW w:w="4462" w:type="dxa"/>
            <w:vAlign w:val="center"/>
          </w:tcPr>
          <w:p w:rsidR="00501A91" w:rsidRPr="00931B45" w:rsidRDefault="00501A91" w:rsidP="00D415F5">
            <w:pPr>
              <w:spacing w:before="29" w:line="288" w:lineRule="auto"/>
              <w:jc w:val="right"/>
              <w:rPr>
                <w:szCs w:val="21"/>
              </w:rPr>
            </w:pPr>
            <w:r w:rsidRPr="00931B45">
              <w:rPr>
                <w:szCs w:val="21"/>
              </w:rPr>
              <w:t>1.014</w:t>
            </w:r>
          </w:p>
        </w:tc>
      </w:tr>
    </w:tbl>
    <w:p w:rsidR="00A9459B" w:rsidRDefault="00FD6859">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、本基金业绩指标不包括持有人认购或交易基金的各项费用，计入费用后的实际收益水平要低于所列数字。</w:t>
      </w:r>
    </w:p>
    <w:p w:rsidR="001A59F9" w:rsidRPr="0060235D" w:rsidRDefault="001A59F9" w:rsidP="0060235D">
      <w:pPr>
        <w:tabs>
          <w:tab w:val="left" w:pos="426"/>
        </w:tabs>
        <w:spacing w:before="29" w:line="288" w:lineRule="auto"/>
        <w:jc w:val="left"/>
        <w:rPr>
          <w:kern w:val="0"/>
          <w:sz w:val="24"/>
        </w:rPr>
      </w:pPr>
      <w:r w:rsidRPr="0060235D">
        <w:rPr>
          <w:kern w:val="0"/>
          <w:sz w:val="24"/>
        </w:rPr>
        <w:t xml:space="preserve">    2</w:t>
      </w:r>
      <w:r w:rsidRPr="0060235D">
        <w:rPr>
          <w:kern w:val="0"/>
          <w:sz w:val="24"/>
        </w:rPr>
        <w:t>、本期已实现收益指基金本期利息收入、投资收益、其他收入（不含公允价值变动收益）扣除相关费用后的余额，本期利润为本期已实现收益加上本期公允价值变动收益。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0" w:name="_Toc225498252"/>
      <w:bookmarkStart w:id="21" w:name="_Toc361324852"/>
      <w:r w:rsidRPr="00701155">
        <w:rPr>
          <w:rFonts w:ascii="Times New Roman" w:hAnsi="Times New Roman"/>
          <w:kern w:val="0"/>
          <w:szCs w:val="24"/>
        </w:rPr>
        <w:t xml:space="preserve">3.2 </w:t>
      </w:r>
      <w:r w:rsidRPr="00701155">
        <w:rPr>
          <w:rFonts w:ascii="Times New Roman" w:hAnsi="Times New Roman" w:hint="eastAsia"/>
          <w:kern w:val="0"/>
          <w:szCs w:val="24"/>
        </w:rPr>
        <w:t>基金净值表现</w:t>
      </w:r>
      <w:bookmarkEnd w:id="20"/>
      <w:bookmarkEnd w:id="21"/>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 xml:space="preserve">3.2.1 </w:t>
      </w:r>
      <w:r w:rsidRPr="00701155">
        <w:rPr>
          <w:rFonts w:ascii="Times New Roman" w:hAnsi="Times New Roman" w:hint="eastAsia"/>
          <w:kern w:val="0"/>
          <w:szCs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C51C77" w:rsidTr="00FC45CB">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阶段</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份额净值增长率①</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份额净值增长率标准差②</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业绩比较基准收益率标准差④</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①－③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②－④</w:t>
            </w:r>
          </w:p>
        </w:tc>
      </w:tr>
      <w:tr w:rsidR="00A9459B">
        <w:tc>
          <w:tcPr>
            <w:tcW w:w="1286" w:type="dxa"/>
            <w:vAlign w:val="center"/>
          </w:tcPr>
          <w:p w:rsidR="00A9459B" w:rsidRDefault="00FD6859">
            <w:pPr>
              <w:jc w:val="left"/>
            </w:pPr>
            <w:r>
              <w:rPr>
                <w:color w:val="000000"/>
                <w:sz w:val="24"/>
              </w:rPr>
              <w:t>过去三个月</w:t>
            </w:r>
          </w:p>
        </w:tc>
        <w:tc>
          <w:tcPr>
            <w:tcW w:w="1286" w:type="dxa"/>
            <w:vAlign w:val="center"/>
          </w:tcPr>
          <w:p w:rsidR="00A9459B" w:rsidRDefault="00FD6859">
            <w:pPr>
              <w:jc w:val="center"/>
            </w:pPr>
            <w:r>
              <w:rPr>
                <w:color w:val="000000"/>
                <w:sz w:val="24"/>
              </w:rPr>
              <w:t>9.57%</w:t>
            </w:r>
          </w:p>
        </w:tc>
        <w:tc>
          <w:tcPr>
            <w:tcW w:w="1286" w:type="dxa"/>
            <w:vAlign w:val="center"/>
          </w:tcPr>
          <w:p w:rsidR="00A9459B" w:rsidRDefault="00FD6859">
            <w:pPr>
              <w:jc w:val="center"/>
            </w:pPr>
            <w:r>
              <w:rPr>
                <w:color w:val="000000"/>
                <w:sz w:val="24"/>
              </w:rPr>
              <w:t>0.61%</w:t>
            </w:r>
          </w:p>
        </w:tc>
        <w:tc>
          <w:tcPr>
            <w:tcW w:w="1285" w:type="dxa"/>
            <w:vAlign w:val="center"/>
          </w:tcPr>
          <w:p w:rsidR="00A9459B" w:rsidRDefault="00FD6859">
            <w:pPr>
              <w:jc w:val="center"/>
            </w:pPr>
            <w:r>
              <w:rPr>
                <w:color w:val="000000"/>
                <w:sz w:val="24"/>
              </w:rPr>
              <w:t>1.06%</w:t>
            </w:r>
          </w:p>
        </w:tc>
        <w:tc>
          <w:tcPr>
            <w:tcW w:w="1285" w:type="dxa"/>
            <w:vAlign w:val="center"/>
          </w:tcPr>
          <w:p w:rsidR="00A9459B" w:rsidRDefault="00FD6859">
            <w:pPr>
              <w:jc w:val="center"/>
            </w:pPr>
            <w:r>
              <w:rPr>
                <w:color w:val="000000"/>
                <w:sz w:val="24"/>
              </w:rPr>
              <w:t>0.01%</w:t>
            </w:r>
          </w:p>
        </w:tc>
        <w:tc>
          <w:tcPr>
            <w:tcW w:w="1285" w:type="dxa"/>
            <w:vAlign w:val="center"/>
          </w:tcPr>
          <w:p w:rsidR="00A9459B" w:rsidRDefault="00FD6859">
            <w:pPr>
              <w:jc w:val="center"/>
            </w:pPr>
            <w:r>
              <w:rPr>
                <w:color w:val="000000"/>
                <w:sz w:val="24"/>
              </w:rPr>
              <w:t>8.51%</w:t>
            </w:r>
          </w:p>
        </w:tc>
        <w:tc>
          <w:tcPr>
            <w:tcW w:w="1285" w:type="dxa"/>
            <w:vAlign w:val="center"/>
          </w:tcPr>
          <w:p w:rsidR="00A9459B" w:rsidRDefault="00FD6859">
            <w:pPr>
              <w:jc w:val="center"/>
            </w:pPr>
            <w:r>
              <w:rPr>
                <w:color w:val="000000"/>
                <w:sz w:val="24"/>
              </w:rPr>
              <w:t>0.60%</w:t>
            </w:r>
          </w:p>
        </w:tc>
      </w:tr>
      <w:tr w:rsidR="00A9459B">
        <w:tc>
          <w:tcPr>
            <w:tcW w:w="1286" w:type="dxa"/>
            <w:vAlign w:val="center"/>
          </w:tcPr>
          <w:p w:rsidR="00A9459B" w:rsidRDefault="00FD6859">
            <w:pPr>
              <w:jc w:val="left"/>
            </w:pPr>
            <w:r>
              <w:rPr>
                <w:color w:val="000000"/>
                <w:sz w:val="24"/>
              </w:rPr>
              <w:t>过去六个月</w:t>
            </w:r>
          </w:p>
        </w:tc>
        <w:tc>
          <w:tcPr>
            <w:tcW w:w="1286" w:type="dxa"/>
            <w:vAlign w:val="center"/>
          </w:tcPr>
          <w:p w:rsidR="00A9459B" w:rsidRDefault="00FD6859">
            <w:pPr>
              <w:jc w:val="center"/>
            </w:pPr>
            <w:r>
              <w:rPr>
                <w:color w:val="000000"/>
                <w:sz w:val="24"/>
              </w:rPr>
              <w:t>14.09%</w:t>
            </w:r>
          </w:p>
        </w:tc>
        <w:tc>
          <w:tcPr>
            <w:tcW w:w="1286" w:type="dxa"/>
            <w:vAlign w:val="center"/>
          </w:tcPr>
          <w:p w:rsidR="00A9459B" w:rsidRDefault="00FD6859">
            <w:pPr>
              <w:jc w:val="center"/>
            </w:pPr>
            <w:r>
              <w:rPr>
                <w:color w:val="000000"/>
                <w:sz w:val="24"/>
              </w:rPr>
              <w:t>0.47%</w:t>
            </w:r>
          </w:p>
        </w:tc>
        <w:tc>
          <w:tcPr>
            <w:tcW w:w="1285" w:type="dxa"/>
            <w:vAlign w:val="center"/>
          </w:tcPr>
          <w:p w:rsidR="00A9459B" w:rsidRDefault="00FD6859">
            <w:pPr>
              <w:jc w:val="center"/>
            </w:pPr>
            <w:r>
              <w:rPr>
                <w:color w:val="000000"/>
                <w:sz w:val="24"/>
              </w:rPr>
              <w:t>2.14%</w:t>
            </w:r>
          </w:p>
        </w:tc>
        <w:tc>
          <w:tcPr>
            <w:tcW w:w="1285" w:type="dxa"/>
            <w:vAlign w:val="center"/>
          </w:tcPr>
          <w:p w:rsidR="00A9459B" w:rsidRDefault="00FD6859">
            <w:pPr>
              <w:jc w:val="center"/>
            </w:pPr>
            <w:r>
              <w:rPr>
                <w:color w:val="000000"/>
                <w:sz w:val="24"/>
              </w:rPr>
              <w:t>0.01%</w:t>
            </w:r>
          </w:p>
        </w:tc>
        <w:tc>
          <w:tcPr>
            <w:tcW w:w="1285" w:type="dxa"/>
            <w:vAlign w:val="center"/>
          </w:tcPr>
          <w:p w:rsidR="00A9459B" w:rsidRDefault="00FD6859">
            <w:pPr>
              <w:jc w:val="center"/>
            </w:pPr>
            <w:r>
              <w:rPr>
                <w:color w:val="000000"/>
                <w:sz w:val="24"/>
              </w:rPr>
              <w:t>11.95%</w:t>
            </w:r>
          </w:p>
        </w:tc>
        <w:tc>
          <w:tcPr>
            <w:tcW w:w="1285" w:type="dxa"/>
            <w:vAlign w:val="center"/>
          </w:tcPr>
          <w:p w:rsidR="00A9459B" w:rsidRDefault="00FD6859">
            <w:pPr>
              <w:jc w:val="center"/>
            </w:pPr>
            <w:r>
              <w:rPr>
                <w:color w:val="000000"/>
                <w:sz w:val="24"/>
              </w:rPr>
              <w:t>0.46%</w:t>
            </w:r>
          </w:p>
        </w:tc>
      </w:tr>
      <w:tr w:rsidR="00A9459B">
        <w:tc>
          <w:tcPr>
            <w:tcW w:w="1286" w:type="dxa"/>
            <w:vAlign w:val="center"/>
          </w:tcPr>
          <w:p w:rsidR="00A9459B" w:rsidRDefault="00FD6859">
            <w:pPr>
              <w:jc w:val="left"/>
            </w:pPr>
            <w:r>
              <w:rPr>
                <w:color w:val="000000"/>
                <w:sz w:val="24"/>
              </w:rPr>
              <w:t>过去一年</w:t>
            </w:r>
          </w:p>
        </w:tc>
        <w:tc>
          <w:tcPr>
            <w:tcW w:w="1286" w:type="dxa"/>
            <w:vAlign w:val="center"/>
          </w:tcPr>
          <w:p w:rsidR="00A9459B" w:rsidRDefault="00FD6859">
            <w:pPr>
              <w:jc w:val="center"/>
            </w:pPr>
            <w:r>
              <w:rPr>
                <w:color w:val="000000"/>
                <w:sz w:val="24"/>
              </w:rPr>
              <w:t>17.80%</w:t>
            </w:r>
          </w:p>
        </w:tc>
        <w:tc>
          <w:tcPr>
            <w:tcW w:w="1286" w:type="dxa"/>
            <w:vAlign w:val="center"/>
          </w:tcPr>
          <w:p w:rsidR="00A9459B" w:rsidRDefault="00FD6859">
            <w:pPr>
              <w:jc w:val="center"/>
            </w:pPr>
            <w:r>
              <w:rPr>
                <w:color w:val="000000"/>
                <w:sz w:val="24"/>
              </w:rPr>
              <w:t>0.40%</w:t>
            </w:r>
          </w:p>
        </w:tc>
        <w:tc>
          <w:tcPr>
            <w:tcW w:w="1285" w:type="dxa"/>
            <w:vAlign w:val="center"/>
          </w:tcPr>
          <w:p w:rsidR="00A9459B" w:rsidRDefault="00FD6859">
            <w:pPr>
              <w:jc w:val="center"/>
            </w:pPr>
            <w:r>
              <w:rPr>
                <w:color w:val="000000"/>
                <w:sz w:val="24"/>
              </w:rPr>
              <w:t>4.28%</w:t>
            </w:r>
          </w:p>
        </w:tc>
        <w:tc>
          <w:tcPr>
            <w:tcW w:w="1285" w:type="dxa"/>
            <w:vAlign w:val="center"/>
          </w:tcPr>
          <w:p w:rsidR="00A9459B" w:rsidRDefault="00FD6859">
            <w:pPr>
              <w:jc w:val="center"/>
            </w:pPr>
            <w:r>
              <w:rPr>
                <w:color w:val="000000"/>
                <w:sz w:val="24"/>
              </w:rPr>
              <w:t>0.01%</w:t>
            </w:r>
          </w:p>
        </w:tc>
        <w:tc>
          <w:tcPr>
            <w:tcW w:w="1285" w:type="dxa"/>
            <w:vAlign w:val="center"/>
          </w:tcPr>
          <w:p w:rsidR="00A9459B" w:rsidRDefault="00FD6859">
            <w:pPr>
              <w:jc w:val="center"/>
            </w:pPr>
            <w:r>
              <w:rPr>
                <w:color w:val="000000"/>
                <w:sz w:val="24"/>
              </w:rPr>
              <w:t>13.52%</w:t>
            </w:r>
          </w:p>
        </w:tc>
        <w:tc>
          <w:tcPr>
            <w:tcW w:w="1285" w:type="dxa"/>
            <w:vAlign w:val="center"/>
          </w:tcPr>
          <w:p w:rsidR="00A9459B" w:rsidRDefault="00FD6859">
            <w:pPr>
              <w:jc w:val="center"/>
            </w:pPr>
            <w:r>
              <w:rPr>
                <w:color w:val="000000"/>
                <w:sz w:val="24"/>
              </w:rPr>
              <w:t>0.39%</w:t>
            </w:r>
          </w:p>
        </w:tc>
      </w:tr>
      <w:tr w:rsidR="00A9459B">
        <w:tc>
          <w:tcPr>
            <w:tcW w:w="1286" w:type="dxa"/>
            <w:vAlign w:val="center"/>
          </w:tcPr>
          <w:p w:rsidR="00A9459B" w:rsidRDefault="00FD6859">
            <w:pPr>
              <w:jc w:val="left"/>
            </w:pPr>
            <w:r>
              <w:rPr>
                <w:color w:val="000000"/>
                <w:sz w:val="24"/>
              </w:rPr>
              <w:t>自基金合同生效起至今</w:t>
            </w:r>
          </w:p>
        </w:tc>
        <w:tc>
          <w:tcPr>
            <w:tcW w:w="1286" w:type="dxa"/>
            <w:vAlign w:val="center"/>
          </w:tcPr>
          <w:p w:rsidR="00A9459B" w:rsidRDefault="00FD6859">
            <w:pPr>
              <w:jc w:val="center"/>
            </w:pPr>
            <w:r>
              <w:rPr>
                <w:color w:val="000000"/>
                <w:sz w:val="24"/>
              </w:rPr>
              <w:t>22.95%</w:t>
            </w:r>
          </w:p>
        </w:tc>
        <w:tc>
          <w:tcPr>
            <w:tcW w:w="1286" w:type="dxa"/>
            <w:vAlign w:val="center"/>
          </w:tcPr>
          <w:p w:rsidR="00A9459B" w:rsidRDefault="00FD6859">
            <w:pPr>
              <w:jc w:val="center"/>
            </w:pPr>
            <w:r>
              <w:rPr>
                <w:color w:val="000000"/>
                <w:sz w:val="24"/>
              </w:rPr>
              <w:t>0.38%</w:t>
            </w:r>
          </w:p>
        </w:tc>
        <w:tc>
          <w:tcPr>
            <w:tcW w:w="1285" w:type="dxa"/>
            <w:vAlign w:val="center"/>
          </w:tcPr>
          <w:p w:rsidR="00A9459B" w:rsidRDefault="00FD6859">
            <w:pPr>
              <w:jc w:val="center"/>
            </w:pPr>
            <w:r>
              <w:rPr>
                <w:color w:val="000000"/>
                <w:sz w:val="24"/>
              </w:rPr>
              <w:t>7.26%</w:t>
            </w:r>
          </w:p>
        </w:tc>
        <w:tc>
          <w:tcPr>
            <w:tcW w:w="1285" w:type="dxa"/>
            <w:vAlign w:val="center"/>
          </w:tcPr>
          <w:p w:rsidR="00A9459B" w:rsidRDefault="00FD6859">
            <w:pPr>
              <w:jc w:val="center"/>
            </w:pPr>
            <w:r>
              <w:rPr>
                <w:color w:val="000000"/>
                <w:sz w:val="24"/>
              </w:rPr>
              <w:t>0.01%</w:t>
            </w:r>
          </w:p>
        </w:tc>
        <w:tc>
          <w:tcPr>
            <w:tcW w:w="1285" w:type="dxa"/>
            <w:vAlign w:val="center"/>
          </w:tcPr>
          <w:p w:rsidR="00A9459B" w:rsidRDefault="00FD6859">
            <w:pPr>
              <w:jc w:val="center"/>
            </w:pPr>
            <w:r>
              <w:rPr>
                <w:color w:val="000000"/>
                <w:sz w:val="24"/>
              </w:rPr>
              <w:t>15.69%</w:t>
            </w:r>
          </w:p>
        </w:tc>
        <w:tc>
          <w:tcPr>
            <w:tcW w:w="1285" w:type="dxa"/>
            <w:vAlign w:val="center"/>
          </w:tcPr>
          <w:p w:rsidR="00A9459B" w:rsidRDefault="00FD6859">
            <w:pPr>
              <w:jc w:val="center"/>
            </w:pPr>
            <w:r>
              <w:rPr>
                <w:color w:val="000000"/>
                <w:sz w:val="24"/>
              </w:rPr>
              <w:t>0.37%</w:t>
            </w:r>
          </w:p>
        </w:tc>
      </w:tr>
    </w:tbl>
    <w:p w:rsidR="001A59F9" w:rsidRPr="00C51C77" w:rsidRDefault="001A59F9" w:rsidP="00610A19">
      <w:pPr>
        <w:tabs>
          <w:tab w:val="left" w:pos="426"/>
        </w:tabs>
        <w:spacing w:before="29" w:line="288" w:lineRule="auto"/>
        <w:jc w:val="left"/>
        <w:rPr>
          <w:rFonts w:asciiTheme="minorEastAsia" w:eastAsiaTheme="minorEastAsia" w:hAnsiTheme="minorEastAsia"/>
          <w:szCs w:val="21"/>
        </w:rPr>
      </w:pPr>
      <w:r w:rsidRPr="00FC45CB">
        <w:rPr>
          <w:kern w:val="0"/>
          <w:sz w:val="24"/>
        </w:rPr>
        <w:t>注：本基金的业绩比较基准为三年期银行定期存款税后收益率。</w:t>
      </w:r>
      <w:r w:rsidR="00610A19">
        <w:rPr>
          <w:rFonts w:hint="eastAsia"/>
          <w:kern w:val="0"/>
          <w:sz w:val="24"/>
        </w:rPr>
        <w:br/>
      </w:r>
    </w:p>
    <w:p w:rsidR="00852116" w:rsidRPr="00701155" w:rsidRDefault="00852116" w:rsidP="00701155">
      <w:pPr>
        <w:pStyle w:val="20"/>
        <w:spacing w:before="29" w:after="0" w:line="288" w:lineRule="auto"/>
        <w:rPr>
          <w:rFonts w:ascii="Times New Roman" w:hAnsi="Times New Roman"/>
          <w:kern w:val="0"/>
          <w:szCs w:val="24"/>
        </w:rPr>
      </w:pPr>
      <w:r w:rsidRPr="00701155">
        <w:rPr>
          <w:rFonts w:ascii="Times New Roman" w:hAnsi="Times New Roman" w:hint="eastAsia"/>
          <w:kern w:val="0"/>
          <w:szCs w:val="24"/>
        </w:rPr>
        <w:t xml:space="preserve">3.2.2 </w:t>
      </w:r>
      <w:r w:rsidR="006B6275" w:rsidRPr="00F91246">
        <w:rPr>
          <w:rFonts w:ascii="Times New Roman" w:hAnsi="Times New Roman"/>
          <w:kern w:val="0"/>
          <w:szCs w:val="24"/>
        </w:rPr>
        <w:t>自基金合同生效以来</w:t>
      </w:r>
      <w:r w:rsidRPr="00701155">
        <w:rPr>
          <w:rFonts w:ascii="Times New Roman" w:hAnsi="Times New Roman"/>
          <w:kern w:val="0"/>
          <w:szCs w:val="24"/>
        </w:rPr>
        <w:t>基金份额累计净值增长率变动及其与同期业绩比较基准收益率变动的比较</w:t>
      </w:r>
      <w:r w:rsidRPr="00701155">
        <w:rPr>
          <w:rFonts w:ascii="Times New Roman" w:hAnsi="Times New Roman"/>
          <w:kern w:val="0"/>
          <w:szCs w:val="24"/>
        </w:rPr>
        <w:t xml:space="preserve"> </w:t>
      </w:r>
    </w:p>
    <w:p w:rsidR="001A59F9" w:rsidRPr="00C51C77" w:rsidRDefault="00A72EF3" w:rsidP="00026C9C">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650E05" w:rsidRDefault="001A59F9" w:rsidP="00650E05">
      <w:pPr>
        <w:tabs>
          <w:tab w:val="left" w:pos="426"/>
        </w:tabs>
        <w:spacing w:before="29" w:line="288" w:lineRule="auto"/>
        <w:jc w:val="left"/>
        <w:rPr>
          <w:kern w:val="0"/>
          <w:sz w:val="24"/>
        </w:rPr>
      </w:pPr>
      <w:r w:rsidRPr="00650E05">
        <w:rPr>
          <w:kern w:val="0"/>
          <w:sz w:val="24"/>
        </w:rPr>
        <w:t>注：本基金建仓期为自基金合同生效日起的</w:t>
      </w:r>
      <w:r w:rsidRPr="00650E05">
        <w:rPr>
          <w:kern w:val="0"/>
          <w:sz w:val="24"/>
        </w:rPr>
        <w:t>6</w:t>
      </w:r>
      <w:r w:rsidRPr="00650E05">
        <w:rPr>
          <w:kern w:val="0"/>
          <w:sz w:val="24"/>
        </w:rPr>
        <w:t>个月。截至建仓期结束，本基金各项资产配置比例符合基金合同及招募说明书有关投资比例的约定。</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 xml:space="preserve">3.2.3 </w:t>
      </w:r>
      <w:r w:rsidR="00A225D8" w:rsidRPr="00701155">
        <w:rPr>
          <w:rFonts w:ascii="Times New Roman" w:hAnsi="Times New Roman" w:hint="eastAsia"/>
          <w:kern w:val="0"/>
          <w:szCs w:val="24"/>
        </w:rPr>
        <w:t>自基金合同生效以来</w:t>
      </w:r>
      <w:r w:rsidRPr="00701155">
        <w:rPr>
          <w:rFonts w:ascii="Times New Roman" w:hAnsi="Times New Roman" w:hint="eastAsia"/>
          <w:kern w:val="0"/>
          <w:szCs w:val="24"/>
        </w:rPr>
        <w:t>基金每年净值增长率及其与同期业绩比较基准收益率的比较</w:t>
      </w:r>
    </w:p>
    <w:p w:rsidR="00A0223F" w:rsidRPr="00C51C77" w:rsidRDefault="00A72EF3" w:rsidP="00A225D8">
      <w:pPr>
        <w:spacing w:line="360" w:lineRule="auto"/>
        <w:jc w:val="center"/>
        <w:rPr>
          <w:rFonts w:ascii="宋体" w:hAnsi="宋体"/>
          <w:b/>
          <w:bCs/>
          <w:color w:val="000000"/>
          <w:szCs w:val="21"/>
          <w:vertAlign w:val="superscript"/>
        </w:rPr>
      </w:pPr>
      <w:r>
        <w:rPr>
          <w:rFonts w:ascii="宋体" w:hAnsi="宋体"/>
          <w:b/>
          <w:bCs/>
          <w:noProof/>
          <w:color w:val="000000"/>
          <w:szCs w:val="21"/>
          <w:vertAlign w:val="superscript"/>
        </w:rPr>
        <w:drawing>
          <wp:inline distT="0" distB="0" distL="0" distR="0">
            <wp:extent cx="5759450" cy="3372734"/>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B05374" w:rsidRDefault="001A59F9" w:rsidP="00B05374">
      <w:pPr>
        <w:tabs>
          <w:tab w:val="left" w:pos="426"/>
        </w:tabs>
        <w:spacing w:before="29" w:line="288" w:lineRule="auto"/>
        <w:jc w:val="left"/>
        <w:rPr>
          <w:kern w:val="0"/>
          <w:sz w:val="24"/>
        </w:rPr>
      </w:pPr>
      <w:r w:rsidRPr="00B05374">
        <w:rPr>
          <w:kern w:val="0"/>
          <w:sz w:val="24"/>
        </w:rPr>
        <w:t>注：图示日期为</w:t>
      </w:r>
      <w:r w:rsidRPr="00B05374">
        <w:rPr>
          <w:kern w:val="0"/>
          <w:sz w:val="24"/>
        </w:rPr>
        <w:t>2013</w:t>
      </w:r>
      <w:r w:rsidRPr="00B05374">
        <w:rPr>
          <w:kern w:val="0"/>
          <w:sz w:val="24"/>
        </w:rPr>
        <w:t>年</w:t>
      </w:r>
      <w:r w:rsidRPr="00B05374">
        <w:rPr>
          <w:kern w:val="0"/>
          <w:sz w:val="24"/>
        </w:rPr>
        <w:t>4</w:t>
      </w:r>
      <w:r w:rsidRPr="00B05374">
        <w:rPr>
          <w:kern w:val="0"/>
          <w:sz w:val="24"/>
        </w:rPr>
        <w:t>月</w:t>
      </w:r>
      <w:r w:rsidRPr="00B05374">
        <w:rPr>
          <w:kern w:val="0"/>
          <w:sz w:val="24"/>
        </w:rPr>
        <w:t>24</w:t>
      </w:r>
      <w:r w:rsidRPr="00B05374">
        <w:rPr>
          <w:kern w:val="0"/>
          <w:sz w:val="24"/>
        </w:rPr>
        <w:t>日至</w:t>
      </w:r>
      <w:r w:rsidRPr="00B05374">
        <w:rPr>
          <w:kern w:val="0"/>
          <w:sz w:val="24"/>
        </w:rPr>
        <w:t>2014</w:t>
      </w:r>
      <w:r w:rsidRPr="00B05374">
        <w:rPr>
          <w:kern w:val="0"/>
          <w:sz w:val="24"/>
        </w:rPr>
        <w:t>年</w:t>
      </w:r>
      <w:r w:rsidRPr="00B05374">
        <w:rPr>
          <w:kern w:val="0"/>
          <w:sz w:val="24"/>
        </w:rPr>
        <w:t>12</w:t>
      </w:r>
      <w:r w:rsidRPr="00B05374">
        <w:rPr>
          <w:kern w:val="0"/>
          <w:sz w:val="24"/>
        </w:rPr>
        <w:t>月</w:t>
      </w:r>
      <w:r w:rsidRPr="00B05374">
        <w:rPr>
          <w:kern w:val="0"/>
          <w:sz w:val="24"/>
        </w:rPr>
        <w:t>31</w:t>
      </w:r>
      <w:r w:rsidRPr="00B05374">
        <w:rPr>
          <w:kern w:val="0"/>
          <w:sz w:val="24"/>
        </w:rPr>
        <w:t>日。基金合同生效当年的净值增长率按照当年实际存续期计算。</w:t>
      </w:r>
    </w:p>
    <w:p w:rsidR="002E63B8" w:rsidRPr="00C51C77" w:rsidRDefault="002E63B8" w:rsidP="00026C9C">
      <w:pPr>
        <w:spacing w:line="360" w:lineRule="auto"/>
        <w:ind w:firstLine="420"/>
        <w:jc w:val="left"/>
        <w:rPr>
          <w:rFonts w:asciiTheme="minorEastAsia" w:eastAsiaTheme="minorEastAsia" w:hAnsiTheme="minorEastAsia"/>
          <w:color w:val="000000"/>
          <w:szCs w:val="21"/>
        </w:rPr>
      </w:pPr>
    </w:p>
    <w:p w:rsidR="00E63239" w:rsidRPr="00701155" w:rsidRDefault="00E63239" w:rsidP="00701155">
      <w:pPr>
        <w:pStyle w:val="20"/>
        <w:spacing w:before="29" w:after="0" w:line="288" w:lineRule="auto"/>
        <w:rPr>
          <w:rFonts w:ascii="Times New Roman" w:hAnsi="Times New Roman"/>
          <w:kern w:val="0"/>
          <w:szCs w:val="24"/>
        </w:rPr>
      </w:pPr>
      <w:bookmarkStart w:id="22" w:name="_Toc249760033"/>
      <w:bookmarkStart w:id="23" w:name="_Toc361324853"/>
      <w:r w:rsidRPr="00701155">
        <w:rPr>
          <w:rFonts w:ascii="Times New Roman" w:hAnsi="Times New Roman"/>
          <w:kern w:val="0"/>
          <w:szCs w:val="24"/>
        </w:rPr>
        <w:t>3.3</w:t>
      </w:r>
      <w:r w:rsidRPr="00701155">
        <w:rPr>
          <w:rFonts w:ascii="Times New Roman" w:hAnsi="Times New Roman" w:hint="eastAsia"/>
          <w:kern w:val="0"/>
          <w:szCs w:val="24"/>
        </w:rPr>
        <w:t xml:space="preserve"> </w:t>
      </w:r>
      <w:r w:rsidRPr="00701155">
        <w:rPr>
          <w:rFonts w:ascii="Times New Roman" w:hAnsi="Times New Roman" w:hint="eastAsia"/>
          <w:kern w:val="0"/>
          <w:szCs w:val="24"/>
        </w:rPr>
        <w:t>过去三年基金的利润分配情况</w:t>
      </w:r>
      <w:bookmarkEnd w:id="22"/>
      <w:bookmarkEnd w:id="23"/>
    </w:p>
    <w:p w:rsidR="00E63239" w:rsidRPr="005531B6" w:rsidRDefault="00E63239" w:rsidP="005531B6">
      <w:pPr>
        <w:pStyle w:val="a0"/>
        <w:spacing w:line="360" w:lineRule="auto"/>
        <w:ind w:firstLine="480"/>
        <w:jc w:val="right"/>
        <w:rPr>
          <w:color w:val="000000"/>
          <w:kern w:val="0"/>
          <w:sz w:val="24"/>
        </w:rPr>
      </w:pPr>
      <w:r w:rsidRPr="005531B6">
        <w:rPr>
          <w:rFonts w:hint="eastAsia"/>
          <w:color w:val="000000"/>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336"/>
        <w:gridCol w:w="1663"/>
        <w:gridCol w:w="1739"/>
        <w:gridCol w:w="1701"/>
        <w:gridCol w:w="1060"/>
      </w:tblGrid>
      <w:tr w:rsidR="00E63239" w:rsidRPr="00C51C77" w:rsidTr="00294271">
        <w:tc>
          <w:tcPr>
            <w:tcW w:w="1499" w:type="dxa"/>
            <w:vAlign w:val="center"/>
          </w:tcPr>
          <w:p w:rsidR="00E63239" w:rsidRPr="005531B6" w:rsidRDefault="00E63239" w:rsidP="00630017">
            <w:pPr>
              <w:spacing w:before="29" w:line="288" w:lineRule="auto"/>
              <w:jc w:val="center"/>
              <w:rPr>
                <w:sz w:val="24"/>
              </w:rPr>
            </w:pPr>
            <w:r w:rsidRPr="005531B6">
              <w:rPr>
                <w:rFonts w:hint="eastAsia"/>
                <w:sz w:val="24"/>
              </w:rPr>
              <w:t>年度</w:t>
            </w:r>
          </w:p>
        </w:tc>
        <w:tc>
          <w:tcPr>
            <w:tcW w:w="1336" w:type="dxa"/>
            <w:vAlign w:val="center"/>
          </w:tcPr>
          <w:p w:rsidR="00E63239" w:rsidRPr="005531B6" w:rsidRDefault="00E63239" w:rsidP="00630017">
            <w:pPr>
              <w:spacing w:before="29" w:line="288" w:lineRule="auto"/>
              <w:jc w:val="center"/>
              <w:rPr>
                <w:sz w:val="24"/>
              </w:rPr>
            </w:pPr>
            <w:r w:rsidRPr="005531B6">
              <w:rPr>
                <w:rFonts w:hint="eastAsia"/>
                <w:sz w:val="24"/>
              </w:rPr>
              <w:t>每</w:t>
            </w:r>
            <w:r w:rsidRPr="005531B6">
              <w:rPr>
                <w:sz w:val="24"/>
              </w:rPr>
              <w:t>10</w:t>
            </w:r>
            <w:r w:rsidRPr="005531B6">
              <w:rPr>
                <w:rFonts w:hint="eastAsia"/>
                <w:sz w:val="24"/>
              </w:rPr>
              <w:t>份基金份额分红数</w:t>
            </w:r>
          </w:p>
        </w:tc>
        <w:tc>
          <w:tcPr>
            <w:tcW w:w="1663" w:type="dxa"/>
            <w:vAlign w:val="center"/>
          </w:tcPr>
          <w:p w:rsidR="00E63239" w:rsidRPr="005531B6" w:rsidRDefault="00E63239" w:rsidP="00630017">
            <w:pPr>
              <w:spacing w:before="29" w:line="288" w:lineRule="auto"/>
              <w:jc w:val="center"/>
              <w:rPr>
                <w:sz w:val="24"/>
              </w:rPr>
            </w:pPr>
            <w:r w:rsidRPr="005531B6">
              <w:rPr>
                <w:rFonts w:hint="eastAsia"/>
                <w:sz w:val="24"/>
              </w:rPr>
              <w:t>现金形式发放总额</w:t>
            </w:r>
          </w:p>
        </w:tc>
        <w:tc>
          <w:tcPr>
            <w:tcW w:w="1739" w:type="dxa"/>
            <w:vAlign w:val="center"/>
          </w:tcPr>
          <w:p w:rsidR="00E63239" w:rsidRPr="005531B6" w:rsidRDefault="00E63239" w:rsidP="00630017">
            <w:pPr>
              <w:spacing w:before="29" w:line="288" w:lineRule="auto"/>
              <w:jc w:val="center"/>
              <w:rPr>
                <w:sz w:val="24"/>
              </w:rPr>
            </w:pPr>
            <w:r w:rsidRPr="005531B6">
              <w:rPr>
                <w:rFonts w:hint="eastAsia"/>
                <w:sz w:val="24"/>
              </w:rPr>
              <w:t>再投资形式发放总额</w:t>
            </w:r>
          </w:p>
        </w:tc>
        <w:tc>
          <w:tcPr>
            <w:tcW w:w="1701" w:type="dxa"/>
            <w:vAlign w:val="center"/>
          </w:tcPr>
          <w:p w:rsidR="00E63239" w:rsidRPr="005531B6" w:rsidRDefault="00E63239" w:rsidP="00630017">
            <w:pPr>
              <w:spacing w:before="29" w:line="288" w:lineRule="auto"/>
              <w:jc w:val="center"/>
              <w:rPr>
                <w:sz w:val="24"/>
              </w:rPr>
            </w:pPr>
            <w:r w:rsidRPr="005531B6">
              <w:rPr>
                <w:rFonts w:hint="eastAsia"/>
                <w:sz w:val="24"/>
              </w:rPr>
              <w:t>年度利润分配合计</w:t>
            </w:r>
          </w:p>
        </w:tc>
        <w:tc>
          <w:tcPr>
            <w:tcW w:w="1060" w:type="dxa"/>
            <w:vAlign w:val="center"/>
          </w:tcPr>
          <w:p w:rsidR="00E63239" w:rsidRPr="005531B6" w:rsidRDefault="00E63239" w:rsidP="00630017">
            <w:pPr>
              <w:spacing w:before="29" w:line="288" w:lineRule="auto"/>
              <w:jc w:val="center"/>
              <w:rPr>
                <w:sz w:val="24"/>
              </w:rPr>
            </w:pPr>
            <w:r w:rsidRPr="005531B6">
              <w:rPr>
                <w:rFonts w:hint="eastAsia"/>
                <w:sz w:val="24"/>
              </w:rPr>
              <w:t>备注</w:t>
            </w:r>
          </w:p>
        </w:tc>
      </w:tr>
      <w:tr w:rsidR="00A9459B">
        <w:tc>
          <w:tcPr>
            <w:tcW w:w="1499" w:type="dxa"/>
            <w:vAlign w:val="center"/>
          </w:tcPr>
          <w:p w:rsidR="00A9459B" w:rsidRDefault="00FD6859">
            <w:pPr>
              <w:jc w:val="center"/>
            </w:pPr>
            <w:r>
              <w:rPr>
                <w:color w:val="000000"/>
                <w:sz w:val="24"/>
              </w:rPr>
              <w:t>2014</w:t>
            </w:r>
            <w:r>
              <w:rPr>
                <w:color w:val="000000"/>
                <w:sz w:val="24"/>
              </w:rPr>
              <w:t>年</w:t>
            </w:r>
          </w:p>
        </w:tc>
        <w:tc>
          <w:tcPr>
            <w:tcW w:w="1336" w:type="dxa"/>
            <w:vAlign w:val="center"/>
          </w:tcPr>
          <w:p w:rsidR="00A9459B" w:rsidRDefault="00FD6859">
            <w:pPr>
              <w:jc w:val="right"/>
            </w:pPr>
            <w:r>
              <w:rPr>
                <w:color w:val="000000"/>
                <w:sz w:val="24"/>
              </w:rPr>
              <w:t>1.120</w:t>
            </w:r>
          </w:p>
        </w:tc>
        <w:tc>
          <w:tcPr>
            <w:tcW w:w="1663" w:type="dxa"/>
            <w:vAlign w:val="center"/>
          </w:tcPr>
          <w:p w:rsidR="00A9459B" w:rsidRDefault="00FD6859">
            <w:pPr>
              <w:jc w:val="right"/>
            </w:pPr>
            <w:r>
              <w:rPr>
                <w:color w:val="000000"/>
                <w:sz w:val="24"/>
              </w:rPr>
              <w:t>35,398,182.39</w:t>
            </w:r>
          </w:p>
        </w:tc>
        <w:tc>
          <w:tcPr>
            <w:tcW w:w="1739" w:type="dxa"/>
            <w:vAlign w:val="center"/>
          </w:tcPr>
          <w:p w:rsidR="00A9459B" w:rsidRDefault="00FD6859">
            <w:pPr>
              <w:jc w:val="right"/>
            </w:pPr>
            <w:r>
              <w:rPr>
                <w:color w:val="000000"/>
                <w:sz w:val="24"/>
              </w:rPr>
              <w:t>-</w:t>
            </w:r>
          </w:p>
        </w:tc>
        <w:tc>
          <w:tcPr>
            <w:tcW w:w="1701" w:type="dxa"/>
            <w:vAlign w:val="center"/>
          </w:tcPr>
          <w:p w:rsidR="00A9459B" w:rsidRDefault="00FD6859">
            <w:pPr>
              <w:jc w:val="right"/>
            </w:pPr>
            <w:r>
              <w:rPr>
                <w:color w:val="000000"/>
                <w:sz w:val="24"/>
              </w:rPr>
              <w:t>35,398,182.39</w:t>
            </w:r>
          </w:p>
        </w:tc>
        <w:tc>
          <w:tcPr>
            <w:tcW w:w="1060" w:type="dxa"/>
            <w:vAlign w:val="center"/>
          </w:tcPr>
          <w:p w:rsidR="00A9459B" w:rsidRDefault="00FD6859" w:rsidP="00FD6859">
            <w:pPr>
              <w:jc w:val="right"/>
            </w:pPr>
            <w:r>
              <w:rPr>
                <w:color w:val="000000"/>
                <w:sz w:val="24"/>
              </w:rPr>
              <w:t>-</w:t>
            </w:r>
          </w:p>
        </w:tc>
      </w:tr>
      <w:tr w:rsidR="00A9459B">
        <w:tc>
          <w:tcPr>
            <w:tcW w:w="1499" w:type="dxa"/>
            <w:vAlign w:val="center"/>
          </w:tcPr>
          <w:p w:rsidR="00A9459B" w:rsidRDefault="00FD6859">
            <w:pPr>
              <w:jc w:val="center"/>
            </w:pPr>
            <w:r>
              <w:rPr>
                <w:color w:val="000000"/>
                <w:sz w:val="24"/>
              </w:rPr>
              <w:t>2013</w:t>
            </w:r>
            <w:r>
              <w:rPr>
                <w:color w:val="000000"/>
                <w:sz w:val="24"/>
              </w:rPr>
              <w:t>年</w:t>
            </w:r>
          </w:p>
        </w:tc>
        <w:tc>
          <w:tcPr>
            <w:tcW w:w="1336" w:type="dxa"/>
            <w:vAlign w:val="center"/>
          </w:tcPr>
          <w:p w:rsidR="00A9459B" w:rsidRDefault="00FD6859">
            <w:pPr>
              <w:jc w:val="right"/>
            </w:pPr>
            <w:r>
              <w:rPr>
                <w:color w:val="000000"/>
                <w:sz w:val="24"/>
              </w:rPr>
              <w:t>0.300</w:t>
            </w:r>
          </w:p>
        </w:tc>
        <w:tc>
          <w:tcPr>
            <w:tcW w:w="1663" w:type="dxa"/>
            <w:vAlign w:val="center"/>
          </w:tcPr>
          <w:p w:rsidR="00A9459B" w:rsidRDefault="00FD6859">
            <w:pPr>
              <w:jc w:val="right"/>
            </w:pPr>
            <w:r>
              <w:rPr>
                <w:color w:val="000000"/>
                <w:sz w:val="24"/>
              </w:rPr>
              <w:t>15,507,147.19</w:t>
            </w:r>
          </w:p>
        </w:tc>
        <w:tc>
          <w:tcPr>
            <w:tcW w:w="1739" w:type="dxa"/>
            <w:vAlign w:val="center"/>
          </w:tcPr>
          <w:p w:rsidR="00A9459B" w:rsidRDefault="00FD6859">
            <w:pPr>
              <w:jc w:val="right"/>
            </w:pPr>
            <w:r>
              <w:rPr>
                <w:color w:val="000000"/>
                <w:sz w:val="24"/>
              </w:rPr>
              <w:t>-</w:t>
            </w:r>
          </w:p>
        </w:tc>
        <w:tc>
          <w:tcPr>
            <w:tcW w:w="1701" w:type="dxa"/>
            <w:vAlign w:val="center"/>
          </w:tcPr>
          <w:p w:rsidR="00A9459B" w:rsidRDefault="00FD6859">
            <w:pPr>
              <w:jc w:val="right"/>
            </w:pPr>
            <w:r>
              <w:rPr>
                <w:color w:val="000000"/>
                <w:sz w:val="24"/>
              </w:rPr>
              <w:t>15,507,147.19</w:t>
            </w:r>
          </w:p>
        </w:tc>
        <w:tc>
          <w:tcPr>
            <w:tcW w:w="1060" w:type="dxa"/>
            <w:vAlign w:val="center"/>
          </w:tcPr>
          <w:p w:rsidR="00A9459B" w:rsidRDefault="00FD6859" w:rsidP="00FD6859">
            <w:pPr>
              <w:jc w:val="right"/>
            </w:pPr>
            <w:r>
              <w:rPr>
                <w:color w:val="000000"/>
                <w:sz w:val="24"/>
              </w:rPr>
              <w:t>-</w:t>
            </w:r>
          </w:p>
        </w:tc>
      </w:tr>
      <w:tr w:rsidR="00E63239" w:rsidRPr="00C51C77" w:rsidTr="00294271">
        <w:tc>
          <w:tcPr>
            <w:tcW w:w="1499" w:type="dxa"/>
            <w:vAlign w:val="center"/>
          </w:tcPr>
          <w:p w:rsidR="00E63239" w:rsidRPr="00C6200C" w:rsidRDefault="00E63239" w:rsidP="003F79D5">
            <w:pPr>
              <w:spacing w:before="29" w:line="288" w:lineRule="auto"/>
              <w:jc w:val="center"/>
              <w:rPr>
                <w:color w:val="000000"/>
                <w:sz w:val="24"/>
              </w:rPr>
            </w:pPr>
            <w:r w:rsidRPr="00C6200C">
              <w:rPr>
                <w:rFonts w:hint="eastAsia"/>
                <w:color w:val="000000"/>
                <w:sz w:val="24"/>
              </w:rPr>
              <w:t>合计</w:t>
            </w:r>
          </w:p>
        </w:tc>
        <w:tc>
          <w:tcPr>
            <w:tcW w:w="1336" w:type="dxa"/>
            <w:vAlign w:val="center"/>
          </w:tcPr>
          <w:p w:rsidR="00E63239" w:rsidRPr="00C6200C" w:rsidRDefault="00E63239" w:rsidP="00294271">
            <w:pPr>
              <w:spacing w:before="29" w:line="288" w:lineRule="auto"/>
              <w:jc w:val="right"/>
              <w:rPr>
                <w:color w:val="000000"/>
                <w:sz w:val="24"/>
              </w:rPr>
            </w:pPr>
            <w:r w:rsidRPr="00C6200C">
              <w:rPr>
                <w:color w:val="000000"/>
                <w:sz w:val="24"/>
              </w:rPr>
              <w:t>1.420</w:t>
            </w:r>
          </w:p>
        </w:tc>
        <w:tc>
          <w:tcPr>
            <w:tcW w:w="1663" w:type="dxa"/>
            <w:vAlign w:val="center"/>
          </w:tcPr>
          <w:p w:rsidR="00E63239" w:rsidRPr="00C6200C" w:rsidRDefault="00E63239" w:rsidP="00294271">
            <w:pPr>
              <w:spacing w:before="29" w:line="288" w:lineRule="auto"/>
              <w:jc w:val="right"/>
              <w:rPr>
                <w:color w:val="000000"/>
                <w:sz w:val="24"/>
              </w:rPr>
            </w:pPr>
            <w:r w:rsidRPr="00C6200C">
              <w:rPr>
                <w:color w:val="000000"/>
                <w:sz w:val="24"/>
              </w:rPr>
              <w:t>50,905,329.58</w:t>
            </w:r>
          </w:p>
        </w:tc>
        <w:tc>
          <w:tcPr>
            <w:tcW w:w="1739"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701" w:type="dxa"/>
            <w:vAlign w:val="center"/>
          </w:tcPr>
          <w:p w:rsidR="00E63239" w:rsidRPr="00C6200C" w:rsidRDefault="00E63239" w:rsidP="00294271">
            <w:pPr>
              <w:spacing w:before="29" w:line="288" w:lineRule="auto"/>
              <w:jc w:val="right"/>
              <w:rPr>
                <w:color w:val="000000"/>
                <w:sz w:val="24"/>
              </w:rPr>
            </w:pPr>
            <w:r w:rsidRPr="00C6200C">
              <w:rPr>
                <w:color w:val="000000"/>
                <w:sz w:val="24"/>
              </w:rPr>
              <w:t>50,905,329.58</w:t>
            </w:r>
          </w:p>
        </w:tc>
        <w:tc>
          <w:tcPr>
            <w:tcW w:w="1060"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r>
    </w:tbl>
    <w:p w:rsidR="00ED0CB9" w:rsidRPr="00C6200C" w:rsidRDefault="00ED0CB9" w:rsidP="00C6200C">
      <w:pPr>
        <w:tabs>
          <w:tab w:val="left" w:pos="426"/>
        </w:tabs>
        <w:spacing w:before="29" w:line="288" w:lineRule="auto"/>
        <w:jc w:val="left"/>
        <w:rPr>
          <w:kern w:val="0"/>
          <w:sz w:val="24"/>
        </w:rPr>
      </w:pPr>
    </w:p>
    <w:p w:rsidR="001A59F9" w:rsidRDefault="001A59F9" w:rsidP="00FD6859">
      <w:pPr>
        <w:pStyle w:val="1"/>
        <w:keepNext/>
        <w:keepLines/>
        <w:widowControl w:val="0"/>
        <w:spacing w:beforeLines="100" w:before="312" w:afterLines="100" w:after="312" w:line="288" w:lineRule="auto"/>
        <w:jc w:val="center"/>
        <w:rPr>
          <w:b/>
          <w:bCs/>
          <w:szCs w:val="24"/>
          <w:lang w:val="en-US"/>
        </w:rPr>
      </w:pPr>
      <w:bookmarkStart w:id="24" w:name="_Toc225498254"/>
      <w:bookmarkStart w:id="25" w:name="_Toc361324854"/>
      <w:r w:rsidRPr="00053438">
        <w:rPr>
          <w:rFonts w:hint="eastAsia"/>
          <w:b/>
          <w:bCs/>
          <w:szCs w:val="24"/>
          <w:lang w:val="en-US"/>
        </w:rPr>
        <w:t>§</w:t>
      </w:r>
      <w:r w:rsidRPr="00053438">
        <w:rPr>
          <w:b/>
          <w:bCs/>
          <w:szCs w:val="24"/>
          <w:lang w:val="en-US"/>
        </w:rPr>
        <w:t xml:space="preserve">4  </w:t>
      </w:r>
      <w:r w:rsidRPr="00053438">
        <w:rPr>
          <w:rFonts w:hint="eastAsia"/>
          <w:b/>
          <w:bCs/>
          <w:szCs w:val="24"/>
          <w:lang w:val="en-US"/>
        </w:rPr>
        <w:t>管理人报告</w:t>
      </w:r>
      <w:bookmarkEnd w:id="24"/>
      <w:bookmarkEnd w:id="25"/>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26" w:name="_Toc361324855"/>
      <w:r w:rsidRPr="00701155">
        <w:rPr>
          <w:rFonts w:ascii="Times New Roman" w:hAnsi="Times New Roman"/>
          <w:kern w:val="0"/>
          <w:szCs w:val="24"/>
        </w:rPr>
        <w:t xml:space="preserve">4.1 </w:t>
      </w:r>
      <w:r w:rsidRPr="00701155">
        <w:rPr>
          <w:rFonts w:ascii="Times New Roman" w:hAnsi="Times New Roman" w:hint="eastAsia"/>
          <w:kern w:val="0"/>
          <w:szCs w:val="24"/>
        </w:rPr>
        <w:t>基金管理人及基金经理情况</w:t>
      </w:r>
      <w:bookmarkEnd w:id="26"/>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基金管理人及其管理基金的经验</w:t>
      </w:r>
    </w:p>
    <w:p w:rsidR="00A9459B" w:rsidRDefault="00FD6859">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A59F9" w:rsidRPr="0013437B" w:rsidRDefault="001A59F9" w:rsidP="0013437B">
      <w:pPr>
        <w:spacing w:before="29" w:line="288" w:lineRule="auto"/>
        <w:ind w:firstLineChars="200" w:firstLine="480"/>
        <w:rPr>
          <w:color w:val="000000"/>
          <w:sz w:val="24"/>
        </w:rPr>
      </w:pPr>
      <w:r w:rsidRPr="0013437B">
        <w:rPr>
          <w:color w:val="000000"/>
          <w:sz w:val="24"/>
        </w:rPr>
        <w:t>截至报告期末，公司管理了包括货币型、债券型、保本混合型、普通混合型和股票型在内的</w:t>
      </w:r>
      <w:r w:rsidRPr="0013437B">
        <w:rPr>
          <w:color w:val="000000"/>
          <w:sz w:val="24"/>
        </w:rPr>
        <w:t>37</w:t>
      </w:r>
      <w:r w:rsidRPr="0013437B">
        <w:rPr>
          <w:color w:val="000000"/>
          <w:sz w:val="24"/>
        </w:rPr>
        <w:t>只基金，其中股票型涵盖普通指数型、交易型开放式（</w:t>
      </w:r>
      <w:r w:rsidRPr="0013437B">
        <w:rPr>
          <w:color w:val="000000"/>
          <w:sz w:val="24"/>
        </w:rPr>
        <w:t>ETF</w:t>
      </w:r>
      <w:r w:rsidRPr="0013437B">
        <w:rPr>
          <w:color w:val="000000"/>
          <w:sz w:val="24"/>
        </w:rPr>
        <w:t>）、</w:t>
      </w:r>
      <w:r w:rsidRPr="0013437B">
        <w:rPr>
          <w:color w:val="000000"/>
          <w:sz w:val="24"/>
        </w:rPr>
        <w:t>QDII</w:t>
      </w:r>
      <w:r w:rsidRPr="0013437B">
        <w:rPr>
          <w:color w:val="000000"/>
          <w:sz w:val="24"/>
        </w:rPr>
        <w:t>等不同类型基金。</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090"/>
        <w:gridCol w:w="1910"/>
      </w:tblGrid>
      <w:tr w:rsidR="001A59F9" w:rsidRPr="00C51C77" w:rsidTr="001622C3">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姓名</w:t>
            </w:r>
          </w:p>
        </w:tc>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职务</w:t>
            </w:r>
          </w:p>
        </w:tc>
        <w:tc>
          <w:tcPr>
            <w:tcW w:w="3000" w:type="dxa"/>
            <w:gridSpan w:val="2"/>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任本基金的基金经理</w:t>
            </w:r>
            <w:r w:rsidR="00F07263" w:rsidRPr="00792D48">
              <w:rPr>
                <w:rFonts w:hint="eastAsia"/>
                <w:color w:val="000000"/>
                <w:sz w:val="24"/>
              </w:rPr>
              <w:t>（助理）</w:t>
            </w:r>
            <w:r w:rsidRPr="00792D48">
              <w:rPr>
                <w:rFonts w:hint="eastAsia"/>
                <w:color w:val="000000"/>
                <w:sz w:val="24"/>
              </w:rPr>
              <w:t>期限</w:t>
            </w:r>
          </w:p>
        </w:tc>
        <w:tc>
          <w:tcPr>
            <w:tcW w:w="109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证券从业年限</w:t>
            </w:r>
          </w:p>
        </w:tc>
        <w:tc>
          <w:tcPr>
            <w:tcW w:w="191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说明</w:t>
            </w:r>
          </w:p>
        </w:tc>
      </w:tr>
      <w:tr w:rsidR="001A59F9" w:rsidRPr="00C51C77" w:rsidTr="001622C3">
        <w:tc>
          <w:tcPr>
            <w:tcW w:w="1499"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499" w:type="dxa"/>
            <w:vMerge/>
            <w:vAlign w:val="center"/>
          </w:tcPr>
          <w:p w:rsidR="001A59F9" w:rsidRPr="001622C3" w:rsidRDefault="001A59F9" w:rsidP="001622C3">
            <w:pPr>
              <w:spacing w:before="29" w:line="288" w:lineRule="auto"/>
              <w:jc w:val="center"/>
              <w:rPr>
                <w:color w:val="000000"/>
                <w:sz w:val="24"/>
              </w:rPr>
            </w:pP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任职日期</w:t>
            </w: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离任日期</w:t>
            </w:r>
          </w:p>
        </w:tc>
        <w:tc>
          <w:tcPr>
            <w:tcW w:w="109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91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r>
      <w:tr w:rsidR="00A9459B">
        <w:tc>
          <w:tcPr>
            <w:tcW w:w="1499" w:type="dxa"/>
            <w:vAlign w:val="center"/>
          </w:tcPr>
          <w:p w:rsidR="00A9459B" w:rsidRDefault="00FD6859">
            <w:pPr>
              <w:jc w:val="center"/>
            </w:pPr>
            <w:r>
              <w:rPr>
                <w:color w:val="000000"/>
                <w:sz w:val="24"/>
              </w:rPr>
              <w:t>项廷锋</w:t>
            </w:r>
          </w:p>
        </w:tc>
        <w:tc>
          <w:tcPr>
            <w:tcW w:w="1499" w:type="dxa"/>
            <w:vAlign w:val="center"/>
          </w:tcPr>
          <w:p w:rsidR="00A9459B" w:rsidRDefault="00FD6859">
            <w:pPr>
              <w:jc w:val="center"/>
            </w:pPr>
            <w:r>
              <w:rPr>
                <w:color w:val="000000"/>
                <w:sz w:val="24"/>
              </w:rPr>
              <w:t>本基金、交银双利债券、交银荣安保本混合、交银荣泰保本混合、交银周期回报灵活配置混合的基金经理，公司投资总监</w:t>
            </w:r>
          </w:p>
        </w:tc>
        <w:tc>
          <w:tcPr>
            <w:tcW w:w="1500" w:type="dxa"/>
            <w:vAlign w:val="center"/>
          </w:tcPr>
          <w:p w:rsidR="00A9459B" w:rsidRDefault="00FD6859">
            <w:pPr>
              <w:jc w:val="center"/>
            </w:pPr>
            <w:r>
              <w:rPr>
                <w:color w:val="000000"/>
                <w:sz w:val="24"/>
              </w:rPr>
              <w:t>2013-04-24</w:t>
            </w:r>
          </w:p>
        </w:tc>
        <w:tc>
          <w:tcPr>
            <w:tcW w:w="1500" w:type="dxa"/>
            <w:vAlign w:val="center"/>
          </w:tcPr>
          <w:p w:rsidR="00A9459B" w:rsidRDefault="00FD6859">
            <w:pPr>
              <w:jc w:val="center"/>
            </w:pPr>
            <w:r>
              <w:rPr>
                <w:color w:val="000000"/>
                <w:sz w:val="24"/>
              </w:rPr>
              <w:t>-</w:t>
            </w:r>
          </w:p>
        </w:tc>
        <w:tc>
          <w:tcPr>
            <w:tcW w:w="1090" w:type="dxa"/>
            <w:vAlign w:val="center"/>
          </w:tcPr>
          <w:p w:rsidR="00A9459B" w:rsidRDefault="00FD6859">
            <w:pPr>
              <w:jc w:val="center"/>
            </w:pPr>
            <w:r>
              <w:rPr>
                <w:color w:val="000000"/>
                <w:sz w:val="24"/>
              </w:rPr>
              <w:t>15</w:t>
            </w:r>
            <w:r>
              <w:rPr>
                <w:color w:val="000000"/>
                <w:sz w:val="24"/>
              </w:rPr>
              <w:t>年</w:t>
            </w:r>
          </w:p>
        </w:tc>
        <w:tc>
          <w:tcPr>
            <w:tcW w:w="1910" w:type="dxa"/>
            <w:vAlign w:val="center"/>
          </w:tcPr>
          <w:p w:rsidR="00A9459B" w:rsidRDefault="00FD6859">
            <w:r>
              <w:rPr>
                <w:color w:val="000000"/>
                <w:sz w:val="24"/>
              </w:rPr>
              <w:t>项廷锋先生，上海交通大学管理学博士。历任华安基金管理有限公司研究员、固定收益投资经理和基金经理。其中</w:t>
            </w:r>
            <w:r>
              <w:rPr>
                <w:color w:val="000000"/>
                <w:sz w:val="24"/>
              </w:rPr>
              <w:t>2003</w:t>
            </w:r>
            <w:r>
              <w:rPr>
                <w:color w:val="000000"/>
                <w:sz w:val="24"/>
              </w:rPr>
              <w:t>年</w:t>
            </w:r>
            <w:r>
              <w:rPr>
                <w:color w:val="000000"/>
                <w:sz w:val="24"/>
              </w:rPr>
              <w:t>12</w:t>
            </w:r>
            <w:r>
              <w:rPr>
                <w:color w:val="000000"/>
                <w:sz w:val="24"/>
              </w:rPr>
              <w:t>月至</w:t>
            </w:r>
            <w:r>
              <w:rPr>
                <w:color w:val="000000"/>
                <w:sz w:val="24"/>
              </w:rPr>
              <w:t>2007</w:t>
            </w:r>
            <w:r>
              <w:rPr>
                <w:color w:val="000000"/>
                <w:sz w:val="24"/>
              </w:rPr>
              <w:t>年</w:t>
            </w:r>
            <w:r>
              <w:rPr>
                <w:color w:val="000000"/>
                <w:sz w:val="24"/>
              </w:rPr>
              <w:t>5</w:t>
            </w:r>
            <w:r>
              <w:rPr>
                <w:color w:val="000000"/>
                <w:sz w:val="24"/>
              </w:rPr>
              <w:t>月担任华安现金富利投资基金基金经理。</w:t>
            </w:r>
            <w:r>
              <w:rPr>
                <w:color w:val="000000"/>
                <w:sz w:val="24"/>
              </w:rPr>
              <w:t>2007</w:t>
            </w:r>
            <w:r>
              <w:rPr>
                <w:color w:val="000000"/>
                <w:sz w:val="24"/>
              </w:rPr>
              <w:t>年加入交银施罗德基金管理有限公司，历任固定收益部总经理，</w:t>
            </w:r>
            <w:r>
              <w:rPr>
                <w:color w:val="000000"/>
                <w:sz w:val="24"/>
              </w:rPr>
              <w:t>2013</w:t>
            </w:r>
            <w:r>
              <w:rPr>
                <w:color w:val="000000"/>
                <w:sz w:val="24"/>
              </w:rPr>
              <w:t>年</w:t>
            </w:r>
            <w:r>
              <w:rPr>
                <w:color w:val="000000"/>
                <w:sz w:val="24"/>
              </w:rPr>
              <w:t>9</w:t>
            </w:r>
            <w:r>
              <w:rPr>
                <w:color w:val="000000"/>
                <w:sz w:val="24"/>
              </w:rPr>
              <w:t>月</w:t>
            </w:r>
            <w:r>
              <w:rPr>
                <w:color w:val="000000"/>
                <w:sz w:val="24"/>
              </w:rPr>
              <w:t>4</w:t>
            </w:r>
            <w:r>
              <w:rPr>
                <w:color w:val="000000"/>
                <w:sz w:val="24"/>
              </w:rPr>
              <w:t>日至</w:t>
            </w:r>
            <w:r>
              <w:rPr>
                <w:color w:val="000000"/>
                <w:sz w:val="24"/>
              </w:rPr>
              <w:t>2014</w:t>
            </w:r>
            <w:r>
              <w:rPr>
                <w:color w:val="000000"/>
                <w:sz w:val="24"/>
              </w:rPr>
              <w:t>年</w:t>
            </w:r>
            <w:r>
              <w:rPr>
                <w:color w:val="000000"/>
                <w:sz w:val="24"/>
              </w:rPr>
              <w:t>12</w:t>
            </w:r>
            <w:r>
              <w:rPr>
                <w:color w:val="000000"/>
                <w:sz w:val="24"/>
              </w:rPr>
              <w:t>月</w:t>
            </w:r>
            <w:r>
              <w:rPr>
                <w:color w:val="000000"/>
                <w:sz w:val="24"/>
              </w:rPr>
              <w:t>18</w:t>
            </w:r>
            <w:r>
              <w:rPr>
                <w:color w:val="000000"/>
                <w:sz w:val="24"/>
              </w:rPr>
              <w:t>日担任交银施罗德定期支付双息平衡混合型证券投资基金基金经理。</w:t>
            </w:r>
          </w:p>
        </w:tc>
      </w:tr>
      <w:tr w:rsidR="00A9459B">
        <w:tc>
          <w:tcPr>
            <w:tcW w:w="1499" w:type="dxa"/>
            <w:vAlign w:val="center"/>
          </w:tcPr>
          <w:p w:rsidR="00A9459B" w:rsidRDefault="00FD6859">
            <w:pPr>
              <w:jc w:val="center"/>
            </w:pPr>
            <w:r>
              <w:rPr>
                <w:color w:val="000000"/>
                <w:sz w:val="24"/>
              </w:rPr>
              <w:t>林洪钧</w:t>
            </w:r>
          </w:p>
        </w:tc>
        <w:tc>
          <w:tcPr>
            <w:tcW w:w="1499" w:type="dxa"/>
            <w:vAlign w:val="center"/>
          </w:tcPr>
          <w:p w:rsidR="00A9459B" w:rsidRDefault="00FD6859">
            <w:pPr>
              <w:jc w:val="center"/>
            </w:pPr>
            <w:r>
              <w:rPr>
                <w:color w:val="000000"/>
                <w:sz w:val="24"/>
              </w:rPr>
              <w:t>本基金、交银荣安保本混合的基金经理助理，交银货币、交银信用添利债券（</w:t>
            </w:r>
            <w:r>
              <w:rPr>
                <w:color w:val="000000"/>
                <w:sz w:val="24"/>
              </w:rPr>
              <w:t>LOF</w:t>
            </w:r>
            <w:r>
              <w:rPr>
                <w:color w:val="000000"/>
                <w:sz w:val="24"/>
              </w:rPr>
              <w:t>）、交银理财</w:t>
            </w:r>
            <w:r>
              <w:rPr>
                <w:color w:val="000000"/>
                <w:sz w:val="24"/>
              </w:rPr>
              <w:t>21</w:t>
            </w:r>
            <w:r>
              <w:rPr>
                <w:color w:val="000000"/>
                <w:sz w:val="24"/>
              </w:rPr>
              <w:t>天债券、交银纯债债券发起的基金经理，公司固定收益部助理总经理</w:t>
            </w:r>
          </w:p>
        </w:tc>
        <w:tc>
          <w:tcPr>
            <w:tcW w:w="1500" w:type="dxa"/>
            <w:vAlign w:val="center"/>
          </w:tcPr>
          <w:p w:rsidR="00A9459B" w:rsidRDefault="00FD6859">
            <w:pPr>
              <w:jc w:val="center"/>
            </w:pPr>
            <w:r>
              <w:rPr>
                <w:color w:val="000000"/>
                <w:sz w:val="24"/>
              </w:rPr>
              <w:t>2013-04-24</w:t>
            </w:r>
          </w:p>
        </w:tc>
        <w:tc>
          <w:tcPr>
            <w:tcW w:w="1500" w:type="dxa"/>
            <w:vAlign w:val="center"/>
          </w:tcPr>
          <w:p w:rsidR="00A9459B" w:rsidRDefault="00FD6859">
            <w:pPr>
              <w:jc w:val="center"/>
            </w:pPr>
            <w:r>
              <w:rPr>
                <w:color w:val="000000"/>
                <w:sz w:val="24"/>
              </w:rPr>
              <w:t>2014-07-01</w:t>
            </w:r>
          </w:p>
        </w:tc>
        <w:tc>
          <w:tcPr>
            <w:tcW w:w="1090" w:type="dxa"/>
            <w:vAlign w:val="center"/>
          </w:tcPr>
          <w:p w:rsidR="00A9459B" w:rsidRDefault="00FD6859">
            <w:pPr>
              <w:jc w:val="center"/>
            </w:pPr>
            <w:r>
              <w:rPr>
                <w:color w:val="000000"/>
                <w:sz w:val="24"/>
              </w:rPr>
              <w:t>10</w:t>
            </w:r>
            <w:r>
              <w:rPr>
                <w:color w:val="000000"/>
                <w:sz w:val="24"/>
              </w:rPr>
              <w:t>年</w:t>
            </w:r>
          </w:p>
        </w:tc>
        <w:tc>
          <w:tcPr>
            <w:tcW w:w="1910" w:type="dxa"/>
            <w:vAlign w:val="center"/>
          </w:tcPr>
          <w:p w:rsidR="00A9459B" w:rsidRDefault="00FD6859">
            <w:r>
              <w:rPr>
                <w:color w:val="000000"/>
                <w:sz w:val="24"/>
              </w:rPr>
              <w:t>林洪钧先生，复旦大学硕士。历任国泰君安证券股份有限公司上海分公司机构客户部客户经理，华安基金管理有限公司债券交易员，加拿大</w:t>
            </w:r>
            <w:r>
              <w:rPr>
                <w:color w:val="000000"/>
                <w:sz w:val="24"/>
              </w:rPr>
              <w:t>Financial Engineering Source Inc.</w:t>
            </w:r>
            <w:r>
              <w:rPr>
                <w:color w:val="000000"/>
                <w:sz w:val="24"/>
              </w:rPr>
              <w:t>金融研究员。</w:t>
            </w:r>
            <w:r>
              <w:rPr>
                <w:color w:val="000000"/>
                <w:sz w:val="24"/>
              </w:rPr>
              <w:t>2009</w:t>
            </w:r>
            <w:r>
              <w:rPr>
                <w:color w:val="000000"/>
                <w:sz w:val="24"/>
              </w:rPr>
              <w:t>年加入交银施罗德基金管理有限公司，历任专户投资部投资经理助理、专户投资经理、基金经理助理。</w:t>
            </w:r>
          </w:p>
        </w:tc>
      </w:tr>
      <w:tr w:rsidR="00A9459B">
        <w:tc>
          <w:tcPr>
            <w:tcW w:w="1499" w:type="dxa"/>
            <w:vAlign w:val="center"/>
          </w:tcPr>
          <w:p w:rsidR="00A9459B" w:rsidRDefault="00FD6859">
            <w:pPr>
              <w:jc w:val="center"/>
            </w:pPr>
            <w:r>
              <w:rPr>
                <w:color w:val="000000"/>
                <w:sz w:val="24"/>
              </w:rPr>
              <w:t>李娜</w:t>
            </w:r>
          </w:p>
        </w:tc>
        <w:tc>
          <w:tcPr>
            <w:tcW w:w="1499" w:type="dxa"/>
            <w:vAlign w:val="center"/>
          </w:tcPr>
          <w:p w:rsidR="00A9459B" w:rsidRDefault="00FD6859">
            <w:pPr>
              <w:jc w:val="center"/>
            </w:pPr>
            <w:r>
              <w:rPr>
                <w:color w:val="000000"/>
                <w:sz w:val="24"/>
              </w:rPr>
              <w:t>本基金、交银双利债券、交银荣安保本混合、交银荣泰保本混合、交银周期回报灵活配置混合的基金经理助理</w:t>
            </w:r>
          </w:p>
        </w:tc>
        <w:tc>
          <w:tcPr>
            <w:tcW w:w="1500" w:type="dxa"/>
            <w:vAlign w:val="center"/>
          </w:tcPr>
          <w:p w:rsidR="00A9459B" w:rsidRDefault="00FD6859">
            <w:pPr>
              <w:jc w:val="center"/>
            </w:pPr>
            <w:r>
              <w:rPr>
                <w:color w:val="000000"/>
                <w:sz w:val="24"/>
              </w:rPr>
              <w:t>2014-07-01</w:t>
            </w:r>
          </w:p>
        </w:tc>
        <w:tc>
          <w:tcPr>
            <w:tcW w:w="1500" w:type="dxa"/>
            <w:vAlign w:val="center"/>
          </w:tcPr>
          <w:p w:rsidR="00A9459B" w:rsidRDefault="00FD6859">
            <w:pPr>
              <w:jc w:val="center"/>
            </w:pPr>
            <w:r>
              <w:rPr>
                <w:color w:val="000000"/>
                <w:sz w:val="24"/>
              </w:rPr>
              <w:t>-</w:t>
            </w:r>
          </w:p>
        </w:tc>
        <w:tc>
          <w:tcPr>
            <w:tcW w:w="1090" w:type="dxa"/>
            <w:vAlign w:val="center"/>
          </w:tcPr>
          <w:p w:rsidR="00A9459B" w:rsidRDefault="00FD6859">
            <w:pPr>
              <w:jc w:val="center"/>
            </w:pPr>
            <w:r>
              <w:rPr>
                <w:color w:val="000000"/>
                <w:sz w:val="24"/>
              </w:rPr>
              <w:t>4</w:t>
            </w:r>
            <w:r>
              <w:rPr>
                <w:color w:val="000000"/>
                <w:sz w:val="24"/>
              </w:rPr>
              <w:t>年</w:t>
            </w:r>
          </w:p>
        </w:tc>
        <w:tc>
          <w:tcPr>
            <w:tcW w:w="1910" w:type="dxa"/>
            <w:vAlign w:val="center"/>
          </w:tcPr>
          <w:p w:rsidR="00A9459B" w:rsidRDefault="00FD6859">
            <w:r>
              <w:rPr>
                <w:color w:val="000000"/>
                <w:sz w:val="24"/>
              </w:rPr>
              <w:t>李娜女士，美国宾夕法尼亚大学应用数学与计算科学硕士。历任国泰基金管理有限公司研究员。</w:t>
            </w:r>
            <w:r>
              <w:rPr>
                <w:color w:val="000000"/>
                <w:sz w:val="24"/>
              </w:rPr>
              <w:t>2012</w:t>
            </w:r>
            <w:r>
              <w:rPr>
                <w:color w:val="000000"/>
                <w:sz w:val="24"/>
              </w:rPr>
              <w:t>年</w:t>
            </w:r>
            <w:r>
              <w:rPr>
                <w:color w:val="000000"/>
                <w:sz w:val="24"/>
              </w:rPr>
              <w:t>1</w:t>
            </w:r>
            <w:r>
              <w:rPr>
                <w:color w:val="000000"/>
                <w:sz w:val="24"/>
              </w:rPr>
              <w:t>月加入交银施罗德基金管理有限公司，历任债券分析师。</w:t>
            </w:r>
          </w:p>
        </w:tc>
      </w:tr>
    </w:tbl>
    <w:p w:rsidR="00A9459B" w:rsidRDefault="00FD6859">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、本表所列基金经理（助理）任职日期和离职日期均以基金合同生效日或公司作出决定并公告</w:t>
      </w:r>
      <w:r>
        <w:rPr>
          <w:kern w:val="0"/>
          <w:sz w:val="24"/>
        </w:rPr>
        <w:t>(</w:t>
      </w:r>
      <w:r>
        <w:rPr>
          <w:kern w:val="0"/>
          <w:sz w:val="24"/>
        </w:rPr>
        <w:t>如适用</w:t>
      </w:r>
      <w:r>
        <w:rPr>
          <w:kern w:val="0"/>
          <w:sz w:val="24"/>
        </w:rPr>
        <w:t>)</w:t>
      </w:r>
      <w:r>
        <w:rPr>
          <w:kern w:val="0"/>
          <w:sz w:val="24"/>
        </w:rPr>
        <w:t>之日为准；</w:t>
      </w:r>
    </w:p>
    <w:p w:rsidR="00A9459B" w:rsidRDefault="00FD6859">
      <w:pPr>
        <w:tabs>
          <w:tab w:val="left" w:pos="426"/>
        </w:tabs>
        <w:spacing w:before="29" w:line="288" w:lineRule="auto"/>
        <w:jc w:val="left"/>
        <w:rPr>
          <w:kern w:val="0"/>
          <w:sz w:val="24"/>
        </w:rPr>
      </w:pPr>
      <w:r>
        <w:rPr>
          <w:rFonts w:hint="eastAsia"/>
          <w:kern w:val="0"/>
          <w:sz w:val="24"/>
        </w:rPr>
        <w:tab/>
      </w: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r>
        <w:rPr>
          <w:kern w:val="0"/>
          <w:sz w:val="24"/>
        </w:rPr>
        <w:t xml:space="preserve"> </w:t>
      </w:r>
    </w:p>
    <w:p w:rsidR="001A59F9" w:rsidRPr="00C016E9" w:rsidRDefault="00FD6859" w:rsidP="00C016E9">
      <w:pPr>
        <w:tabs>
          <w:tab w:val="left" w:pos="426"/>
        </w:tabs>
        <w:spacing w:before="29" w:line="288" w:lineRule="auto"/>
        <w:jc w:val="left"/>
        <w:rPr>
          <w:kern w:val="0"/>
          <w:sz w:val="24"/>
        </w:rPr>
      </w:pPr>
      <w:r>
        <w:rPr>
          <w:rFonts w:hint="eastAsia"/>
          <w:kern w:val="0"/>
          <w:sz w:val="24"/>
        </w:rPr>
        <w:tab/>
      </w:r>
      <w:r w:rsidR="001A59F9" w:rsidRPr="00C016E9">
        <w:rPr>
          <w:kern w:val="0"/>
          <w:sz w:val="24"/>
        </w:rPr>
        <w:t>3</w:t>
      </w:r>
      <w:r w:rsidR="001A59F9" w:rsidRPr="00C016E9">
        <w:rPr>
          <w:kern w:val="0"/>
          <w:sz w:val="24"/>
        </w:rPr>
        <w:t>、基金经理（或基金经理小组）期后变动（如有）敬请关注基金管理人发布的相关公告。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7" w:name="_Toc225498256"/>
      <w:bookmarkStart w:id="28" w:name="_Toc361324856"/>
      <w:r w:rsidRPr="00701155">
        <w:rPr>
          <w:rFonts w:ascii="Times New Roman" w:hAnsi="Times New Roman"/>
          <w:kern w:val="0"/>
          <w:szCs w:val="24"/>
        </w:rPr>
        <w:t xml:space="preserve">4.2 </w:t>
      </w:r>
      <w:r w:rsidRPr="00701155">
        <w:rPr>
          <w:rFonts w:ascii="Times New Roman" w:hAnsi="Times New Roman" w:hint="eastAsia"/>
          <w:kern w:val="0"/>
          <w:szCs w:val="24"/>
        </w:rPr>
        <w:t>管理人对报告期内本基金运作遵规守信情况的说明</w:t>
      </w:r>
      <w:bookmarkEnd w:id="27"/>
      <w:bookmarkEnd w:id="28"/>
    </w:p>
    <w:p w:rsidR="00A9459B" w:rsidRDefault="00FD6859">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本报告期内，本基金整体运作合规合法，无不当内幕交易和关联交易，基金投资范围、投资比例及投资组合符合有关法律法规及基金合同的约定，未发生损害基金持有人利益的行为。</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9" w:name="_Toc225498257"/>
      <w:bookmarkStart w:id="30" w:name="_Toc361324857"/>
      <w:r w:rsidRPr="00701155">
        <w:rPr>
          <w:rFonts w:ascii="Times New Roman" w:hAnsi="Times New Roman"/>
          <w:kern w:val="0"/>
          <w:szCs w:val="24"/>
        </w:rPr>
        <w:t xml:space="preserve">4.3 </w:t>
      </w:r>
      <w:r w:rsidRPr="00701155">
        <w:rPr>
          <w:rFonts w:ascii="Times New Roman" w:hAnsi="Times New Roman" w:hint="eastAsia"/>
          <w:kern w:val="0"/>
          <w:szCs w:val="24"/>
        </w:rPr>
        <w:t>管理人对报告期内公平交易情况的专项说明</w:t>
      </w:r>
      <w:bookmarkEnd w:id="29"/>
      <w:bookmarkEnd w:id="30"/>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公平交易制度和控制方法</w:t>
      </w:r>
    </w:p>
    <w:p w:rsidR="00A9459B" w:rsidRDefault="00FD6859">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A9459B" w:rsidRDefault="00FD6859">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A9459B" w:rsidRDefault="00FD6859">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A9459B" w:rsidRDefault="00FD6859">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A9459B" w:rsidRDefault="00FD6859">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3437B" w:rsidRDefault="001A59F9" w:rsidP="0013437B">
      <w:pPr>
        <w:spacing w:before="29" w:line="288" w:lineRule="auto"/>
        <w:ind w:firstLineChars="200" w:firstLine="480"/>
        <w:rPr>
          <w:color w:val="000000"/>
          <w:sz w:val="24"/>
        </w:rPr>
      </w:pPr>
      <w:r w:rsidRPr="0013437B">
        <w:rPr>
          <w:color w:val="000000"/>
          <w:sz w:val="24"/>
        </w:rPr>
        <w:t>（</w:t>
      </w:r>
      <w:r w:rsidRPr="0013437B">
        <w:rPr>
          <w:color w:val="000000"/>
          <w:sz w:val="24"/>
        </w:rPr>
        <w:t>5</w:t>
      </w:r>
      <w:r w:rsidRPr="0013437B">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公平交易制度的执行情况</w:t>
      </w:r>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本报告期内公司严格执行公平交易制度，公平对待旗下各投资组合。通过投资交易监控、交易数据分析、专项稽核检查等，本基金管理人未发现任何违反公平交易制度的行为。</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4.3.3</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异常交易行为的专项说明</w:t>
      </w:r>
    </w:p>
    <w:p w:rsidR="001A59F9" w:rsidRPr="0013437B" w:rsidRDefault="001A59F9" w:rsidP="0013437B">
      <w:pPr>
        <w:spacing w:before="29" w:line="288" w:lineRule="auto"/>
        <w:ind w:firstLineChars="200" w:firstLine="480"/>
        <w:rPr>
          <w:color w:val="000000"/>
          <w:sz w:val="24"/>
        </w:rPr>
      </w:pPr>
      <w:r w:rsidRPr="0013437B">
        <w:rPr>
          <w:color w:val="000000"/>
          <w:sz w:val="24"/>
        </w:rPr>
        <w:t>本基金于本报告期内不存在异常交易行为。本报告期内</w:t>
      </w:r>
      <w:r w:rsidRPr="0013437B">
        <w:rPr>
          <w:color w:val="000000"/>
          <w:sz w:val="24"/>
        </w:rPr>
        <w:t>,</w:t>
      </w:r>
      <w:r w:rsidRPr="0013437B">
        <w:rPr>
          <w:color w:val="000000"/>
          <w:sz w:val="24"/>
        </w:rPr>
        <w:t>本公司管理的所有投资组合参与的交易所公开竞价同日反向交易成交较少的单边交易量没有超过该证券当日总成交量</w:t>
      </w:r>
      <w:r w:rsidRPr="0013437B">
        <w:rPr>
          <w:color w:val="000000"/>
          <w:sz w:val="24"/>
        </w:rPr>
        <w:t>5%</w:t>
      </w:r>
      <w:r w:rsidRPr="0013437B">
        <w:rPr>
          <w:color w:val="000000"/>
          <w:sz w:val="24"/>
        </w:rPr>
        <w:t>的情形，本基金与本公司管理的其他投资组合在不同时间窗下（如日内、</w:t>
      </w:r>
      <w:r w:rsidRPr="0013437B">
        <w:rPr>
          <w:color w:val="000000"/>
          <w:sz w:val="24"/>
        </w:rPr>
        <w:t>3</w:t>
      </w:r>
      <w:r w:rsidRPr="0013437B">
        <w:rPr>
          <w:color w:val="000000"/>
          <w:sz w:val="24"/>
        </w:rPr>
        <w:t>日内、</w:t>
      </w:r>
      <w:r w:rsidRPr="0013437B">
        <w:rPr>
          <w:color w:val="000000"/>
          <w:sz w:val="24"/>
        </w:rPr>
        <w:t>5</w:t>
      </w:r>
      <w:r w:rsidRPr="0013437B">
        <w:rPr>
          <w:color w:val="000000"/>
          <w:sz w:val="24"/>
        </w:rPr>
        <w:t>日内）同向交易的交易价差未出现异常。</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31" w:name="_Toc225498258"/>
      <w:bookmarkStart w:id="32" w:name="_Toc361324858"/>
      <w:r w:rsidRPr="00701155">
        <w:rPr>
          <w:rFonts w:ascii="Times New Roman" w:hAnsi="Times New Roman"/>
          <w:kern w:val="0"/>
          <w:szCs w:val="24"/>
        </w:rPr>
        <w:t xml:space="preserve">4.4 </w:t>
      </w:r>
      <w:r w:rsidRPr="00701155">
        <w:rPr>
          <w:rFonts w:ascii="Times New Roman" w:hAnsi="Times New Roman" w:hint="eastAsia"/>
          <w:kern w:val="0"/>
          <w:szCs w:val="24"/>
        </w:rPr>
        <w:t>管理人对报告期内基金的投资策略和业绩表现的说明</w:t>
      </w:r>
      <w:bookmarkEnd w:id="31"/>
      <w:bookmarkEnd w:id="32"/>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4.4.1</w:t>
      </w:r>
      <w:r w:rsidRPr="00701155">
        <w:rPr>
          <w:rFonts w:ascii="Times New Roman" w:hAnsi="Times New Roman" w:hint="eastAsia"/>
          <w:kern w:val="0"/>
          <w:szCs w:val="24"/>
        </w:rPr>
        <w:t>报告期内基金投资策略和运作分析</w:t>
      </w:r>
    </w:p>
    <w:p w:rsidR="00A9459B" w:rsidRDefault="00FD6859">
      <w:pPr>
        <w:spacing w:before="29" w:line="288" w:lineRule="auto"/>
        <w:ind w:firstLineChars="200" w:firstLine="480"/>
        <w:rPr>
          <w:color w:val="000000"/>
          <w:sz w:val="24"/>
        </w:rPr>
      </w:pPr>
      <w:r>
        <w:rPr>
          <w:color w:val="000000"/>
          <w:sz w:val="24"/>
        </w:rPr>
        <w:t>本报告期内，经济在</w:t>
      </w:r>
      <w:r>
        <w:rPr>
          <w:color w:val="000000"/>
          <w:sz w:val="24"/>
        </w:rPr>
        <w:t>“</w:t>
      </w:r>
      <w:r>
        <w:rPr>
          <w:color w:val="000000"/>
          <w:sz w:val="24"/>
        </w:rPr>
        <w:t>三期叠加</w:t>
      </w:r>
      <w:r>
        <w:rPr>
          <w:color w:val="000000"/>
          <w:sz w:val="24"/>
        </w:rPr>
        <w:t>”</w:t>
      </w:r>
      <w:r>
        <w:rPr>
          <w:color w:val="000000"/>
          <w:sz w:val="24"/>
        </w:rPr>
        <w:t>大背景下疲弱运行，下行压力较大，</w:t>
      </w:r>
      <w:r>
        <w:rPr>
          <w:color w:val="000000"/>
          <w:sz w:val="24"/>
        </w:rPr>
        <w:t>8</w:t>
      </w:r>
      <w:r>
        <w:rPr>
          <w:color w:val="000000"/>
          <w:sz w:val="24"/>
        </w:rPr>
        <w:t>月工业增加值更是一度跌破了</w:t>
      </w:r>
      <w:r>
        <w:rPr>
          <w:color w:val="000000"/>
          <w:sz w:val="24"/>
        </w:rPr>
        <w:t>7%</w:t>
      </w:r>
      <w:r>
        <w:rPr>
          <w:color w:val="000000"/>
          <w:sz w:val="24"/>
        </w:rPr>
        <w:t>；与此同时，</w:t>
      </w:r>
      <w:r>
        <w:rPr>
          <w:color w:val="000000"/>
          <w:sz w:val="24"/>
        </w:rPr>
        <w:t>CPI</w:t>
      </w:r>
      <w:r>
        <w:rPr>
          <w:color w:val="000000"/>
          <w:sz w:val="24"/>
        </w:rPr>
        <w:t>、</w:t>
      </w:r>
      <w:r>
        <w:rPr>
          <w:color w:val="000000"/>
          <w:sz w:val="24"/>
        </w:rPr>
        <w:t>PPI</w:t>
      </w:r>
      <w:r>
        <w:rPr>
          <w:color w:val="000000"/>
          <w:sz w:val="24"/>
        </w:rPr>
        <w:t>走势也令人堪忧，呈现通缩迹象。经济新常态获得市场各方认同，财政政策、货币政策定向发力，经济艰难、温和转型。</w:t>
      </w:r>
    </w:p>
    <w:p w:rsidR="00A9459B" w:rsidRDefault="00FD6859">
      <w:pPr>
        <w:spacing w:before="29" w:line="288" w:lineRule="auto"/>
        <w:ind w:firstLineChars="200" w:firstLine="480"/>
        <w:rPr>
          <w:color w:val="000000"/>
          <w:sz w:val="24"/>
        </w:rPr>
      </w:pPr>
      <w:r>
        <w:rPr>
          <w:color w:val="000000"/>
          <w:sz w:val="24"/>
        </w:rPr>
        <w:t>作为经济晴雨表的资本市场，一方面在深刻反映经济、政策层面的这种变化或运行态势，另一方面在经济转型中，资本市场，特别是股票市场被逐步赋予更多、更大的责任。就股票市场而言，随着其定位的变化、制度化建设的稳步推进，无论是主板、创业板、中小板，还是新三板以及各种形式的区域性股权转让市场都开始步入发展的快车道；行情的演化，也由早期的</w:t>
      </w:r>
      <w:r>
        <w:rPr>
          <w:color w:val="000000"/>
          <w:sz w:val="24"/>
        </w:rPr>
        <w:t>“</w:t>
      </w:r>
      <w:r>
        <w:rPr>
          <w:color w:val="000000"/>
          <w:sz w:val="24"/>
        </w:rPr>
        <w:t>经济转型受益行业</w:t>
      </w:r>
      <w:r>
        <w:rPr>
          <w:color w:val="000000"/>
          <w:sz w:val="24"/>
        </w:rPr>
        <w:t>”</w:t>
      </w:r>
      <w:r>
        <w:rPr>
          <w:color w:val="000000"/>
          <w:sz w:val="24"/>
        </w:rPr>
        <w:t>单一驱动逐步过渡到</w:t>
      </w:r>
      <w:r>
        <w:rPr>
          <w:color w:val="000000"/>
          <w:sz w:val="24"/>
        </w:rPr>
        <w:t>“</w:t>
      </w:r>
      <w:r>
        <w:rPr>
          <w:color w:val="000000"/>
          <w:sz w:val="24"/>
        </w:rPr>
        <w:t>经济转型受益行业</w:t>
      </w:r>
      <w:r>
        <w:rPr>
          <w:color w:val="000000"/>
          <w:sz w:val="24"/>
        </w:rPr>
        <w:t>”</w:t>
      </w:r>
      <w:r>
        <w:rPr>
          <w:color w:val="000000"/>
          <w:sz w:val="24"/>
        </w:rPr>
        <w:t>与</w:t>
      </w:r>
      <w:r>
        <w:rPr>
          <w:color w:val="000000"/>
          <w:sz w:val="24"/>
        </w:rPr>
        <w:t>“</w:t>
      </w:r>
      <w:r>
        <w:rPr>
          <w:color w:val="000000"/>
          <w:sz w:val="24"/>
        </w:rPr>
        <w:t>传统产业并转</w:t>
      </w:r>
      <w:r>
        <w:rPr>
          <w:color w:val="000000"/>
          <w:sz w:val="24"/>
        </w:rPr>
        <w:t>”</w:t>
      </w:r>
      <w:r>
        <w:rPr>
          <w:color w:val="000000"/>
          <w:sz w:val="24"/>
        </w:rPr>
        <w:t>双轮驱动。就债券市场而言，可谓发展与规范的并重，一方面仍坚持发展是硬道理，大力发展多层次的债权融资市场，另一方面开始强调治理、规范、不主动刺破大的风险（允许信用风险有序、温和释放）；行情方面，却在大力降低社会融资成本、经济运行疲弱的大背景下，演绎了一轮波澜壮阔的大牛市，直到央行降息后利率不降反升才告一段落。</w:t>
      </w:r>
    </w:p>
    <w:p w:rsidR="001A59F9" w:rsidRPr="0013437B" w:rsidRDefault="001A59F9" w:rsidP="0013437B">
      <w:pPr>
        <w:spacing w:before="29" w:line="288" w:lineRule="auto"/>
        <w:ind w:firstLineChars="200" w:firstLine="480"/>
        <w:rPr>
          <w:color w:val="000000"/>
          <w:sz w:val="24"/>
        </w:rPr>
      </w:pPr>
      <w:r w:rsidRPr="0013437B">
        <w:rPr>
          <w:color w:val="000000"/>
          <w:sz w:val="24"/>
        </w:rPr>
        <w:t>组合管理方面，本基金管理人很好地坚持并贯彻了绝对收益的组合管理理念，根据市场变化对收益目标进行动态调整；在管理过程中，动态评估组合风险，始终将净值回撤幅度控制在</w:t>
      </w:r>
      <w:r w:rsidRPr="0013437B">
        <w:rPr>
          <w:color w:val="000000"/>
          <w:sz w:val="24"/>
        </w:rPr>
        <w:t>3%</w:t>
      </w:r>
      <w:r w:rsidRPr="0013437B">
        <w:rPr>
          <w:color w:val="000000"/>
          <w:sz w:val="24"/>
        </w:rPr>
        <w:t>之内，以求实现基金净值的持续、稳定增长。就收益性资产的投资而言，早期侧重于经济转型受益行业的配置，</w:t>
      </w:r>
      <w:r w:rsidRPr="0013437B">
        <w:rPr>
          <w:color w:val="000000"/>
          <w:sz w:val="24"/>
        </w:rPr>
        <w:t>3</w:t>
      </w:r>
      <w:r w:rsidRPr="0013437B">
        <w:rPr>
          <w:color w:val="000000"/>
          <w:sz w:val="24"/>
        </w:rPr>
        <w:t>月份逐步增加了</w:t>
      </w:r>
      <w:r w:rsidRPr="0013437B">
        <w:rPr>
          <w:color w:val="000000"/>
          <w:sz w:val="24"/>
        </w:rPr>
        <w:t>“</w:t>
      </w:r>
      <w:r w:rsidRPr="0013437B">
        <w:rPr>
          <w:color w:val="000000"/>
          <w:sz w:val="24"/>
        </w:rPr>
        <w:t>传统产业并转</w:t>
      </w:r>
      <w:r w:rsidRPr="0013437B">
        <w:rPr>
          <w:color w:val="000000"/>
          <w:sz w:val="24"/>
        </w:rPr>
        <w:t>”</w:t>
      </w:r>
      <w:r w:rsidRPr="0013437B">
        <w:rPr>
          <w:color w:val="000000"/>
          <w:sz w:val="24"/>
        </w:rPr>
        <w:t>受益个股的配置，特别是</w:t>
      </w:r>
      <w:r w:rsidRPr="0013437B">
        <w:rPr>
          <w:color w:val="000000"/>
          <w:sz w:val="24"/>
        </w:rPr>
        <w:t>7</w:t>
      </w:r>
      <w:r w:rsidRPr="0013437B">
        <w:rPr>
          <w:color w:val="000000"/>
          <w:sz w:val="24"/>
        </w:rPr>
        <w:t>月份进一步加大了传统产业的配置，进入</w:t>
      </w:r>
      <w:r w:rsidRPr="0013437B">
        <w:rPr>
          <w:color w:val="000000"/>
          <w:sz w:val="24"/>
        </w:rPr>
        <w:t>12</w:t>
      </w:r>
      <w:r w:rsidRPr="0013437B">
        <w:rPr>
          <w:color w:val="000000"/>
          <w:sz w:val="24"/>
        </w:rPr>
        <w:t>月份适当增加了经济转型受益行业配置，组合配置逐步均衡化。就保本资产的投资而言，源于对信用风险的深刻认识，仅配置了高等级的利率债，在央行降息后利率不降反升，适当降低了相关配置的比例。</w:t>
      </w:r>
    </w:p>
    <w:p w:rsidR="001A59F9" w:rsidRPr="00C51C77" w:rsidRDefault="001A59F9" w:rsidP="00C51C77">
      <w:pPr>
        <w:spacing w:line="360" w:lineRule="auto"/>
        <w:ind w:firstLineChars="200" w:firstLine="420"/>
        <w:rPr>
          <w:rFonts w:asciiTheme="minorEastAsia" w:eastAsiaTheme="minorEastAsia" w:hAnsiTheme="minorEastAsia"/>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4.4.2</w:t>
      </w:r>
      <w:r w:rsidRPr="00701155">
        <w:rPr>
          <w:rFonts w:ascii="Times New Roman" w:hAnsi="Times New Roman" w:hint="eastAsia"/>
          <w:kern w:val="0"/>
          <w:szCs w:val="24"/>
        </w:rPr>
        <w:t>报告期内基金的业绩表现</w:t>
      </w:r>
    </w:p>
    <w:p w:rsidR="001A59F9" w:rsidRPr="0013437B" w:rsidRDefault="001A59F9" w:rsidP="0013437B">
      <w:pPr>
        <w:spacing w:before="29" w:line="288" w:lineRule="auto"/>
        <w:ind w:firstLineChars="200" w:firstLine="480"/>
        <w:rPr>
          <w:color w:val="000000"/>
          <w:sz w:val="24"/>
        </w:rPr>
      </w:pPr>
      <w:r w:rsidRPr="0013437B">
        <w:rPr>
          <w:color w:val="000000"/>
          <w:sz w:val="24"/>
        </w:rPr>
        <w:t>截至</w:t>
      </w:r>
      <w:r w:rsidRPr="0013437B">
        <w:rPr>
          <w:color w:val="000000"/>
          <w:sz w:val="24"/>
        </w:rPr>
        <w:t>2014</w:t>
      </w:r>
      <w:r w:rsidRPr="0013437B">
        <w:rPr>
          <w:color w:val="000000"/>
          <w:sz w:val="24"/>
        </w:rPr>
        <w:t>年</w:t>
      </w:r>
      <w:r w:rsidRPr="0013437B">
        <w:rPr>
          <w:color w:val="000000"/>
          <w:sz w:val="24"/>
        </w:rPr>
        <w:t>12</w:t>
      </w:r>
      <w:r w:rsidRPr="0013437B">
        <w:rPr>
          <w:color w:val="000000"/>
          <w:sz w:val="24"/>
        </w:rPr>
        <w:t>月</w:t>
      </w:r>
      <w:r w:rsidRPr="0013437B">
        <w:rPr>
          <w:color w:val="000000"/>
          <w:sz w:val="24"/>
        </w:rPr>
        <w:t>31</w:t>
      </w:r>
      <w:r w:rsidRPr="0013437B">
        <w:rPr>
          <w:color w:val="000000"/>
          <w:sz w:val="24"/>
        </w:rPr>
        <w:t>日，本基金份额净值</w:t>
      </w:r>
      <w:r w:rsidRPr="0013437B">
        <w:rPr>
          <w:color w:val="000000"/>
          <w:sz w:val="24"/>
        </w:rPr>
        <w:t>1.076</w:t>
      </w:r>
      <w:r w:rsidRPr="0013437B">
        <w:rPr>
          <w:color w:val="000000"/>
          <w:sz w:val="24"/>
        </w:rPr>
        <w:t>元，本报告期份额净值增长率为</w:t>
      </w:r>
      <w:r w:rsidRPr="0013437B">
        <w:rPr>
          <w:color w:val="000000"/>
          <w:sz w:val="24"/>
        </w:rPr>
        <w:t>17.80%</w:t>
      </w:r>
      <w:r w:rsidRPr="0013437B">
        <w:rPr>
          <w:color w:val="000000"/>
          <w:sz w:val="24"/>
        </w:rPr>
        <w:t>，同期业绩比较基准增长率为</w:t>
      </w:r>
      <w:r w:rsidRPr="0013437B">
        <w:rPr>
          <w:color w:val="000000"/>
          <w:sz w:val="24"/>
        </w:rPr>
        <w:t>4.28%</w:t>
      </w:r>
      <w:r w:rsidRPr="0013437B">
        <w:rPr>
          <w:color w:val="000000"/>
          <w:sz w:val="24"/>
        </w:rPr>
        <w:t>。</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3" w:name="_Toc225498259"/>
      <w:bookmarkStart w:id="34" w:name="_Toc361324859"/>
      <w:r w:rsidRPr="00701155">
        <w:rPr>
          <w:rFonts w:ascii="Times New Roman" w:hAnsi="Times New Roman" w:hint="eastAsia"/>
          <w:kern w:val="0"/>
          <w:szCs w:val="24"/>
        </w:rPr>
        <w:t>4</w:t>
      </w:r>
      <w:r w:rsidR="001A59F9" w:rsidRPr="00701155">
        <w:rPr>
          <w:rFonts w:ascii="Times New Roman" w:hAnsi="Times New Roman"/>
          <w:kern w:val="0"/>
          <w:szCs w:val="24"/>
        </w:rPr>
        <w:t>.</w:t>
      </w:r>
      <w:r w:rsidRPr="00701155">
        <w:rPr>
          <w:rFonts w:ascii="Times New Roman" w:hAnsi="Times New Roman" w:hint="eastAsia"/>
          <w:kern w:val="0"/>
          <w:szCs w:val="24"/>
        </w:rPr>
        <w:t>5</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管理人对宏观经济、证券市场及行业走势的简要展望</w:t>
      </w:r>
      <w:bookmarkEnd w:id="33"/>
      <w:bookmarkEnd w:id="34"/>
    </w:p>
    <w:p w:rsidR="00A9459B" w:rsidRDefault="00FD6859">
      <w:pPr>
        <w:spacing w:before="29" w:line="288" w:lineRule="auto"/>
        <w:ind w:firstLineChars="200" w:firstLine="480"/>
        <w:rPr>
          <w:color w:val="000000"/>
          <w:sz w:val="24"/>
        </w:rPr>
      </w:pPr>
      <w:r>
        <w:rPr>
          <w:color w:val="000000"/>
          <w:sz w:val="24"/>
        </w:rPr>
        <w:t>2015</w:t>
      </w:r>
      <w:r>
        <w:rPr>
          <w:color w:val="000000"/>
          <w:sz w:val="24"/>
        </w:rPr>
        <w:t>年既是中国经济转型的关键之年，又是</w:t>
      </w:r>
      <w:r>
        <w:rPr>
          <w:color w:val="000000"/>
          <w:sz w:val="24"/>
        </w:rPr>
        <w:t>“</w:t>
      </w:r>
      <w:r>
        <w:rPr>
          <w:color w:val="000000"/>
          <w:sz w:val="24"/>
        </w:rPr>
        <w:t>十二五</w:t>
      </w:r>
      <w:r>
        <w:rPr>
          <w:color w:val="000000"/>
          <w:sz w:val="24"/>
        </w:rPr>
        <w:t>”</w:t>
      </w:r>
      <w:r>
        <w:rPr>
          <w:color w:val="000000"/>
          <w:sz w:val="24"/>
        </w:rPr>
        <w:t>规划的收官之年，经济在新常态下温和转型是主旋律，但经济增长走势可能强于预期；</w:t>
      </w:r>
      <w:r>
        <w:rPr>
          <w:color w:val="000000"/>
          <w:sz w:val="24"/>
        </w:rPr>
        <w:t>2015</w:t>
      </w:r>
      <w:r>
        <w:rPr>
          <w:color w:val="000000"/>
          <w:sz w:val="24"/>
        </w:rPr>
        <w:t>年也是中国资本市场的大发展之年，权益市场方面，随着沪港通的开通、上证</w:t>
      </w:r>
      <w:r>
        <w:rPr>
          <w:color w:val="000000"/>
          <w:sz w:val="24"/>
        </w:rPr>
        <w:t>50ETF</w:t>
      </w:r>
      <w:r>
        <w:rPr>
          <w:color w:val="000000"/>
          <w:sz w:val="24"/>
        </w:rPr>
        <w:t>期权的推出以及注册制的面市，市场的深度、广度均将有很大拓展，资产定价、投资策略也将日益与成熟市场接轨；而银行信贷资产证券化的实质推进，也意味着债券市场将迎来一轮新的大发展。不过，持续上行的美元指数与持续下行的国际原油价格，对中国经济的转型前景、中国资本市场的未来发展也会平添一些变数，值得特别关注。</w:t>
      </w:r>
    </w:p>
    <w:p w:rsidR="001A59F9" w:rsidRPr="0013437B" w:rsidRDefault="001A59F9" w:rsidP="0013437B">
      <w:pPr>
        <w:spacing w:before="29" w:line="288" w:lineRule="auto"/>
        <w:ind w:firstLineChars="200" w:firstLine="480"/>
        <w:rPr>
          <w:color w:val="000000"/>
          <w:sz w:val="24"/>
        </w:rPr>
      </w:pPr>
      <w:r w:rsidRPr="0013437B">
        <w:rPr>
          <w:color w:val="000000"/>
          <w:sz w:val="24"/>
        </w:rPr>
        <w:t>本基金管理人将秉承一贯的绝对收益投资的组合管理理念，顺势而为，灵活操作，力争为投资者赚取具有一定吸引力的绝对收益回报。</w:t>
      </w:r>
    </w:p>
    <w:p w:rsidR="001A59F9" w:rsidRPr="00C51C77" w:rsidRDefault="001A59F9" w:rsidP="00C51C77">
      <w:pPr>
        <w:autoSpaceDE w:val="0"/>
        <w:autoSpaceDN w:val="0"/>
        <w:adjustRightInd w:val="0"/>
        <w:spacing w:line="360" w:lineRule="auto"/>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5" w:name="_Toc247959457"/>
      <w:bookmarkStart w:id="36" w:name="_Toc225570083"/>
      <w:bookmarkStart w:id="37" w:name="_Toc361324861"/>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6</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管理人对报告期内基金估值程序等事项的说明</w:t>
      </w:r>
      <w:bookmarkEnd w:id="35"/>
      <w:bookmarkEnd w:id="36"/>
      <w:bookmarkEnd w:id="37"/>
    </w:p>
    <w:p w:rsidR="00A9459B" w:rsidRDefault="00FD6859">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A9459B" w:rsidRDefault="00FD6859">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A59F9" w:rsidRPr="0013437B" w:rsidRDefault="001A59F9" w:rsidP="0013437B">
      <w:pPr>
        <w:spacing w:before="29" w:line="288" w:lineRule="auto"/>
        <w:ind w:firstLineChars="200" w:firstLine="480"/>
        <w:rPr>
          <w:color w:val="000000"/>
          <w:sz w:val="24"/>
        </w:rPr>
      </w:pPr>
      <w:r w:rsidRPr="0013437B">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C51C77" w:rsidRDefault="001A59F9" w:rsidP="00C51C77">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8" w:name="_Toc247959458"/>
      <w:bookmarkStart w:id="39" w:name="_Toc225570084"/>
      <w:bookmarkStart w:id="40" w:name="_Toc361324862"/>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7</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管理人对报告期内基金利润分配情况的说明</w:t>
      </w:r>
      <w:bookmarkEnd w:id="38"/>
      <w:bookmarkEnd w:id="39"/>
      <w:bookmarkEnd w:id="40"/>
    </w:p>
    <w:p w:rsidR="001A59F9" w:rsidRPr="0013437B" w:rsidRDefault="001A59F9" w:rsidP="0013437B">
      <w:pPr>
        <w:spacing w:before="29" w:line="288" w:lineRule="auto"/>
        <w:ind w:firstLineChars="200" w:firstLine="480"/>
        <w:rPr>
          <w:color w:val="000000"/>
          <w:sz w:val="24"/>
        </w:rPr>
      </w:pPr>
      <w:r w:rsidRPr="0013437B">
        <w:rPr>
          <w:color w:val="000000"/>
          <w:sz w:val="24"/>
        </w:rPr>
        <w:t>根据相关法律法规和基金合同要求，本基金本报告期内对本年度可供分配利润进行了收益分配，具体情况参见</w:t>
      </w:r>
      <w:r w:rsidR="00FD6859">
        <w:rPr>
          <w:rFonts w:hint="eastAsia"/>
          <w:color w:val="000000"/>
          <w:sz w:val="24"/>
        </w:rPr>
        <w:t>年度报告正文</w:t>
      </w:r>
      <w:r w:rsidRPr="0013437B">
        <w:rPr>
          <w:color w:val="000000"/>
          <w:sz w:val="24"/>
        </w:rPr>
        <w:t>7.4.8.2</w:t>
      </w:r>
      <w:r w:rsidRPr="0013437B">
        <w:rPr>
          <w:color w:val="000000"/>
          <w:sz w:val="24"/>
        </w:rPr>
        <w:t>资产负债表日后事项及</w:t>
      </w:r>
      <w:r w:rsidRPr="0013437B">
        <w:rPr>
          <w:color w:val="000000"/>
          <w:sz w:val="24"/>
        </w:rPr>
        <w:t>7.4.11</w:t>
      </w:r>
      <w:r w:rsidRPr="0013437B">
        <w:rPr>
          <w:color w:val="000000"/>
          <w:sz w:val="24"/>
        </w:rPr>
        <w:t>利润分配情况。</w:t>
      </w:r>
    </w:p>
    <w:p w:rsidR="001A59F9" w:rsidRPr="00C51C77" w:rsidRDefault="001A59F9" w:rsidP="00C51C77">
      <w:pPr>
        <w:autoSpaceDE w:val="0"/>
        <w:autoSpaceDN w:val="0"/>
        <w:adjustRightInd w:val="0"/>
        <w:spacing w:line="360" w:lineRule="auto"/>
        <w:ind w:firstLineChars="200" w:firstLine="420"/>
        <w:rPr>
          <w:rFonts w:asciiTheme="minorEastAsia" w:eastAsiaTheme="minorEastAsia" w:hAnsiTheme="minorEastAsia"/>
          <w:color w:val="000000"/>
          <w:kern w:val="0"/>
          <w:szCs w:val="21"/>
        </w:rPr>
      </w:pPr>
    </w:p>
    <w:p w:rsidR="00C62F35" w:rsidRPr="00BB731C" w:rsidRDefault="00C62F35" w:rsidP="00C62F35">
      <w:pPr>
        <w:spacing w:before="29" w:line="288" w:lineRule="auto"/>
        <w:rPr>
          <w:rFonts w:eastAsiaTheme="minorEastAsia"/>
          <w:b/>
          <w:sz w:val="24"/>
        </w:rPr>
      </w:pPr>
      <w:r w:rsidRPr="00BB731C">
        <w:rPr>
          <w:rFonts w:eastAsiaTheme="minorEastAsia"/>
          <w:b/>
          <w:sz w:val="24"/>
        </w:rPr>
        <w:t>4.8</w:t>
      </w:r>
      <w:r w:rsidRPr="00BB731C">
        <w:rPr>
          <w:rFonts w:eastAsiaTheme="minorEastAsia" w:hint="eastAsia"/>
          <w:b/>
          <w:sz w:val="24"/>
        </w:rPr>
        <w:t xml:space="preserve"> </w:t>
      </w:r>
      <w:r w:rsidRPr="00BB731C">
        <w:rPr>
          <w:rFonts w:eastAsiaTheme="minorEastAsia" w:hint="eastAsia"/>
          <w:b/>
          <w:sz w:val="24"/>
        </w:rPr>
        <w:t>报告期内管理人对本基金持有人数或基金资产净值预警情形的说明</w:t>
      </w:r>
    </w:p>
    <w:p w:rsidR="00C62F35" w:rsidRPr="00BB731C" w:rsidRDefault="00C62F35" w:rsidP="00C62F35">
      <w:pPr>
        <w:spacing w:before="29" w:line="288" w:lineRule="auto"/>
        <w:ind w:firstLineChars="200" w:firstLine="480"/>
        <w:rPr>
          <w:kern w:val="0"/>
          <w:sz w:val="24"/>
        </w:rPr>
      </w:pPr>
      <w:r w:rsidRPr="00BB731C">
        <w:rPr>
          <w:kern w:val="0"/>
          <w:sz w:val="24"/>
        </w:rPr>
        <w:t>本基金本报告期内无需预警说明。</w:t>
      </w:r>
    </w:p>
    <w:p w:rsidR="00C62F35" w:rsidRPr="0013437B" w:rsidRDefault="00C62F35" w:rsidP="0013437B">
      <w:pPr>
        <w:spacing w:before="29" w:line="288" w:lineRule="auto"/>
        <w:ind w:firstLineChars="200" w:firstLine="480"/>
        <w:rPr>
          <w:color w:val="000000"/>
          <w:sz w:val="24"/>
        </w:rPr>
      </w:pPr>
    </w:p>
    <w:p w:rsidR="001A59F9" w:rsidRDefault="001A59F9" w:rsidP="00FD6859">
      <w:pPr>
        <w:pStyle w:val="1"/>
        <w:keepNext/>
        <w:keepLines/>
        <w:widowControl w:val="0"/>
        <w:spacing w:beforeLines="100" w:before="312" w:afterLines="100" w:after="312" w:line="288" w:lineRule="auto"/>
        <w:jc w:val="center"/>
        <w:rPr>
          <w:b/>
          <w:bCs/>
          <w:szCs w:val="24"/>
          <w:lang w:val="en-US"/>
        </w:rPr>
      </w:pPr>
      <w:bookmarkStart w:id="41" w:name="_Toc225498263"/>
      <w:bookmarkStart w:id="42" w:name="_Toc361324864"/>
      <w:r w:rsidRPr="006D2A81">
        <w:rPr>
          <w:rFonts w:hint="eastAsia"/>
          <w:b/>
          <w:bCs/>
          <w:szCs w:val="24"/>
          <w:lang w:val="en-US"/>
        </w:rPr>
        <w:t>§</w:t>
      </w:r>
      <w:r w:rsidRPr="006D2A81">
        <w:rPr>
          <w:b/>
          <w:bCs/>
          <w:szCs w:val="24"/>
          <w:lang w:val="en-US"/>
        </w:rPr>
        <w:t xml:space="preserve">5  </w:t>
      </w:r>
      <w:r w:rsidRPr="006D2A81">
        <w:rPr>
          <w:rFonts w:hint="eastAsia"/>
          <w:b/>
          <w:bCs/>
          <w:szCs w:val="24"/>
          <w:lang w:val="en-US"/>
        </w:rPr>
        <w:t>托管人报告</w:t>
      </w:r>
      <w:bookmarkEnd w:id="41"/>
      <w:bookmarkEnd w:id="42"/>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43" w:name="_Toc225498264"/>
      <w:bookmarkStart w:id="44" w:name="_Toc361324865"/>
      <w:r w:rsidRPr="00701155">
        <w:rPr>
          <w:rFonts w:ascii="Times New Roman" w:hAnsi="Times New Roman"/>
          <w:kern w:val="0"/>
          <w:szCs w:val="24"/>
        </w:rPr>
        <w:t xml:space="preserve">5.1 </w:t>
      </w:r>
      <w:r w:rsidRPr="00701155">
        <w:rPr>
          <w:rFonts w:ascii="Times New Roman" w:hAnsi="Times New Roman" w:hint="eastAsia"/>
          <w:kern w:val="0"/>
          <w:szCs w:val="24"/>
        </w:rPr>
        <w:t>报告期内本基金托管人遵规守信情况声明</w:t>
      </w:r>
      <w:bookmarkEnd w:id="43"/>
      <w:bookmarkEnd w:id="44"/>
    </w:p>
    <w:p w:rsidR="001A59F9" w:rsidRPr="0013437B" w:rsidRDefault="001A59F9" w:rsidP="0013437B">
      <w:pPr>
        <w:spacing w:before="29" w:line="288" w:lineRule="auto"/>
        <w:ind w:firstLineChars="200" w:firstLine="480"/>
        <w:rPr>
          <w:color w:val="000000"/>
          <w:sz w:val="24"/>
        </w:rPr>
      </w:pPr>
      <w:r w:rsidRPr="0013437B">
        <w:rPr>
          <w:color w:val="000000"/>
          <w:sz w:val="24"/>
        </w:rPr>
        <w:t>在托管本基金的过程中，本基金托管人中国农业银行股份有限公司严格遵守《证券投资基金法》相关法律法规的规定以及基金合同、托管协议的约定，</w:t>
      </w:r>
      <w:r w:rsidR="0090132D" w:rsidRPr="0090132D">
        <w:rPr>
          <w:rFonts w:hint="eastAsia"/>
          <w:color w:val="000000"/>
          <w:sz w:val="24"/>
        </w:rPr>
        <w:t>对本基金基金管理人—交银施罗德基金管理有限公司本报告期基金的投资运作</w:t>
      </w:r>
      <w:r w:rsidRPr="0013437B">
        <w:rPr>
          <w:color w:val="000000"/>
          <w:sz w:val="24"/>
        </w:rPr>
        <w:t>，进行了认真、独立的会计核算和必要的投资监督，认真履行了托管人的义务，没有从事任何损害基金份额持有人利益的行为。</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5" w:name="_Toc225498265"/>
      <w:bookmarkStart w:id="46" w:name="_Toc361324866"/>
      <w:r w:rsidRPr="00701155">
        <w:rPr>
          <w:rFonts w:ascii="Times New Roman" w:hAnsi="Times New Roman"/>
          <w:kern w:val="0"/>
          <w:szCs w:val="24"/>
        </w:rPr>
        <w:t xml:space="preserve">5.2 </w:t>
      </w:r>
      <w:r w:rsidRPr="00701155">
        <w:rPr>
          <w:rFonts w:ascii="Times New Roman" w:hAnsi="Times New Roman" w:hint="eastAsia"/>
          <w:kern w:val="0"/>
          <w:szCs w:val="24"/>
        </w:rPr>
        <w:t>托管人对报告期内本基金投资运作遵规守信、净值计算、利润分配等情况的</w:t>
      </w:r>
      <w:bookmarkEnd w:id="45"/>
      <w:r w:rsidRPr="00701155">
        <w:rPr>
          <w:rFonts w:ascii="Times New Roman" w:hAnsi="Times New Roman" w:hint="eastAsia"/>
          <w:kern w:val="0"/>
          <w:szCs w:val="24"/>
        </w:rPr>
        <w:t>说明</w:t>
      </w:r>
      <w:bookmarkEnd w:id="46"/>
    </w:p>
    <w:p w:rsidR="001A59F9" w:rsidRPr="0013437B" w:rsidRDefault="001A59F9" w:rsidP="0013437B">
      <w:pPr>
        <w:spacing w:before="29" w:line="288" w:lineRule="auto"/>
        <w:ind w:firstLineChars="200" w:firstLine="480"/>
        <w:rPr>
          <w:color w:val="000000"/>
          <w:sz w:val="24"/>
        </w:rPr>
      </w:pPr>
      <w:r w:rsidRPr="0013437B">
        <w:rPr>
          <w:color w:val="000000"/>
          <w:sz w:val="24"/>
        </w:rPr>
        <w:t>本托管人认为</w:t>
      </w:r>
      <w:r w:rsidRPr="0013437B">
        <w:rPr>
          <w:color w:val="000000"/>
          <w:sz w:val="24"/>
        </w:rPr>
        <w:t xml:space="preserve">, </w:t>
      </w:r>
      <w:r w:rsidRPr="0013437B">
        <w:rPr>
          <w:color w:val="000000"/>
          <w:sz w:val="24"/>
        </w:rPr>
        <w:t>交银施罗德基金管理有限公司在本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7" w:name="_Toc225498266"/>
      <w:bookmarkStart w:id="48" w:name="_Toc361324867"/>
      <w:r w:rsidRPr="00701155">
        <w:rPr>
          <w:rFonts w:ascii="Times New Roman" w:hAnsi="Times New Roman"/>
          <w:kern w:val="0"/>
          <w:szCs w:val="24"/>
        </w:rPr>
        <w:t xml:space="preserve">5.3 </w:t>
      </w:r>
      <w:r w:rsidRPr="00701155">
        <w:rPr>
          <w:rFonts w:ascii="Times New Roman" w:hAnsi="Times New Roman" w:hint="eastAsia"/>
          <w:kern w:val="0"/>
          <w:szCs w:val="24"/>
        </w:rPr>
        <w:t>托管人对本年度报告中财务信息等内容的真实、准确和完整发表意见</w:t>
      </w:r>
      <w:bookmarkEnd w:id="47"/>
      <w:bookmarkEnd w:id="48"/>
    </w:p>
    <w:p w:rsidR="001A59F9" w:rsidRDefault="001A59F9" w:rsidP="0013437B">
      <w:pPr>
        <w:spacing w:before="29" w:line="288" w:lineRule="auto"/>
        <w:ind w:firstLineChars="200" w:firstLine="480"/>
        <w:rPr>
          <w:color w:val="000000"/>
          <w:sz w:val="24"/>
        </w:rPr>
      </w:pPr>
      <w:r w:rsidRPr="0013437B">
        <w:rPr>
          <w:color w:val="000000"/>
          <w:sz w:val="24"/>
        </w:rPr>
        <w:t>本托管人认为，交银施罗德基金管理有限公司的信息披露事务符合《证券投资基金信息披露管理办法》及其他相关法律法规的规定，基金管理人所编制和披露的本基金年度报告中的财务指标、净值表现、收益分配情况、财务会计报告、投资组合报告等信息真实、准确、完整，未发现有损害基金持有人利益的行为。</w:t>
      </w:r>
    </w:p>
    <w:p w:rsidR="009E773E" w:rsidRPr="0013437B" w:rsidRDefault="009E773E" w:rsidP="0013437B">
      <w:pPr>
        <w:spacing w:before="29" w:line="288" w:lineRule="auto"/>
        <w:ind w:firstLineChars="200" w:firstLine="480"/>
        <w:rPr>
          <w:color w:val="000000"/>
          <w:sz w:val="24"/>
        </w:rPr>
      </w:pPr>
    </w:p>
    <w:p w:rsidR="001A59F9" w:rsidRDefault="001A59F9" w:rsidP="00FD6859">
      <w:pPr>
        <w:pStyle w:val="1"/>
        <w:keepNext/>
        <w:keepLines/>
        <w:widowControl w:val="0"/>
        <w:spacing w:beforeLines="100" w:before="312" w:afterLines="100" w:after="312" w:line="288" w:lineRule="auto"/>
        <w:jc w:val="center"/>
        <w:rPr>
          <w:b/>
          <w:bCs/>
          <w:szCs w:val="24"/>
          <w:lang w:val="en-US"/>
        </w:rPr>
      </w:pPr>
      <w:bookmarkStart w:id="49" w:name="_Toc245801814"/>
      <w:bookmarkStart w:id="50" w:name="_Toc247959464"/>
      <w:bookmarkStart w:id="51" w:name="_Toc361324868"/>
      <w:r w:rsidRPr="009E773E">
        <w:rPr>
          <w:rFonts w:hint="eastAsia"/>
          <w:b/>
          <w:bCs/>
          <w:szCs w:val="24"/>
          <w:lang w:val="en-US"/>
        </w:rPr>
        <w:t>§</w:t>
      </w:r>
      <w:r w:rsidRPr="009E773E">
        <w:rPr>
          <w:b/>
          <w:bCs/>
          <w:szCs w:val="24"/>
          <w:lang w:val="en-US"/>
        </w:rPr>
        <w:t xml:space="preserve">6  </w:t>
      </w:r>
      <w:r w:rsidRPr="009E773E">
        <w:rPr>
          <w:rFonts w:hint="eastAsia"/>
          <w:b/>
          <w:bCs/>
          <w:szCs w:val="24"/>
          <w:lang w:val="en-US"/>
        </w:rPr>
        <w:t>审计报告</w:t>
      </w:r>
      <w:bookmarkEnd w:id="49"/>
      <w:bookmarkEnd w:id="50"/>
      <w:bookmarkEnd w:id="51"/>
    </w:p>
    <w:p w:rsidR="002546CC" w:rsidRPr="002546CC" w:rsidRDefault="002546CC" w:rsidP="002546CC"/>
    <w:p w:rsidR="00444105" w:rsidRDefault="00444105" w:rsidP="00444105">
      <w:pPr>
        <w:spacing w:before="29" w:line="288" w:lineRule="auto"/>
        <w:ind w:firstLineChars="200" w:firstLine="480"/>
        <w:rPr>
          <w:color w:val="000000"/>
          <w:sz w:val="24"/>
        </w:rPr>
      </w:pPr>
      <w:r w:rsidRPr="001F3653">
        <w:rPr>
          <w:color w:val="000000"/>
          <w:sz w:val="24"/>
        </w:rPr>
        <w:t>普华永道中天会计师事务所（特殊普通合伙）</w:t>
      </w:r>
      <w:r w:rsidRPr="00A009EE">
        <w:rPr>
          <w:rFonts w:hint="eastAsia"/>
          <w:color w:val="000000"/>
          <w:sz w:val="24"/>
        </w:rPr>
        <w:t>对</w:t>
      </w:r>
      <w:r w:rsidRPr="003C6BFD">
        <w:rPr>
          <w:color w:val="000000"/>
          <w:sz w:val="24"/>
        </w:rPr>
        <w:t>交银施罗德荣祥保本混合型证券投资基金</w:t>
      </w:r>
      <w:r w:rsidRPr="003C6BFD">
        <w:rPr>
          <w:color w:val="000000"/>
          <w:sz w:val="24"/>
        </w:rPr>
        <w:t>2014</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r w:rsidRPr="00A009EE">
        <w:rPr>
          <w:rFonts w:hint="eastAsia"/>
          <w:color w:val="000000"/>
          <w:sz w:val="24"/>
        </w:rPr>
        <w:t>的资产负债表，</w:t>
      </w:r>
      <w:r w:rsidRPr="003C6BFD">
        <w:rPr>
          <w:color w:val="000000"/>
          <w:sz w:val="24"/>
        </w:rPr>
        <w:t>2014</w:t>
      </w:r>
      <w:r w:rsidRPr="003C6BFD">
        <w:rPr>
          <w:color w:val="000000"/>
          <w:sz w:val="24"/>
        </w:rPr>
        <w:t>年</w:t>
      </w:r>
      <w:r w:rsidR="0020150C">
        <w:rPr>
          <w:rFonts w:hint="eastAsia"/>
          <w:color w:val="000000"/>
          <w:sz w:val="24"/>
        </w:rPr>
        <w:t>度</w:t>
      </w:r>
      <w:r w:rsidRPr="00A009EE">
        <w:rPr>
          <w:rFonts w:hint="eastAsia"/>
          <w:color w:val="000000"/>
          <w:sz w:val="24"/>
        </w:rPr>
        <w:t>的利润表、所有者权益</w:t>
      </w:r>
      <w:r w:rsidRPr="00A009EE">
        <w:rPr>
          <w:rFonts w:hint="eastAsia"/>
          <w:color w:val="000000"/>
          <w:sz w:val="24"/>
        </w:rPr>
        <w:t>(</w:t>
      </w:r>
      <w:r w:rsidRPr="00A009EE">
        <w:rPr>
          <w:rFonts w:hint="eastAsia"/>
          <w:color w:val="000000"/>
          <w:sz w:val="24"/>
        </w:rPr>
        <w:t>基金净值</w:t>
      </w:r>
      <w:r w:rsidRPr="00A009EE">
        <w:rPr>
          <w:rFonts w:hint="eastAsia"/>
          <w:color w:val="000000"/>
          <w:sz w:val="24"/>
        </w:rPr>
        <w:t>)</w:t>
      </w:r>
      <w:r w:rsidRPr="00A009EE">
        <w:rPr>
          <w:rFonts w:hint="eastAsia"/>
          <w:color w:val="000000"/>
          <w:sz w:val="24"/>
        </w:rPr>
        <w:t>变动表以及财务报表附注</w:t>
      </w:r>
      <w:r w:rsidRPr="001F3653">
        <w:rPr>
          <w:rFonts w:hint="eastAsia"/>
          <w:color w:val="000000"/>
          <w:sz w:val="24"/>
        </w:rPr>
        <w:t>出具了标准无保留意见的审计报告</w:t>
      </w:r>
      <w:r w:rsidR="000E4B9B">
        <w:rPr>
          <w:rFonts w:hint="eastAsia"/>
          <w:color w:val="000000"/>
          <w:sz w:val="24"/>
        </w:rPr>
        <w:t>【</w:t>
      </w:r>
      <w:r w:rsidRPr="001F3653">
        <w:rPr>
          <w:color w:val="000000"/>
          <w:sz w:val="24"/>
        </w:rPr>
        <w:t>普华永道中天审字</w:t>
      </w:r>
      <w:r w:rsidRPr="001F3653">
        <w:rPr>
          <w:color w:val="000000"/>
          <w:sz w:val="24"/>
        </w:rPr>
        <w:t>(2015)</w:t>
      </w:r>
      <w:r w:rsidRPr="001F3653">
        <w:rPr>
          <w:color w:val="000000"/>
          <w:sz w:val="24"/>
        </w:rPr>
        <w:t>第</w:t>
      </w:r>
      <w:r w:rsidRPr="001F3653">
        <w:rPr>
          <w:color w:val="000000"/>
          <w:sz w:val="24"/>
        </w:rPr>
        <w:t>21496</w:t>
      </w:r>
      <w:r w:rsidRPr="001F3653">
        <w:rPr>
          <w:color w:val="000000"/>
          <w:sz w:val="24"/>
        </w:rPr>
        <w:t>号</w:t>
      </w:r>
      <w:r w:rsidR="000E4B9B">
        <w:rPr>
          <w:rFonts w:hint="eastAsia"/>
          <w:color w:val="000000"/>
          <w:sz w:val="24"/>
        </w:rPr>
        <w:t>】</w:t>
      </w:r>
      <w:r w:rsidRPr="001F3653">
        <w:rPr>
          <w:rFonts w:hint="eastAsia"/>
          <w:color w:val="000000"/>
          <w:sz w:val="24"/>
        </w:rPr>
        <w:t>。投资者可通过</w:t>
      </w:r>
      <w:r>
        <w:rPr>
          <w:rFonts w:hint="eastAsia"/>
          <w:color w:val="000000"/>
          <w:sz w:val="24"/>
        </w:rPr>
        <w:t>本基金</w:t>
      </w:r>
      <w:r w:rsidRPr="001F3653">
        <w:rPr>
          <w:rFonts w:hint="eastAsia"/>
          <w:color w:val="000000"/>
          <w:sz w:val="24"/>
        </w:rPr>
        <w:t>年度报告正文查看</w:t>
      </w:r>
      <w:r>
        <w:rPr>
          <w:rFonts w:hint="eastAsia"/>
          <w:color w:val="000000"/>
          <w:sz w:val="24"/>
        </w:rPr>
        <w:t>该</w:t>
      </w:r>
      <w:r w:rsidRPr="001F3653">
        <w:rPr>
          <w:rFonts w:hint="eastAsia"/>
          <w:color w:val="000000"/>
          <w:sz w:val="24"/>
        </w:rPr>
        <w:t>审计报告全文。</w:t>
      </w:r>
    </w:p>
    <w:p w:rsidR="0068776C" w:rsidRPr="00444105" w:rsidRDefault="0068776C" w:rsidP="001F3653">
      <w:pPr>
        <w:spacing w:before="29" w:line="288" w:lineRule="auto"/>
        <w:ind w:firstLineChars="200" w:firstLine="480"/>
        <w:rPr>
          <w:color w:val="000000"/>
          <w:sz w:val="24"/>
        </w:rPr>
      </w:pPr>
    </w:p>
    <w:p w:rsidR="001A59F9" w:rsidRDefault="001A59F9" w:rsidP="00FD6859">
      <w:pPr>
        <w:pStyle w:val="1"/>
        <w:keepNext/>
        <w:keepLines/>
        <w:widowControl w:val="0"/>
        <w:spacing w:beforeLines="100" w:before="312" w:afterLines="100" w:after="312" w:line="288" w:lineRule="auto"/>
        <w:jc w:val="center"/>
        <w:rPr>
          <w:b/>
          <w:bCs/>
          <w:szCs w:val="24"/>
          <w:lang w:val="en-US"/>
        </w:rPr>
      </w:pPr>
      <w:bookmarkStart w:id="52" w:name="_Toc361324872"/>
      <w:r w:rsidRPr="0068776C">
        <w:rPr>
          <w:rFonts w:hint="eastAsia"/>
          <w:b/>
          <w:bCs/>
          <w:szCs w:val="24"/>
          <w:lang w:val="en-US"/>
        </w:rPr>
        <w:t>§</w:t>
      </w:r>
      <w:r w:rsidRPr="0068776C">
        <w:rPr>
          <w:b/>
          <w:bCs/>
          <w:szCs w:val="24"/>
          <w:lang w:val="en-US"/>
        </w:rPr>
        <w:t>7</w:t>
      </w:r>
      <w:r w:rsidR="009153A3" w:rsidRPr="0068776C">
        <w:rPr>
          <w:rFonts w:hint="eastAsia"/>
          <w:b/>
          <w:bCs/>
          <w:szCs w:val="24"/>
          <w:lang w:val="en-US"/>
        </w:rPr>
        <w:t xml:space="preserve">  </w:t>
      </w:r>
      <w:r w:rsidRPr="0068776C">
        <w:rPr>
          <w:rFonts w:hint="eastAsia"/>
          <w:b/>
          <w:bCs/>
          <w:szCs w:val="24"/>
          <w:lang w:val="en-US"/>
        </w:rPr>
        <w:t>年度财务报表</w:t>
      </w:r>
      <w:bookmarkEnd w:id="52"/>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53" w:name="_Toc225498268"/>
      <w:bookmarkStart w:id="54" w:name="_Toc361324873"/>
      <w:r w:rsidRPr="00701155">
        <w:rPr>
          <w:rFonts w:ascii="Times New Roman" w:hAnsi="Times New Roman"/>
          <w:kern w:val="0"/>
          <w:szCs w:val="24"/>
        </w:rPr>
        <w:t xml:space="preserve">7.1 </w:t>
      </w:r>
      <w:r w:rsidRPr="00701155">
        <w:rPr>
          <w:rFonts w:ascii="Times New Roman" w:hAnsi="Times New Roman" w:hint="eastAsia"/>
          <w:kern w:val="0"/>
          <w:szCs w:val="24"/>
        </w:rPr>
        <w:t>资产负债表</w:t>
      </w:r>
      <w:bookmarkEnd w:id="53"/>
      <w:bookmarkEnd w:id="54"/>
    </w:p>
    <w:p w:rsidR="001A59F9" w:rsidRPr="001C5FC7" w:rsidRDefault="001A59F9" w:rsidP="001C5FC7">
      <w:pPr>
        <w:spacing w:before="29" w:line="288" w:lineRule="auto"/>
        <w:rPr>
          <w:color w:val="000000"/>
          <w:sz w:val="24"/>
        </w:rPr>
      </w:pPr>
      <w:r w:rsidRPr="001C5FC7">
        <w:rPr>
          <w:rFonts w:hint="eastAsia"/>
          <w:color w:val="000000"/>
          <w:sz w:val="24"/>
        </w:rPr>
        <w:t>会计主体：</w:t>
      </w:r>
      <w:r w:rsidRPr="001C5FC7">
        <w:rPr>
          <w:color w:val="000000"/>
          <w:sz w:val="24"/>
        </w:rPr>
        <w:t>交银施罗德荣祥保本混合型证券投资基金</w:t>
      </w:r>
    </w:p>
    <w:p w:rsidR="001A59F9" w:rsidRPr="001C5FC7" w:rsidRDefault="001A59F9" w:rsidP="001C5FC7">
      <w:pPr>
        <w:spacing w:before="29" w:line="288" w:lineRule="auto"/>
        <w:rPr>
          <w:color w:val="000000"/>
          <w:sz w:val="24"/>
        </w:rPr>
      </w:pPr>
      <w:r w:rsidRPr="001C5FC7">
        <w:rPr>
          <w:rFonts w:hint="eastAsia"/>
          <w:color w:val="000000"/>
          <w:sz w:val="24"/>
        </w:rPr>
        <w:t>报告截止日：</w:t>
      </w:r>
      <w:r w:rsidR="00F64FAD" w:rsidRPr="001C5FC7">
        <w:rPr>
          <w:color w:val="000000"/>
          <w:sz w:val="24"/>
        </w:rPr>
        <w:t>2014</w:t>
      </w:r>
      <w:r w:rsidR="00F64FAD" w:rsidRPr="001C5FC7">
        <w:rPr>
          <w:color w:val="000000"/>
          <w:sz w:val="24"/>
        </w:rPr>
        <w:t>年</w:t>
      </w:r>
      <w:r w:rsidR="00F64FAD" w:rsidRPr="001C5FC7">
        <w:rPr>
          <w:color w:val="000000"/>
          <w:sz w:val="24"/>
        </w:rPr>
        <w:t>12</w:t>
      </w:r>
      <w:r w:rsidR="00F64FAD" w:rsidRPr="001C5FC7">
        <w:rPr>
          <w:color w:val="000000"/>
          <w:sz w:val="24"/>
        </w:rPr>
        <w:t>月</w:t>
      </w:r>
      <w:r w:rsidR="00F64FAD" w:rsidRPr="001C5FC7">
        <w:rPr>
          <w:color w:val="000000"/>
          <w:sz w:val="24"/>
        </w:rPr>
        <w:t>31</w:t>
      </w:r>
      <w:r w:rsidR="00F64FAD" w:rsidRPr="001C5FC7">
        <w:rPr>
          <w:color w:val="000000"/>
          <w:sz w:val="24"/>
        </w:rPr>
        <w:t>日</w:t>
      </w:r>
    </w:p>
    <w:p w:rsidR="001A59F9" w:rsidRPr="001C5FC7" w:rsidRDefault="001A59F9" w:rsidP="001C5FC7">
      <w:pPr>
        <w:autoSpaceDE w:val="0"/>
        <w:autoSpaceDN w:val="0"/>
        <w:adjustRightInd w:val="0"/>
        <w:spacing w:before="29" w:line="288" w:lineRule="auto"/>
        <w:ind w:left="15"/>
        <w:jc w:val="right"/>
        <w:rPr>
          <w:color w:val="000000"/>
          <w:kern w:val="0"/>
          <w:sz w:val="24"/>
        </w:rPr>
      </w:pPr>
      <w:r w:rsidRPr="001C5FC7">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241E77" w:rsidRPr="00C51C77" w:rsidTr="00241E77">
        <w:tc>
          <w:tcPr>
            <w:tcW w:w="3402"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1C5FC7">
              <w:rPr>
                <w:rFonts w:ascii="Times New Roman" w:hAnsi="Times New Roman" w:hint="eastAsia"/>
                <w:b/>
                <w:color w:val="000000"/>
              </w:rPr>
              <w:t>资产</w:t>
            </w:r>
          </w:p>
        </w:tc>
        <w:tc>
          <w:tcPr>
            <w:tcW w:w="993"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本期末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2014</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c>
          <w:tcPr>
            <w:tcW w:w="2194"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上年度末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2013</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r>
      <w:tr w:rsidR="00241E77" w:rsidRPr="00C51C77" w:rsidTr="00241E77">
        <w:tc>
          <w:tcPr>
            <w:tcW w:w="3402" w:type="dxa"/>
            <w:vAlign w:val="center"/>
          </w:tcPr>
          <w:p w:rsidR="00E959E6" w:rsidRPr="00F05828" w:rsidRDefault="00E959E6" w:rsidP="003F4597">
            <w:pPr>
              <w:spacing w:before="29" w:line="288" w:lineRule="auto"/>
              <w:rPr>
                <w:b/>
                <w:color w:val="000000"/>
                <w:sz w:val="24"/>
              </w:rPr>
            </w:pPr>
            <w:r w:rsidRPr="00F05828">
              <w:rPr>
                <w:rFonts w:hint="eastAsia"/>
                <w:b/>
                <w:color w:val="000000"/>
                <w:sz w:val="24"/>
              </w:rPr>
              <w:t>资</w:t>
            </w:r>
            <w:r w:rsidRPr="00F05828">
              <w:rPr>
                <w:rFonts w:hint="eastAsia"/>
                <w:b/>
                <w:color w:val="000000"/>
                <w:sz w:val="24"/>
              </w:rPr>
              <w:t xml:space="preserve"> </w:t>
            </w:r>
            <w:r w:rsidRPr="00F05828">
              <w:rPr>
                <w:rFonts w:hint="eastAsia"/>
                <w:b/>
                <w:color w:val="000000"/>
                <w:sz w:val="24"/>
              </w:rPr>
              <w:t>产：</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2409" w:type="dxa"/>
            <w:vAlign w:val="center"/>
          </w:tcPr>
          <w:p w:rsidR="00E959E6" w:rsidRPr="001C5FC7" w:rsidRDefault="00E959E6" w:rsidP="001C5FC7">
            <w:pPr>
              <w:spacing w:before="29" w:line="288" w:lineRule="auto"/>
              <w:jc w:val="right"/>
              <w:rPr>
                <w:color w:val="000000"/>
                <w:sz w:val="24"/>
              </w:rPr>
            </w:pPr>
          </w:p>
        </w:tc>
        <w:tc>
          <w:tcPr>
            <w:tcW w:w="2194" w:type="dxa"/>
            <w:vAlign w:val="center"/>
          </w:tcPr>
          <w:p w:rsidR="00E959E6" w:rsidRPr="001C5FC7" w:rsidRDefault="00E959E6" w:rsidP="001C5FC7">
            <w:pPr>
              <w:spacing w:before="29" w:line="288" w:lineRule="auto"/>
              <w:jc w:val="right"/>
              <w:rPr>
                <w:color w:val="000000"/>
                <w:sz w:val="24"/>
              </w:rPr>
            </w:pPr>
          </w:p>
        </w:tc>
      </w:tr>
      <w:tr w:rsidR="00241E77" w:rsidRPr="00C51C77" w:rsidTr="00241E77">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银行存款</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r>
              <w:t>7.4.7.1</w:t>
            </w:r>
          </w:p>
        </w:tc>
        <w:tc>
          <w:tcPr>
            <w:tcW w:w="2409" w:type="dxa"/>
            <w:vAlign w:val="center"/>
          </w:tcPr>
          <w:p w:rsidR="00E959E6" w:rsidRPr="001C5FC7" w:rsidRDefault="00E959E6" w:rsidP="001C5FC7">
            <w:pPr>
              <w:spacing w:before="29" w:line="288" w:lineRule="auto"/>
              <w:jc w:val="right"/>
              <w:rPr>
                <w:color w:val="000000"/>
                <w:sz w:val="24"/>
              </w:rPr>
            </w:pPr>
            <w:r w:rsidRPr="001C5FC7">
              <w:rPr>
                <w:color w:val="000000"/>
                <w:sz w:val="24"/>
              </w:rPr>
              <w:t>28,473,565.27</w:t>
            </w:r>
          </w:p>
        </w:tc>
        <w:tc>
          <w:tcPr>
            <w:tcW w:w="2194" w:type="dxa"/>
            <w:vAlign w:val="center"/>
          </w:tcPr>
          <w:p w:rsidR="00E959E6" w:rsidRPr="001C5FC7" w:rsidRDefault="00E959E6" w:rsidP="001C5FC7">
            <w:pPr>
              <w:spacing w:before="29" w:line="288" w:lineRule="auto"/>
              <w:jc w:val="right"/>
              <w:rPr>
                <w:color w:val="000000"/>
                <w:sz w:val="24"/>
              </w:rPr>
            </w:pPr>
            <w:r w:rsidRPr="001C5FC7">
              <w:rPr>
                <w:color w:val="000000"/>
                <w:sz w:val="24"/>
              </w:rPr>
              <w:t>256,011,813.82</w:t>
            </w:r>
          </w:p>
        </w:tc>
      </w:tr>
      <w:tr w:rsidR="00241E77" w:rsidRPr="00C51C77" w:rsidTr="00241E77">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结算备付金</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2409" w:type="dxa"/>
            <w:vAlign w:val="center"/>
          </w:tcPr>
          <w:p w:rsidR="00E959E6" w:rsidRPr="001C5FC7" w:rsidRDefault="00E959E6" w:rsidP="001C5FC7">
            <w:pPr>
              <w:spacing w:before="29" w:line="288" w:lineRule="auto"/>
              <w:jc w:val="right"/>
              <w:rPr>
                <w:color w:val="000000"/>
                <w:sz w:val="24"/>
              </w:rPr>
            </w:pPr>
            <w:r w:rsidRPr="001C5FC7">
              <w:rPr>
                <w:color w:val="000000"/>
                <w:sz w:val="24"/>
              </w:rPr>
              <w:t>1,182,408.52</w:t>
            </w:r>
          </w:p>
        </w:tc>
        <w:tc>
          <w:tcPr>
            <w:tcW w:w="2194" w:type="dxa"/>
            <w:vAlign w:val="center"/>
          </w:tcPr>
          <w:p w:rsidR="00E959E6" w:rsidRPr="001C5FC7" w:rsidRDefault="00E959E6" w:rsidP="001C5FC7">
            <w:pPr>
              <w:spacing w:before="29" w:line="288" w:lineRule="auto"/>
              <w:jc w:val="right"/>
              <w:rPr>
                <w:color w:val="000000"/>
                <w:sz w:val="24"/>
              </w:rPr>
            </w:pPr>
            <w:r w:rsidRPr="001C5FC7">
              <w:rPr>
                <w:color w:val="000000"/>
                <w:sz w:val="24"/>
              </w:rPr>
              <w:t>1,130,714.05</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存出保证金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105,187.52</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193,799.92</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7.4.7.2</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175,614,096.28</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231,923,770.92</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其中：股票投资</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123,851,678.28</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54,851,770.92</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基金投资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债券投资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51,762,418.00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177,072,000.00</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资产支持证券投资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贵金属投资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买入返售金融资产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7.4.7.4</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118,972,658.46</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103,000,000.00</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7.4.7.5</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2,120,503.54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4,448,439.17</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应收股利</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应收申购款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222,507.52</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7.4.7.6</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F05828" w:rsidRDefault="00DA3B22" w:rsidP="003F4597">
            <w:pPr>
              <w:spacing w:before="29" w:line="288" w:lineRule="auto"/>
              <w:rPr>
                <w:color w:val="000000"/>
                <w:sz w:val="24"/>
              </w:rPr>
            </w:pPr>
            <w:r w:rsidRPr="00F05828">
              <w:rPr>
                <w:rFonts w:hint="eastAsia"/>
                <w:color w:val="000000"/>
                <w:sz w:val="24"/>
              </w:rPr>
              <w:t>资产总计</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326,690,927.11</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596,708,537.88</w:t>
            </w:r>
          </w:p>
        </w:tc>
      </w:tr>
      <w:tr w:rsidR="00DA3B22" w:rsidRPr="00C51C77" w:rsidTr="00241E77">
        <w:tc>
          <w:tcPr>
            <w:tcW w:w="3402" w:type="dxa"/>
            <w:vAlign w:val="center"/>
          </w:tcPr>
          <w:p w:rsidR="00DA3B22" w:rsidRPr="00B9358B" w:rsidRDefault="00DA3B22" w:rsidP="00B9358B">
            <w:pPr>
              <w:pStyle w:val="af6"/>
              <w:spacing w:before="29" w:beforeAutospacing="0" w:line="288" w:lineRule="auto"/>
              <w:jc w:val="center"/>
              <w:rPr>
                <w:rFonts w:ascii="Times New Roman" w:hAnsi="Times New Roman"/>
                <w:b/>
                <w:color w:val="000000"/>
              </w:rPr>
            </w:pPr>
            <w:r w:rsidRPr="00B9358B">
              <w:rPr>
                <w:rFonts w:ascii="Times New Roman" w:hAnsi="Times New Roman" w:hint="eastAsia"/>
                <w:b/>
                <w:color w:val="000000"/>
              </w:rPr>
              <w:t>负债和所有者权益</w:t>
            </w:r>
          </w:p>
        </w:tc>
        <w:tc>
          <w:tcPr>
            <w:tcW w:w="993" w:type="dxa"/>
            <w:vAlign w:val="center"/>
          </w:tcPr>
          <w:p w:rsidR="00DA3B22" w:rsidRPr="00B9358B" w:rsidRDefault="00BC5CD5" w:rsidP="00B9358B">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本期末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2014</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c>
          <w:tcPr>
            <w:tcW w:w="2194"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上年度末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2013</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r>
      <w:tr w:rsidR="00DA3B22" w:rsidRPr="00C51C77" w:rsidTr="00241E77">
        <w:tc>
          <w:tcPr>
            <w:tcW w:w="3402" w:type="dxa"/>
            <w:vAlign w:val="center"/>
          </w:tcPr>
          <w:p w:rsidR="00DA3B22" w:rsidRPr="00F05828" w:rsidRDefault="00DA3B22" w:rsidP="003F4597">
            <w:pPr>
              <w:spacing w:before="29" w:line="288" w:lineRule="auto"/>
              <w:rPr>
                <w:b/>
                <w:color w:val="000000"/>
                <w:sz w:val="24"/>
              </w:rPr>
            </w:pPr>
            <w:r w:rsidRPr="00F05828">
              <w:rPr>
                <w:rFonts w:hint="eastAsia"/>
                <w:b/>
                <w:color w:val="000000"/>
                <w:sz w:val="24"/>
              </w:rPr>
              <w:t>负</w:t>
            </w:r>
            <w:r w:rsidRPr="00F05828">
              <w:rPr>
                <w:rFonts w:hint="eastAsia"/>
                <w:b/>
                <w:color w:val="000000"/>
                <w:sz w:val="24"/>
              </w:rPr>
              <w:t xml:space="preserve"> </w:t>
            </w:r>
            <w:r w:rsidRPr="00F05828">
              <w:rPr>
                <w:rFonts w:hint="eastAsia"/>
                <w:b/>
                <w:color w:val="000000"/>
                <w:sz w:val="24"/>
              </w:rPr>
              <w:t>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p>
        </w:tc>
        <w:tc>
          <w:tcPr>
            <w:tcW w:w="2194" w:type="dxa"/>
            <w:vAlign w:val="center"/>
          </w:tcPr>
          <w:p w:rsidR="00DA3B22" w:rsidRPr="001C5FC7" w:rsidRDefault="00DA3B22" w:rsidP="001C5FC7">
            <w:pPr>
              <w:spacing w:before="29" w:line="288" w:lineRule="auto"/>
              <w:jc w:val="right"/>
              <w:rPr>
                <w:color w:val="000000"/>
                <w:sz w:val="24"/>
              </w:rPr>
            </w:pP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短期借款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卖出回购金融资产款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7,936,617.90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103,000,000.00</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应付赎回款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37,331.35</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1,375,095.76</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应付管理人报酬</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332,481.48</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508,714.10</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应付托管费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55,413.57</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84,785.69</w:t>
            </w:r>
          </w:p>
        </w:tc>
      </w:tr>
      <w:tr w:rsidR="00DA3B22" w:rsidRPr="00C51C77" w:rsidTr="00241E77">
        <w:trPr>
          <w:trHeight w:val="903"/>
        </w:trPr>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应付销售服务费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应付交易费用</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7.4.7.7</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360,422.06</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211,524.98</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应交税费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7.4.7.8</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230,513.21</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348,904.06</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8,952,779.57</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105,529,024.59</w:t>
            </w:r>
          </w:p>
        </w:tc>
      </w:tr>
      <w:tr w:rsidR="00DA3B22" w:rsidRPr="00C51C77" w:rsidTr="00241E77">
        <w:tc>
          <w:tcPr>
            <w:tcW w:w="3402" w:type="dxa"/>
            <w:vAlign w:val="center"/>
          </w:tcPr>
          <w:p w:rsidR="00DA3B22" w:rsidRPr="00F07001" w:rsidRDefault="00DA3B22" w:rsidP="003F4597">
            <w:pPr>
              <w:spacing w:before="29" w:line="288" w:lineRule="auto"/>
              <w:rPr>
                <w:b/>
                <w:color w:val="000000"/>
                <w:sz w:val="24"/>
              </w:rPr>
            </w:pPr>
            <w:r w:rsidRPr="00F07001">
              <w:rPr>
                <w:rFonts w:hint="eastAsia"/>
                <w:b/>
                <w:color w:val="000000"/>
                <w:sz w:val="24"/>
              </w:rPr>
              <w:t>所有者权益：</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p>
        </w:tc>
        <w:tc>
          <w:tcPr>
            <w:tcW w:w="2194" w:type="dxa"/>
            <w:vAlign w:val="center"/>
          </w:tcPr>
          <w:p w:rsidR="00DA3B22" w:rsidRPr="001C5FC7" w:rsidRDefault="00DA3B22" w:rsidP="001C5FC7">
            <w:pPr>
              <w:spacing w:before="29" w:line="288" w:lineRule="auto"/>
              <w:jc w:val="right"/>
              <w:rPr>
                <w:color w:val="000000"/>
                <w:sz w:val="24"/>
              </w:rPr>
            </w:pP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实收基金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7.4.7.9</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295,417,100.29</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484,187,123.52</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未分配利润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7.4.7.10</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22,321,047.25</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6,992,389.77</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所有者权益合计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317,738,147.54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491,179,513.29</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负债和所有者权益总计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326,690,927.11</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596,708,537.88</w:t>
            </w:r>
          </w:p>
        </w:tc>
      </w:tr>
    </w:tbl>
    <w:p w:rsidR="001A59F9" w:rsidRPr="00CB09E3" w:rsidRDefault="00AA0214" w:rsidP="00CB09E3">
      <w:pPr>
        <w:spacing w:before="29" w:line="288" w:lineRule="auto"/>
        <w:rPr>
          <w:color w:val="000000"/>
          <w:sz w:val="24"/>
        </w:rPr>
      </w:pPr>
      <w:r w:rsidRPr="00CB09E3">
        <w:rPr>
          <w:rFonts w:hint="eastAsia"/>
          <w:color w:val="000000"/>
          <w:sz w:val="24"/>
        </w:rPr>
        <w:t>注：</w:t>
      </w:r>
      <w:r w:rsidRPr="00CB09E3">
        <w:rPr>
          <w:color w:val="000000"/>
          <w:sz w:val="24"/>
        </w:rPr>
        <w:t>1</w:t>
      </w:r>
      <w:r w:rsidRPr="00CB09E3">
        <w:rPr>
          <w:rFonts w:hint="eastAsia"/>
          <w:color w:val="000000"/>
          <w:sz w:val="24"/>
        </w:rPr>
        <w:t>、</w:t>
      </w:r>
      <w:r w:rsidR="001A59F9" w:rsidRPr="00CB09E3">
        <w:rPr>
          <w:rFonts w:hint="eastAsia"/>
          <w:color w:val="000000"/>
          <w:sz w:val="24"/>
        </w:rPr>
        <w:t>报告截止日</w:t>
      </w:r>
      <w:r w:rsidR="001A59F9" w:rsidRPr="00CB09E3">
        <w:rPr>
          <w:color w:val="000000"/>
          <w:sz w:val="24"/>
        </w:rPr>
        <w:t>2014</w:t>
      </w:r>
      <w:r w:rsidR="001A59F9" w:rsidRPr="00CB09E3">
        <w:rPr>
          <w:rFonts w:hint="eastAsia"/>
          <w:color w:val="000000"/>
          <w:sz w:val="24"/>
        </w:rPr>
        <w:t>年</w:t>
      </w:r>
      <w:r w:rsidR="001A59F9" w:rsidRPr="00CB09E3">
        <w:rPr>
          <w:color w:val="000000"/>
          <w:sz w:val="24"/>
        </w:rPr>
        <w:t>12</w:t>
      </w:r>
      <w:r w:rsidR="001A59F9" w:rsidRPr="00CB09E3">
        <w:rPr>
          <w:rFonts w:hint="eastAsia"/>
          <w:color w:val="000000"/>
          <w:sz w:val="24"/>
        </w:rPr>
        <w:t>月</w:t>
      </w:r>
      <w:r w:rsidR="001A59F9" w:rsidRPr="00CB09E3">
        <w:rPr>
          <w:color w:val="000000"/>
          <w:sz w:val="24"/>
        </w:rPr>
        <w:t>31</w:t>
      </w:r>
      <w:r w:rsidR="001A59F9" w:rsidRPr="00CB09E3">
        <w:rPr>
          <w:rFonts w:hint="eastAsia"/>
          <w:color w:val="000000"/>
          <w:sz w:val="24"/>
        </w:rPr>
        <w:t>日，基金份额净值</w:t>
      </w:r>
      <w:r w:rsidR="001A59F9" w:rsidRPr="00CB09E3">
        <w:rPr>
          <w:color w:val="000000"/>
          <w:sz w:val="24"/>
        </w:rPr>
        <w:t>1.076</w:t>
      </w:r>
      <w:r w:rsidR="001A59F9" w:rsidRPr="00CB09E3">
        <w:rPr>
          <w:rFonts w:hint="eastAsia"/>
          <w:color w:val="000000"/>
          <w:sz w:val="24"/>
        </w:rPr>
        <w:t>元，基金份额总额</w:t>
      </w:r>
      <w:r w:rsidR="001A59F9" w:rsidRPr="00CB09E3">
        <w:rPr>
          <w:color w:val="000000"/>
          <w:sz w:val="24"/>
        </w:rPr>
        <w:t>295,417,100.29</w:t>
      </w:r>
      <w:r w:rsidR="001A59F9" w:rsidRPr="00CB09E3">
        <w:rPr>
          <w:rFonts w:hint="eastAsia"/>
          <w:color w:val="000000"/>
          <w:sz w:val="24"/>
        </w:rPr>
        <w:t>份。</w:t>
      </w:r>
      <w:r w:rsidR="001A59F9" w:rsidRPr="00CB09E3">
        <w:rPr>
          <w:color w:val="000000"/>
          <w:sz w:val="24"/>
        </w:rPr>
        <w:t xml:space="preserve"> </w:t>
      </w:r>
    </w:p>
    <w:p w:rsidR="00AA0214" w:rsidRPr="00CB09E3" w:rsidRDefault="00AA0214" w:rsidP="00CB09E3">
      <w:pPr>
        <w:spacing w:before="29" w:line="288" w:lineRule="auto"/>
        <w:ind w:firstLineChars="200" w:firstLine="480"/>
        <w:rPr>
          <w:color w:val="000000"/>
          <w:sz w:val="24"/>
        </w:rPr>
      </w:pPr>
      <w:r w:rsidRPr="00CB09E3">
        <w:rPr>
          <w:color w:val="000000"/>
          <w:sz w:val="24"/>
        </w:rPr>
        <w:t>2</w:t>
      </w:r>
      <w:r w:rsidRPr="00CB09E3">
        <w:rPr>
          <w:rFonts w:hint="eastAsia"/>
          <w:color w:val="000000"/>
          <w:sz w:val="24"/>
        </w:rPr>
        <w:t>、本摘要中资产负债表和利润表所列附注号为年度报告正文中对应的附注号，投资者欲了解相应附注的内容，应阅读登载于基金管理人网站的年度报告正文。</w:t>
      </w:r>
    </w:p>
    <w:p w:rsidR="001A59F9" w:rsidRPr="00CB24BA" w:rsidRDefault="001A59F9" w:rsidP="00026C9C">
      <w:pPr>
        <w:spacing w:line="360" w:lineRule="auto"/>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5" w:name="_Toc225498269"/>
      <w:bookmarkStart w:id="56" w:name="_Toc361324874"/>
      <w:r w:rsidRPr="00701155">
        <w:rPr>
          <w:rFonts w:ascii="Times New Roman" w:hAnsi="Times New Roman"/>
          <w:kern w:val="0"/>
          <w:szCs w:val="24"/>
        </w:rPr>
        <w:t xml:space="preserve">7.2 </w:t>
      </w:r>
      <w:r w:rsidRPr="00701155">
        <w:rPr>
          <w:rFonts w:ascii="Times New Roman" w:hAnsi="Times New Roman" w:hint="eastAsia"/>
          <w:kern w:val="0"/>
          <w:szCs w:val="24"/>
        </w:rPr>
        <w:t>利润表</w:t>
      </w:r>
      <w:bookmarkEnd w:id="55"/>
      <w:bookmarkEnd w:id="56"/>
    </w:p>
    <w:p w:rsidR="001A59F9" w:rsidRPr="00DA21E1" w:rsidRDefault="001A59F9" w:rsidP="00DA21E1">
      <w:pPr>
        <w:spacing w:before="29" w:line="288" w:lineRule="auto"/>
        <w:rPr>
          <w:color w:val="000000"/>
          <w:sz w:val="24"/>
        </w:rPr>
      </w:pPr>
      <w:r w:rsidRPr="00DA21E1">
        <w:rPr>
          <w:rFonts w:hint="eastAsia"/>
          <w:color w:val="000000"/>
          <w:sz w:val="24"/>
        </w:rPr>
        <w:t>会计主体：</w:t>
      </w:r>
      <w:r w:rsidRPr="00DA21E1">
        <w:rPr>
          <w:color w:val="000000"/>
          <w:sz w:val="24"/>
        </w:rPr>
        <w:t>交银施罗德荣祥保本混合型证券投资基金</w:t>
      </w:r>
    </w:p>
    <w:p w:rsidR="001A59F9" w:rsidRPr="00DA21E1" w:rsidRDefault="001A59F9" w:rsidP="00DA21E1">
      <w:pPr>
        <w:spacing w:before="29" w:line="288" w:lineRule="auto"/>
        <w:rPr>
          <w:color w:val="000000"/>
          <w:sz w:val="24"/>
        </w:rPr>
      </w:pPr>
      <w:r w:rsidRPr="00DA21E1">
        <w:rPr>
          <w:rFonts w:hint="eastAsia"/>
          <w:color w:val="000000"/>
          <w:sz w:val="24"/>
        </w:rPr>
        <w:t>本报告期：</w:t>
      </w:r>
      <w:r w:rsidR="00F64FAD" w:rsidRPr="00DA21E1">
        <w:rPr>
          <w:color w:val="000000"/>
          <w:sz w:val="24"/>
        </w:rPr>
        <w:t>2014</w:t>
      </w:r>
      <w:r w:rsidR="00F64FAD" w:rsidRPr="00DA21E1">
        <w:rPr>
          <w:color w:val="000000"/>
          <w:sz w:val="24"/>
        </w:rPr>
        <w:t>年</w:t>
      </w:r>
      <w:r w:rsidR="00F64FAD" w:rsidRPr="00DA21E1">
        <w:rPr>
          <w:color w:val="000000"/>
          <w:sz w:val="24"/>
        </w:rPr>
        <w:t>1</w:t>
      </w:r>
      <w:r w:rsidR="00F64FAD" w:rsidRPr="00DA21E1">
        <w:rPr>
          <w:color w:val="000000"/>
          <w:sz w:val="24"/>
        </w:rPr>
        <w:t>月</w:t>
      </w:r>
      <w:r w:rsidR="00F64FAD" w:rsidRPr="00DA21E1">
        <w:rPr>
          <w:color w:val="000000"/>
          <w:sz w:val="24"/>
        </w:rPr>
        <w:t>1</w:t>
      </w:r>
      <w:r w:rsidR="00F64FAD" w:rsidRPr="00DA21E1">
        <w:rPr>
          <w:color w:val="000000"/>
          <w:sz w:val="24"/>
        </w:rPr>
        <w:t>日</w:t>
      </w:r>
      <w:r w:rsidRPr="00DA21E1">
        <w:rPr>
          <w:rFonts w:hint="eastAsia"/>
          <w:color w:val="000000"/>
          <w:sz w:val="24"/>
        </w:rPr>
        <w:t>至</w:t>
      </w:r>
      <w:r w:rsidR="00F64FAD" w:rsidRPr="00DA21E1">
        <w:rPr>
          <w:color w:val="000000"/>
          <w:sz w:val="24"/>
        </w:rPr>
        <w:t>2014</w:t>
      </w:r>
      <w:r w:rsidR="00F64FAD" w:rsidRPr="00DA21E1">
        <w:rPr>
          <w:color w:val="000000"/>
          <w:sz w:val="24"/>
        </w:rPr>
        <w:t>年</w:t>
      </w:r>
      <w:r w:rsidR="00F64FAD" w:rsidRPr="00DA21E1">
        <w:rPr>
          <w:color w:val="000000"/>
          <w:sz w:val="24"/>
        </w:rPr>
        <w:t>12</w:t>
      </w:r>
      <w:r w:rsidR="00F64FAD" w:rsidRPr="00DA21E1">
        <w:rPr>
          <w:color w:val="000000"/>
          <w:sz w:val="24"/>
        </w:rPr>
        <w:t>月</w:t>
      </w:r>
      <w:r w:rsidR="00F64FAD" w:rsidRPr="00DA21E1">
        <w:rPr>
          <w:color w:val="000000"/>
          <w:sz w:val="24"/>
        </w:rPr>
        <w:t>31</w:t>
      </w:r>
      <w:r w:rsidR="00F64FAD" w:rsidRPr="00DA21E1">
        <w:rPr>
          <w:color w:val="000000"/>
          <w:sz w:val="24"/>
        </w:rPr>
        <w:t>日</w:t>
      </w:r>
    </w:p>
    <w:p w:rsidR="001A59F9" w:rsidRPr="00DA21E1" w:rsidRDefault="001A59F9" w:rsidP="00DA21E1">
      <w:pPr>
        <w:autoSpaceDE w:val="0"/>
        <w:autoSpaceDN w:val="0"/>
        <w:adjustRightInd w:val="0"/>
        <w:spacing w:before="29" w:line="288" w:lineRule="auto"/>
        <w:ind w:left="15"/>
        <w:jc w:val="right"/>
        <w:rPr>
          <w:color w:val="000000"/>
          <w:kern w:val="0"/>
          <w:sz w:val="24"/>
        </w:rPr>
      </w:pPr>
      <w:r w:rsidRPr="00DA21E1">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E8167C" w:rsidRPr="00C51C77" w:rsidTr="007468E6">
        <w:tc>
          <w:tcPr>
            <w:tcW w:w="3402"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DA21E1">
              <w:rPr>
                <w:rFonts w:ascii="Times New Roman" w:hAnsi="Times New Roman" w:hint="eastAsia"/>
                <w:b/>
                <w:color w:val="000000"/>
              </w:rPr>
              <w:t>项目</w:t>
            </w:r>
          </w:p>
        </w:tc>
        <w:tc>
          <w:tcPr>
            <w:tcW w:w="993"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本期</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2014</w:t>
            </w:r>
            <w:r w:rsidRPr="00DA21E1">
              <w:rPr>
                <w:rFonts w:ascii="Times New Roman" w:hAnsi="Times New Roman"/>
                <w:b/>
                <w:color w:val="000000"/>
              </w:rPr>
              <w:t>年</w:t>
            </w:r>
            <w:r w:rsidRPr="00DA21E1">
              <w:rPr>
                <w:rFonts w:ascii="Times New Roman" w:hAnsi="Times New Roman"/>
                <w:b/>
                <w:color w:val="000000"/>
              </w:rPr>
              <w:t>1</w:t>
            </w:r>
            <w:r w:rsidRPr="00DA21E1">
              <w:rPr>
                <w:rFonts w:ascii="Times New Roman" w:hAnsi="Times New Roman"/>
                <w:b/>
                <w:color w:val="000000"/>
              </w:rPr>
              <w:t>月</w:t>
            </w:r>
            <w:r w:rsidRPr="00DA21E1">
              <w:rPr>
                <w:rFonts w:ascii="Times New Roman" w:hAnsi="Times New Roman"/>
                <w:b/>
                <w:color w:val="000000"/>
              </w:rPr>
              <w:t>1</w:t>
            </w:r>
            <w:r w:rsidRPr="00DA21E1">
              <w:rPr>
                <w:rFonts w:ascii="Times New Roman" w:hAnsi="Times New Roman"/>
                <w:b/>
                <w:color w:val="000000"/>
              </w:rPr>
              <w:t>日</w:t>
            </w:r>
            <w:r w:rsidRPr="00DA21E1">
              <w:rPr>
                <w:rFonts w:ascii="Times New Roman" w:hAnsi="Times New Roman" w:hint="eastAsia"/>
                <w:b/>
                <w:color w:val="000000"/>
              </w:rPr>
              <w:t>至</w:t>
            </w:r>
            <w:r w:rsidRPr="00DA21E1">
              <w:rPr>
                <w:rFonts w:ascii="Times New Roman" w:hAnsi="Times New Roman"/>
                <w:b/>
                <w:color w:val="000000"/>
              </w:rPr>
              <w:t>2014</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c>
          <w:tcPr>
            <w:tcW w:w="2194"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上年度可比期间</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2013</w:t>
            </w:r>
            <w:r w:rsidRPr="00DA21E1">
              <w:rPr>
                <w:rFonts w:ascii="Times New Roman" w:hAnsi="Times New Roman"/>
                <w:b/>
                <w:color w:val="000000"/>
              </w:rPr>
              <w:t>年</w:t>
            </w:r>
            <w:r w:rsidRPr="00DA21E1">
              <w:rPr>
                <w:rFonts w:ascii="Times New Roman" w:hAnsi="Times New Roman"/>
                <w:b/>
                <w:color w:val="000000"/>
              </w:rPr>
              <w:t>4</w:t>
            </w:r>
            <w:r w:rsidRPr="00DA21E1">
              <w:rPr>
                <w:rFonts w:ascii="Times New Roman" w:hAnsi="Times New Roman"/>
                <w:b/>
                <w:color w:val="000000"/>
              </w:rPr>
              <w:t>月</w:t>
            </w:r>
            <w:r w:rsidRPr="00DA21E1">
              <w:rPr>
                <w:rFonts w:ascii="Times New Roman" w:hAnsi="Times New Roman"/>
                <w:b/>
                <w:color w:val="000000"/>
              </w:rPr>
              <w:t>24</w:t>
            </w:r>
            <w:r w:rsidRPr="00DA21E1">
              <w:rPr>
                <w:rFonts w:ascii="Times New Roman" w:hAnsi="Times New Roman"/>
                <w:b/>
                <w:color w:val="000000"/>
              </w:rPr>
              <w:t>日（基金合同生效日）至</w:t>
            </w:r>
            <w:r w:rsidRPr="00DA21E1">
              <w:rPr>
                <w:rFonts w:ascii="Times New Roman" w:hAnsi="Times New Roman"/>
                <w:b/>
                <w:color w:val="000000"/>
              </w:rPr>
              <w:t>2013</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r>
      <w:tr w:rsidR="00E8167C" w:rsidRPr="00C51C77" w:rsidTr="007468E6">
        <w:tc>
          <w:tcPr>
            <w:tcW w:w="3402" w:type="dxa"/>
            <w:vAlign w:val="center"/>
          </w:tcPr>
          <w:p w:rsidR="00E8167C" w:rsidRPr="00ED53EF" w:rsidRDefault="00E8167C" w:rsidP="003F4597">
            <w:pPr>
              <w:spacing w:before="29" w:line="288" w:lineRule="auto"/>
              <w:rPr>
                <w:b/>
                <w:color w:val="000000"/>
                <w:sz w:val="24"/>
              </w:rPr>
            </w:pPr>
            <w:r w:rsidRPr="00ED53EF">
              <w:rPr>
                <w:rFonts w:hint="eastAsia"/>
                <w:b/>
                <w:color w:val="000000"/>
                <w:sz w:val="24"/>
              </w:rPr>
              <w:t>一、收入</w:t>
            </w:r>
          </w:p>
        </w:tc>
        <w:tc>
          <w:tcPr>
            <w:tcW w:w="993" w:type="dxa"/>
            <w:vAlign w:val="center"/>
          </w:tcPr>
          <w:p w:rsidR="00E8167C" w:rsidRPr="00072FC7" w:rsidRDefault="00E8167C" w:rsidP="00072FC7">
            <w:pPr>
              <w:widowControl/>
              <w:autoSpaceDE w:val="0"/>
              <w:autoSpaceDN w:val="0"/>
              <w:ind w:right="-15"/>
              <w:jc w:val="center"/>
              <w:textAlignment w:val="bottom"/>
              <w:rPr>
                <w:color w:val="000000"/>
                <w:sz w:val="24"/>
              </w:rPr>
            </w:pPr>
          </w:p>
        </w:tc>
        <w:tc>
          <w:tcPr>
            <w:tcW w:w="2409" w:type="dxa"/>
            <w:vAlign w:val="center"/>
          </w:tcPr>
          <w:p w:rsidR="00E8167C" w:rsidRPr="00ED53EF" w:rsidRDefault="00E8167C" w:rsidP="001C5FC7">
            <w:pPr>
              <w:spacing w:before="29" w:line="288" w:lineRule="auto"/>
              <w:jc w:val="right"/>
              <w:rPr>
                <w:b/>
                <w:color w:val="000000"/>
                <w:sz w:val="24"/>
              </w:rPr>
            </w:pPr>
            <w:r w:rsidRPr="00ED53EF">
              <w:rPr>
                <w:b/>
                <w:color w:val="000000"/>
                <w:sz w:val="24"/>
              </w:rPr>
              <w:t>65,104,649.10</w:t>
            </w:r>
          </w:p>
        </w:tc>
        <w:tc>
          <w:tcPr>
            <w:tcW w:w="2194" w:type="dxa"/>
            <w:vAlign w:val="center"/>
          </w:tcPr>
          <w:p w:rsidR="00E8167C" w:rsidRPr="00ED53EF" w:rsidRDefault="00E8167C" w:rsidP="001C5FC7">
            <w:pPr>
              <w:spacing w:before="29" w:line="288" w:lineRule="auto"/>
              <w:jc w:val="right"/>
              <w:rPr>
                <w:b/>
                <w:color w:val="000000"/>
                <w:sz w:val="24"/>
              </w:rPr>
            </w:pPr>
            <w:r w:rsidRPr="00ED53EF">
              <w:rPr>
                <w:b/>
                <w:color w:val="000000"/>
                <w:sz w:val="24"/>
              </w:rPr>
              <w:t>35,725,561.90</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1.</w:t>
            </w:r>
            <w:r w:rsidRPr="003F4597">
              <w:rPr>
                <w:rFonts w:hint="eastAsia"/>
                <w:color w:val="000000"/>
                <w:sz w:val="24"/>
              </w:rPr>
              <w:t>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14,286,543.99</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13,948,115.25</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其中：存款利息收入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7.4.7.11</w:t>
            </w: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3,968,465.95</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3,251,717.80</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债券利息收入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9,895,681.77</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8,128,694.62</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资产支持证券利息收入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买入返售金融资产收入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422,396.27</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2,567,702.83</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其他利息收入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2.</w:t>
            </w:r>
            <w:r w:rsidRPr="003F4597">
              <w:rPr>
                <w:rFonts w:hint="eastAsia"/>
                <w:color w:val="000000"/>
                <w:sz w:val="24"/>
              </w:rPr>
              <w:t>投资收益（损失以</w:t>
            </w:r>
            <w:r w:rsidR="00ED53EF" w:rsidRPr="0060695C">
              <w:rPr>
                <w:color w:val="000000"/>
                <w:sz w:val="24"/>
              </w:rPr>
              <w:t>“-”</w:t>
            </w:r>
            <w:r w:rsidRPr="003F4597">
              <w:rPr>
                <w:rFonts w:hint="eastAsia"/>
                <w:color w:val="000000"/>
                <w:sz w:val="24"/>
              </w:rPr>
              <w:t>填列）</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34,761,738.26</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22,476,142.84</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其中：股票投资收益</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7.4.7.12</w:t>
            </w: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21,280,905.24</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21,987,271.17</w:t>
            </w:r>
          </w:p>
        </w:tc>
      </w:tr>
      <w:tr w:rsidR="001F4A92" w:rsidRPr="00C51C77" w:rsidTr="007468E6">
        <w:tc>
          <w:tcPr>
            <w:tcW w:w="3402" w:type="dxa"/>
            <w:vAlign w:val="center"/>
          </w:tcPr>
          <w:p w:rsidR="001F4A92" w:rsidRPr="001F4A92" w:rsidRDefault="001F4A92" w:rsidP="001F4A92">
            <w:pPr>
              <w:spacing w:before="29" w:line="288" w:lineRule="auto"/>
              <w:ind w:firstLineChars="300" w:firstLine="720"/>
              <w:rPr>
                <w:color w:val="000000"/>
                <w:sz w:val="24"/>
              </w:rPr>
            </w:pPr>
            <w:r w:rsidRPr="001F4A92">
              <w:rPr>
                <w:rFonts w:hint="eastAsia"/>
                <w:color w:val="000000"/>
                <w:sz w:val="24"/>
              </w:rPr>
              <w:t>基金投资收益</w:t>
            </w:r>
          </w:p>
        </w:tc>
        <w:tc>
          <w:tcPr>
            <w:tcW w:w="993" w:type="dxa"/>
            <w:vAlign w:val="center"/>
          </w:tcPr>
          <w:p w:rsidR="001F4A92" w:rsidRPr="001F4A92"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债券投资收益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7.4.7.13</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13,070,918.26</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-364,713.58</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资产支持证券投资收益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7.4.7.14</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贵金属投资收益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衍生工具收益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7.4.7.15</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股利收益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7.4.7.16</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409,914.76</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853,585.25</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公允价值变动收益（损失以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7.4.7.17</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15,245,061.81</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-1,909,327.58</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汇兑收益（损失以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其他收入（损失以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7.4.7.18</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811,305.04</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1,210,631.39</w:t>
            </w:r>
          </w:p>
        </w:tc>
      </w:tr>
      <w:tr w:rsidR="00707FDA" w:rsidRPr="00C51C77" w:rsidTr="007468E6">
        <w:tc>
          <w:tcPr>
            <w:tcW w:w="3402" w:type="dxa"/>
            <w:vAlign w:val="center"/>
          </w:tcPr>
          <w:p w:rsidR="00707FDA" w:rsidRPr="009A4B06" w:rsidRDefault="00707FDA" w:rsidP="003F4597">
            <w:pPr>
              <w:spacing w:before="29" w:line="288" w:lineRule="auto"/>
              <w:rPr>
                <w:b/>
                <w:color w:val="000000"/>
                <w:sz w:val="24"/>
              </w:rPr>
            </w:pPr>
            <w:r w:rsidRPr="009A4B06">
              <w:rPr>
                <w:rFonts w:hint="eastAsia"/>
                <w:b/>
                <w:color w:val="000000"/>
                <w:sz w:val="24"/>
              </w:rPr>
              <w:t>减：二、费用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7,879,533.69</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8,364,389.96</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1</w:t>
            </w:r>
            <w:r w:rsidRPr="003F4597">
              <w:rPr>
                <w:rFonts w:hint="eastAsia"/>
                <w:color w:val="000000"/>
                <w:sz w:val="24"/>
              </w:rPr>
              <w:t>．管理人报酬</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4,697,010.18</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5,004,709.45</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2</w:t>
            </w:r>
            <w:r w:rsidRPr="003F4597">
              <w:rPr>
                <w:rFonts w:hint="eastAsia"/>
                <w:color w:val="000000"/>
                <w:sz w:val="24"/>
              </w:rPr>
              <w:t>．托管费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782,835.07</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834,118.20</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．销售服务费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．交易费用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7.4.7.19</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1,373,379.81</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1,583,313.30</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．利息支出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746,442.97</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585,364.87</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t>其中：卖出回购金融资产支出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746,442.97</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585,364.87</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6</w:t>
            </w:r>
            <w:r w:rsidRPr="003F4597">
              <w:rPr>
                <w:rFonts w:hint="eastAsia"/>
                <w:color w:val="000000"/>
                <w:sz w:val="24"/>
              </w:rPr>
              <w:t>．其他费用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7.4.7.20</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279,865.66</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356,884.14</w:t>
            </w:r>
          </w:p>
        </w:tc>
      </w:tr>
      <w:tr w:rsidR="00707FDA" w:rsidRPr="00C51C77" w:rsidTr="007468E6">
        <w:tc>
          <w:tcPr>
            <w:tcW w:w="3402" w:type="dxa"/>
            <w:vAlign w:val="center"/>
          </w:tcPr>
          <w:p w:rsidR="00707FDA" w:rsidRPr="000D2B86" w:rsidRDefault="00707FDA" w:rsidP="003F4597">
            <w:pPr>
              <w:spacing w:before="29" w:line="288" w:lineRule="auto"/>
              <w:rPr>
                <w:b/>
                <w:color w:val="000000"/>
                <w:sz w:val="24"/>
              </w:rPr>
            </w:pPr>
            <w:r w:rsidRPr="000D2B86">
              <w:rPr>
                <w:rFonts w:hint="eastAsia"/>
                <w:b/>
                <w:color w:val="000000"/>
                <w:sz w:val="24"/>
              </w:rPr>
              <w:t>三、利润总额（亏损总额以</w:t>
            </w:r>
            <w:r w:rsidR="009A4B06" w:rsidRPr="000D2B86">
              <w:rPr>
                <w:b/>
                <w:color w:val="000000"/>
                <w:sz w:val="24"/>
              </w:rPr>
              <w:t>“-”</w:t>
            </w:r>
            <w:r w:rsidRPr="000D2B86">
              <w:rPr>
                <w:rFonts w:hint="eastAsia"/>
                <w:b/>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57,225,115.41</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27,361,171.94</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t>减：所得税费用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0D2B86" w:rsidRDefault="00707FDA" w:rsidP="003F4597">
            <w:pPr>
              <w:spacing w:before="29" w:line="288" w:lineRule="auto"/>
              <w:rPr>
                <w:b/>
                <w:color w:val="000000"/>
                <w:sz w:val="24"/>
              </w:rPr>
            </w:pPr>
            <w:r w:rsidRPr="000D2B86">
              <w:rPr>
                <w:rFonts w:hint="eastAsia"/>
                <w:b/>
                <w:color w:val="000000"/>
                <w:sz w:val="24"/>
              </w:rPr>
              <w:t>四、净利润（净亏损以</w:t>
            </w:r>
            <w:r w:rsidR="009A4B06" w:rsidRPr="000D2B86">
              <w:rPr>
                <w:b/>
                <w:color w:val="000000"/>
                <w:sz w:val="24"/>
              </w:rPr>
              <w:t>“-”</w:t>
            </w:r>
            <w:r w:rsidRPr="000D2B86">
              <w:rPr>
                <w:rFonts w:hint="eastAsia"/>
                <w:b/>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57,225,115.41</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27,361,171.94</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7" w:name="_Toc225498270"/>
      <w:bookmarkStart w:id="58" w:name="_Toc361324875"/>
      <w:r w:rsidRPr="00701155">
        <w:rPr>
          <w:rFonts w:ascii="Times New Roman" w:hAnsi="Times New Roman"/>
          <w:kern w:val="0"/>
          <w:szCs w:val="24"/>
        </w:rPr>
        <w:t xml:space="preserve">7.3 </w:t>
      </w:r>
      <w:r w:rsidRPr="00701155">
        <w:rPr>
          <w:rFonts w:ascii="Times New Roman" w:hAnsi="Times New Roman" w:hint="eastAsia"/>
          <w:kern w:val="0"/>
          <w:szCs w:val="24"/>
        </w:rPr>
        <w:t>所有者权益（基金净值）变动表</w:t>
      </w:r>
      <w:bookmarkEnd w:id="57"/>
      <w:bookmarkEnd w:id="58"/>
    </w:p>
    <w:p w:rsidR="001A59F9" w:rsidRPr="004C51A0" w:rsidRDefault="001A59F9" w:rsidP="004C51A0">
      <w:pPr>
        <w:spacing w:before="29" w:line="288" w:lineRule="auto"/>
        <w:rPr>
          <w:color w:val="000000"/>
          <w:sz w:val="24"/>
        </w:rPr>
      </w:pPr>
      <w:r w:rsidRPr="004C51A0">
        <w:rPr>
          <w:rFonts w:hint="eastAsia"/>
          <w:color w:val="000000"/>
          <w:sz w:val="24"/>
        </w:rPr>
        <w:t>会计主体：</w:t>
      </w:r>
      <w:r w:rsidRPr="004C51A0">
        <w:rPr>
          <w:color w:val="000000"/>
          <w:sz w:val="24"/>
        </w:rPr>
        <w:t>交银施罗德荣祥保本混合型证券投资基金</w:t>
      </w:r>
    </w:p>
    <w:p w:rsidR="001A59F9" w:rsidRPr="004C51A0" w:rsidRDefault="001A59F9" w:rsidP="004C51A0">
      <w:pPr>
        <w:spacing w:before="29" w:line="288" w:lineRule="auto"/>
        <w:rPr>
          <w:color w:val="000000"/>
          <w:sz w:val="24"/>
        </w:rPr>
      </w:pPr>
      <w:r w:rsidRPr="004C51A0">
        <w:rPr>
          <w:rFonts w:hint="eastAsia"/>
          <w:color w:val="000000"/>
          <w:sz w:val="24"/>
        </w:rPr>
        <w:t>本报告期：</w:t>
      </w:r>
      <w:r w:rsidR="00F64FAD" w:rsidRPr="004C51A0">
        <w:rPr>
          <w:color w:val="000000"/>
          <w:sz w:val="24"/>
        </w:rPr>
        <w:t>2014</w:t>
      </w:r>
      <w:r w:rsidR="00F64FAD" w:rsidRPr="004C51A0">
        <w:rPr>
          <w:color w:val="000000"/>
          <w:sz w:val="24"/>
        </w:rPr>
        <w:t>年</w:t>
      </w:r>
      <w:r w:rsidR="00F64FAD" w:rsidRPr="004C51A0">
        <w:rPr>
          <w:color w:val="000000"/>
          <w:sz w:val="24"/>
        </w:rPr>
        <w:t>1</w:t>
      </w:r>
      <w:r w:rsidR="00F64FAD" w:rsidRPr="004C51A0">
        <w:rPr>
          <w:color w:val="000000"/>
          <w:sz w:val="24"/>
        </w:rPr>
        <w:t>月</w:t>
      </w:r>
      <w:r w:rsidR="00F64FAD" w:rsidRPr="004C51A0">
        <w:rPr>
          <w:color w:val="000000"/>
          <w:sz w:val="24"/>
        </w:rPr>
        <w:t>1</w:t>
      </w:r>
      <w:r w:rsidR="00F64FAD" w:rsidRPr="004C51A0">
        <w:rPr>
          <w:color w:val="000000"/>
          <w:sz w:val="24"/>
        </w:rPr>
        <w:t>日</w:t>
      </w:r>
      <w:r w:rsidRPr="004C51A0">
        <w:rPr>
          <w:rFonts w:hint="eastAsia"/>
          <w:color w:val="000000"/>
          <w:sz w:val="24"/>
        </w:rPr>
        <w:t>至</w:t>
      </w:r>
      <w:r w:rsidR="00F64FAD" w:rsidRPr="004C51A0">
        <w:rPr>
          <w:color w:val="000000"/>
          <w:sz w:val="24"/>
        </w:rPr>
        <w:t>2014</w:t>
      </w:r>
      <w:r w:rsidR="00F64FAD" w:rsidRPr="004C51A0">
        <w:rPr>
          <w:color w:val="000000"/>
          <w:sz w:val="24"/>
        </w:rPr>
        <w:t>年</w:t>
      </w:r>
      <w:r w:rsidR="00F64FAD" w:rsidRPr="004C51A0">
        <w:rPr>
          <w:color w:val="000000"/>
          <w:sz w:val="24"/>
        </w:rPr>
        <w:t>12</w:t>
      </w:r>
      <w:r w:rsidR="00F64FAD" w:rsidRPr="004C51A0">
        <w:rPr>
          <w:color w:val="000000"/>
          <w:sz w:val="24"/>
        </w:rPr>
        <w:t>月</w:t>
      </w:r>
      <w:r w:rsidR="00F64FAD" w:rsidRPr="004C51A0">
        <w:rPr>
          <w:color w:val="000000"/>
          <w:sz w:val="24"/>
        </w:rPr>
        <w:t>31</w:t>
      </w:r>
      <w:r w:rsidR="00F64FAD" w:rsidRPr="004C51A0">
        <w:rPr>
          <w:color w:val="000000"/>
          <w:sz w:val="24"/>
        </w:rPr>
        <w:t>日</w:t>
      </w:r>
    </w:p>
    <w:p w:rsidR="001A59F9" w:rsidRPr="00696586" w:rsidRDefault="001A59F9" w:rsidP="00696586">
      <w:pPr>
        <w:autoSpaceDE w:val="0"/>
        <w:autoSpaceDN w:val="0"/>
        <w:adjustRightInd w:val="0"/>
        <w:spacing w:before="29" w:line="288" w:lineRule="auto"/>
        <w:ind w:left="15"/>
        <w:jc w:val="right"/>
        <w:rPr>
          <w:color w:val="000000"/>
          <w:kern w:val="0"/>
          <w:sz w:val="24"/>
        </w:rPr>
      </w:pPr>
      <w:r w:rsidRPr="00696586">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50"/>
        <w:gridCol w:w="2250"/>
        <w:gridCol w:w="2250"/>
        <w:gridCol w:w="2250"/>
      </w:tblGrid>
      <w:tr w:rsidR="001A59F9" w:rsidRPr="00C51C77" w:rsidTr="00705A28">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本期</w:t>
            </w:r>
          </w:p>
          <w:p w:rsidR="001A59F9" w:rsidRPr="00D34C2B" w:rsidRDefault="00F64FAD"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2014</w:t>
            </w:r>
            <w:r w:rsidRPr="00D34C2B">
              <w:rPr>
                <w:rFonts w:ascii="Times New Roman" w:hAnsi="Times New Roman"/>
                <w:b/>
                <w:color w:val="000000"/>
                <w:kern w:val="2"/>
              </w:rPr>
              <w:t>年</w:t>
            </w:r>
            <w:r w:rsidRPr="00D34C2B">
              <w:rPr>
                <w:rFonts w:ascii="Times New Roman" w:hAnsi="Times New Roman"/>
                <w:b/>
                <w:color w:val="000000"/>
                <w:kern w:val="2"/>
              </w:rPr>
              <w:t>1</w:t>
            </w:r>
            <w:r w:rsidRPr="00D34C2B">
              <w:rPr>
                <w:rFonts w:ascii="Times New Roman" w:hAnsi="Times New Roman"/>
                <w:b/>
                <w:color w:val="000000"/>
                <w:kern w:val="2"/>
              </w:rPr>
              <w:t>月</w:t>
            </w:r>
            <w:r w:rsidRPr="00D34C2B">
              <w:rPr>
                <w:rFonts w:ascii="Times New Roman" w:hAnsi="Times New Roman"/>
                <w:b/>
                <w:color w:val="000000"/>
                <w:kern w:val="2"/>
              </w:rPr>
              <w:t>1</w:t>
            </w:r>
            <w:r w:rsidRPr="00D34C2B">
              <w:rPr>
                <w:rFonts w:ascii="Times New Roman" w:hAnsi="Times New Roman"/>
                <w:b/>
                <w:color w:val="000000"/>
                <w:kern w:val="2"/>
              </w:rPr>
              <w:t>日</w:t>
            </w:r>
            <w:r w:rsidR="001A59F9" w:rsidRPr="00D34C2B">
              <w:rPr>
                <w:rFonts w:ascii="Times New Roman" w:hAnsi="Times New Roman" w:hint="eastAsia"/>
                <w:b/>
                <w:color w:val="000000"/>
                <w:kern w:val="2"/>
              </w:rPr>
              <w:t>至</w:t>
            </w:r>
            <w:r w:rsidRPr="00D34C2B">
              <w:rPr>
                <w:rFonts w:ascii="Times New Roman" w:hAnsi="Times New Roman"/>
                <w:b/>
                <w:color w:val="000000"/>
                <w:kern w:val="2"/>
              </w:rPr>
              <w:t>2014</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705A28">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所有者权益合计</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484,187,123.52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6,992,389.77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491,179,513.29</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57,225,115.41</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57,225,115.41</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三、本期基金份额交易产生的基金净值变动数（净值减少以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-188,770,023.23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-6,498,275.54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-195,268,298.77</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7,512,213.23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486,819.21</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7,999,032.44</w:t>
            </w:r>
          </w:p>
        </w:tc>
      </w:tr>
      <w:tr w:rsidR="001A59F9" w:rsidRPr="00C51C77" w:rsidTr="00705A28">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基金赎回款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-196,282,236.46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-6,985,094.75</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-203,267,331.21</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-35,398,182.39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-35,398,182.39</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295,417,100.29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22,321,047.25</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317,738,147.54</w:t>
            </w:r>
          </w:p>
        </w:tc>
      </w:tr>
      <w:tr w:rsidR="001A59F9" w:rsidRPr="00C51C77" w:rsidTr="00C37A8A">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上年度可比期间</w:t>
            </w:r>
          </w:p>
          <w:p w:rsidR="001A59F9" w:rsidRPr="00D34C2B" w:rsidRDefault="007F35DC"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2013</w:t>
            </w:r>
            <w:r w:rsidRPr="00D34C2B">
              <w:rPr>
                <w:rFonts w:ascii="Times New Roman" w:hAnsi="Times New Roman"/>
                <w:b/>
                <w:color w:val="000000"/>
                <w:kern w:val="2"/>
              </w:rPr>
              <w:t>年</w:t>
            </w:r>
            <w:r w:rsidRPr="00D34C2B">
              <w:rPr>
                <w:rFonts w:ascii="Times New Roman" w:hAnsi="Times New Roman"/>
                <w:b/>
                <w:color w:val="000000"/>
                <w:kern w:val="2"/>
              </w:rPr>
              <w:t>4</w:t>
            </w:r>
            <w:r w:rsidRPr="00D34C2B">
              <w:rPr>
                <w:rFonts w:ascii="Times New Roman" w:hAnsi="Times New Roman"/>
                <w:b/>
                <w:color w:val="000000"/>
                <w:kern w:val="2"/>
              </w:rPr>
              <w:t>月</w:t>
            </w:r>
            <w:r w:rsidRPr="00D34C2B">
              <w:rPr>
                <w:rFonts w:ascii="Times New Roman" w:hAnsi="Times New Roman"/>
                <w:b/>
                <w:color w:val="000000"/>
                <w:kern w:val="2"/>
              </w:rPr>
              <w:t>24</w:t>
            </w:r>
            <w:r w:rsidRPr="00D34C2B">
              <w:rPr>
                <w:rFonts w:ascii="Times New Roman" w:hAnsi="Times New Roman"/>
                <w:b/>
                <w:color w:val="000000"/>
                <w:kern w:val="2"/>
              </w:rPr>
              <w:t>日（基金合同生效日）至</w:t>
            </w:r>
            <w:r w:rsidRPr="00D34C2B">
              <w:rPr>
                <w:rFonts w:ascii="Times New Roman" w:hAnsi="Times New Roman"/>
                <w:b/>
                <w:color w:val="000000"/>
                <w:kern w:val="2"/>
              </w:rPr>
              <w:t>2013</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C37A8A">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所有者权益合计</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744,437,272.39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744,437,272.39</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27,361,171.94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27,361,171.94</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三、本期基金份额交易产生的基金净值变动数（净值减少以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-260,250,148.87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-4,861,634.98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-265,111,783.85</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3,817,281.65</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98,512.68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3,915,794.33</w:t>
            </w:r>
          </w:p>
        </w:tc>
      </w:tr>
      <w:tr w:rsidR="001A59F9" w:rsidRPr="00C51C77" w:rsidTr="00C37A8A">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基金赎回款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-264,067,430.52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-4,960,147.66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-269,027,578.18</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-15,507,147.19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-15,507,147.19</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484,187,123.52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6,992,389.77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491,179,513.29</w:t>
            </w:r>
          </w:p>
        </w:tc>
      </w:tr>
    </w:tbl>
    <w:p w:rsidR="001F790F" w:rsidRPr="00AF31CF" w:rsidRDefault="001F790F" w:rsidP="00AF31CF">
      <w:pPr>
        <w:spacing w:before="29" w:line="288" w:lineRule="auto"/>
        <w:rPr>
          <w:sz w:val="24"/>
        </w:rPr>
      </w:pPr>
      <w:r w:rsidRPr="00AF31CF">
        <w:rPr>
          <w:rFonts w:hint="eastAsia"/>
          <w:sz w:val="24"/>
        </w:rPr>
        <w:t>报表附注为财务报表的组成部分。</w:t>
      </w:r>
    </w:p>
    <w:p w:rsidR="001F790F" w:rsidRPr="00AF31CF" w:rsidRDefault="001F790F" w:rsidP="00AF31CF">
      <w:pPr>
        <w:spacing w:before="29" w:line="288" w:lineRule="auto"/>
        <w:rPr>
          <w:sz w:val="24"/>
        </w:rPr>
      </w:pPr>
      <w:r w:rsidRPr="00AF31CF">
        <w:rPr>
          <w:rFonts w:hint="eastAsia"/>
          <w:sz w:val="24"/>
        </w:rPr>
        <w:t>本报告</w:t>
      </w:r>
      <w:r w:rsidR="00B4640F" w:rsidRPr="00AF31CF">
        <w:rPr>
          <w:rFonts w:hint="eastAsia"/>
          <w:sz w:val="24"/>
        </w:rPr>
        <w:t>页码（序号）从</w:t>
      </w:r>
      <w:r w:rsidRPr="00AF31CF">
        <w:rPr>
          <w:rFonts w:hint="eastAsia"/>
          <w:sz w:val="24"/>
        </w:rPr>
        <w:t>7.1</w:t>
      </w:r>
      <w:r w:rsidRPr="00AF31CF">
        <w:rPr>
          <w:rFonts w:hint="eastAsia"/>
          <w:sz w:val="24"/>
        </w:rPr>
        <w:t>至</w:t>
      </w:r>
      <w:r w:rsidRPr="00AF31CF">
        <w:rPr>
          <w:rFonts w:hint="eastAsia"/>
          <w:sz w:val="24"/>
        </w:rPr>
        <w:t>7.4</w:t>
      </w:r>
      <w:r w:rsidRPr="00AF31CF">
        <w:rPr>
          <w:rFonts w:hint="eastAsia"/>
          <w:sz w:val="24"/>
        </w:rPr>
        <w:t>，财务报表由下列负责人签署：</w:t>
      </w:r>
    </w:p>
    <w:p w:rsidR="001F790F" w:rsidRPr="00AF31CF" w:rsidRDefault="00177405" w:rsidP="00AF31CF">
      <w:pPr>
        <w:spacing w:before="29" w:line="288" w:lineRule="auto"/>
        <w:rPr>
          <w:sz w:val="24"/>
        </w:rPr>
      </w:pPr>
      <w:r w:rsidRPr="00AF31CF">
        <w:rPr>
          <w:rFonts w:hint="eastAsia"/>
          <w:sz w:val="24"/>
        </w:rPr>
        <w:t>基金管理人</w:t>
      </w:r>
      <w:r w:rsidR="001F790F" w:rsidRPr="00AF31CF">
        <w:rPr>
          <w:rFonts w:hint="eastAsia"/>
          <w:sz w:val="24"/>
        </w:rPr>
        <w:t>负责人：苏奋（代任），主管会计工作负责人：许珊燕，会计机构负责人：朱鸣</w:t>
      </w:r>
    </w:p>
    <w:p w:rsidR="001A59F9" w:rsidRPr="00C51C77" w:rsidRDefault="001A59F9" w:rsidP="00C51C77">
      <w:pPr>
        <w:spacing w:line="360" w:lineRule="auto"/>
        <w:ind w:firstLineChars="200" w:firstLine="420"/>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9" w:name="_Toc225498271"/>
      <w:bookmarkStart w:id="60" w:name="_Toc361324876"/>
      <w:r w:rsidRPr="00701155">
        <w:rPr>
          <w:rFonts w:ascii="Times New Roman" w:hAnsi="Times New Roman"/>
          <w:kern w:val="0"/>
          <w:szCs w:val="24"/>
        </w:rPr>
        <w:t xml:space="preserve">7.4 </w:t>
      </w:r>
      <w:r w:rsidRPr="00701155">
        <w:rPr>
          <w:rFonts w:ascii="Times New Roman" w:hAnsi="Times New Roman" w:hint="eastAsia"/>
          <w:kern w:val="0"/>
          <w:szCs w:val="24"/>
        </w:rPr>
        <w:t>报表附注</w:t>
      </w:r>
      <w:bookmarkEnd w:id="59"/>
      <w:bookmarkEnd w:id="60"/>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7.4.1</w:t>
      </w:r>
      <w:r w:rsidR="004C2C35" w:rsidRPr="00701155">
        <w:rPr>
          <w:rFonts w:ascii="Times New Roman" w:hAnsi="Times New Roman" w:hint="eastAsia"/>
          <w:kern w:val="0"/>
          <w:szCs w:val="24"/>
        </w:rPr>
        <w:t xml:space="preserve"> </w:t>
      </w:r>
      <w:r w:rsidRPr="00701155">
        <w:rPr>
          <w:rFonts w:ascii="Times New Roman" w:hAnsi="Times New Roman" w:hint="eastAsia"/>
          <w:kern w:val="0"/>
          <w:szCs w:val="24"/>
        </w:rPr>
        <w:t>基金基本情况</w:t>
      </w:r>
    </w:p>
    <w:p w:rsidR="00A9459B" w:rsidRDefault="00FD6859">
      <w:pPr>
        <w:spacing w:before="29" w:line="288" w:lineRule="auto"/>
        <w:ind w:firstLineChars="200" w:firstLine="480"/>
        <w:rPr>
          <w:color w:val="000000"/>
          <w:sz w:val="24"/>
        </w:rPr>
      </w:pPr>
      <w:r>
        <w:rPr>
          <w:color w:val="000000"/>
          <w:sz w:val="24"/>
        </w:rPr>
        <w:t>交银施罗德荣祥保本混合型证券投资基金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[2013]151</w:t>
      </w:r>
      <w:r>
        <w:rPr>
          <w:color w:val="000000"/>
          <w:sz w:val="24"/>
        </w:rPr>
        <w:t>号《关于核准交银施罗德荣祥保本混合型证券投资基金募集的批复》核准，由交银施罗德基金管理有限公司依照《中华人民共和国证券投资基金法》和《交银施罗德荣祥保本混合型证券投资基金基金合同》负责公开募集。本基金为契约型开放式，存续期限不定，首次设立募集不包括认购资金利息共募集人民币</w:t>
      </w:r>
      <w:r>
        <w:rPr>
          <w:color w:val="000000"/>
          <w:sz w:val="24"/>
        </w:rPr>
        <w:t>744,017,594.47</w:t>
      </w:r>
      <w:r>
        <w:rPr>
          <w:color w:val="000000"/>
          <w:sz w:val="24"/>
        </w:rPr>
        <w:t>元，业经普华永道中天会计师事务所有限公司普华永道中天验字</w:t>
      </w:r>
      <w:r>
        <w:rPr>
          <w:color w:val="000000"/>
          <w:sz w:val="24"/>
        </w:rPr>
        <w:t>(2013)</w:t>
      </w:r>
      <w:r>
        <w:rPr>
          <w:color w:val="000000"/>
          <w:sz w:val="24"/>
        </w:rPr>
        <w:t>第</w:t>
      </w:r>
      <w:r>
        <w:rPr>
          <w:color w:val="000000"/>
          <w:sz w:val="24"/>
        </w:rPr>
        <w:t>232</w:t>
      </w:r>
      <w:r>
        <w:rPr>
          <w:color w:val="000000"/>
          <w:sz w:val="24"/>
        </w:rPr>
        <w:t>号验资报告予以验证。经向中国证监会备案，《交银施罗德荣祥保本混合型证券投资基金基金合同》于</w:t>
      </w:r>
      <w:r>
        <w:rPr>
          <w:color w:val="000000"/>
          <w:sz w:val="24"/>
        </w:rPr>
        <w:t>2013</w:t>
      </w:r>
      <w:r>
        <w:rPr>
          <w:color w:val="000000"/>
          <w:sz w:val="24"/>
        </w:rPr>
        <w:t>年</w:t>
      </w:r>
      <w:r>
        <w:rPr>
          <w:color w:val="000000"/>
          <w:sz w:val="24"/>
        </w:rPr>
        <w:t>4</w:t>
      </w:r>
      <w:r>
        <w:rPr>
          <w:color w:val="000000"/>
          <w:sz w:val="24"/>
        </w:rPr>
        <w:t>月</w:t>
      </w:r>
      <w:r>
        <w:rPr>
          <w:color w:val="000000"/>
          <w:sz w:val="24"/>
        </w:rPr>
        <w:t>24</w:t>
      </w:r>
      <w:r>
        <w:rPr>
          <w:color w:val="000000"/>
          <w:sz w:val="24"/>
        </w:rPr>
        <w:t>日正式生效，基金合同生效日的基金份额总额为</w:t>
      </w:r>
      <w:r>
        <w:rPr>
          <w:color w:val="000000"/>
          <w:sz w:val="24"/>
        </w:rPr>
        <w:t>744,437,272.39</w:t>
      </w:r>
      <w:r>
        <w:rPr>
          <w:color w:val="000000"/>
          <w:sz w:val="24"/>
        </w:rPr>
        <w:t>份基金份额，其中认购资金利息折合</w:t>
      </w:r>
      <w:r>
        <w:rPr>
          <w:color w:val="000000"/>
          <w:sz w:val="24"/>
        </w:rPr>
        <w:t>419,677.92</w:t>
      </w:r>
      <w:r>
        <w:rPr>
          <w:color w:val="000000"/>
          <w:sz w:val="24"/>
        </w:rPr>
        <w:t>份基金份额。本基金的基金管理人为交银施罗德基金管理有限公司，基金托管人为中国农业银行股份有限公司。</w:t>
      </w:r>
    </w:p>
    <w:p w:rsidR="00A9459B" w:rsidRDefault="00FD6859">
      <w:pPr>
        <w:spacing w:before="29" w:line="288" w:lineRule="auto"/>
        <w:ind w:firstLineChars="200" w:firstLine="480"/>
        <w:rPr>
          <w:color w:val="000000"/>
          <w:sz w:val="24"/>
        </w:rPr>
      </w:pPr>
      <w:r>
        <w:rPr>
          <w:color w:val="000000"/>
          <w:sz w:val="24"/>
        </w:rPr>
        <w:t>根据《交银施罗德荣祥保本混合型证券投资基金基金合同》的有关约定，本基金的保本周期为三年。本基金第一个保本周期自本基金基金合同生效日起至三个公历年后对应日止</w:t>
      </w:r>
      <w:r>
        <w:rPr>
          <w:color w:val="000000"/>
          <w:sz w:val="24"/>
        </w:rPr>
        <w:t>(</w:t>
      </w:r>
      <w:r>
        <w:rPr>
          <w:color w:val="000000"/>
          <w:sz w:val="24"/>
        </w:rPr>
        <w:t>如该对应日为非工作日，保本周期到期日顺延至下一个工作日</w:t>
      </w:r>
      <w:r>
        <w:rPr>
          <w:color w:val="000000"/>
          <w:sz w:val="24"/>
        </w:rPr>
        <w:t>)</w:t>
      </w:r>
      <w:r>
        <w:rPr>
          <w:color w:val="000000"/>
          <w:sz w:val="24"/>
        </w:rPr>
        <w:t>。本基金保本周期届满时，在符合保本基金存续条件下，本基金继续存续并转入下一保本周期。在不符合保本基金存续条件下，本基金变更为非保本的债券型基金，基金名称相应变更为</w:t>
      </w:r>
      <w:r>
        <w:rPr>
          <w:color w:val="000000"/>
          <w:sz w:val="24"/>
        </w:rPr>
        <w:t>“</w:t>
      </w:r>
      <w:r>
        <w:rPr>
          <w:color w:val="000000"/>
          <w:sz w:val="24"/>
        </w:rPr>
        <w:t>交银施罗德稳固收益债券型证券投资基金</w:t>
      </w:r>
      <w:r>
        <w:rPr>
          <w:color w:val="000000"/>
          <w:sz w:val="24"/>
        </w:rPr>
        <w:t>”</w:t>
      </w:r>
      <w:r>
        <w:rPr>
          <w:color w:val="000000"/>
          <w:sz w:val="24"/>
        </w:rPr>
        <w:t>。本基金第一个保本周期由中国投融资担保有限公司作为担保人，为本基金第一个保本周期的保本提供不可撤销的连带责任保证。</w:t>
      </w:r>
    </w:p>
    <w:p w:rsidR="00A9459B" w:rsidRDefault="00FD6859">
      <w:pPr>
        <w:spacing w:before="29" w:line="288" w:lineRule="auto"/>
        <w:ind w:firstLineChars="200" w:firstLine="480"/>
        <w:rPr>
          <w:color w:val="000000"/>
          <w:sz w:val="24"/>
        </w:rPr>
      </w:pPr>
      <w:r>
        <w:rPr>
          <w:color w:val="000000"/>
          <w:sz w:val="24"/>
        </w:rPr>
        <w:t>本基金目前处于第一个保本周期，根据《交银施罗德荣祥保本混合型证券投资基金基金合同》的有关规定，在本基金募集期内认购本基金的基金份额持有人持有本基金至当期保本周期到期的，如可赎回金额加上保本周期内的累计分红金额低于其认购金额（即认购保本金额，包括该等基金份额的净认购金额、认购费用以及募集期间的认购利息），基金管理人或保本义务人应补足该差额。但上述基金份额持有人未持有到期而赎回或转换出本基金的，赎回或转换出部分不适用保本条款；基金份额持有人在保本周期内申购或转换入的基金份额也不适用保本条款。</w:t>
      </w:r>
    </w:p>
    <w:p w:rsidR="00A9459B" w:rsidRDefault="00FD6859">
      <w:pPr>
        <w:spacing w:before="29" w:line="288" w:lineRule="auto"/>
        <w:ind w:firstLineChars="200" w:firstLine="480"/>
        <w:rPr>
          <w:color w:val="000000"/>
          <w:sz w:val="24"/>
        </w:rPr>
      </w:pPr>
      <w:r>
        <w:rPr>
          <w:color w:val="000000"/>
          <w:sz w:val="24"/>
        </w:rPr>
        <w:t>根据《中华人民共和国证券投资基金法》和《交银施罗德荣祥保本混合型证券投资基金基金合同》的有关规定，本基金的投资范围为具有良好流动性的金融工具，包括国内依法发行交易的债券、股票</w:t>
      </w:r>
      <w:r>
        <w:rPr>
          <w:color w:val="000000"/>
          <w:sz w:val="24"/>
        </w:rPr>
        <w:t>(</w:t>
      </w:r>
      <w:r>
        <w:rPr>
          <w:color w:val="000000"/>
          <w:sz w:val="24"/>
        </w:rPr>
        <w:t>包括中小板、创业板及其他经中国证监会核准上市的股票</w:t>
      </w:r>
      <w:r>
        <w:rPr>
          <w:color w:val="000000"/>
          <w:sz w:val="24"/>
        </w:rPr>
        <w:t>)</w:t>
      </w:r>
      <w:r>
        <w:rPr>
          <w:color w:val="000000"/>
          <w:sz w:val="24"/>
        </w:rPr>
        <w:t>、货币市场工具、权证、股指期货以及法律法规或中国证监会允许基金投资的其他金融工具，但需符合中国证监会的相关规定。本基金的基金资产包括稳健资产和风险资产，稳健资产为国内依法发行交易的债券、货币市场工具和定期存款等，其中债券包括国债、金融债、央行票据、地方政府债券、企业债券、公司债券、中期票据、短期融资券、可转换公司债券</w:t>
      </w:r>
      <w:r>
        <w:rPr>
          <w:color w:val="000000"/>
          <w:sz w:val="24"/>
        </w:rPr>
        <w:t>(</w:t>
      </w:r>
      <w:r>
        <w:rPr>
          <w:color w:val="000000"/>
          <w:sz w:val="24"/>
        </w:rPr>
        <w:t>含分离交易的可转换公司债券</w:t>
      </w:r>
      <w:r>
        <w:rPr>
          <w:color w:val="000000"/>
          <w:sz w:val="24"/>
        </w:rPr>
        <w:t>)</w:t>
      </w:r>
      <w:r>
        <w:rPr>
          <w:color w:val="000000"/>
          <w:sz w:val="24"/>
        </w:rPr>
        <w:t>、资产支持证券、债券回购等。风险资产为股票</w:t>
      </w:r>
      <w:r>
        <w:rPr>
          <w:color w:val="000000"/>
          <w:sz w:val="24"/>
        </w:rPr>
        <w:t>(</w:t>
      </w:r>
      <w:r>
        <w:rPr>
          <w:color w:val="000000"/>
          <w:sz w:val="24"/>
        </w:rPr>
        <w:t>包括中小板、创业板及其他经中国证监会核准上市的股票</w:t>
      </w:r>
      <w:r>
        <w:rPr>
          <w:color w:val="000000"/>
          <w:sz w:val="24"/>
        </w:rPr>
        <w:t>)</w:t>
      </w:r>
      <w:r>
        <w:rPr>
          <w:color w:val="000000"/>
          <w:sz w:val="24"/>
        </w:rPr>
        <w:t>、权证、股指期货等。如法律法规或监管机构以后允许本基金投资其他品种，基金管理人在履行适当程序后，可以将其纳入投资范围。基金的投资组合比例为：债券、货币市场工具等稳健资产占基金资产的比例不低于</w:t>
      </w:r>
      <w:r>
        <w:rPr>
          <w:color w:val="000000"/>
          <w:sz w:val="24"/>
        </w:rPr>
        <w:t>60%</w:t>
      </w:r>
      <w:r>
        <w:rPr>
          <w:color w:val="000000"/>
          <w:sz w:val="24"/>
        </w:rPr>
        <w:t>，其中基金应保留不低于基金资产净值</w:t>
      </w:r>
      <w:r>
        <w:rPr>
          <w:color w:val="000000"/>
          <w:sz w:val="24"/>
        </w:rPr>
        <w:t>5%</w:t>
      </w:r>
      <w:r>
        <w:rPr>
          <w:color w:val="000000"/>
          <w:sz w:val="24"/>
        </w:rPr>
        <w:t>的现金或到期日在一年以内的政府债券；股票、权证、股指期货等风险资产占基金资产的比例不高于</w:t>
      </w:r>
      <w:r>
        <w:rPr>
          <w:color w:val="000000"/>
          <w:sz w:val="24"/>
        </w:rPr>
        <w:t>40%</w:t>
      </w:r>
      <w:r>
        <w:rPr>
          <w:color w:val="000000"/>
          <w:sz w:val="24"/>
        </w:rPr>
        <w:t>，其中，基金持有的全部权证的市值不超过基金资产净值的</w:t>
      </w:r>
      <w:r>
        <w:rPr>
          <w:color w:val="000000"/>
          <w:sz w:val="24"/>
        </w:rPr>
        <w:t>3%</w:t>
      </w:r>
      <w:r>
        <w:rPr>
          <w:color w:val="000000"/>
          <w:sz w:val="24"/>
        </w:rPr>
        <w:t>。在基金实际管理过程中，基金管理人将根据中国宏观经济情况和证券市场的阶段性变化，在上述投资组合比例范围内，适时调整基金资产在股票、债券以及货币市场工具等投资品种间的配置比例。本基金的业绩比较基准为三年期银行定期存款税后收益率。</w:t>
      </w:r>
    </w:p>
    <w:p w:rsidR="001A59F9" w:rsidRPr="002F6772" w:rsidRDefault="001A59F9" w:rsidP="002F6772">
      <w:pPr>
        <w:spacing w:before="29" w:line="288" w:lineRule="auto"/>
        <w:ind w:firstLineChars="200" w:firstLine="480"/>
        <w:rPr>
          <w:color w:val="000000"/>
          <w:sz w:val="24"/>
        </w:rPr>
      </w:pPr>
      <w:r w:rsidRPr="002F6772">
        <w:rPr>
          <w:color w:val="000000"/>
          <w:sz w:val="24"/>
        </w:rPr>
        <w:t>本财务报表由本基金的基金管理人交银施罗德基金管理有限公司于</w:t>
      </w:r>
      <w:r w:rsidRPr="002F6772">
        <w:rPr>
          <w:color w:val="000000"/>
          <w:sz w:val="24"/>
        </w:rPr>
        <w:t>2015</w:t>
      </w:r>
      <w:r w:rsidRPr="002F6772">
        <w:rPr>
          <w:color w:val="000000"/>
          <w:sz w:val="24"/>
        </w:rPr>
        <w:t>年</w:t>
      </w:r>
      <w:r w:rsidRPr="002F6772">
        <w:rPr>
          <w:color w:val="000000"/>
          <w:sz w:val="24"/>
        </w:rPr>
        <w:t>3</w:t>
      </w:r>
      <w:r w:rsidRPr="002F6772">
        <w:rPr>
          <w:color w:val="000000"/>
          <w:sz w:val="24"/>
        </w:rPr>
        <w:t>月</w:t>
      </w:r>
      <w:r w:rsidRPr="002F6772">
        <w:rPr>
          <w:color w:val="000000"/>
          <w:sz w:val="24"/>
        </w:rPr>
        <w:t>25</w:t>
      </w:r>
      <w:r w:rsidRPr="002F6772">
        <w:rPr>
          <w:color w:val="000000"/>
          <w:sz w:val="24"/>
        </w:rPr>
        <w:t>日批准报出。</w:t>
      </w:r>
    </w:p>
    <w:p w:rsidR="001A59F9" w:rsidRPr="00C51C77" w:rsidRDefault="001A59F9" w:rsidP="00016A50">
      <w:pPr>
        <w:tabs>
          <w:tab w:val="left" w:pos="2265"/>
        </w:tabs>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7.4.2</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会计报表的编制基础</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本基金的财务报表按照财政部于</w:t>
      </w:r>
      <w:r w:rsidRPr="002F6772">
        <w:rPr>
          <w:color w:val="000000"/>
          <w:sz w:val="24"/>
        </w:rPr>
        <w:t>2006</w:t>
      </w:r>
      <w:r w:rsidRPr="002F6772">
        <w:rPr>
          <w:color w:val="000000"/>
          <w:sz w:val="24"/>
        </w:rPr>
        <w:t>年</w:t>
      </w:r>
      <w:r w:rsidRPr="002F6772">
        <w:rPr>
          <w:color w:val="000000"/>
          <w:sz w:val="24"/>
        </w:rPr>
        <w:t>2</w:t>
      </w:r>
      <w:r w:rsidRPr="002F6772">
        <w:rPr>
          <w:color w:val="000000"/>
          <w:sz w:val="24"/>
        </w:rPr>
        <w:t>月</w:t>
      </w:r>
      <w:r w:rsidRPr="002F6772">
        <w:rPr>
          <w:color w:val="000000"/>
          <w:sz w:val="24"/>
        </w:rPr>
        <w:t>15</w:t>
      </w:r>
      <w:r w:rsidRPr="002F6772">
        <w:rPr>
          <w:color w:val="000000"/>
          <w:sz w:val="24"/>
        </w:rPr>
        <w:t>日及以后期间颁布的《企业会计准则－基本准则》、各项具体会计准则及相关规定</w:t>
      </w:r>
      <w:r w:rsidRPr="002F6772">
        <w:rPr>
          <w:color w:val="000000"/>
          <w:sz w:val="24"/>
        </w:rPr>
        <w:t>(</w:t>
      </w:r>
      <w:r w:rsidRPr="002F6772">
        <w:rPr>
          <w:color w:val="000000"/>
          <w:sz w:val="24"/>
        </w:rPr>
        <w:t>以下合称</w:t>
      </w:r>
      <w:r w:rsidRPr="002F6772">
        <w:rPr>
          <w:color w:val="000000"/>
          <w:sz w:val="24"/>
        </w:rPr>
        <w:t>“</w:t>
      </w:r>
      <w:r w:rsidRPr="002F6772">
        <w:rPr>
          <w:color w:val="000000"/>
          <w:sz w:val="24"/>
        </w:rPr>
        <w:t>企业会计准则</w:t>
      </w:r>
      <w:r w:rsidRPr="002F6772">
        <w:rPr>
          <w:color w:val="000000"/>
          <w:sz w:val="24"/>
        </w:rPr>
        <w:t>”)</w:t>
      </w:r>
      <w:r w:rsidRPr="002F6772">
        <w:rPr>
          <w:color w:val="000000"/>
          <w:sz w:val="24"/>
        </w:rPr>
        <w:t>、中国证监会颁布的《证券投资基金信息披露</w:t>
      </w:r>
      <w:r w:rsidRPr="002F6772">
        <w:rPr>
          <w:color w:val="000000"/>
          <w:sz w:val="24"/>
        </w:rPr>
        <w:t>XBRL</w:t>
      </w:r>
      <w:r w:rsidRPr="002F6772">
        <w:rPr>
          <w:color w:val="000000"/>
          <w:sz w:val="24"/>
        </w:rPr>
        <w:t>模板第</w:t>
      </w:r>
      <w:r w:rsidRPr="002F6772">
        <w:rPr>
          <w:color w:val="000000"/>
          <w:sz w:val="24"/>
        </w:rPr>
        <w:t>3</w:t>
      </w:r>
      <w:r w:rsidRPr="002F6772">
        <w:rPr>
          <w:color w:val="000000"/>
          <w:sz w:val="24"/>
        </w:rPr>
        <w:t>号</w:t>
      </w:r>
      <w:r w:rsidRPr="002F6772">
        <w:rPr>
          <w:color w:val="000000"/>
          <w:sz w:val="24"/>
        </w:rPr>
        <w:t>&lt;</w:t>
      </w:r>
      <w:r w:rsidRPr="002F6772">
        <w:rPr>
          <w:color w:val="000000"/>
          <w:sz w:val="24"/>
        </w:rPr>
        <w:t>年度报告和半年度报告</w:t>
      </w:r>
      <w:r w:rsidRPr="002F6772">
        <w:rPr>
          <w:color w:val="000000"/>
          <w:sz w:val="24"/>
        </w:rPr>
        <w:t>&gt;</w:t>
      </w:r>
      <w:r w:rsidRPr="002F6772">
        <w:rPr>
          <w:color w:val="000000"/>
          <w:sz w:val="24"/>
        </w:rPr>
        <w:t>》、中国证券投资基金业协会颁布的《证券投资基金会计核算业务指引》、《交银施罗德荣祥保本混合型证券投资基金基金合同》和在财务报表附注</w:t>
      </w:r>
      <w:r w:rsidRPr="002F6772">
        <w:rPr>
          <w:color w:val="000000"/>
          <w:sz w:val="24"/>
        </w:rPr>
        <w:t>7.4.4</w:t>
      </w:r>
      <w:r w:rsidRPr="002F6772">
        <w:rPr>
          <w:color w:val="000000"/>
          <w:sz w:val="24"/>
        </w:rPr>
        <w:t>所列示的中国证监会发布的有关规定及允许的基金行业实务操作编制。</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7.4.3</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遵循企业会计准则及其他有关规定的声明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w:t>
      </w:r>
      <w:r w:rsidRPr="002F6772">
        <w:rPr>
          <w:color w:val="000000"/>
          <w:sz w:val="24"/>
        </w:rPr>
        <w:t>2014</w:t>
      </w:r>
      <w:r w:rsidRPr="002F6772">
        <w:rPr>
          <w:color w:val="000000"/>
          <w:sz w:val="24"/>
        </w:rPr>
        <w:t>年度财务报表符合企业会计准则的要求，真实、完整地反映了本基金</w:t>
      </w:r>
      <w:r w:rsidRPr="002F6772">
        <w:rPr>
          <w:color w:val="000000"/>
          <w:sz w:val="24"/>
        </w:rPr>
        <w:t>2014</w:t>
      </w:r>
      <w:r w:rsidRPr="002F6772">
        <w:rPr>
          <w:color w:val="000000"/>
          <w:sz w:val="24"/>
        </w:rPr>
        <w:t>年</w:t>
      </w:r>
      <w:r w:rsidRPr="002F6772">
        <w:rPr>
          <w:color w:val="000000"/>
          <w:sz w:val="24"/>
        </w:rPr>
        <w:t>12</w:t>
      </w:r>
      <w:r w:rsidRPr="002F6772">
        <w:rPr>
          <w:color w:val="000000"/>
          <w:sz w:val="24"/>
        </w:rPr>
        <w:t>月</w:t>
      </w:r>
      <w:r w:rsidRPr="002F6772">
        <w:rPr>
          <w:color w:val="000000"/>
          <w:sz w:val="24"/>
        </w:rPr>
        <w:t>31</w:t>
      </w:r>
      <w:r w:rsidRPr="002F6772">
        <w:rPr>
          <w:color w:val="000000"/>
          <w:sz w:val="24"/>
        </w:rPr>
        <w:t>日的财务状况以及</w:t>
      </w:r>
      <w:r w:rsidRPr="002F6772">
        <w:rPr>
          <w:color w:val="000000"/>
          <w:sz w:val="24"/>
        </w:rPr>
        <w:t>2014</w:t>
      </w:r>
      <w:r w:rsidRPr="002F6772">
        <w:rPr>
          <w:color w:val="000000"/>
          <w:sz w:val="24"/>
        </w:rPr>
        <w:t>年度的经营成果和基金净值变动情况等有关信息。</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7.4.4</w:t>
      </w:r>
      <w:r w:rsidR="004C2C35" w:rsidRPr="00245C29">
        <w:rPr>
          <w:rFonts w:ascii="Times New Roman" w:hAnsi="Times New Roman" w:hint="eastAsia"/>
          <w:kern w:val="0"/>
          <w:szCs w:val="24"/>
        </w:rPr>
        <w:t xml:space="preserve"> </w:t>
      </w:r>
      <w:r w:rsidR="0096133D" w:rsidRPr="00245C29">
        <w:rPr>
          <w:rFonts w:ascii="Times New Roman" w:hAnsi="Times New Roman" w:hint="eastAsia"/>
          <w:kern w:val="0"/>
          <w:szCs w:val="24"/>
        </w:rPr>
        <w:t>本报告期所采用的会计政策、会计估计与最近一期年度报告相一致的说明</w:t>
      </w:r>
    </w:p>
    <w:p w:rsidR="002F6772" w:rsidRDefault="00FD6859" w:rsidP="00FD6859">
      <w:pPr>
        <w:spacing w:line="360" w:lineRule="auto"/>
        <w:ind w:firstLineChars="200" w:firstLine="480"/>
        <w:rPr>
          <w:color w:val="000000"/>
          <w:sz w:val="24"/>
        </w:rPr>
      </w:pPr>
      <w:r w:rsidRPr="00FF1996">
        <w:rPr>
          <w:rFonts w:hint="eastAsia"/>
          <w:color w:val="000000"/>
          <w:sz w:val="24"/>
        </w:rPr>
        <w:t>本报告期所采用的会计政策与最近一期年度报告不一致，所采用的会计估计与最近一期年度报告一致。</w:t>
      </w:r>
    </w:p>
    <w:p w:rsidR="00FD6859" w:rsidRPr="00C51C77" w:rsidRDefault="00FD6859" w:rsidP="00FD6859">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7.4.5</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会计政策和会计估计变更以及差错更正的说明</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7.4.5.1 </w:t>
      </w:r>
      <w:r w:rsidRPr="00245C29">
        <w:rPr>
          <w:rFonts w:ascii="Times New Roman" w:hAnsi="Times New Roman" w:hint="eastAsia"/>
          <w:kern w:val="0"/>
          <w:szCs w:val="24"/>
        </w:rPr>
        <w:t>会计政策变更的说明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财政部于</w:t>
      </w:r>
      <w:r w:rsidRPr="002F6772">
        <w:rPr>
          <w:color w:val="000000"/>
          <w:sz w:val="24"/>
        </w:rPr>
        <w:t>2014</w:t>
      </w:r>
      <w:r w:rsidRPr="002F6772">
        <w:rPr>
          <w:color w:val="000000"/>
          <w:sz w:val="24"/>
        </w:rPr>
        <w:t>年颁布《企业会计准则第</w:t>
      </w:r>
      <w:r w:rsidRPr="002F6772">
        <w:rPr>
          <w:color w:val="000000"/>
          <w:sz w:val="24"/>
        </w:rPr>
        <w:t>39</w:t>
      </w:r>
      <w:r w:rsidRPr="002F6772">
        <w:rPr>
          <w:color w:val="000000"/>
          <w:sz w:val="24"/>
        </w:rPr>
        <w:t>号</w:t>
      </w:r>
      <w:r w:rsidRPr="002F6772">
        <w:rPr>
          <w:color w:val="000000"/>
          <w:sz w:val="24"/>
        </w:rPr>
        <w:t>——</w:t>
      </w:r>
      <w:r w:rsidRPr="002F6772">
        <w:rPr>
          <w:color w:val="000000"/>
          <w:sz w:val="24"/>
        </w:rPr>
        <w:t>公允价值计量》、《企业会计准则第</w:t>
      </w:r>
      <w:r w:rsidRPr="002F6772">
        <w:rPr>
          <w:color w:val="000000"/>
          <w:sz w:val="24"/>
        </w:rPr>
        <w:t>40</w:t>
      </w:r>
      <w:r w:rsidRPr="002F6772">
        <w:rPr>
          <w:color w:val="000000"/>
          <w:sz w:val="24"/>
        </w:rPr>
        <w:t>号</w:t>
      </w:r>
      <w:r w:rsidRPr="002F6772">
        <w:rPr>
          <w:color w:val="000000"/>
          <w:sz w:val="24"/>
        </w:rPr>
        <w:t>——</w:t>
      </w:r>
      <w:r w:rsidRPr="002F6772">
        <w:rPr>
          <w:color w:val="000000"/>
          <w:sz w:val="24"/>
        </w:rPr>
        <w:t>合营安排》、《企业会计准则第</w:t>
      </w:r>
      <w:r w:rsidRPr="002F6772">
        <w:rPr>
          <w:color w:val="000000"/>
          <w:sz w:val="24"/>
        </w:rPr>
        <w:t>41</w:t>
      </w:r>
      <w:r w:rsidRPr="002F6772">
        <w:rPr>
          <w:color w:val="000000"/>
          <w:sz w:val="24"/>
        </w:rPr>
        <w:t>号</w:t>
      </w:r>
      <w:r w:rsidRPr="002F6772">
        <w:rPr>
          <w:color w:val="000000"/>
          <w:sz w:val="24"/>
        </w:rPr>
        <w:t>——</w:t>
      </w:r>
      <w:r w:rsidRPr="002F6772">
        <w:rPr>
          <w:color w:val="000000"/>
          <w:sz w:val="24"/>
        </w:rPr>
        <w:t>在其他主体中权益的披露》和修订后的《企业会计准则第</w:t>
      </w:r>
      <w:r w:rsidRPr="002F6772">
        <w:rPr>
          <w:color w:val="000000"/>
          <w:sz w:val="24"/>
        </w:rPr>
        <w:t>2</w:t>
      </w:r>
      <w:r w:rsidRPr="002F6772">
        <w:rPr>
          <w:color w:val="000000"/>
          <w:sz w:val="24"/>
        </w:rPr>
        <w:t>号</w:t>
      </w:r>
      <w:r w:rsidRPr="002F6772">
        <w:rPr>
          <w:color w:val="000000"/>
          <w:sz w:val="24"/>
        </w:rPr>
        <w:t>——</w:t>
      </w:r>
      <w:r w:rsidRPr="002F6772">
        <w:rPr>
          <w:color w:val="000000"/>
          <w:sz w:val="24"/>
        </w:rPr>
        <w:t>长期股权投资》、《企业会计准则第</w:t>
      </w:r>
      <w:r w:rsidRPr="002F6772">
        <w:rPr>
          <w:color w:val="000000"/>
          <w:sz w:val="24"/>
        </w:rPr>
        <w:t>9</w:t>
      </w:r>
      <w:r w:rsidRPr="002F6772">
        <w:rPr>
          <w:color w:val="000000"/>
          <w:sz w:val="24"/>
        </w:rPr>
        <w:t>号</w:t>
      </w:r>
      <w:r w:rsidRPr="002F6772">
        <w:rPr>
          <w:color w:val="000000"/>
          <w:sz w:val="24"/>
        </w:rPr>
        <w:t>——</w:t>
      </w:r>
      <w:r w:rsidRPr="002F6772">
        <w:rPr>
          <w:color w:val="000000"/>
          <w:sz w:val="24"/>
        </w:rPr>
        <w:t>职工薪酬》、《企业会计准则第</w:t>
      </w:r>
      <w:r w:rsidRPr="002F6772">
        <w:rPr>
          <w:color w:val="000000"/>
          <w:sz w:val="24"/>
        </w:rPr>
        <w:t>30</w:t>
      </w:r>
      <w:r w:rsidRPr="002F6772">
        <w:rPr>
          <w:color w:val="000000"/>
          <w:sz w:val="24"/>
        </w:rPr>
        <w:t>号</w:t>
      </w:r>
      <w:r w:rsidRPr="002F6772">
        <w:rPr>
          <w:color w:val="000000"/>
          <w:sz w:val="24"/>
        </w:rPr>
        <w:t>——</w:t>
      </w:r>
      <w:r w:rsidRPr="002F6772">
        <w:rPr>
          <w:color w:val="000000"/>
          <w:sz w:val="24"/>
        </w:rPr>
        <w:t>财务报表列报》、《企业会计准则第</w:t>
      </w:r>
      <w:r w:rsidRPr="002F6772">
        <w:rPr>
          <w:color w:val="000000"/>
          <w:sz w:val="24"/>
        </w:rPr>
        <w:t>33</w:t>
      </w:r>
      <w:r w:rsidRPr="002F6772">
        <w:rPr>
          <w:color w:val="000000"/>
          <w:sz w:val="24"/>
        </w:rPr>
        <w:t>号</w:t>
      </w:r>
      <w:r w:rsidRPr="002F6772">
        <w:rPr>
          <w:color w:val="000000"/>
          <w:sz w:val="24"/>
        </w:rPr>
        <w:t>——</w:t>
      </w:r>
      <w:r w:rsidRPr="002F6772">
        <w:rPr>
          <w:color w:val="000000"/>
          <w:sz w:val="24"/>
        </w:rPr>
        <w:t>合并财务报表》以及《企业会计准则第</w:t>
      </w:r>
      <w:r w:rsidRPr="002F6772">
        <w:rPr>
          <w:color w:val="000000"/>
          <w:sz w:val="24"/>
        </w:rPr>
        <w:t>37</w:t>
      </w:r>
      <w:r w:rsidRPr="002F6772">
        <w:rPr>
          <w:color w:val="000000"/>
          <w:sz w:val="24"/>
        </w:rPr>
        <w:t>号</w:t>
      </w:r>
      <w:r w:rsidRPr="002F6772">
        <w:rPr>
          <w:color w:val="000000"/>
          <w:sz w:val="24"/>
        </w:rPr>
        <w:t>——</w:t>
      </w:r>
      <w:r w:rsidRPr="002F6772">
        <w:rPr>
          <w:color w:val="000000"/>
          <w:sz w:val="24"/>
        </w:rPr>
        <w:t>金融工具列报》，要求除《企业会计准则第</w:t>
      </w:r>
      <w:r w:rsidRPr="002F6772">
        <w:rPr>
          <w:color w:val="000000"/>
          <w:sz w:val="24"/>
        </w:rPr>
        <w:t>37</w:t>
      </w:r>
      <w:r w:rsidRPr="002F6772">
        <w:rPr>
          <w:color w:val="000000"/>
          <w:sz w:val="24"/>
        </w:rPr>
        <w:t>号</w:t>
      </w:r>
      <w:r w:rsidRPr="002F6772">
        <w:rPr>
          <w:color w:val="000000"/>
          <w:sz w:val="24"/>
        </w:rPr>
        <w:t>——</w:t>
      </w:r>
      <w:r w:rsidRPr="002F6772">
        <w:rPr>
          <w:color w:val="000000"/>
          <w:sz w:val="24"/>
        </w:rPr>
        <w:t>金融工具列报》自</w:t>
      </w:r>
      <w:r w:rsidRPr="002F6772">
        <w:rPr>
          <w:color w:val="000000"/>
          <w:sz w:val="24"/>
        </w:rPr>
        <w:t>2014</w:t>
      </w:r>
      <w:r w:rsidRPr="002F6772">
        <w:rPr>
          <w:color w:val="000000"/>
          <w:sz w:val="24"/>
        </w:rPr>
        <w:t>年度财务报表起施行外，其他准则自</w:t>
      </w:r>
      <w:r w:rsidRPr="002F6772">
        <w:rPr>
          <w:color w:val="000000"/>
          <w:sz w:val="24"/>
        </w:rPr>
        <w:t>2014</w:t>
      </w:r>
      <w:r w:rsidRPr="002F6772">
        <w:rPr>
          <w:color w:val="000000"/>
          <w:sz w:val="24"/>
        </w:rPr>
        <w:t>年</w:t>
      </w:r>
      <w:r w:rsidRPr="002F6772">
        <w:rPr>
          <w:color w:val="000000"/>
          <w:sz w:val="24"/>
        </w:rPr>
        <w:t>7</w:t>
      </w:r>
      <w:r w:rsidRPr="002F6772">
        <w:rPr>
          <w:color w:val="000000"/>
          <w:sz w:val="24"/>
        </w:rPr>
        <w:t>月</w:t>
      </w:r>
      <w:r w:rsidRPr="002F6772">
        <w:rPr>
          <w:color w:val="000000"/>
          <w:sz w:val="24"/>
        </w:rPr>
        <w:t>1</w:t>
      </w:r>
      <w:r w:rsidRPr="002F6772">
        <w:rPr>
          <w:color w:val="000000"/>
          <w:sz w:val="24"/>
        </w:rPr>
        <w:t>日起施行。上述准则对本基金本报告期无重大影响。</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C51C77" w:rsidRDefault="001A59F9" w:rsidP="00245C29">
      <w:pPr>
        <w:pStyle w:val="20"/>
        <w:spacing w:before="29" w:after="0" w:line="288" w:lineRule="auto"/>
        <w:rPr>
          <w:rFonts w:asciiTheme="minorEastAsia" w:eastAsiaTheme="minorEastAsia" w:hAnsiTheme="minorEastAsia"/>
          <w:b w:val="0"/>
          <w:color w:val="000000"/>
          <w:kern w:val="0"/>
          <w:szCs w:val="21"/>
        </w:rPr>
      </w:pPr>
      <w:r w:rsidRPr="00245C29">
        <w:rPr>
          <w:rFonts w:ascii="Times New Roman" w:hAnsi="Times New Roman"/>
          <w:kern w:val="0"/>
          <w:szCs w:val="24"/>
        </w:rPr>
        <w:t xml:space="preserve">7.4.5.2 </w:t>
      </w:r>
      <w:r w:rsidRPr="00245C29">
        <w:rPr>
          <w:rFonts w:ascii="Times New Roman" w:hAnsi="Times New Roman" w:hint="eastAsia"/>
          <w:kern w:val="0"/>
          <w:szCs w:val="24"/>
        </w:rPr>
        <w:t>会计估计变更的说明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本基金本报告期未发生会计估计变更。</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7.4.5.3 </w:t>
      </w:r>
      <w:r w:rsidRPr="00245C29">
        <w:rPr>
          <w:rFonts w:ascii="Times New Roman" w:hAnsi="Times New Roman" w:hint="eastAsia"/>
          <w:kern w:val="0"/>
          <w:szCs w:val="24"/>
        </w:rPr>
        <w:t>差错更正的说明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本基金在本报告期间无需说明的会计差错更正。</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7.4.6</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税项</w:t>
      </w:r>
    </w:p>
    <w:p w:rsidR="00A9459B" w:rsidRDefault="00FD6859">
      <w:pPr>
        <w:spacing w:before="29" w:line="288" w:lineRule="auto"/>
        <w:ind w:firstLineChars="200" w:firstLine="480"/>
        <w:rPr>
          <w:color w:val="000000"/>
          <w:sz w:val="24"/>
        </w:rPr>
      </w:pPr>
      <w:r>
        <w:rPr>
          <w:color w:val="000000"/>
          <w:sz w:val="24"/>
        </w:rPr>
        <w:t>根据财政部、国家税务总局财税</w:t>
      </w:r>
      <w:r>
        <w:rPr>
          <w:color w:val="000000"/>
          <w:sz w:val="24"/>
        </w:rPr>
        <w:t>[2002]128</w:t>
      </w:r>
      <w:r>
        <w:rPr>
          <w:color w:val="000000"/>
          <w:sz w:val="24"/>
        </w:rPr>
        <w:t>号《关于开放式证券投资基金有关税收问题的通知》、财税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号《关于实施上市公司股息红利差别化个人所得税政策有关问题的通知》及其他相关财税法规和实务操作，主要税项列示如下：</w:t>
      </w:r>
    </w:p>
    <w:p w:rsidR="00A9459B" w:rsidRDefault="00FD6859">
      <w:pPr>
        <w:spacing w:before="29" w:line="288" w:lineRule="auto"/>
        <w:ind w:firstLineChars="200" w:firstLine="480"/>
        <w:rPr>
          <w:color w:val="000000"/>
          <w:sz w:val="24"/>
        </w:rPr>
      </w:pPr>
      <w:r>
        <w:rPr>
          <w:color w:val="000000"/>
          <w:sz w:val="24"/>
        </w:rPr>
        <w:t>(1)</w:t>
      </w:r>
      <w:r>
        <w:rPr>
          <w:color w:val="000000"/>
          <w:sz w:val="24"/>
        </w:rPr>
        <w:t>以发行基金方式募集资金不属于营业税征收范围，不征收营业税。基金买卖股票、债券的差价收入不予征收营业税。</w:t>
      </w:r>
    </w:p>
    <w:p w:rsidR="00A9459B" w:rsidRDefault="00FD6859">
      <w:pPr>
        <w:spacing w:before="29" w:line="288" w:lineRule="auto"/>
        <w:ind w:firstLineChars="200" w:firstLine="480"/>
        <w:rPr>
          <w:color w:val="000000"/>
          <w:sz w:val="24"/>
        </w:rPr>
      </w:pPr>
      <w:r>
        <w:rPr>
          <w:color w:val="000000"/>
          <w:sz w:val="24"/>
        </w:rPr>
        <w:t>(2)</w:t>
      </w:r>
      <w:r>
        <w:rPr>
          <w:color w:val="000000"/>
          <w:sz w:val="24"/>
        </w:rPr>
        <w:t>对基金从证券市场中取得的收入，包括买卖股票、债券的差价收入，股权的股息、红利收入，债券的利息收入及其他收入，暂不征收企业所得税。</w:t>
      </w:r>
    </w:p>
    <w:p w:rsidR="00A9459B" w:rsidRDefault="00FD6859">
      <w:pPr>
        <w:spacing w:before="29" w:line="288" w:lineRule="auto"/>
        <w:ind w:firstLineChars="200" w:firstLine="480"/>
        <w:rPr>
          <w:color w:val="000000"/>
          <w:sz w:val="24"/>
        </w:rPr>
      </w:pPr>
      <w:r>
        <w:rPr>
          <w:color w:val="000000"/>
          <w:sz w:val="24"/>
        </w:rPr>
        <w:t>(3)</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年的，暂减按</w:t>
      </w:r>
      <w:r>
        <w:rPr>
          <w:color w:val="000000"/>
          <w:sz w:val="24"/>
        </w:rPr>
        <w:t>25%</w:t>
      </w:r>
      <w:r>
        <w:rPr>
          <w:color w:val="000000"/>
          <w:sz w:val="24"/>
        </w:rPr>
        <w:t>计入应纳税所得额。对基金持有的上市公司限售股，解禁后取得的股息、红利收入，按照上述规定计算纳税，持股时间自解禁日起计算；解禁前取得的股息、红利收入继续暂减按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1A59F9" w:rsidRPr="002F6772" w:rsidRDefault="001A59F9" w:rsidP="002F6772">
      <w:pPr>
        <w:spacing w:before="29" w:line="288" w:lineRule="auto"/>
        <w:ind w:firstLineChars="200" w:firstLine="480"/>
        <w:rPr>
          <w:color w:val="000000"/>
          <w:sz w:val="24"/>
        </w:rPr>
      </w:pPr>
      <w:r w:rsidRPr="002F6772">
        <w:rPr>
          <w:color w:val="000000"/>
          <w:sz w:val="24"/>
        </w:rPr>
        <w:t>(4)</w:t>
      </w:r>
      <w:r w:rsidRPr="002F6772">
        <w:rPr>
          <w:color w:val="000000"/>
          <w:sz w:val="24"/>
        </w:rPr>
        <w:t>基金卖出股票按</w:t>
      </w:r>
      <w:r w:rsidRPr="002F6772">
        <w:rPr>
          <w:color w:val="000000"/>
          <w:sz w:val="24"/>
        </w:rPr>
        <w:t>0.1%</w:t>
      </w:r>
      <w:r w:rsidRPr="002F6772">
        <w:rPr>
          <w:color w:val="000000"/>
          <w:sz w:val="24"/>
        </w:rPr>
        <w:t>的税率缴纳股票交易印花税，买入股票不征收股票交易印花税。</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7.4.7</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1A59F9" w:rsidRPr="00C51C77" w:rsidTr="006D141C">
        <w:tc>
          <w:tcPr>
            <w:tcW w:w="5220" w:type="dxa"/>
          </w:tcPr>
          <w:p w:rsidR="001A59F9" w:rsidRPr="004C38F5" w:rsidRDefault="001A59F9" w:rsidP="004C38F5">
            <w:pPr>
              <w:spacing w:before="29" w:line="288" w:lineRule="auto"/>
              <w:jc w:val="center"/>
              <w:rPr>
                <w:color w:val="000000"/>
                <w:sz w:val="24"/>
              </w:rPr>
            </w:pPr>
            <w:r w:rsidRPr="004C38F5">
              <w:rPr>
                <w:rFonts w:hint="eastAsia"/>
                <w:color w:val="000000"/>
                <w:sz w:val="24"/>
              </w:rPr>
              <w:t>关联方名称</w:t>
            </w:r>
          </w:p>
        </w:tc>
        <w:tc>
          <w:tcPr>
            <w:tcW w:w="3780" w:type="dxa"/>
          </w:tcPr>
          <w:p w:rsidR="001A59F9" w:rsidRPr="004C38F5" w:rsidRDefault="001A59F9" w:rsidP="004C38F5">
            <w:pPr>
              <w:spacing w:before="29" w:line="288" w:lineRule="auto"/>
              <w:jc w:val="center"/>
              <w:rPr>
                <w:color w:val="000000"/>
                <w:sz w:val="24"/>
              </w:rPr>
            </w:pPr>
            <w:r w:rsidRPr="004C38F5">
              <w:rPr>
                <w:rFonts w:hint="eastAsia"/>
                <w:color w:val="000000"/>
                <w:sz w:val="24"/>
              </w:rPr>
              <w:t>与本基金的关系</w:t>
            </w:r>
          </w:p>
        </w:tc>
      </w:tr>
      <w:tr w:rsidR="00A9459B">
        <w:tc>
          <w:tcPr>
            <w:tcW w:w="5220" w:type="dxa"/>
            <w:vAlign w:val="center"/>
          </w:tcPr>
          <w:p w:rsidR="00A9459B" w:rsidRDefault="00FD6859">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r>
              <w:rPr>
                <w:color w:val="000000"/>
                <w:sz w:val="24"/>
              </w:rPr>
              <w:t>）</w:t>
            </w:r>
          </w:p>
        </w:tc>
        <w:tc>
          <w:tcPr>
            <w:tcW w:w="3780" w:type="dxa"/>
            <w:vAlign w:val="center"/>
          </w:tcPr>
          <w:p w:rsidR="00A9459B" w:rsidRDefault="00FD6859">
            <w:pPr>
              <w:jc w:val="center"/>
            </w:pPr>
            <w:r>
              <w:rPr>
                <w:color w:val="000000"/>
                <w:sz w:val="24"/>
              </w:rPr>
              <w:t>基金管理人、基金销售机构</w:t>
            </w:r>
          </w:p>
        </w:tc>
      </w:tr>
      <w:tr w:rsidR="00A9459B">
        <w:tc>
          <w:tcPr>
            <w:tcW w:w="5220" w:type="dxa"/>
            <w:vAlign w:val="center"/>
          </w:tcPr>
          <w:p w:rsidR="00A9459B" w:rsidRDefault="00FD6859">
            <w:pPr>
              <w:jc w:val="left"/>
            </w:pPr>
            <w:r>
              <w:rPr>
                <w:color w:val="000000"/>
                <w:sz w:val="24"/>
              </w:rPr>
              <w:t>中国农业银行股份有限公司（</w:t>
            </w:r>
            <w:r>
              <w:rPr>
                <w:color w:val="000000"/>
                <w:sz w:val="24"/>
              </w:rPr>
              <w:t>“</w:t>
            </w:r>
            <w:r>
              <w:rPr>
                <w:color w:val="000000"/>
                <w:sz w:val="24"/>
              </w:rPr>
              <w:t>中国农业银行</w:t>
            </w:r>
            <w:r>
              <w:rPr>
                <w:color w:val="000000"/>
                <w:sz w:val="24"/>
              </w:rPr>
              <w:t>”</w:t>
            </w:r>
            <w:r>
              <w:rPr>
                <w:color w:val="000000"/>
                <w:sz w:val="24"/>
              </w:rPr>
              <w:t>）</w:t>
            </w:r>
          </w:p>
        </w:tc>
        <w:tc>
          <w:tcPr>
            <w:tcW w:w="3780" w:type="dxa"/>
            <w:vAlign w:val="center"/>
          </w:tcPr>
          <w:p w:rsidR="00A9459B" w:rsidRDefault="00FD6859">
            <w:pPr>
              <w:jc w:val="center"/>
            </w:pPr>
            <w:r>
              <w:rPr>
                <w:color w:val="000000"/>
                <w:sz w:val="24"/>
              </w:rPr>
              <w:t>基金托管人、基金销售机构</w:t>
            </w:r>
          </w:p>
        </w:tc>
      </w:tr>
      <w:tr w:rsidR="00A9459B">
        <w:tc>
          <w:tcPr>
            <w:tcW w:w="5220" w:type="dxa"/>
            <w:vAlign w:val="center"/>
          </w:tcPr>
          <w:p w:rsidR="00A9459B" w:rsidRDefault="00FD6859">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80" w:type="dxa"/>
            <w:vAlign w:val="center"/>
          </w:tcPr>
          <w:p w:rsidR="00A9459B" w:rsidRDefault="00FD6859">
            <w:pPr>
              <w:jc w:val="center"/>
            </w:pPr>
            <w:r>
              <w:rPr>
                <w:color w:val="000000"/>
                <w:sz w:val="24"/>
              </w:rPr>
              <w:t>基金管理人的股东、基金销售机构</w:t>
            </w:r>
          </w:p>
        </w:tc>
      </w:tr>
      <w:tr w:rsidR="00A9459B">
        <w:tc>
          <w:tcPr>
            <w:tcW w:w="5220" w:type="dxa"/>
            <w:vAlign w:val="center"/>
          </w:tcPr>
          <w:p w:rsidR="00A9459B" w:rsidRDefault="00FD6859">
            <w:pPr>
              <w:jc w:val="left"/>
            </w:pPr>
            <w:r>
              <w:rPr>
                <w:color w:val="000000"/>
                <w:sz w:val="24"/>
              </w:rPr>
              <w:t>施罗德投资管理有限公司</w:t>
            </w:r>
          </w:p>
        </w:tc>
        <w:tc>
          <w:tcPr>
            <w:tcW w:w="3780" w:type="dxa"/>
            <w:vAlign w:val="center"/>
          </w:tcPr>
          <w:p w:rsidR="00A9459B" w:rsidRDefault="00FD6859">
            <w:pPr>
              <w:jc w:val="center"/>
            </w:pPr>
            <w:r>
              <w:rPr>
                <w:color w:val="000000"/>
                <w:sz w:val="24"/>
              </w:rPr>
              <w:t>基金管理人的股东</w:t>
            </w:r>
          </w:p>
        </w:tc>
      </w:tr>
      <w:tr w:rsidR="00A9459B">
        <w:tc>
          <w:tcPr>
            <w:tcW w:w="5220" w:type="dxa"/>
            <w:vAlign w:val="center"/>
          </w:tcPr>
          <w:p w:rsidR="00A9459B" w:rsidRDefault="00FD6859">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A9459B" w:rsidRDefault="00FD6859">
            <w:pPr>
              <w:jc w:val="center"/>
            </w:pPr>
            <w:r>
              <w:rPr>
                <w:color w:val="000000"/>
                <w:sz w:val="24"/>
              </w:rPr>
              <w:t>基金管理人的股东</w:t>
            </w:r>
          </w:p>
        </w:tc>
      </w:tr>
      <w:tr w:rsidR="00A9459B">
        <w:tc>
          <w:tcPr>
            <w:tcW w:w="5220" w:type="dxa"/>
            <w:vAlign w:val="center"/>
          </w:tcPr>
          <w:p w:rsidR="00A9459B" w:rsidRDefault="00FD6859">
            <w:pPr>
              <w:jc w:val="left"/>
            </w:pPr>
            <w:r>
              <w:rPr>
                <w:color w:val="000000"/>
                <w:sz w:val="24"/>
              </w:rPr>
              <w:t>交银施罗德资产管理有限公司</w:t>
            </w:r>
          </w:p>
        </w:tc>
        <w:tc>
          <w:tcPr>
            <w:tcW w:w="3780" w:type="dxa"/>
            <w:vAlign w:val="center"/>
          </w:tcPr>
          <w:p w:rsidR="00A9459B" w:rsidRDefault="00FD6859">
            <w:pPr>
              <w:jc w:val="center"/>
            </w:pPr>
            <w:r>
              <w:rPr>
                <w:color w:val="000000"/>
                <w:sz w:val="24"/>
              </w:rPr>
              <w:t>基金管理人的子公司</w:t>
            </w:r>
          </w:p>
        </w:tc>
      </w:tr>
    </w:tbl>
    <w:p w:rsidR="001A59F9" w:rsidRPr="00D508DC" w:rsidRDefault="001A59F9" w:rsidP="00D508DC">
      <w:pPr>
        <w:tabs>
          <w:tab w:val="left" w:pos="426"/>
        </w:tabs>
        <w:spacing w:before="29" w:line="288" w:lineRule="auto"/>
        <w:jc w:val="left"/>
        <w:rPr>
          <w:kern w:val="0"/>
          <w:sz w:val="24"/>
        </w:rPr>
      </w:pPr>
      <w:r w:rsidRPr="00D508DC">
        <w:rPr>
          <w:kern w:val="0"/>
          <w:sz w:val="24"/>
        </w:rPr>
        <w:t>注：下述关联交易均在正常业务范围内按一般商业条款订立。</w:t>
      </w:r>
    </w:p>
    <w:p w:rsidR="001A59F9" w:rsidRPr="00C51C77" w:rsidRDefault="001A59F9" w:rsidP="00026C9C">
      <w:pPr>
        <w:spacing w:line="360" w:lineRule="auto"/>
        <w:rPr>
          <w:rFonts w:asciiTheme="minorEastAsia" w:eastAsiaTheme="minorEastAsia" w:hAnsiTheme="minorEastAsia"/>
          <w:color w:val="000000"/>
          <w:szCs w:val="21"/>
        </w:rPr>
      </w:pPr>
      <w:r w:rsidRPr="00C51C77">
        <w:rPr>
          <w:rFonts w:asciiTheme="minorEastAsia" w:eastAsiaTheme="minorEastAsia" w:hAnsiTheme="minorEastAsia"/>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本报告期及上年度可比期间的关联方交易</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7.4.8.1</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通过关联方交易单元进行的交易</w:t>
      </w:r>
    </w:p>
    <w:p w:rsidR="001A59F9" w:rsidRDefault="001A59F9" w:rsidP="002F6772">
      <w:pPr>
        <w:spacing w:before="29" w:line="288" w:lineRule="auto"/>
        <w:ind w:firstLineChars="200" w:firstLine="480"/>
        <w:rPr>
          <w:color w:val="000000"/>
          <w:sz w:val="24"/>
        </w:rPr>
      </w:pPr>
      <w:r w:rsidRPr="002F6772">
        <w:rPr>
          <w:color w:val="000000"/>
          <w:sz w:val="24"/>
        </w:rPr>
        <w:t>本基金本报告期内及上年度可比期间无通过关联方交易单元进行的交易。</w:t>
      </w:r>
    </w:p>
    <w:p w:rsidR="00B64054" w:rsidRPr="002F6772" w:rsidRDefault="00B64054" w:rsidP="002F6772">
      <w:pPr>
        <w:spacing w:before="29" w:line="288" w:lineRule="auto"/>
        <w:ind w:firstLineChars="200" w:firstLine="480"/>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关联方报酬</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基金管理费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C51C77" w:rsidTr="000F5396">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2014</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2014</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2013</w:t>
            </w:r>
            <w:r w:rsidRPr="002C6C89">
              <w:rPr>
                <w:bCs/>
                <w:color w:val="000000"/>
                <w:sz w:val="24"/>
              </w:rPr>
              <w:t>年</w:t>
            </w:r>
            <w:r w:rsidRPr="002C6C89">
              <w:rPr>
                <w:bCs/>
                <w:color w:val="000000"/>
                <w:sz w:val="24"/>
              </w:rPr>
              <w:t>4</w:t>
            </w:r>
            <w:r w:rsidRPr="002C6C89">
              <w:rPr>
                <w:bCs/>
                <w:color w:val="000000"/>
                <w:sz w:val="24"/>
              </w:rPr>
              <w:t>月</w:t>
            </w:r>
            <w:r w:rsidRPr="002C6C89">
              <w:rPr>
                <w:bCs/>
                <w:color w:val="000000"/>
                <w:sz w:val="24"/>
              </w:rPr>
              <w:t>24</w:t>
            </w:r>
            <w:r w:rsidRPr="002C6C89">
              <w:rPr>
                <w:bCs/>
                <w:color w:val="000000"/>
                <w:sz w:val="24"/>
              </w:rPr>
              <w:t>日（基金合同生效日）至</w:t>
            </w:r>
            <w:r w:rsidRPr="002C6C89">
              <w:rPr>
                <w:bCs/>
                <w:color w:val="000000"/>
                <w:sz w:val="24"/>
              </w:rPr>
              <w:t>2013</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C657A6">
        <w:tc>
          <w:tcPr>
            <w:tcW w:w="3686" w:type="dxa"/>
            <w:vAlign w:val="center"/>
          </w:tcPr>
          <w:p w:rsidR="001A59F9" w:rsidRPr="009B5359" w:rsidRDefault="001A59F9" w:rsidP="009B5359">
            <w:pPr>
              <w:spacing w:before="29" w:line="288" w:lineRule="auto"/>
              <w:rPr>
                <w:sz w:val="24"/>
              </w:rPr>
            </w:pPr>
            <w:r w:rsidRPr="009B5359">
              <w:rPr>
                <w:rFonts w:hint="eastAsia"/>
                <w:sz w:val="24"/>
              </w:rPr>
              <w:t>当期发生的基金应支付的管理费</w:t>
            </w:r>
          </w:p>
        </w:tc>
        <w:tc>
          <w:tcPr>
            <w:tcW w:w="2657" w:type="dxa"/>
            <w:vAlign w:val="center"/>
          </w:tcPr>
          <w:p w:rsidR="001A59F9" w:rsidRPr="00924183" w:rsidRDefault="001A59F9" w:rsidP="00924183">
            <w:pPr>
              <w:spacing w:before="29" w:line="288" w:lineRule="auto"/>
              <w:jc w:val="right"/>
              <w:rPr>
                <w:sz w:val="24"/>
              </w:rPr>
            </w:pPr>
            <w:r w:rsidRPr="00924183">
              <w:rPr>
                <w:sz w:val="24"/>
              </w:rPr>
              <w:t>4,697,010.18</w:t>
            </w:r>
          </w:p>
        </w:tc>
        <w:tc>
          <w:tcPr>
            <w:tcW w:w="2657" w:type="dxa"/>
            <w:vAlign w:val="center"/>
          </w:tcPr>
          <w:p w:rsidR="001A59F9" w:rsidRPr="00924183" w:rsidRDefault="001A59F9" w:rsidP="00924183">
            <w:pPr>
              <w:spacing w:before="29" w:line="288" w:lineRule="auto"/>
              <w:jc w:val="right"/>
              <w:rPr>
                <w:sz w:val="24"/>
              </w:rPr>
            </w:pPr>
            <w:r w:rsidRPr="00924183">
              <w:rPr>
                <w:sz w:val="24"/>
              </w:rPr>
              <w:t>5,004,709.45</w:t>
            </w:r>
          </w:p>
        </w:tc>
      </w:tr>
      <w:tr w:rsidR="001A59F9" w:rsidRPr="00C51C77" w:rsidTr="00C657A6">
        <w:tc>
          <w:tcPr>
            <w:tcW w:w="3686" w:type="dxa"/>
            <w:vAlign w:val="center"/>
          </w:tcPr>
          <w:p w:rsidR="001A59F9" w:rsidRPr="009B5359" w:rsidRDefault="001A59F9" w:rsidP="009B5359">
            <w:pPr>
              <w:spacing w:before="29" w:line="288" w:lineRule="auto"/>
              <w:rPr>
                <w:sz w:val="24"/>
              </w:rPr>
            </w:pPr>
            <w:r w:rsidRPr="009B5359">
              <w:rPr>
                <w:rFonts w:hint="eastAsia"/>
                <w:sz w:val="24"/>
              </w:rPr>
              <w:t>其中：支付销售机构的客户维护费</w:t>
            </w:r>
          </w:p>
        </w:tc>
        <w:tc>
          <w:tcPr>
            <w:tcW w:w="2657" w:type="dxa"/>
            <w:vAlign w:val="center"/>
          </w:tcPr>
          <w:p w:rsidR="001A59F9" w:rsidRPr="00924183" w:rsidRDefault="001A59F9" w:rsidP="00924183">
            <w:pPr>
              <w:spacing w:before="29" w:line="288" w:lineRule="auto"/>
              <w:jc w:val="right"/>
              <w:rPr>
                <w:sz w:val="24"/>
              </w:rPr>
            </w:pPr>
            <w:r w:rsidRPr="00924183">
              <w:rPr>
                <w:sz w:val="24"/>
              </w:rPr>
              <w:t>2,030,701.50</w:t>
            </w:r>
          </w:p>
        </w:tc>
        <w:tc>
          <w:tcPr>
            <w:tcW w:w="2657" w:type="dxa"/>
            <w:vAlign w:val="center"/>
          </w:tcPr>
          <w:p w:rsidR="001A59F9" w:rsidRPr="00924183" w:rsidRDefault="001A59F9" w:rsidP="00924183">
            <w:pPr>
              <w:spacing w:before="29" w:line="288" w:lineRule="auto"/>
              <w:jc w:val="right"/>
              <w:rPr>
                <w:sz w:val="24"/>
              </w:rPr>
            </w:pPr>
            <w:r w:rsidRPr="00924183">
              <w:rPr>
                <w:sz w:val="24"/>
              </w:rPr>
              <w:t>2,206,297.12</w:t>
            </w:r>
          </w:p>
        </w:tc>
      </w:tr>
    </w:tbl>
    <w:p w:rsidR="00A9459B" w:rsidRDefault="00FD6859">
      <w:pPr>
        <w:tabs>
          <w:tab w:val="left" w:pos="426"/>
        </w:tabs>
        <w:spacing w:before="29" w:line="288" w:lineRule="auto"/>
        <w:jc w:val="left"/>
        <w:rPr>
          <w:rFonts w:asciiTheme="minorEastAsia" w:eastAsiaTheme="minorEastAsia" w:hAnsiTheme="minorEastAsia" w:cs="宋体"/>
          <w:kern w:val="0"/>
          <w:szCs w:val="21"/>
        </w:rPr>
      </w:pPr>
      <w:r>
        <w:rPr>
          <w:kern w:val="0"/>
          <w:sz w:val="24"/>
        </w:rPr>
        <w:t>注：支付基金管理人的管理人报酬按前一日基金资产净值</w:t>
      </w:r>
      <w:r>
        <w:rPr>
          <w:kern w:val="0"/>
          <w:sz w:val="24"/>
        </w:rPr>
        <w:t>1.2%</w:t>
      </w:r>
      <w:r>
        <w:rPr>
          <w:kern w:val="0"/>
          <w:sz w:val="24"/>
        </w:rPr>
        <w:t>的年费率计提，逐日累计至每月月底，按月支付。其计算公式为：</w:t>
      </w:r>
    </w:p>
    <w:p w:rsidR="001A59F9" w:rsidRPr="00C51C77" w:rsidRDefault="001A59F9" w:rsidP="008C0DD5">
      <w:pPr>
        <w:tabs>
          <w:tab w:val="left" w:pos="426"/>
        </w:tabs>
        <w:spacing w:before="29" w:line="288" w:lineRule="auto"/>
        <w:jc w:val="left"/>
        <w:rPr>
          <w:rFonts w:asciiTheme="minorEastAsia" w:eastAsiaTheme="minorEastAsia" w:hAnsiTheme="minorEastAsia" w:cs="宋体"/>
          <w:kern w:val="0"/>
          <w:szCs w:val="21"/>
        </w:rPr>
      </w:pPr>
      <w:r w:rsidRPr="008C0DD5">
        <w:rPr>
          <w:kern w:val="0"/>
          <w:sz w:val="24"/>
        </w:rPr>
        <w:t>日管理人报酬＝前一日基金资产净值</w:t>
      </w:r>
      <w:r w:rsidRPr="008C0DD5">
        <w:rPr>
          <w:kern w:val="0"/>
          <w:sz w:val="24"/>
        </w:rPr>
        <w:t>×1.2%÷</w:t>
      </w:r>
      <w:r w:rsidRPr="008C0DD5">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基金托管费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C51C77" w:rsidTr="005B1208">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2014</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2014</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2013</w:t>
            </w:r>
            <w:r w:rsidRPr="002C6C89">
              <w:rPr>
                <w:bCs/>
                <w:color w:val="000000"/>
                <w:sz w:val="24"/>
              </w:rPr>
              <w:t>年</w:t>
            </w:r>
            <w:r w:rsidRPr="002C6C89">
              <w:rPr>
                <w:bCs/>
                <w:color w:val="000000"/>
                <w:sz w:val="24"/>
              </w:rPr>
              <w:t>4</w:t>
            </w:r>
            <w:r w:rsidRPr="002C6C89">
              <w:rPr>
                <w:bCs/>
                <w:color w:val="000000"/>
                <w:sz w:val="24"/>
              </w:rPr>
              <w:t>月</w:t>
            </w:r>
            <w:r w:rsidRPr="002C6C89">
              <w:rPr>
                <w:bCs/>
                <w:color w:val="000000"/>
                <w:sz w:val="24"/>
              </w:rPr>
              <w:t>24</w:t>
            </w:r>
            <w:r w:rsidRPr="002C6C89">
              <w:rPr>
                <w:bCs/>
                <w:color w:val="000000"/>
                <w:sz w:val="24"/>
              </w:rPr>
              <w:t>日（基金合同生效日）至</w:t>
            </w:r>
            <w:r w:rsidRPr="002C6C89">
              <w:rPr>
                <w:bCs/>
                <w:color w:val="000000"/>
                <w:sz w:val="24"/>
              </w:rPr>
              <w:t>2013</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5B1208">
        <w:tc>
          <w:tcPr>
            <w:tcW w:w="3686" w:type="dxa"/>
            <w:vAlign w:val="center"/>
          </w:tcPr>
          <w:p w:rsidR="001A59F9" w:rsidRPr="00C51C77" w:rsidRDefault="001A59F9" w:rsidP="00026C9C">
            <w:pPr>
              <w:spacing w:line="360" w:lineRule="auto"/>
              <w:rPr>
                <w:rFonts w:asciiTheme="minorEastAsia" w:eastAsiaTheme="minorEastAsia" w:hAnsiTheme="minorEastAsia"/>
                <w:color w:val="000000"/>
                <w:szCs w:val="21"/>
              </w:rPr>
            </w:pPr>
            <w:r w:rsidRPr="00243BD8">
              <w:rPr>
                <w:rFonts w:hint="eastAsia"/>
                <w:sz w:val="24"/>
              </w:rPr>
              <w:t>当期发生的基金应支付的托管费</w:t>
            </w:r>
          </w:p>
        </w:tc>
        <w:tc>
          <w:tcPr>
            <w:tcW w:w="2657" w:type="dxa"/>
            <w:vAlign w:val="center"/>
          </w:tcPr>
          <w:p w:rsidR="001A59F9" w:rsidRPr="00243BD8" w:rsidRDefault="001A59F9" w:rsidP="00243BD8">
            <w:pPr>
              <w:spacing w:before="29" w:line="288" w:lineRule="auto"/>
              <w:jc w:val="right"/>
              <w:rPr>
                <w:sz w:val="24"/>
              </w:rPr>
            </w:pPr>
            <w:r w:rsidRPr="00243BD8">
              <w:rPr>
                <w:sz w:val="24"/>
              </w:rPr>
              <w:t>782,835.07</w:t>
            </w:r>
          </w:p>
        </w:tc>
        <w:tc>
          <w:tcPr>
            <w:tcW w:w="2657" w:type="dxa"/>
            <w:vAlign w:val="center"/>
          </w:tcPr>
          <w:p w:rsidR="001A59F9" w:rsidRPr="00243BD8" w:rsidRDefault="001A59F9" w:rsidP="00243BD8">
            <w:pPr>
              <w:spacing w:before="29" w:line="288" w:lineRule="auto"/>
              <w:jc w:val="right"/>
              <w:rPr>
                <w:sz w:val="24"/>
              </w:rPr>
            </w:pPr>
            <w:r w:rsidRPr="00243BD8">
              <w:rPr>
                <w:sz w:val="24"/>
              </w:rPr>
              <w:t>834,118.20</w:t>
            </w:r>
          </w:p>
        </w:tc>
      </w:tr>
    </w:tbl>
    <w:p w:rsidR="00A9459B" w:rsidRDefault="00FD6859">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w:t>
      </w:r>
      <w:r>
        <w:rPr>
          <w:kern w:val="0"/>
          <w:sz w:val="24"/>
        </w:rPr>
        <w:t>的年费率计提，逐日累计至每月月底，按月支付。其计算公式为：</w:t>
      </w:r>
    </w:p>
    <w:p w:rsidR="001A59F9" w:rsidRPr="00243BD8" w:rsidRDefault="001A59F9" w:rsidP="00243BD8">
      <w:pPr>
        <w:tabs>
          <w:tab w:val="left" w:pos="426"/>
        </w:tabs>
        <w:spacing w:before="29" w:line="288" w:lineRule="auto"/>
        <w:jc w:val="left"/>
        <w:rPr>
          <w:kern w:val="0"/>
          <w:sz w:val="24"/>
        </w:rPr>
      </w:pPr>
      <w:r w:rsidRPr="00243BD8">
        <w:rPr>
          <w:kern w:val="0"/>
          <w:sz w:val="24"/>
        </w:rPr>
        <w:t>日托管费＝前一日基金资产净值</w:t>
      </w:r>
      <w:r w:rsidRPr="00243BD8">
        <w:rPr>
          <w:kern w:val="0"/>
          <w:sz w:val="24"/>
        </w:rPr>
        <w:t>×0.2%÷</w:t>
      </w:r>
      <w:r w:rsidRPr="00243BD8">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A1158C" w:rsidRPr="00A1158C" w:rsidRDefault="001A59F9" w:rsidP="00A1158C">
      <w:pPr>
        <w:pStyle w:val="20"/>
        <w:spacing w:before="29" w:after="0" w:line="288" w:lineRule="auto"/>
        <w:rPr>
          <w:rFonts w:ascii="Times New Roman" w:hAnsi="Times New Roman"/>
          <w:kern w:val="0"/>
          <w:szCs w:val="24"/>
        </w:rPr>
      </w:pPr>
      <w:r w:rsidRPr="00245C29">
        <w:rPr>
          <w:rFonts w:ascii="Times New Roman" w:hAnsi="Times New Roman"/>
          <w:kern w:val="0"/>
          <w:szCs w:val="24"/>
        </w:rPr>
        <w:t>7.4.8.2.3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销售服务费</w:t>
      </w:r>
    </w:p>
    <w:p w:rsidR="000A1B00" w:rsidRPr="00846E38" w:rsidRDefault="000A1B00" w:rsidP="000A1B00">
      <w:pPr>
        <w:tabs>
          <w:tab w:val="left" w:pos="426"/>
        </w:tabs>
        <w:spacing w:before="29" w:line="288" w:lineRule="auto"/>
        <w:jc w:val="left"/>
        <w:rPr>
          <w:kern w:val="0"/>
          <w:sz w:val="24"/>
        </w:rPr>
      </w:pPr>
      <w:r w:rsidRPr="00846E38">
        <w:rPr>
          <w:kern w:val="0"/>
          <w:sz w:val="24"/>
        </w:rPr>
        <w:t>无。</w:t>
      </w:r>
    </w:p>
    <w:p w:rsidR="001A59F9" w:rsidRPr="00E90075" w:rsidRDefault="001A59F9" w:rsidP="00E90075">
      <w:pPr>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与关联方进行银行间同业市场的债券</w:t>
      </w:r>
      <w:r w:rsidRPr="00245C29">
        <w:rPr>
          <w:rFonts w:ascii="Times New Roman" w:hAnsi="Times New Roman"/>
          <w:kern w:val="0"/>
          <w:szCs w:val="24"/>
        </w:rPr>
        <w:t>(</w:t>
      </w:r>
      <w:r w:rsidRPr="00245C29">
        <w:rPr>
          <w:rFonts w:ascii="Times New Roman" w:hAnsi="Times New Roman" w:hint="eastAsia"/>
          <w:kern w:val="0"/>
          <w:szCs w:val="24"/>
        </w:rPr>
        <w:t>含回购</w:t>
      </w:r>
      <w:r w:rsidRPr="00245C29">
        <w:rPr>
          <w:rFonts w:ascii="Times New Roman" w:hAnsi="Times New Roman"/>
          <w:kern w:val="0"/>
          <w:szCs w:val="24"/>
        </w:rPr>
        <w:t>)</w:t>
      </w:r>
      <w:r w:rsidRPr="00245C29">
        <w:rPr>
          <w:rFonts w:ascii="Times New Roman" w:hAnsi="Times New Roman" w:hint="eastAsia"/>
          <w:kern w:val="0"/>
          <w:szCs w:val="24"/>
        </w:rPr>
        <w:t>交易</w:t>
      </w:r>
    </w:p>
    <w:p w:rsidR="003828F5" w:rsidRPr="007113D5" w:rsidRDefault="003828F5" w:rsidP="007113D5">
      <w:pPr>
        <w:tabs>
          <w:tab w:val="left" w:pos="426"/>
        </w:tabs>
        <w:spacing w:before="29" w:line="288" w:lineRule="auto"/>
        <w:jc w:val="left"/>
        <w:rPr>
          <w:kern w:val="0"/>
          <w:sz w:val="24"/>
        </w:rPr>
      </w:pPr>
      <w:r w:rsidRPr="007113D5">
        <w:rPr>
          <w:kern w:val="0"/>
          <w:sz w:val="24"/>
        </w:rPr>
        <w:t>本基金本报告期内及上年度可比期间未与关联方进行银行间同业市场的债券</w:t>
      </w:r>
      <w:r w:rsidRPr="007113D5">
        <w:rPr>
          <w:kern w:val="0"/>
          <w:sz w:val="24"/>
        </w:rPr>
        <w:t>(</w:t>
      </w:r>
      <w:r w:rsidRPr="007113D5">
        <w:rPr>
          <w:kern w:val="0"/>
          <w:sz w:val="24"/>
        </w:rPr>
        <w:t>含回购</w:t>
      </w:r>
      <w:r w:rsidRPr="007113D5">
        <w:rPr>
          <w:kern w:val="0"/>
          <w:sz w:val="24"/>
        </w:rPr>
        <w:t>)</w:t>
      </w:r>
      <w:r w:rsidRPr="007113D5">
        <w:rPr>
          <w:kern w:val="0"/>
          <w:sz w:val="24"/>
        </w:rPr>
        <w:t>交易。</w:t>
      </w:r>
    </w:p>
    <w:p w:rsidR="001A59F9" w:rsidRPr="003828F5"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各关联方投资本基金的情况</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报告期内基金管理人运用固有资金投资本基金的情况</w:t>
      </w:r>
    </w:p>
    <w:p w:rsidR="001A59F9" w:rsidRPr="004D23E7" w:rsidRDefault="001A59F9" w:rsidP="004D23E7">
      <w:pPr>
        <w:tabs>
          <w:tab w:val="left" w:pos="426"/>
        </w:tabs>
        <w:spacing w:before="29" w:line="288" w:lineRule="auto"/>
        <w:jc w:val="left"/>
        <w:rPr>
          <w:kern w:val="0"/>
          <w:sz w:val="24"/>
        </w:rPr>
      </w:pPr>
      <w:r w:rsidRPr="004D23E7">
        <w:rPr>
          <w:kern w:val="0"/>
          <w:sz w:val="24"/>
        </w:rPr>
        <w:t>本报告期内及上年度可比期间未发生基金管理人运用固有资金投资本基金的情况。</w:t>
      </w:r>
    </w:p>
    <w:p w:rsidR="001A59F9" w:rsidRPr="00C51C77" w:rsidRDefault="001A59F9" w:rsidP="00026C9C">
      <w:pPr>
        <w:adjustRightInd w:val="0"/>
        <w:snapToGrid w:val="0"/>
        <w:spacing w:line="360" w:lineRule="auto"/>
        <w:jc w:val="left"/>
        <w:rPr>
          <w:rFonts w:asciiTheme="minorEastAsia" w:eastAsiaTheme="minorEastAsia" w:hAnsiTheme="minorEastAsia"/>
          <w:bCs/>
          <w:color w:val="000000"/>
          <w:szCs w:val="21"/>
        </w:rPr>
      </w:pPr>
      <w:r w:rsidRPr="00C51C77">
        <w:rPr>
          <w:rFonts w:asciiTheme="minorEastAsia" w:eastAsiaTheme="minorEastAsia" w:hAnsiTheme="minorEastAsia"/>
          <w:bCs/>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报告期末除基金管理人之外的其他关联方投资本基金的情况</w:t>
      </w:r>
    </w:p>
    <w:p w:rsidR="00E6117A" w:rsidRDefault="00E6117A" w:rsidP="00BF4BF3">
      <w:pPr>
        <w:tabs>
          <w:tab w:val="left" w:pos="426"/>
        </w:tabs>
        <w:spacing w:before="29" w:line="288" w:lineRule="auto"/>
        <w:jc w:val="left"/>
        <w:rPr>
          <w:kern w:val="0"/>
          <w:sz w:val="24"/>
        </w:rPr>
      </w:pPr>
      <w:r w:rsidRPr="00BF4BF3">
        <w:rPr>
          <w:kern w:val="0"/>
          <w:sz w:val="24"/>
        </w:rPr>
        <w:t>本报告期末及上年度末除基金管理人之外的其他关联方未持有本基金。</w:t>
      </w:r>
    </w:p>
    <w:p w:rsidR="00FD6859" w:rsidRPr="00BF4BF3" w:rsidRDefault="00FD6859" w:rsidP="00BF4BF3">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7.4.8.5</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由关联方保管的银行存款余额及当期产生的利息收入</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985"/>
        <w:gridCol w:w="1701"/>
        <w:gridCol w:w="1843"/>
        <w:gridCol w:w="1768"/>
      </w:tblGrid>
      <w:tr w:rsidR="00360905" w:rsidRPr="00456CA2" w:rsidTr="00963ACF">
        <w:tc>
          <w:tcPr>
            <w:tcW w:w="1701" w:type="dxa"/>
            <w:vMerge w:val="restart"/>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关联方名称</w:t>
            </w:r>
          </w:p>
        </w:tc>
        <w:tc>
          <w:tcPr>
            <w:tcW w:w="3686"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本期</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2014</w:t>
            </w:r>
            <w:r w:rsidRPr="00456CA2">
              <w:rPr>
                <w:color w:val="000000"/>
                <w:szCs w:val="21"/>
              </w:rPr>
              <w:t>年</w:t>
            </w:r>
            <w:r w:rsidRPr="00456CA2">
              <w:rPr>
                <w:color w:val="000000"/>
                <w:szCs w:val="21"/>
              </w:rPr>
              <w:t>1</w:t>
            </w:r>
            <w:r w:rsidRPr="00456CA2">
              <w:rPr>
                <w:color w:val="000000"/>
                <w:szCs w:val="21"/>
              </w:rPr>
              <w:t>月</w:t>
            </w:r>
            <w:r w:rsidRPr="00456CA2">
              <w:rPr>
                <w:color w:val="000000"/>
                <w:szCs w:val="21"/>
              </w:rPr>
              <w:t>1</w:t>
            </w:r>
            <w:r w:rsidRPr="00456CA2">
              <w:rPr>
                <w:color w:val="000000"/>
                <w:szCs w:val="21"/>
              </w:rPr>
              <w:t>日</w:t>
            </w:r>
            <w:r w:rsidRPr="00456CA2">
              <w:rPr>
                <w:rFonts w:hint="eastAsia"/>
                <w:color w:val="000000"/>
                <w:szCs w:val="21"/>
              </w:rPr>
              <w:t>至</w:t>
            </w:r>
            <w:r w:rsidRPr="00456CA2">
              <w:rPr>
                <w:color w:val="000000"/>
                <w:szCs w:val="21"/>
              </w:rPr>
              <w:t>2014</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c>
          <w:tcPr>
            <w:tcW w:w="3611"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上年度可比期间</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2013</w:t>
            </w:r>
            <w:r w:rsidRPr="00456CA2">
              <w:rPr>
                <w:color w:val="000000"/>
                <w:szCs w:val="21"/>
              </w:rPr>
              <w:t>年</w:t>
            </w:r>
            <w:r w:rsidRPr="00456CA2">
              <w:rPr>
                <w:color w:val="000000"/>
                <w:szCs w:val="21"/>
              </w:rPr>
              <w:t>4</w:t>
            </w:r>
            <w:r w:rsidRPr="00456CA2">
              <w:rPr>
                <w:color w:val="000000"/>
                <w:szCs w:val="21"/>
              </w:rPr>
              <w:t>月</w:t>
            </w:r>
            <w:r w:rsidRPr="00456CA2">
              <w:rPr>
                <w:color w:val="000000"/>
                <w:szCs w:val="21"/>
              </w:rPr>
              <w:t>24</w:t>
            </w:r>
            <w:r w:rsidRPr="00456CA2">
              <w:rPr>
                <w:color w:val="000000"/>
                <w:szCs w:val="21"/>
              </w:rPr>
              <w:t>日（基金合同生效日）至</w:t>
            </w:r>
            <w:r w:rsidRPr="00456CA2">
              <w:rPr>
                <w:color w:val="000000"/>
                <w:szCs w:val="21"/>
              </w:rPr>
              <w:t>2013</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r>
      <w:tr w:rsidR="00360905" w:rsidRPr="00456CA2" w:rsidTr="00E42C09">
        <w:tc>
          <w:tcPr>
            <w:tcW w:w="1701" w:type="dxa"/>
            <w:vMerge/>
            <w:vAlign w:val="center"/>
          </w:tcPr>
          <w:p w:rsidR="00360905" w:rsidRPr="00456CA2" w:rsidRDefault="00360905" w:rsidP="00C27E4C">
            <w:pPr>
              <w:spacing w:before="29" w:line="288" w:lineRule="auto"/>
              <w:jc w:val="center"/>
              <w:rPr>
                <w:color w:val="000000"/>
                <w:szCs w:val="21"/>
              </w:rPr>
            </w:pPr>
          </w:p>
        </w:tc>
        <w:tc>
          <w:tcPr>
            <w:tcW w:w="1985"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1701"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c>
          <w:tcPr>
            <w:tcW w:w="1843"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1768"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r>
      <w:tr w:rsidR="00A9459B">
        <w:tc>
          <w:tcPr>
            <w:tcW w:w="1701" w:type="dxa"/>
            <w:vAlign w:val="center"/>
          </w:tcPr>
          <w:p w:rsidR="00A9459B" w:rsidRDefault="00FD6859">
            <w:pPr>
              <w:jc w:val="left"/>
            </w:pPr>
            <w:r>
              <w:rPr>
                <w:color w:val="000000"/>
                <w:szCs w:val="21"/>
              </w:rPr>
              <w:t>中国农业银行</w:t>
            </w:r>
          </w:p>
        </w:tc>
        <w:tc>
          <w:tcPr>
            <w:tcW w:w="1985" w:type="dxa"/>
            <w:vAlign w:val="center"/>
          </w:tcPr>
          <w:p w:rsidR="00A9459B" w:rsidRDefault="00FD6859">
            <w:pPr>
              <w:jc w:val="right"/>
            </w:pPr>
            <w:r>
              <w:rPr>
                <w:color w:val="000000"/>
                <w:szCs w:val="21"/>
              </w:rPr>
              <w:t>28,473,565.27</w:t>
            </w:r>
          </w:p>
        </w:tc>
        <w:tc>
          <w:tcPr>
            <w:tcW w:w="1701" w:type="dxa"/>
            <w:vAlign w:val="center"/>
          </w:tcPr>
          <w:p w:rsidR="00A9459B" w:rsidRDefault="00FD6859">
            <w:pPr>
              <w:jc w:val="right"/>
            </w:pPr>
            <w:r>
              <w:rPr>
                <w:color w:val="000000"/>
                <w:szCs w:val="21"/>
              </w:rPr>
              <w:t>178,957.04</w:t>
            </w:r>
          </w:p>
        </w:tc>
        <w:tc>
          <w:tcPr>
            <w:tcW w:w="1843" w:type="dxa"/>
            <w:vAlign w:val="center"/>
          </w:tcPr>
          <w:p w:rsidR="00A9459B" w:rsidRDefault="00FD6859">
            <w:pPr>
              <w:jc w:val="right"/>
            </w:pPr>
            <w:r>
              <w:rPr>
                <w:color w:val="000000"/>
                <w:szCs w:val="21"/>
              </w:rPr>
              <w:t>106,011,813.82</w:t>
            </w:r>
          </w:p>
        </w:tc>
        <w:tc>
          <w:tcPr>
            <w:tcW w:w="1768" w:type="dxa"/>
            <w:vAlign w:val="center"/>
          </w:tcPr>
          <w:p w:rsidR="00A9459B" w:rsidRDefault="00FD6859">
            <w:pPr>
              <w:jc w:val="right"/>
            </w:pPr>
            <w:r>
              <w:rPr>
                <w:color w:val="000000"/>
                <w:szCs w:val="21"/>
              </w:rPr>
              <w:t>212,771.77</w:t>
            </w:r>
          </w:p>
        </w:tc>
      </w:tr>
    </w:tbl>
    <w:p w:rsidR="00360905" w:rsidRPr="008E1883" w:rsidRDefault="00360905" w:rsidP="008E1883">
      <w:pPr>
        <w:tabs>
          <w:tab w:val="left" w:pos="426"/>
        </w:tabs>
        <w:spacing w:before="29" w:line="288" w:lineRule="auto"/>
        <w:jc w:val="left"/>
        <w:rPr>
          <w:kern w:val="0"/>
          <w:sz w:val="24"/>
        </w:rPr>
      </w:pPr>
      <w:r w:rsidRPr="008E1883">
        <w:rPr>
          <w:kern w:val="0"/>
          <w:sz w:val="24"/>
        </w:rPr>
        <w:t>注：本基金的银行存款由基金托管人保管，按银行同业利率计息。</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7.4.8.6</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本基金在承销期内参与关联方承销证券的情况</w:t>
      </w:r>
    </w:p>
    <w:p w:rsidR="0010598A" w:rsidRPr="00A22283" w:rsidRDefault="0010598A" w:rsidP="00A22283">
      <w:pPr>
        <w:tabs>
          <w:tab w:val="left" w:pos="426"/>
        </w:tabs>
        <w:spacing w:before="29" w:line="288" w:lineRule="auto"/>
        <w:jc w:val="left"/>
        <w:rPr>
          <w:kern w:val="0"/>
          <w:sz w:val="24"/>
        </w:rPr>
      </w:pPr>
      <w:r w:rsidRPr="00A22283">
        <w:rPr>
          <w:kern w:val="0"/>
          <w:sz w:val="24"/>
        </w:rPr>
        <w:t>本基金本报告期内及上年度可比期间未在承销期内参与关联方承销证券。</w:t>
      </w:r>
    </w:p>
    <w:p w:rsidR="001A59F9" w:rsidRPr="0010598A"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7.4.8.7</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其他关联交易事项的说明</w:t>
      </w:r>
    </w:p>
    <w:p w:rsidR="001A59F9" w:rsidRPr="00A22283" w:rsidRDefault="001A59F9" w:rsidP="00A22283">
      <w:pPr>
        <w:spacing w:before="29" w:line="288" w:lineRule="auto"/>
        <w:rPr>
          <w:color w:val="000000"/>
          <w:sz w:val="24"/>
        </w:rPr>
      </w:pPr>
      <w:r w:rsidRPr="00A22283">
        <w:rPr>
          <w:color w:val="000000"/>
          <w:sz w:val="24"/>
        </w:rPr>
        <w:t>本基金本报告期内及上年度可比期间无其他关联交易事项。</w:t>
      </w:r>
    </w:p>
    <w:p w:rsidR="001A59F9" w:rsidRPr="00C51C77" w:rsidRDefault="001A59F9" w:rsidP="00016A50">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w:t>
      </w:r>
      <w:r w:rsidR="00F64FAD" w:rsidRPr="00245C29">
        <w:rPr>
          <w:rFonts w:ascii="Times New Roman" w:hAnsi="Times New Roman"/>
          <w:kern w:val="0"/>
          <w:szCs w:val="24"/>
        </w:rPr>
        <w:t>2014</w:t>
      </w:r>
      <w:r w:rsidR="00F64FAD" w:rsidRPr="00245C29">
        <w:rPr>
          <w:rFonts w:ascii="Times New Roman" w:hAnsi="Times New Roman"/>
          <w:kern w:val="0"/>
          <w:szCs w:val="24"/>
        </w:rPr>
        <w:t>年</w:t>
      </w:r>
      <w:r w:rsidR="00F64FAD" w:rsidRPr="00245C29">
        <w:rPr>
          <w:rFonts w:ascii="Times New Roman" w:hAnsi="Times New Roman"/>
          <w:kern w:val="0"/>
          <w:szCs w:val="24"/>
        </w:rPr>
        <w:t>12</w:t>
      </w:r>
      <w:r w:rsidR="00F64FAD" w:rsidRPr="00245C29">
        <w:rPr>
          <w:rFonts w:ascii="Times New Roman" w:hAnsi="Times New Roman"/>
          <w:kern w:val="0"/>
          <w:szCs w:val="24"/>
        </w:rPr>
        <w:t>月</w:t>
      </w:r>
      <w:r w:rsidR="00F64FAD" w:rsidRPr="00245C29">
        <w:rPr>
          <w:rFonts w:ascii="Times New Roman" w:hAnsi="Times New Roman"/>
          <w:kern w:val="0"/>
          <w:szCs w:val="24"/>
        </w:rPr>
        <w:t>31</w:t>
      </w:r>
      <w:r w:rsidR="00F64FAD" w:rsidRPr="00245C29">
        <w:rPr>
          <w:rFonts w:ascii="Times New Roman" w:hAnsi="Times New Roman"/>
          <w:kern w:val="0"/>
          <w:szCs w:val="24"/>
        </w:rPr>
        <w:t>日</w:t>
      </w:r>
      <w:r w:rsidRPr="00245C29">
        <w:rPr>
          <w:rFonts w:ascii="Times New Roman" w:hAnsi="Times New Roman" w:hint="eastAsia"/>
          <w:kern w:val="0"/>
          <w:szCs w:val="24"/>
        </w:rPr>
        <w:t>）本基金持有的流通受限证券</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7.4.9.1</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因认购新发</w:t>
      </w:r>
      <w:r w:rsidRPr="00245C29">
        <w:rPr>
          <w:rFonts w:ascii="Times New Roman" w:hAnsi="Times New Roman"/>
          <w:kern w:val="0"/>
          <w:szCs w:val="24"/>
        </w:rPr>
        <w:t>/</w:t>
      </w:r>
      <w:r w:rsidRPr="00245C29">
        <w:rPr>
          <w:rFonts w:ascii="Times New Roman" w:hAnsi="Times New Roman" w:hint="eastAsia"/>
          <w:kern w:val="0"/>
          <w:szCs w:val="24"/>
        </w:rPr>
        <w:t>增发证券而于期末持有的流通受限证券</w:t>
      </w:r>
    </w:p>
    <w:p w:rsidR="001A59F9" w:rsidRPr="00C840DF" w:rsidRDefault="001A59F9" w:rsidP="00C840DF">
      <w:pPr>
        <w:tabs>
          <w:tab w:val="left" w:pos="426"/>
        </w:tabs>
        <w:spacing w:before="29" w:line="288" w:lineRule="auto"/>
        <w:jc w:val="left"/>
        <w:rPr>
          <w:kern w:val="0"/>
          <w:sz w:val="24"/>
        </w:rPr>
      </w:pPr>
      <w:r w:rsidRPr="00C840DF">
        <w:rPr>
          <w:kern w:val="0"/>
          <w:sz w:val="24"/>
        </w:rPr>
        <w:t>本基金本报告期末未持有因认购新发</w:t>
      </w:r>
      <w:r w:rsidRPr="00C840DF">
        <w:rPr>
          <w:kern w:val="0"/>
          <w:sz w:val="24"/>
        </w:rPr>
        <w:t>/</w:t>
      </w:r>
      <w:r w:rsidRPr="00C840DF">
        <w:rPr>
          <w:kern w:val="0"/>
          <w:sz w:val="24"/>
        </w:rPr>
        <w:t>增发证券而流通受限的证券。</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7.4.9.2</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期末持有的暂时停牌等流通受限股票</w:t>
      </w:r>
    </w:p>
    <w:p w:rsidR="001A59F9" w:rsidRPr="00F32A89" w:rsidRDefault="001A59F9" w:rsidP="00026C9C">
      <w:pPr>
        <w:autoSpaceDE w:val="0"/>
        <w:autoSpaceDN w:val="0"/>
        <w:adjustRightInd w:val="0"/>
        <w:spacing w:before="29" w:line="360" w:lineRule="auto"/>
        <w:ind w:left="15"/>
        <w:jc w:val="right"/>
        <w:rPr>
          <w:color w:val="000000"/>
          <w:sz w:val="24"/>
        </w:rPr>
      </w:pPr>
      <w:r w:rsidRPr="00F32A89">
        <w:rPr>
          <w:rFonts w:hint="eastAsia"/>
          <w:color w:val="000000"/>
          <w:sz w:val="24"/>
        </w:rPr>
        <w:t>金额单位：人民币元</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616"/>
        <w:gridCol w:w="686"/>
        <w:gridCol w:w="742"/>
        <w:gridCol w:w="798"/>
        <w:gridCol w:w="798"/>
        <w:gridCol w:w="686"/>
        <w:gridCol w:w="658"/>
        <w:gridCol w:w="1049"/>
        <w:gridCol w:w="1218"/>
        <w:gridCol w:w="1160"/>
        <w:gridCol w:w="601"/>
      </w:tblGrid>
      <w:tr w:rsidR="001A59F9" w:rsidRPr="00C51C77" w:rsidTr="006D141C">
        <w:trPr>
          <w:trHeight w:val="255"/>
        </w:trPr>
        <w:tc>
          <w:tcPr>
            <w:tcW w:w="616"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股票</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代码</w:t>
            </w:r>
          </w:p>
        </w:tc>
        <w:tc>
          <w:tcPr>
            <w:tcW w:w="686"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股票</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名称</w:t>
            </w:r>
          </w:p>
        </w:tc>
        <w:tc>
          <w:tcPr>
            <w:tcW w:w="742"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停牌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日期</w:t>
            </w:r>
          </w:p>
        </w:tc>
        <w:tc>
          <w:tcPr>
            <w:tcW w:w="79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停牌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原因</w:t>
            </w:r>
          </w:p>
        </w:tc>
        <w:tc>
          <w:tcPr>
            <w:tcW w:w="79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期末估值单价</w:t>
            </w:r>
          </w:p>
        </w:tc>
        <w:tc>
          <w:tcPr>
            <w:tcW w:w="686"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复牌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日期</w:t>
            </w:r>
          </w:p>
        </w:tc>
        <w:tc>
          <w:tcPr>
            <w:tcW w:w="65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复牌开</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盘单价</w:t>
            </w:r>
          </w:p>
        </w:tc>
        <w:tc>
          <w:tcPr>
            <w:tcW w:w="1049"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数量</w:t>
            </w:r>
          </w:p>
          <w:p w:rsidR="001A59F9" w:rsidRPr="001A2A8C" w:rsidRDefault="001A59F9" w:rsidP="001A2A8C">
            <w:pPr>
              <w:spacing w:before="29" w:line="288" w:lineRule="auto"/>
              <w:jc w:val="center"/>
              <w:rPr>
                <w:color w:val="000000"/>
                <w:sz w:val="18"/>
                <w:szCs w:val="18"/>
              </w:rPr>
            </w:pPr>
            <w:r w:rsidRPr="001A2A8C">
              <w:rPr>
                <w:color w:val="000000"/>
                <w:sz w:val="18"/>
                <w:szCs w:val="18"/>
              </w:rPr>
              <w:t>(</w:t>
            </w:r>
            <w:r w:rsidRPr="001A2A8C">
              <w:rPr>
                <w:rFonts w:hint="eastAsia"/>
                <w:color w:val="000000"/>
                <w:sz w:val="18"/>
                <w:szCs w:val="18"/>
              </w:rPr>
              <w:t>单位：股</w:t>
            </w:r>
            <w:r w:rsidRPr="001A2A8C">
              <w:rPr>
                <w:color w:val="000000"/>
                <w:sz w:val="18"/>
                <w:szCs w:val="18"/>
              </w:rPr>
              <w:t>)</w:t>
            </w:r>
          </w:p>
        </w:tc>
        <w:tc>
          <w:tcPr>
            <w:tcW w:w="1218"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成本总额</w:t>
            </w:r>
          </w:p>
        </w:tc>
        <w:tc>
          <w:tcPr>
            <w:tcW w:w="1160"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估值总额</w:t>
            </w:r>
          </w:p>
        </w:tc>
        <w:tc>
          <w:tcPr>
            <w:tcW w:w="601"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备注</w:t>
            </w:r>
          </w:p>
        </w:tc>
      </w:tr>
      <w:tr w:rsidR="00A9459B">
        <w:tc>
          <w:tcPr>
            <w:tcW w:w="616" w:type="dxa"/>
            <w:vAlign w:val="center"/>
          </w:tcPr>
          <w:p w:rsidR="00A9459B" w:rsidRDefault="00FD6859">
            <w:pPr>
              <w:jc w:val="center"/>
            </w:pPr>
            <w:r>
              <w:rPr>
                <w:sz w:val="18"/>
                <w:szCs w:val="18"/>
              </w:rPr>
              <w:t>600584</w:t>
            </w:r>
          </w:p>
        </w:tc>
        <w:tc>
          <w:tcPr>
            <w:tcW w:w="686" w:type="dxa"/>
            <w:vAlign w:val="center"/>
          </w:tcPr>
          <w:p w:rsidR="00A9459B" w:rsidRDefault="00FD6859">
            <w:pPr>
              <w:jc w:val="center"/>
            </w:pPr>
            <w:r>
              <w:rPr>
                <w:sz w:val="18"/>
                <w:szCs w:val="18"/>
              </w:rPr>
              <w:t>长电科技</w:t>
            </w:r>
          </w:p>
        </w:tc>
        <w:tc>
          <w:tcPr>
            <w:tcW w:w="742" w:type="dxa"/>
            <w:vAlign w:val="center"/>
          </w:tcPr>
          <w:p w:rsidR="00A9459B" w:rsidRDefault="00FD6859">
            <w:pPr>
              <w:jc w:val="center"/>
            </w:pPr>
            <w:r>
              <w:rPr>
                <w:sz w:val="18"/>
                <w:szCs w:val="18"/>
              </w:rPr>
              <w:t>2014-11-03</w:t>
            </w:r>
          </w:p>
        </w:tc>
        <w:tc>
          <w:tcPr>
            <w:tcW w:w="798" w:type="dxa"/>
            <w:vAlign w:val="center"/>
          </w:tcPr>
          <w:p w:rsidR="00A9459B" w:rsidRDefault="00FD6859">
            <w:pPr>
              <w:jc w:val="center"/>
            </w:pPr>
            <w:r>
              <w:rPr>
                <w:sz w:val="18"/>
                <w:szCs w:val="18"/>
              </w:rPr>
              <w:t>重大事项</w:t>
            </w:r>
          </w:p>
        </w:tc>
        <w:tc>
          <w:tcPr>
            <w:tcW w:w="798" w:type="dxa"/>
            <w:vAlign w:val="center"/>
          </w:tcPr>
          <w:p w:rsidR="00A9459B" w:rsidRDefault="00FD6859">
            <w:pPr>
              <w:jc w:val="center"/>
            </w:pPr>
            <w:r>
              <w:rPr>
                <w:sz w:val="18"/>
                <w:szCs w:val="18"/>
              </w:rPr>
              <w:t>11.13</w:t>
            </w:r>
          </w:p>
        </w:tc>
        <w:tc>
          <w:tcPr>
            <w:tcW w:w="686" w:type="dxa"/>
            <w:vAlign w:val="center"/>
          </w:tcPr>
          <w:p w:rsidR="00A9459B" w:rsidRDefault="00FD6859">
            <w:pPr>
              <w:jc w:val="center"/>
            </w:pPr>
            <w:r>
              <w:rPr>
                <w:sz w:val="18"/>
                <w:szCs w:val="18"/>
              </w:rPr>
              <w:t>2015-01-14</w:t>
            </w:r>
          </w:p>
        </w:tc>
        <w:tc>
          <w:tcPr>
            <w:tcW w:w="658" w:type="dxa"/>
            <w:vAlign w:val="center"/>
          </w:tcPr>
          <w:p w:rsidR="00A9459B" w:rsidRDefault="00FD6859">
            <w:pPr>
              <w:jc w:val="center"/>
            </w:pPr>
            <w:r>
              <w:rPr>
                <w:sz w:val="18"/>
                <w:szCs w:val="18"/>
              </w:rPr>
              <w:t>12.24</w:t>
            </w:r>
          </w:p>
        </w:tc>
        <w:tc>
          <w:tcPr>
            <w:tcW w:w="1049" w:type="dxa"/>
            <w:vAlign w:val="center"/>
          </w:tcPr>
          <w:p w:rsidR="00A9459B" w:rsidRDefault="00FD6859">
            <w:pPr>
              <w:jc w:val="center"/>
            </w:pPr>
            <w:r>
              <w:rPr>
                <w:sz w:val="18"/>
                <w:szCs w:val="18"/>
              </w:rPr>
              <w:t>599,908</w:t>
            </w:r>
          </w:p>
        </w:tc>
        <w:tc>
          <w:tcPr>
            <w:tcW w:w="1218" w:type="dxa"/>
            <w:vAlign w:val="center"/>
          </w:tcPr>
          <w:p w:rsidR="00A9459B" w:rsidRDefault="00FD6859">
            <w:pPr>
              <w:jc w:val="center"/>
            </w:pPr>
            <w:r>
              <w:rPr>
                <w:sz w:val="18"/>
                <w:szCs w:val="18"/>
              </w:rPr>
              <w:t>6,601,932.31</w:t>
            </w:r>
          </w:p>
        </w:tc>
        <w:tc>
          <w:tcPr>
            <w:tcW w:w="1160" w:type="dxa"/>
            <w:vAlign w:val="center"/>
          </w:tcPr>
          <w:p w:rsidR="00A9459B" w:rsidRDefault="00FD6859">
            <w:pPr>
              <w:jc w:val="center"/>
            </w:pPr>
            <w:r>
              <w:rPr>
                <w:sz w:val="18"/>
                <w:szCs w:val="18"/>
              </w:rPr>
              <w:t>6,676,976.04</w:t>
            </w:r>
          </w:p>
        </w:tc>
        <w:tc>
          <w:tcPr>
            <w:tcW w:w="601" w:type="dxa"/>
            <w:vAlign w:val="center"/>
          </w:tcPr>
          <w:p w:rsidR="00A9459B" w:rsidRDefault="00FD6859">
            <w:pPr>
              <w:jc w:val="center"/>
            </w:pPr>
            <w:r>
              <w:rPr>
                <w:sz w:val="18"/>
                <w:szCs w:val="18"/>
              </w:rPr>
              <w:t>-</w:t>
            </w:r>
          </w:p>
        </w:tc>
      </w:tr>
      <w:tr w:rsidR="00A9459B">
        <w:tc>
          <w:tcPr>
            <w:tcW w:w="616" w:type="dxa"/>
            <w:vAlign w:val="center"/>
          </w:tcPr>
          <w:p w:rsidR="00A9459B" w:rsidRDefault="00FD6859">
            <w:pPr>
              <w:jc w:val="center"/>
            </w:pPr>
            <w:r>
              <w:rPr>
                <w:sz w:val="18"/>
                <w:szCs w:val="18"/>
              </w:rPr>
              <w:t>600754</w:t>
            </w:r>
          </w:p>
        </w:tc>
        <w:tc>
          <w:tcPr>
            <w:tcW w:w="686" w:type="dxa"/>
            <w:vAlign w:val="center"/>
          </w:tcPr>
          <w:p w:rsidR="00A9459B" w:rsidRDefault="00FD6859">
            <w:pPr>
              <w:jc w:val="center"/>
            </w:pPr>
            <w:r>
              <w:rPr>
                <w:sz w:val="18"/>
                <w:szCs w:val="18"/>
              </w:rPr>
              <w:t>锦江股份</w:t>
            </w:r>
          </w:p>
        </w:tc>
        <w:tc>
          <w:tcPr>
            <w:tcW w:w="742" w:type="dxa"/>
            <w:vAlign w:val="center"/>
          </w:tcPr>
          <w:p w:rsidR="00A9459B" w:rsidRDefault="00FD6859">
            <w:pPr>
              <w:jc w:val="center"/>
            </w:pPr>
            <w:r>
              <w:rPr>
                <w:sz w:val="18"/>
                <w:szCs w:val="18"/>
              </w:rPr>
              <w:t>2014-11-10</w:t>
            </w:r>
          </w:p>
        </w:tc>
        <w:tc>
          <w:tcPr>
            <w:tcW w:w="798" w:type="dxa"/>
            <w:vAlign w:val="center"/>
          </w:tcPr>
          <w:p w:rsidR="00A9459B" w:rsidRDefault="00FD6859">
            <w:pPr>
              <w:jc w:val="center"/>
            </w:pPr>
            <w:r>
              <w:rPr>
                <w:sz w:val="18"/>
                <w:szCs w:val="18"/>
              </w:rPr>
              <w:t>重大事项</w:t>
            </w:r>
          </w:p>
        </w:tc>
        <w:tc>
          <w:tcPr>
            <w:tcW w:w="798" w:type="dxa"/>
            <w:vAlign w:val="center"/>
          </w:tcPr>
          <w:p w:rsidR="00A9459B" w:rsidRDefault="00FD6859">
            <w:pPr>
              <w:jc w:val="center"/>
            </w:pPr>
            <w:r>
              <w:rPr>
                <w:sz w:val="18"/>
                <w:szCs w:val="18"/>
              </w:rPr>
              <w:t>25.11</w:t>
            </w:r>
          </w:p>
        </w:tc>
        <w:tc>
          <w:tcPr>
            <w:tcW w:w="686" w:type="dxa"/>
            <w:vAlign w:val="center"/>
          </w:tcPr>
          <w:p w:rsidR="00A9459B" w:rsidRDefault="00FD6859">
            <w:pPr>
              <w:jc w:val="center"/>
            </w:pPr>
            <w:r>
              <w:rPr>
                <w:sz w:val="18"/>
                <w:szCs w:val="18"/>
              </w:rPr>
              <w:t>2015-01-19</w:t>
            </w:r>
          </w:p>
        </w:tc>
        <w:tc>
          <w:tcPr>
            <w:tcW w:w="658" w:type="dxa"/>
            <w:vAlign w:val="center"/>
          </w:tcPr>
          <w:p w:rsidR="00A9459B" w:rsidRDefault="00FD6859">
            <w:pPr>
              <w:jc w:val="center"/>
            </w:pPr>
            <w:r>
              <w:rPr>
                <w:sz w:val="18"/>
                <w:szCs w:val="18"/>
              </w:rPr>
              <w:t>27.00</w:t>
            </w:r>
          </w:p>
        </w:tc>
        <w:tc>
          <w:tcPr>
            <w:tcW w:w="1049" w:type="dxa"/>
            <w:vAlign w:val="center"/>
          </w:tcPr>
          <w:p w:rsidR="00A9459B" w:rsidRDefault="00FD6859">
            <w:pPr>
              <w:jc w:val="center"/>
            </w:pPr>
            <w:r>
              <w:rPr>
                <w:sz w:val="18"/>
                <w:szCs w:val="18"/>
              </w:rPr>
              <w:t>50,000</w:t>
            </w:r>
          </w:p>
        </w:tc>
        <w:tc>
          <w:tcPr>
            <w:tcW w:w="1218" w:type="dxa"/>
            <w:vAlign w:val="center"/>
          </w:tcPr>
          <w:p w:rsidR="00A9459B" w:rsidRDefault="00FD6859">
            <w:pPr>
              <w:jc w:val="center"/>
            </w:pPr>
            <w:r>
              <w:rPr>
                <w:sz w:val="18"/>
                <w:szCs w:val="18"/>
              </w:rPr>
              <w:t>1,134,525.00</w:t>
            </w:r>
          </w:p>
        </w:tc>
        <w:tc>
          <w:tcPr>
            <w:tcW w:w="1160" w:type="dxa"/>
            <w:vAlign w:val="center"/>
          </w:tcPr>
          <w:p w:rsidR="00A9459B" w:rsidRDefault="00FD6859">
            <w:pPr>
              <w:jc w:val="center"/>
            </w:pPr>
            <w:r>
              <w:rPr>
                <w:sz w:val="18"/>
                <w:szCs w:val="18"/>
              </w:rPr>
              <w:t>1,255,500.00</w:t>
            </w:r>
          </w:p>
        </w:tc>
        <w:tc>
          <w:tcPr>
            <w:tcW w:w="601" w:type="dxa"/>
            <w:vAlign w:val="center"/>
          </w:tcPr>
          <w:p w:rsidR="00A9459B" w:rsidRDefault="00FD6859">
            <w:pPr>
              <w:jc w:val="center"/>
            </w:pPr>
            <w:r>
              <w:rPr>
                <w:sz w:val="18"/>
                <w:szCs w:val="18"/>
              </w:rPr>
              <w:t>-</w:t>
            </w:r>
          </w:p>
        </w:tc>
      </w:tr>
      <w:tr w:rsidR="00A9459B">
        <w:tc>
          <w:tcPr>
            <w:tcW w:w="616" w:type="dxa"/>
            <w:vAlign w:val="center"/>
          </w:tcPr>
          <w:p w:rsidR="00A9459B" w:rsidRDefault="00FD6859">
            <w:pPr>
              <w:jc w:val="center"/>
            </w:pPr>
            <w:r>
              <w:rPr>
                <w:sz w:val="18"/>
                <w:szCs w:val="18"/>
              </w:rPr>
              <w:t>000883</w:t>
            </w:r>
          </w:p>
        </w:tc>
        <w:tc>
          <w:tcPr>
            <w:tcW w:w="686" w:type="dxa"/>
            <w:vAlign w:val="center"/>
          </w:tcPr>
          <w:p w:rsidR="00A9459B" w:rsidRDefault="00FD6859">
            <w:pPr>
              <w:jc w:val="center"/>
            </w:pPr>
            <w:r>
              <w:rPr>
                <w:sz w:val="18"/>
                <w:szCs w:val="18"/>
              </w:rPr>
              <w:t>湖北能源</w:t>
            </w:r>
          </w:p>
        </w:tc>
        <w:tc>
          <w:tcPr>
            <w:tcW w:w="742" w:type="dxa"/>
            <w:vAlign w:val="center"/>
          </w:tcPr>
          <w:p w:rsidR="00A9459B" w:rsidRDefault="00FD6859">
            <w:pPr>
              <w:jc w:val="center"/>
            </w:pPr>
            <w:r>
              <w:rPr>
                <w:sz w:val="18"/>
                <w:szCs w:val="18"/>
              </w:rPr>
              <w:t>2014-11-18</w:t>
            </w:r>
          </w:p>
        </w:tc>
        <w:tc>
          <w:tcPr>
            <w:tcW w:w="798" w:type="dxa"/>
            <w:vAlign w:val="center"/>
          </w:tcPr>
          <w:p w:rsidR="00A9459B" w:rsidRDefault="00FD6859">
            <w:pPr>
              <w:jc w:val="center"/>
            </w:pPr>
            <w:r>
              <w:rPr>
                <w:sz w:val="18"/>
                <w:szCs w:val="18"/>
              </w:rPr>
              <w:t>重大事项</w:t>
            </w:r>
          </w:p>
        </w:tc>
        <w:tc>
          <w:tcPr>
            <w:tcW w:w="798" w:type="dxa"/>
            <w:vAlign w:val="center"/>
          </w:tcPr>
          <w:p w:rsidR="00A9459B" w:rsidRDefault="00FD6859">
            <w:pPr>
              <w:jc w:val="center"/>
            </w:pPr>
            <w:r>
              <w:rPr>
                <w:sz w:val="18"/>
                <w:szCs w:val="18"/>
              </w:rPr>
              <w:t>8.31</w:t>
            </w:r>
          </w:p>
        </w:tc>
        <w:tc>
          <w:tcPr>
            <w:tcW w:w="686" w:type="dxa"/>
            <w:vAlign w:val="center"/>
          </w:tcPr>
          <w:p w:rsidR="00A9459B" w:rsidRDefault="00FD6859">
            <w:pPr>
              <w:jc w:val="center"/>
            </w:pPr>
            <w:r>
              <w:rPr>
                <w:sz w:val="18"/>
                <w:szCs w:val="18"/>
              </w:rPr>
              <w:t>-</w:t>
            </w:r>
          </w:p>
        </w:tc>
        <w:tc>
          <w:tcPr>
            <w:tcW w:w="658" w:type="dxa"/>
            <w:vAlign w:val="center"/>
          </w:tcPr>
          <w:p w:rsidR="00A9459B" w:rsidRDefault="00FD6859">
            <w:pPr>
              <w:jc w:val="center"/>
            </w:pPr>
            <w:r>
              <w:rPr>
                <w:sz w:val="18"/>
                <w:szCs w:val="18"/>
              </w:rPr>
              <w:t>-</w:t>
            </w:r>
          </w:p>
        </w:tc>
        <w:tc>
          <w:tcPr>
            <w:tcW w:w="1049" w:type="dxa"/>
            <w:vAlign w:val="center"/>
          </w:tcPr>
          <w:p w:rsidR="00A9459B" w:rsidRDefault="00FD6859">
            <w:pPr>
              <w:jc w:val="center"/>
            </w:pPr>
            <w:r>
              <w:rPr>
                <w:sz w:val="18"/>
                <w:szCs w:val="18"/>
              </w:rPr>
              <w:t>300,000</w:t>
            </w:r>
          </w:p>
        </w:tc>
        <w:tc>
          <w:tcPr>
            <w:tcW w:w="1218" w:type="dxa"/>
            <w:vAlign w:val="center"/>
          </w:tcPr>
          <w:p w:rsidR="00A9459B" w:rsidRDefault="00FD6859">
            <w:pPr>
              <w:jc w:val="center"/>
            </w:pPr>
            <w:r>
              <w:rPr>
                <w:sz w:val="18"/>
                <w:szCs w:val="18"/>
              </w:rPr>
              <w:t>1,154,400.00</w:t>
            </w:r>
          </w:p>
        </w:tc>
        <w:tc>
          <w:tcPr>
            <w:tcW w:w="1160" w:type="dxa"/>
            <w:vAlign w:val="center"/>
          </w:tcPr>
          <w:p w:rsidR="00A9459B" w:rsidRDefault="00FD6859">
            <w:pPr>
              <w:jc w:val="center"/>
            </w:pPr>
            <w:r>
              <w:rPr>
                <w:sz w:val="18"/>
                <w:szCs w:val="18"/>
              </w:rPr>
              <w:t>2,493,000.00</w:t>
            </w:r>
          </w:p>
        </w:tc>
        <w:tc>
          <w:tcPr>
            <w:tcW w:w="601" w:type="dxa"/>
            <w:vAlign w:val="center"/>
          </w:tcPr>
          <w:p w:rsidR="00A9459B" w:rsidRDefault="00FD6859">
            <w:pPr>
              <w:jc w:val="center"/>
            </w:pPr>
            <w:r>
              <w:rPr>
                <w:sz w:val="18"/>
                <w:szCs w:val="18"/>
              </w:rPr>
              <w:t>-</w:t>
            </w:r>
          </w:p>
        </w:tc>
      </w:tr>
      <w:tr w:rsidR="00A9459B">
        <w:tc>
          <w:tcPr>
            <w:tcW w:w="616" w:type="dxa"/>
            <w:vAlign w:val="center"/>
          </w:tcPr>
          <w:p w:rsidR="00A9459B" w:rsidRDefault="00FD6859">
            <w:pPr>
              <w:jc w:val="center"/>
            </w:pPr>
            <w:r>
              <w:rPr>
                <w:sz w:val="18"/>
                <w:szCs w:val="18"/>
              </w:rPr>
              <w:t>000938</w:t>
            </w:r>
          </w:p>
        </w:tc>
        <w:tc>
          <w:tcPr>
            <w:tcW w:w="686" w:type="dxa"/>
            <w:vAlign w:val="center"/>
          </w:tcPr>
          <w:p w:rsidR="00A9459B" w:rsidRDefault="00FD6859">
            <w:pPr>
              <w:jc w:val="center"/>
            </w:pPr>
            <w:r>
              <w:rPr>
                <w:sz w:val="18"/>
                <w:szCs w:val="18"/>
              </w:rPr>
              <w:t>紫光股份</w:t>
            </w:r>
          </w:p>
        </w:tc>
        <w:tc>
          <w:tcPr>
            <w:tcW w:w="742" w:type="dxa"/>
            <w:vAlign w:val="center"/>
          </w:tcPr>
          <w:p w:rsidR="00A9459B" w:rsidRDefault="00FD6859">
            <w:pPr>
              <w:jc w:val="center"/>
            </w:pPr>
            <w:r>
              <w:rPr>
                <w:sz w:val="18"/>
                <w:szCs w:val="18"/>
              </w:rPr>
              <w:t>2014-12-22</w:t>
            </w:r>
          </w:p>
        </w:tc>
        <w:tc>
          <w:tcPr>
            <w:tcW w:w="798" w:type="dxa"/>
            <w:vAlign w:val="center"/>
          </w:tcPr>
          <w:p w:rsidR="00A9459B" w:rsidRDefault="00FD6859">
            <w:pPr>
              <w:jc w:val="center"/>
            </w:pPr>
            <w:r>
              <w:rPr>
                <w:sz w:val="18"/>
                <w:szCs w:val="18"/>
              </w:rPr>
              <w:t>重大事项</w:t>
            </w:r>
          </w:p>
        </w:tc>
        <w:tc>
          <w:tcPr>
            <w:tcW w:w="798" w:type="dxa"/>
            <w:vAlign w:val="center"/>
          </w:tcPr>
          <w:p w:rsidR="00A9459B" w:rsidRDefault="00FD6859">
            <w:pPr>
              <w:jc w:val="center"/>
            </w:pPr>
            <w:r>
              <w:rPr>
                <w:sz w:val="18"/>
                <w:szCs w:val="18"/>
              </w:rPr>
              <w:t>29.13</w:t>
            </w:r>
          </w:p>
        </w:tc>
        <w:tc>
          <w:tcPr>
            <w:tcW w:w="686" w:type="dxa"/>
            <w:vAlign w:val="center"/>
          </w:tcPr>
          <w:p w:rsidR="00A9459B" w:rsidRDefault="00FD6859">
            <w:pPr>
              <w:jc w:val="center"/>
            </w:pPr>
            <w:r>
              <w:rPr>
                <w:sz w:val="18"/>
                <w:szCs w:val="18"/>
              </w:rPr>
              <w:t>-</w:t>
            </w:r>
          </w:p>
        </w:tc>
        <w:tc>
          <w:tcPr>
            <w:tcW w:w="658" w:type="dxa"/>
            <w:vAlign w:val="center"/>
          </w:tcPr>
          <w:p w:rsidR="00A9459B" w:rsidRDefault="00FD6859">
            <w:pPr>
              <w:jc w:val="center"/>
            </w:pPr>
            <w:r>
              <w:rPr>
                <w:sz w:val="18"/>
                <w:szCs w:val="18"/>
              </w:rPr>
              <w:t>-</w:t>
            </w:r>
          </w:p>
        </w:tc>
        <w:tc>
          <w:tcPr>
            <w:tcW w:w="1049" w:type="dxa"/>
            <w:vAlign w:val="center"/>
          </w:tcPr>
          <w:p w:rsidR="00A9459B" w:rsidRDefault="00FD6859">
            <w:pPr>
              <w:jc w:val="center"/>
            </w:pPr>
            <w:r>
              <w:rPr>
                <w:sz w:val="18"/>
                <w:szCs w:val="18"/>
              </w:rPr>
              <w:t>30,000</w:t>
            </w:r>
          </w:p>
        </w:tc>
        <w:tc>
          <w:tcPr>
            <w:tcW w:w="1218" w:type="dxa"/>
            <w:vAlign w:val="center"/>
          </w:tcPr>
          <w:p w:rsidR="00A9459B" w:rsidRDefault="00FD6859">
            <w:pPr>
              <w:jc w:val="center"/>
            </w:pPr>
            <w:r>
              <w:rPr>
                <w:sz w:val="18"/>
                <w:szCs w:val="18"/>
              </w:rPr>
              <w:t>921,200.00</w:t>
            </w:r>
          </w:p>
        </w:tc>
        <w:tc>
          <w:tcPr>
            <w:tcW w:w="1160" w:type="dxa"/>
            <w:vAlign w:val="center"/>
          </w:tcPr>
          <w:p w:rsidR="00A9459B" w:rsidRDefault="00FD6859">
            <w:pPr>
              <w:jc w:val="center"/>
            </w:pPr>
            <w:r>
              <w:rPr>
                <w:sz w:val="18"/>
                <w:szCs w:val="18"/>
              </w:rPr>
              <w:t>873,900.00</w:t>
            </w:r>
          </w:p>
        </w:tc>
        <w:tc>
          <w:tcPr>
            <w:tcW w:w="601" w:type="dxa"/>
            <w:vAlign w:val="center"/>
          </w:tcPr>
          <w:p w:rsidR="00A9459B" w:rsidRDefault="00FD6859">
            <w:pPr>
              <w:jc w:val="center"/>
            </w:pPr>
            <w:r>
              <w:rPr>
                <w:sz w:val="18"/>
                <w:szCs w:val="18"/>
              </w:rPr>
              <w:t>-</w:t>
            </w:r>
          </w:p>
        </w:tc>
      </w:tr>
    </w:tbl>
    <w:p w:rsidR="001A59F9" w:rsidRPr="001A2A8C" w:rsidRDefault="001A59F9" w:rsidP="001A2A8C">
      <w:pPr>
        <w:tabs>
          <w:tab w:val="left" w:pos="426"/>
        </w:tabs>
        <w:spacing w:before="29" w:line="288" w:lineRule="auto"/>
        <w:jc w:val="left"/>
        <w:rPr>
          <w:kern w:val="0"/>
          <w:sz w:val="24"/>
        </w:rPr>
      </w:pPr>
      <w:r w:rsidRPr="001A2A8C">
        <w:rPr>
          <w:kern w:val="0"/>
          <w:sz w:val="24"/>
        </w:rPr>
        <w:t>注：本基金截至</w:t>
      </w:r>
      <w:r w:rsidRPr="001A2A8C">
        <w:rPr>
          <w:kern w:val="0"/>
          <w:sz w:val="24"/>
        </w:rPr>
        <w:t>2014</w:t>
      </w:r>
      <w:r w:rsidRPr="001A2A8C">
        <w:rPr>
          <w:kern w:val="0"/>
          <w:sz w:val="24"/>
        </w:rPr>
        <w:t>年</w:t>
      </w:r>
      <w:r w:rsidRPr="001A2A8C">
        <w:rPr>
          <w:kern w:val="0"/>
          <w:sz w:val="24"/>
        </w:rPr>
        <w:t>12</w:t>
      </w:r>
      <w:r w:rsidRPr="001A2A8C">
        <w:rPr>
          <w:kern w:val="0"/>
          <w:sz w:val="24"/>
        </w:rPr>
        <w:t>月</w:t>
      </w:r>
      <w:r w:rsidRPr="001A2A8C">
        <w:rPr>
          <w:kern w:val="0"/>
          <w:sz w:val="24"/>
        </w:rPr>
        <w:t>31</w:t>
      </w:r>
      <w:r w:rsidRPr="001A2A8C">
        <w:rPr>
          <w:kern w:val="0"/>
          <w:sz w:val="24"/>
        </w:rPr>
        <w:t>日止持有以上因公布的重大事项可能产生重大影响而被暂时停牌的股票，该类股票将在所公布事项的重大影响消除后，经交易所批准复牌。</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7.4.9.3</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期末债券正回购交易中作为抵押的债券</w:t>
      </w:r>
    </w:p>
    <w:p w:rsidR="001A59F9" w:rsidRDefault="001A59F9" w:rsidP="001A2A8C">
      <w:pPr>
        <w:spacing w:before="29" w:line="288" w:lineRule="auto"/>
        <w:rPr>
          <w:color w:val="000000"/>
          <w:sz w:val="24"/>
        </w:rPr>
      </w:pPr>
      <w:r w:rsidRPr="001A2A8C">
        <w:rPr>
          <w:color w:val="000000"/>
          <w:sz w:val="24"/>
        </w:rPr>
        <w:t>本基金本报告期末无从事债券正回购交易形成的卖出回购证券款余额。</w:t>
      </w:r>
    </w:p>
    <w:p w:rsidR="00FD6859" w:rsidRPr="001A2A8C" w:rsidRDefault="00FD6859" w:rsidP="001A2A8C">
      <w:pPr>
        <w:spacing w:before="29" w:line="288" w:lineRule="auto"/>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7.4.10</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有助于理解和分析会计报表需要说明的其他事项</w:t>
      </w:r>
    </w:p>
    <w:p w:rsidR="00A9459B" w:rsidRDefault="00FD6859">
      <w:pPr>
        <w:spacing w:before="29" w:line="288" w:lineRule="auto"/>
        <w:ind w:firstLineChars="200" w:firstLine="480"/>
        <w:rPr>
          <w:color w:val="000000"/>
          <w:sz w:val="24"/>
        </w:rPr>
      </w:pPr>
      <w:r>
        <w:rPr>
          <w:color w:val="000000"/>
          <w:sz w:val="24"/>
        </w:rPr>
        <w:t>(1)</w:t>
      </w:r>
      <w:r>
        <w:rPr>
          <w:color w:val="000000"/>
          <w:sz w:val="24"/>
        </w:rPr>
        <w:t>公允价值</w:t>
      </w:r>
    </w:p>
    <w:p w:rsidR="00A9459B" w:rsidRDefault="00FD6859">
      <w:pPr>
        <w:spacing w:before="29" w:line="288" w:lineRule="auto"/>
        <w:ind w:firstLineChars="200" w:firstLine="480"/>
        <w:rPr>
          <w:color w:val="000000"/>
          <w:sz w:val="24"/>
        </w:rPr>
      </w:pPr>
      <w:r>
        <w:rPr>
          <w:color w:val="000000"/>
          <w:sz w:val="24"/>
        </w:rPr>
        <w:t>(a)</w:t>
      </w:r>
      <w:r>
        <w:rPr>
          <w:color w:val="000000"/>
          <w:sz w:val="24"/>
        </w:rPr>
        <w:t>金融工具公允价值计量的方法</w:t>
      </w:r>
    </w:p>
    <w:p w:rsidR="00A9459B" w:rsidRDefault="00FD6859">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A9459B" w:rsidRDefault="00FD6859">
      <w:pPr>
        <w:spacing w:before="29" w:line="288" w:lineRule="auto"/>
        <w:ind w:firstLineChars="200" w:firstLine="480"/>
        <w:rPr>
          <w:color w:val="000000"/>
          <w:sz w:val="24"/>
        </w:rPr>
      </w:pPr>
      <w:r>
        <w:rPr>
          <w:color w:val="000000"/>
          <w:sz w:val="24"/>
        </w:rPr>
        <w:t>第一层次：相同资产或负债在活跃市场上未经调整的报价。</w:t>
      </w:r>
    </w:p>
    <w:p w:rsidR="00A9459B" w:rsidRDefault="00FD6859">
      <w:pPr>
        <w:spacing w:before="29" w:line="288" w:lineRule="auto"/>
        <w:ind w:firstLineChars="200" w:firstLine="480"/>
        <w:rPr>
          <w:color w:val="000000"/>
          <w:sz w:val="24"/>
        </w:rPr>
      </w:pPr>
      <w:r>
        <w:rPr>
          <w:color w:val="000000"/>
          <w:sz w:val="24"/>
        </w:rPr>
        <w:t>第二层次：除第一层次输入值外相关资产或负债直接或间接可观察的输入值。</w:t>
      </w:r>
    </w:p>
    <w:p w:rsidR="00A9459B" w:rsidRDefault="00FD6859">
      <w:pPr>
        <w:spacing w:before="29" w:line="288" w:lineRule="auto"/>
        <w:ind w:firstLineChars="200" w:firstLine="480"/>
        <w:rPr>
          <w:color w:val="000000"/>
          <w:sz w:val="24"/>
        </w:rPr>
      </w:pPr>
      <w:r>
        <w:rPr>
          <w:color w:val="000000"/>
          <w:sz w:val="24"/>
        </w:rPr>
        <w:t>第三层次：相关资产或负债的不可观察输入值。</w:t>
      </w:r>
    </w:p>
    <w:p w:rsidR="00A9459B" w:rsidRDefault="00FD6859">
      <w:pPr>
        <w:spacing w:before="29" w:line="288" w:lineRule="auto"/>
        <w:ind w:firstLineChars="200" w:firstLine="480"/>
        <w:rPr>
          <w:color w:val="000000"/>
          <w:sz w:val="24"/>
        </w:rPr>
      </w:pPr>
      <w:r>
        <w:rPr>
          <w:color w:val="000000"/>
          <w:sz w:val="24"/>
        </w:rPr>
        <w:t>(b)</w:t>
      </w:r>
      <w:r>
        <w:rPr>
          <w:color w:val="000000"/>
          <w:sz w:val="24"/>
        </w:rPr>
        <w:t>持续的以公允价值计量的金融工具</w:t>
      </w:r>
    </w:p>
    <w:p w:rsidR="00A9459B" w:rsidRDefault="00FD6859">
      <w:pPr>
        <w:spacing w:before="29" w:line="288" w:lineRule="auto"/>
        <w:ind w:firstLineChars="200" w:firstLine="480"/>
        <w:rPr>
          <w:color w:val="000000"/>
          <w:sz w:val="24"/>
        </w:rPr>
      </w:pPr>
      <w:r>
        <w:rPr>
          <w:color w:val="000000"/>
          <w:sz w:val="24"/>
        </w:rPr>
        <w:t>(i)</w:t>
      </w:r>
      <w:r>
        <w:rPr>
          <w:color w:val="000000"/>
          <w:sz w:val="24"/>
        </w:rPr>
        <w:t>各层次金融工具公允价值</w:t>
      </w:r>
    </w:p>
    <w:p w:rsidR="00A9459B" w:rsidRDefault="00FD6859">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日，本基金持有的以公允价值计量且其变动计入当期损益的金融资产中属于第一层次的余额为</w:t>
      </w:r>
      <w:r>
        <w:rPr>
          <w:color w:val="000000"/>
          <w:sz w:val="24"/>
        </w:rPr>
        <w:t>134,275,720.24</w:t>
      </w:r>
      <w:r>
        <w:rPr>
          <w:color w:val="000000"/>
          <w:sz w:val="24"/>
        </w:rPr>
        <w:t>元，属于第二层次的余额为</w:t>
      </w:r>
      <w:r>
        <w:rPr>
          <w:color w:val="000000"/>
          <w:sz w:val="24"/>
        </w:rPr>
        <w:t>41,338,376.04</w:t>
      </w:r>
      <w:r>
        <w:rPr>
          <w:color w:val="000000"/>
          <w:sz w:val="24"/>
        </w:rPr>
        <w:t>元，无属于第三层次的余额</w:t>
      </w:r>
      <w:r>
        <w:rPr>
          <w:color w:val="000000"/>
          <w:sz w:val="24"/>
        </w:rPr>
        <w:t>(2013</w:t>
      </w:r>
      <w:r>
        <w:rPr>
          <w:color w:val="000000"/>
          <w:sz w:val="24"/>
        </w:rPr>
        <w:t>年</w:t>
      </w:r>
      <w:r>
        <w:rPr>
          <w:color w:val="000000"/>
          <w:sz w:val="24"/>
        </w:rPr>
        <w:t>12</w:t>
      </w:r>
      <w:r>
        <w:rPr>
          <w:color w:val="000000"/>
          <w:sz w:val="24"/>
        </w:rPr>
        <w:t>月</w:t>
      </w:r>
      <w:r>
        <w:rPr>
          <w:color w:val="000000"/>
          <w:sz w:val="24"/>
        </w:rPr>
        <w:t>31</w:t>
      </w:r>
      <w:r>
        <w:rPr>
          <w:color w:val="000000"/>
          <w:sz w:val="24"/>
        </w:rPr>
        <w:t>日：第一层次</w:t>
      </w:r>
      <w:r>
        <w:rPr>
          <w:color w:val="000000"/>
          <w:sz w:val="24"/>
        </w:rPr>
        <w:t>102,021,570.92</w:t>
      </w:r>
      <w:r>
        <w:rPr>
          <w:color w:val="000000"/>
          <w:sz w:val="24"/>
        </w:rPr>
        <w:t>元，第二层次</w:t>
      </w:r>
      <w:r>
        <w:rPr>
          <w:color w:val="000000"/>
          <w:sz w:val="24"/>
        </w:rPr>
        <w:t>129,902,200.00</w:t>
      </w:r>
      <w:r>
        <w:rPr>
          <w:color w:val="000000"/>
          <w:sz w:val="24"/>
        </w:rPr>
        <w:t>元，无第三层次</w:t>
      </w:r>
      <w:r>
        <w:rPr>
          <w:color w:val="000000"/>
          <w:sz w:val="24"/>
        </w:rPr>
        <w:t>)</w:t>
      </w:r>
      <w:r>
        <w:rPr>
          <w:color w:val="000000"/>
          <w:sz w:val="24"/>
        </w:rPr>
        <w:t>。</w:t>
      </w:r>
    </w:p>
    <w:p w:rsidR="00A9459B" w:rsidRDefault="00FD6859">
      <w:pPr>
        <w:spacing w:before="29" w:line="288" w:lineRule="auto"/>
        <w:ind w:firstLineChars="200" w:firstLine="480"/>
        <w:rPr>
          <w:color w:val="000000"/>
          <w:sz w:val="24"/>
        </w:rPr>
      </w:pPr>
      <w:r>
        <w:rPr>
          <w:color w:val="000000"/>
          <w:sz w:val="24"/>
        </w:rPr>
        <w:t>(ii)</w:t>
      </w:r>
      <w:r>
        <w:rPr>
          <w:color w:val="000000"/>
          <w:sz w:val="24"/>
        </w:rPr>
        <w:t>公允价值所属层次间的重大变动</w:t>
      </w:r>
    </w:p>
    <w:p w:rsidR="00A9459B" w:rsidRDefault="00FD6859">
      <w:pPr>
        <w:spacing w:before="29" w:line="288" w:lineRule="auto"/>
        <w:ind w:firstLineChars="200" w:firstLine="480"/>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rsidR="00A9459B" w:rsidRDefault="00FD6859">
      <w:pPr>
        <w:spacing w:before="29" w:line="288" w:lineRule="auto"/>
        <w:ind w:firstLineChars="200" w:firstLine="480"/>
        <w:rPr>
          <w:color w:val="000000"/>
          <w:sz w:val="24"/>
        </w:rPr>
      </w:pPr>
      <w:r>
        <w:rPr>
          <w:color w:val="000000"/>
          <w:sz w:val="24"/>
        </w:rPr>
        <w:t>(iii)</w:t>
      </w:r>
      <w:r>
        <w:rPr>
          <w:color w:val="000000"/>
          <w:sz w:val="24"/>
        </w:rPr>
        <w:t>第三层次公允价值余额和本期变动金额</w:t>
      </w:r>
    </w:p>
    <w:p w:rsidR="00A9459B" w:rsidRDefault="00FD6859">
      <w:pPr>
        <w:spacing w:before="29" w:line="288" w:lineRule="auto"/>
        <w:ind w:firstLineChars="200" w:firstLine="480"/>
        <w:rPr>
          <w:color w:val="000000"/>
          <w:sz w:val="24"/>
        </w:rPr>
      </w:pPr>
      <w:r>
        <w:rPr>
          <w:color w:val="000000"/>
          <w:sz w:val="24"/>
        </w:rPr>
        <w:t>无。</w:t>
      </w:r>
    </w:p>
    <w:p w:rsidR="00A9459B" w:rsidRDefault="00FD6859">
      <w:pPr>
        <w:spacing w:before="29" w:line="288" w:lineRule="auto"/>
        <w:ind w:firstLineChars="200" w:firstLine="480"/>
        <w:rPr>
          <w:color w:val="000000"/>
          <w:sz w:val="24"/>
        </w:rPr>
      </w:pPr>
      <w:r>
        <w:rPr>
          <w:color w:val="000000"/>
          <w:sz w:val="24"/>
        </w:rPr>
        <w:t>(c)</w:t>
      </w:r>
      <w:r>
        <w:rPr>
          <w:color w:val="000000"/>
          <w:sz w:val="24"/>
        </w:rPr>
        <w:t>非持续的以公允价值计量的金融工具</w:t>
      </w:r>
    </w:p>
    <w:p w:rsidR="00A9459B" w:rsidRDefault="00FD6859">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Pr>
          <w:color w:val="000000"/>
          <w:sz w:val="24"/>
        </w:rPr>
        <w:t>(2013</w:t>
      </w:r>
      <w:r>
        <w:rPr>
          <w:color w:val="000000"/>
          <w:sz w:val="24"/>
        </w:rPr>
        <w:t>年</w:t>
      </w:r>
      <w:r>
        <w:rPr>
          <w:color w:val="000000"/>
          <w:sz w:val="24"/>
        </w:rPr>
        <w:t>12</w:t>
      </w:r>
      <w:r>
        <w:rPr>
          <w:color w:val="000000"/>
          <w:sz w:val="24"/>
        </w:rPr>
        <w:t>月</w:t>
      </w:r>
      <w:r>
        <w:rPr>
          <w:color w:val="000000"/>
          <w:sz w:val="24"/>
        </w:rPr>
        <w:t>31</w:t>
      </w:r>
      <w:r>
        <w:rPr>
          <w:color w:val="000000"/>
          <w:sz w:val="24"/>
        </w:rPr>
        <w:t>日：同</w:t>
      </w:r>
      <w:r>
        <w:rPr>
          <w:color w:val="000000"/>
          <w:sz w:val="24"/>
        </w:rPr>
        <w:t>)</w:t>
      </w:r>
      <w:r>
        <w:rPr>
          <w:color w:val="000000"/>
          <w:sz w:val="24"/>
        </w:rPr>
        <w:t>。</w:t>
      </w:r>
    </w:p>
    <w:p w:rsidR="00A9459B" w:rsidRDefault="00FD6859">
      <w:pPr>
        <w:spacing w:before="29" w:line="288" w:lineRule="auto"/>
        <w:ind w:firstLineChars="200" w:firstLine="480"/>
        <w:rPr>
          <w:color w:val="000000"/>
          <w:sz w:val="24"/>
        </w:rPr>
      </w:pPr>
      <w:r>
        <w:rPr>
          <w:color w:val="000000"/>
          <w:sz w:val="24"/>
        </w:rPr>
        <w:t>(d)</w:t>
      </w:r>
      <w:r>
        <w:rPr>
          <w:color w:val="000000"/>
          <w:sz w:val="24"/>
        </w:rPr>
        <w:t>不以公允价值计量的金融工具</w:t>
      </w:r>
    </w:p>
    <w:p w:rsidR="00A9459B" w:rsidRDefault="00FD6859">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1A59F9" w:rsidRDefault="001A59F9" w:rsidP="0004616F">
      <w:pPr>
        <w:spacing w:before="29" w:line="288" w:lineRule="auto"/>
        <w:ind w:firstLineChars="200" w:firstLine="480"/>
        <w:rPr>
          <w:color w:val="000000"/>
          <w:sz w:val="24"/>
        </w:rPr>
      </w:pPr>
      <w:r w:rsidRPr="0004616F">
        <w:rPr>
          <w:color w:val="000000"/>
          <w:sz w:val="24"/>
        </w:rPr>
        <w:t>(2)</w:t>
      </w:r>
      <w:r w:rsidRPr="0004616F">
        <w:rPr>
          <w:color w:val="000000"/>
          <w:sz w:val="24"/>
        </w:rPr>
        <w:t>除公允价值外，截至资产负债表日本基金无需要说明的其他重要事项。</w:t>
      </w:r>
    </w:p>
    <w:p w:rsidR="002961CF" w:rsidRPr="0004616F" w:rsidRDefault="002961CF" w:rsidP="0004616F">
      <w:pPr>
        <w:spacing w:before="29" w:line="288" w:lineRule="auto"/>
        <w:ind w:firstLineChars="200" w:firstLine="480"/>
        <w:rPr>
          <w:color w:val="000000"/>
          <w:sz w:val="24"/>
        </w:rPr>
      </w:pPr>
    </w:p>
    <w:p w:rsidR="001A59F9" w:rsidRDefault="001A59F9" w:rsidP="00FD6859">
      <w:pPr>
        <w:pStyle w:val="1"/>
        <w:keepNext/>
        <w:keepLines/>
        <w:widowControl w:val="0"/>
        <w:spacing w:beforeLines="100" w:before="312" w:afterLines="100" w:after="312" w:line="288" w:lineRule="auto"/>
        <w:jc w:val="center"/>
        <w:rPr>
          <w:b/>
          <w:color w:val="000000"/>
          <w:szCs w:val="24"/>
        </w:rPr>
      </w:pPr>
      <w:bookmarkStart w:id="61" w:name="_Toc225498272"/>
      <w:bookmarkStart w:id="62" w:name="_Toc361324877"/>
      <w:r w:rsidRPr="002961CF">
        <w:rPr>
          <w:rFonts w:hint="eastAsia"/>
          <w:b/>
          <w:color w:val="000000"/>
          <w:szCs w:val="24"/>
        </w:rPr>
        <w:t>§</w:t>
      </w:r>
      <w:r w:rsidRPr="002961CF">
        <w:rPr>
          <w:b/>
          <w:color w:val="000000"/>
          <w:szCs w:val="24"/>
        </w:rPr>
        <w:t>8</w:t>
      </w:r>
      <w:r w:rsidR="009153A3" w:rsidRPr="002961CF">
        <w:rPr>
          <w:rFonts w:hint="eastAsia"/>
          <w:b/>
          <w:color w:val="000000"/>
          <w:szCs w:val="24"/>
        </w:rPr>
        <w:t xml:space="preserve">  </w:t>
      </w:r>
      <w:r w:rsidRPr="002961CF">
        <w:rPr>
          <w:rFonts w:hint="eastAsia"/>
          <w:b/>
          <w:color w:val="000000"/>
          <w:szCs w:val="24"/>
        </w:rPr>
        <w:t>投资组合报告</w:t>
      </w:r>
      <w:bookmarkEnd w:id="61"/>
      <w:bookmarkEnd w:id="62"/>
    </w:p>
    <w:p w:rsidR="001A59F9" w:rsidRPr="00245C29" w:rsidRDefault="001A59F9" w:rsidP="00245C29">
      <w:pPr>
        <w:pStyle w:val="20"/>
        <w:spacing w:before="29" w:after="0" w:line="288" w:lineRule="auto"/>
        <w:rPr>
          <w:rFonts w:ascii="Times New Roman" w:hAnsi="Times New Roman"/>
          <w:kern w:val="0"/>
          <w:szCs w:val="24"/>
        </w:rPr>
      </w:pPr>
      <w:bookmarkStart w:id="63" w:name="_Toc225498273"/>
      <w:bookmarkStart w:id="64" w:name="_Toc361324878"/>
      <w:r w:rsidRPr="00245C29">
        <w:rPr>
          <w:rFonts w:ascii="Times New Roman" w:hAnsi="Times New Roman"/>
          <w:kern w:val="0"/>
          <w:szCs w:val="24"/>
        </w:rPr>
        <w:t>8.1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期末基金资产组合情况</w:t>
      </w:r>
      <w:bookmarkEnd w:id="63"/>
      <w:bookmarkEnd w:id="64"/>
    </w:p>
    <w:p w:rsidR="001A59F9" w:rsidRPr="003A0690" w:rsidRDefault="001A59F9" w:rsidP="00026C9C">
      <w:pPr>
        <w:autoSpaceDE w:val="0"/>
        <w:autoSpaceDN w:val="0"/>
        <w:adjustRightInd w:val="0"/>
        <w:spacing w:before="29" w:line="360" w:lineRule="auto"/>
        <w:ind w:left="15"/>
        <w:jc w:val="right"/>
        <w:rPr>
          <w:color w:val="000000"/>
          <w:sz w:val="24"/>
        </w:rPr>
      </w:pPr>
      <w:r w:rsidRPr="003A0690">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854"/>
        <w:gridCol w:w="3402"/>
        <w:gridCol w:w="1664"/>
      </w:tblGrid>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序号</w:t>
            </w:r>
          </w:p>
        </w:tc>
        <w:tc>
          <w:tcPr>
            <w:tcW w:w="285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项目</w:t>
            </w:r>
          </w:p>
        </w:tc>
        <w:tc>
          <w:tcPr>
            <w:tcW w:w="3402"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金额</w:t>
            </w:r>
          </w:p>
        </w:tc>
        <w:tc>
          <w:tcPr>
            <w:tcW w:w="166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占基金总资产的比例（</w:t>
            </w:r>
            <w:r w:rsidRPr="003A0690">
              <w:rPr>
                <w:color w:val="000000"/>
                <w:sz w:val="24"/>
              </w:rPr>
              <w:t>%</w:t>
            </w:r>
            <w:r w:rsidRPr="003A0690">
              <w:rPr>
                <w:rFonts w:hint="eastAsia"/>
                <w:color w:val="000000"/>
                <w:sz w:val="24"/>
              </w:rPr>
              <w:t>）</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color w:val="000000"/>
                <w:sz w:val="24"/>
              </w:rPr>
              <w:t>1</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权益投资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123,851,678.28</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37.91</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其中：股票</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123,851,678.28</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37.91</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color w:val="000000"/>
                <w:sz w:val="24"/>
              </w:rPr>
              <w:t>2</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固定收益投资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51,762,418.00</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15.84</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其中：债券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51,762,418.00</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15.84</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CB09E3">
            <w:pPr>
              <w:spacing w:before="29" w:line="288" w:lineRule="auto"/>
              <w:ind w:leftChars="50" w:left="105" w:firstLineChars="300" w:firstLine="720"/>
              <w:rPr>
                <w:sz w:val="24"/>
              </w:rPr>
            </w:pPr>
            <w:r w:rsidRPr="003A0690">
              <w:rPr>
                <w:rFonts w:hint="eastAsia"/>
                <w:sz w:val="24"/>
              </w:rPr>
              <w:t>资产支持证券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AC1249" w:rsidRPr="0091212A" w:rsidTr="00E86A35">
        <w:trPr>
          <w:jc w:val="center"/>
        </w:trPr>
        <w:tc>
          <w:tcPr>
            <w:tcW w:w="1080" w:type="dxa"/>
            <w:vAlign w:val="center"/>
          </w:tcPr>
          <w:p w:rsidR="00AC1249" w:rsidRPr="003A0690" w:rsidRDefault="00AC1249" w:rsidP="00E86A35">
            <w:pPr>
              <w:spacing w:before="29" w:line="288" w:lineRule="auto"/>
              <w:jc w:val="center"/>
              <w:rPr>
                <w:color w:val="000000"/>
                <w:sz w:val="24"/>
              </w:rPr>
            </w:pPr>
            <w:r w:rsidRPr="003A0690">
              <w:rPr>
                <w:rFonts w:hint="eastAsia"/>
                <w:color w:val="000000"/>
                <w:sz w:val="24"/>
              </w:rPr>
              <w:t>3</w:t>
            </w:r>
          </w:p>
        </w:tc>
        <w:tc>
          <w:tcPr>
            <w:tcW w:w="2854" w:type="dxa"/>
            <w:vAlign w:val="center"/>
          </w:tcPr>
          <w:p w:rsidR="00AC1249" w:rsidRPr="003A0690" w:rsidRDefault="00AC1249" w:rsidP="00396EA4">
            <w:pPr>
              <w:spacing w:before="29" w:line="288" w:lineRule="auto"/>
              <w:ind w:leftChars="50" w:left="105"/>
              <w:rPr>
                <w:sz w:val="24"/>
              </w:rPr>
            </w:pPr>
            <w:r w:rsidRPr="003A0690">
              <w:rPr>
                <w:rFonts w:hint="eastAsia"/>
                <w:sz w:val="24"/>
              </w:rPr>
              <w:t>贵金属投资</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4</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金融衍生品投资</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5</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118,972,658.46</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36.42</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其中：买断式回购的买入返售金融资产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6</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银行存款和结算备付金合计</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29,655,973.79</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9.08</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color w:val="000000"/>
                <w:sz w:val="24"/>
              </w:rPr>
              <w:t>7</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其他各项资产</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2,448,198.58</w:t>
            </w:r>
          </w:p>
        </w:tc>
        <w:tc>
          <w:tcPr>
            <w:tcW w:w="1664" w:type="dxa"/>
            <w:vAlign w:val="center"/>
          </w:tcPr>
          <w:p w:rsidR="00AC1249" w:rsidRPr="003A0690" w:rsidRDefault="00AC1249" w:rsidP="005531B6">
            <w:pPr>
              <w:spacing w:line="360" w:lineRule="auto"/>
              <w:jc w:val="right"/>
              <w:rPr>
                <w:color w:val="000000"/>
                <w:sz w:val="24"/>
              </w:rPr>
            </w:pPr>
            <w:r w:rsidRPr="003A0690">
              <w:rPr>
                <w:color w:val="000000"/>
                <w:sz w:val="24"/>
              </w:rPr>
              <w:t>0.75</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color w:val="000000"/>
                <w:sz w:val="24"/>
              </w:rPr>
              <w:t>8</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合计</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326,690,927.11</w:t>
            </w:r>
          </w:p>
        </w:tc>
        <w:tc>
          <w:tcPr>
            <w:tcW w:w="1664"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100.00</w:t>
            </w:r>
          </w:p>
        </w:tc>
      </w:tr>
    </w:tbl>
    <w:p w:rsidR="009A36E4" w:rsidRDefault="009A36E4" w:rsidP="009A36E4">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5" w:name="_Toc225498274"/>
      <w:bookmarkStart w:id="66" w:name="_Toc361324879"/>
      <w:r w:rsidRPr="00245C29">
        <w:rPr>
          <w:rFonts w:ascii="Times New Roman" w:hAnsi="Times New Roman"/>
          <w:kern w:val="0"/>
          <w:szCs w:val="24"/>
        </w:rPr>
        <w:t>8.2</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期末按行业分类的股票投资组合</w:t>
      </w:r>
      <w:bookmarkEnd w:id="65"/>
      <w:bookmarkEnd w:id="66"/>
    </w:p>
    <w:p w:rsidR="001A59F9" w:rsidRPr="00F535B5" w:rsidRDefault="001A59F9" w:rsidP="00026C9C">
      <w:pPr>
        <w:autoSpaceDE w:val="0"/>
        <w:autoSpaceDN w:val="0"/>
        <w:adjustRightInd w:val="0"/>
        <w:spacing w:before="29" w:line="360" w:lineRule="auto"/>
        <w:ind w:left="15"/>
        <w:jc w:val="right"/>
        <w:rPr>
          <w:color w:val="000000"/>
          <w:sz w:val="24"/>
        </w:rPr>
      </w:pPr>
      <w:r w:rsidRPr="00F535B5">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600"/>
        <w:gridCol w:w="2520"/>
        <w:gridCol w:w="1800"/>
      </w:tblGrid>
      <w:tr w:rsidR="001A59F9" w:rsidRPr="00C51C77" w:rsidTr="006E33C9">
        <w:trPr>
          <w:jc w:val="center"/>
        </w:trPr>
        <w:tc>
          <w:tcPr>
            <w:tcW w:w="108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代码</w:t>
            </w:r>
          </w:p>
        </w:tc>
        <w:tc>
          <w:tcPr>
            <w:tcW w:w="360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行业类别</w:t>
            </w:r>
          </w:p>
        </w:tc>
        <w:tc>
          <w:tcPr>
            <w:tcW w:w="252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公允价值</w:t>
            </w:r>
          </w:p>
        </w:tc>
        <w:tc>
          <w:tcPr>
            <w:tcW w:w="180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占基金资产净值比例（％）</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A</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农、林、牧、渔业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B</w:t>
            </w:r>
          </w:p>
        </w:tc>
        <w:tc>
          <w:tcPr>
            <w:tcW w:w="3600" w:type="dxa"/>
            <w:vAlign w:val="center"/>
          </w:tcPr>
          <w:p w:rsidR="001A59F9" w:rsidRPr="00F535B5" w:rsidRDefault="001A59F9" w:rsidP="00E20BB0">
            <w:pPr>
              <w:spacing w:before="29" w:line="288" w:lineRule="auto"/>
              <w:rPr>
                <w:sz w:val="24"/>
              </w:rPr>
            </w:pPr>
            <w:r w:rsidRPr="00F535B5">
              <w:rPr>
                <w:rFonts w:hint="eastAsia"/>
                <w:sz w:val="24"/>
              </w:rPr>
              <w:t>采矿业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C</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制造业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59,663,586.68</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18.78</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D</w:t>
            </w:r>
          </w:p>
        </w:tc>
        <w:tc>
          <w:tcPr>
            <w:tcW w:w="3600" w:type="dxa"/>
            <w:vAlign w:val="center"/>
          </w:tcPr>
          <w:p w:rsidR="001A59F9" w:rsidRPr="00F535B5" w:rsidRDefault="001A59F9" w:rsidP="00E20BB0">
            <w:pPr>
              <w:spacing w:before="29" w:line="288" w:lineRule="auto"/>
              <w:rPr>
                <w:sz w:val="24"/>
              </w:rPr>
            </w:pPr>
            <w:r w:rsidRPr="00F535B5">
              <w:rPr>
                <w:rFonts w:hint="eastAsia"/>
                <w:sz w:val="24"/>
              </w:rPr>
              <w:t>电力、热力、燃气及水生产和供应业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6,723,000.00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2.12</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E</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建筑业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1,670,000.00</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0.53</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F</w:t>
            </w:r>
          </w:p>
        </w:tc>
        <w:tc>
          <w:tcPr>
            <w:tcW w:w="3600" w:type="dxa"/>
            <w:vAlign w:val="center"/>
          </w:tcPr>
          <w:p w:rsidR="001A59F9" w:rsidRPr="00F535B5" w:rsidRDefault="001A59F9" w:rsidP="00E20BB0">
            <w:pPr>
              <w:spacing w:before="29" w:line="288" w:lineRule="auto"/>
              <w:rPr>
                <w:sz w:val="24"/>
              </w:rPr>
            </w:pPr>
            <w:r w:rsidRPr="00F535B5">
              <w:rPr>
                <w:rFonts w:hint="eastAsia"/>
                <w:sz w:val="24"/>
              </w:rPr>
              <w:t>批发和零售业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3,054,000.00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0.96</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G</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交通运输、仓储和邮政业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1,772,000.00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0.56</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H</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住宿和餐饮业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1,255,500.00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0.40</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I</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信息传输、软件和信息技术服务业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4,403,900.00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1.39</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J</w:t>
            </w:r>
          </w:p>
        </w:tc>
        <w:tc>
          <w:tcPr>
            <w:tcW w:w="3600" w:type="dxa"/>
            <w:vAlign w:val="center"/>
          </w:tcPr>
          <w:p w:rsidR="001A59F9" w:rsidRPr="00F535B5" w:rsidRDefault="001A59F9" w:rsidP="00E20BB0">
            <w:pPr>
              <w:spacing w:before="29" w:line="288" w:lineRule="auto"/>
              <w:rPr>
                <w:sz w:val="24"/>
              </w:rPr>
            </w:pPr>
            <w:r w:rsidRPr="00F535B5">
              <w:rPr>
                <w:rFonts w:hint="eastAsia"/>
                <w:sz w:val="24"/>
              </w:rPr>
              <w:t>金融业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30,521,590.00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9.61</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K</w:t>
            </w:r>
          </w:p>
        </w:tc>
        <w:tc>
          <w:tcPr>
            <w:tcW w:w="3600" w:type="dxa"/>
            <w:vAlign w:val="center"/>
          </w:tcPr>
          <w:p w:rsidR="001A59F9" w:rsidRPr="00F535B5" w:rsidRDefault="001A59F9" w:rsidP="00E20BB0">
            <w:pPr>
              <w:spacing w:before="29" w:line="288" w:lineRule="auto"/>
              <w:rPr>
                <w:sz w:val="24"/>
              </w:rPr>
            </w:pPr>
            <w:r w:rsidRPr="00F535B5">
              <w:rPr>
                <w:rFonts w:hint="eastAsia"/>
                <w:sz w:val="24"/>
              </w:rPr>
              <w:t>房地产业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11,386,200.00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3.58</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L</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租赁和商务服务业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M</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科学研究和技术服务业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N</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水利、环境和公共设施管理业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O</w:t>
            </w:r>
          </w:p>
        </w:tc>
        <w:tc>
          <w:tcPr>
            <w:tcW w:w="3600" w:type="dxa"/>
            <w:vAlign w:val="center"/>
          </w:tcPr>
          <w:p w:rsidR="001A59F9" w:rsidRPr="00F535B5" w:rsidRDefault="001A59F9" w:rsidP="005F5D03">
            <w:pPr>
              <w:spacing w:before="29" w:line="288" w:lineRule="auto"/>
              <w:rPr>
                <w:sz w:val="24"/>
              </w:rPr>
            </w:pPr>
            <w:r w:rsidRPr="00F535B5">
              <w:rPr>
                <w:rFonts w:hint="eastAsia"/>
                <w:sz w:val="24"/>
              </w:rPr>
              <w:t>居民服务、修理和其他服务业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P</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教育</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Q</w:t>
            </w:r>
          </w:p>
        </w:tc>
        <w:tc>
          <w:tcPr>
            <w:tcW w:w="3600" w:type="dxa"/>
            <w:vAlign w:val="center"/>
          </w:tcPr>
          <w:p w:rsidR="001A59F9" w:rsidRPr="00F535B5" w:rsidRDefault="001A59F9" w:rsidP="005F5D03">
            <w:pPr>
              <w:spacing w:before="29" w:line="288" w:lineRule="auto"/>
              <w:rPr>
                <w:sz w:val="24"/>
              </w:rPr>
            </w:pPr>
            <w:r w:rsidRPr="00F535B5">
              <w:rPr>
                <w:rFonts w:hint="eastAsia"/>
                <w:sz w:val="24"/>
              </w:rPr>
              <w:t>卫生和社会工作</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R</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文化、体育和娱乐业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S</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综合</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3,401,901.60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1.07</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p>
        </w:tc>
        <w:tc>
          <w:tcPr>
            <w:tcW w:w="3600" w:type="dxa"/>
            <w:vAlign w:val="center"/>
          </w:tcPr>
          <w:p w:rsidR="001A59F9" w:rsidRPr="00F535B5" w:rsidRDefault="001A59F9" w:rsidP="005F5D03">
            <w:pPr>
              <w:spacing w:before="29" w:line="288" w:lineRule="auto"/>
              <w:rPr>
                <w:sz w:val="24"/>
              </w:rPr>
            </w:pPr>
            <w:r w:rsidRPr="00F535B5">
              <w:rPr>
                <w:rFonts w:hint="eastAsia"/>
                <w:sz w:val="24"/>
              </w:rPr>
              <w:t>合计</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123,851,678.28</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38.98</w:t>
            </w:r>
          </w:p>
        </w:tc>
      </w:tr>
    </w:tbl>
    <w:p w:rsidR="001A59F9" w:rsidRPr="00C51C77" w:rsidRDefault="001A59F9" w:rsidP="00026C9C">
      <w:pPr>
        <w:autoSpaceDE w:val="0"/>
        <w:autoSpaceDN w:val="0"/>
        <w:adjustRightInd w:val="0"/>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7" w:name="_Toc361324881"/>
      <w:r w:rsidRPr="00245C29">
        <w:rPr>
          <w:rFonts w:ascii="Times New Roman" w:hAnsi="Times New Roman"/>
          <w:kern w:val="0"/>
          <w:szCs w:val="24"/>
        </w:rPr>
        <w:t>8.3</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期末按公允价值占基金资产净值比例大小排序的</w:t>
      </w:r>
      <w:r w:rsidR="007D167D" w:rsidRPr="00245C29">
        <w:rPr>
          <w:rFonts w:ascii="Times New Roman" w:hAnsi="Times New Roman" w:hint="eastAsia"/>
          <w:kern w:val="0"/>
          <w:szCs w:val="24"/>
        </w:rPr>
        <w:t>前十名</w:t>
      </w:r>
      <w:r w:rsidRPr="00245C29">
        <w:rPr>
          <w:rFonts w:ascii="Times New Roman" w:hAnsi="Times New Roman" w:hint="eastAsia"/>
          <w:kern w:val="0"/>
          <w:szCs w:val="24"/>
        </w:rPr>
        <w:t>股票投资明细</w:t>
      </w:r>
      <w:bookmarkEnd w:id="67"/>
    </w:p>
    <w:p w:rsidR="001A59F9" w:rsidRPr="00A20DFB" w:rsidRDefault="001A59F9" w:rsidP="00026C9C">
      <w:pPr>
        <w:autoSpaceDE w:val="0"/>
        <w:autoSpaceDN w:val="0"/>
        <w:adjustRightInd w:val="0"/>
        <w:spacing w:before="29" w:line="360" w:lineRule="auto"/>
        <w:ind w:left="15"/>
        <w:jc w:val="right"/>
        <w:rPr>
          <w:color w:val="000000"/>
          <w:sz w:val="24"/>
        </w:rPr>
      </w:pPr>
      <w:r w:rsidRPr="00A20DFB">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701"/>
        <w:gridCol w:w="1843"/>
      </w:tblGrid>
      <w:tr w:rsidR="001A59F9" w:rsidRPr="00C51C77" w:rsidTr="006E33C9">
        <w:trPr>
          <w:jc w:val="center"/>
        </w:trPr>
        <w:tc>
          <w:tcPr>
            <w:tcW w:w="817"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序号</w:t>
            </w:r>
          </w:p>
        </w:tc>
        <w:tc>
          <w:tcPr>
            <w:tcW w:w="1276"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股票代码</w:t>
            </w:r>
          </w:p>
        </w:tc>
        <w:tc>
          <w:tcPr>
            <w:tcW w:w="1701"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股票名称</w:t>
            </w:r>
          </w:p>
        </w:tc>
        <w:tc>
          <w:tcPr>
            <w:tcW w:w="1559"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数量</w:t>
            </w:r>
            <w:r w:rsidRPr="00A20DFB">
              <w:rPr>
                <w:sz w:val="24"/>
              </w:rPr>
              <w:t>(</w:t>
            </w:r>
            <w:r w:rsidRPr="00A20DFB">
              <w:rPr>
                <w:rFonts w:hint="eastAsia"/>
                <w:sz w:val="24"/>
              </w:rPr>
              <w:t>股</w:t>
            </w:r>
            <w:r w:rsidRPr="00A20DFB">
              <w:rPr>
                <w:sz w:val="24"/>
              </w:rPr>
              <w:t>)</w:t>
            </w:r>
          </w:p>
        </w:tc>
        <w:tc>
          <w:tcPr>
            <w:tcW w:w="1701" w:type="dxa"/>
            <w:vAlign w:val="center"/>
          </w:tcPr>
          <w:p w:rsidR="001A59F9" w:rsidRPr="00A20DFB" w:rsidRDefault="001A59F9" w:rsidP="00A20DFB">
            <w:pPr>
              <w:autoSpaceDE w:val="0"/>
              <w:autoSpaceDN w:val="0"/>
              <w:adjustRightInd w:val="0"/>
              <w:snapToGrid w:val="0"/>
              <w:spacing w:before="29" w:line="288" w:lineRule="auto"/>
              <w:jc w:val="center"/>
              <w:rPr>
                <w:sz w:val="24"/>
              </w:rPr>
            </w:pPr>
            <w:r w:rsidRPr="00A20DFB">
              <w:rPr>
                <w:rFonts w:hint="eastAsia"/>
                <w:sz w:val="24"/>
              </w:rPr>
              <w:t>公允价值</w:t>
            </w:r>
          </w:p>
        </w:tc>
        <w:tc>
          <w:tcPr>
            <w:tcW w:w="1843"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占基金资产净值比例</w:t>
            </w:r>
            <w:r w:rsidRPr="00A20DFB">
              <w:rPr>
                <w:sz w:val="24"/>
              </w:rPr>
              <w:t>(</w:t>
            </w:r>
            <w:r w:rsidRPr="00A20DFB">
              <w:rPr>
                <w:rFonts w:hint="eastAsia"/>
                <w:sz w:val="24"/>
              </w:rPr>
              <w:t>％</w:t>
            </w:r>
            <w:r w:rsidRPr="00A20DFB">
              <w:rPr>
                <w:sz w:val="24"/>
              </w:rPr>
              <w:t>)</w:t>
            </w:r>
          </w:p>
        </w:tc>
      </w:tr>
      <w:tr w:rsidR="00A9459B">
        <w:trPr>
          <w:jc w:val="center"/>
        </w:trPr>
        <w:tc>
          <w:tcPr>
            <w:tcW w:w="817" w:type="dxa"/>
            <w:vAlign w:val="center"/>
          </w:tcPr>
          <w:p w:rsidR="00A9459B" w:rsidRDefault="00FD6859">
            <w:pPr>
              <w:jc w:val="center"/>
            </w:pPr>
            <w:r>
              <w:rPr>
                <w:color w:val="000000"/>
                <w:sz w:val="24"/>
              </w:rPr>
              <w:t>1</w:t>
            </w:r>
          </w:p>
        </w:tc>
        <w:tc>
          <w:tcPr>
            <w:tcW w:w="1276" w:type="dxa"/>
            <w:vAlign w:val="center"/>
          </w:tcPr>
          <w:p w:rsidR="00A9459B" w:rsidRDefault="00FD6859">
            <w:pPr>
              <w:jc w:val="center"/>
            </w:pPr>
            <w:r>
              <w:rPr>
                <w:color w:val="000000"/>
                <w:sz w:val="24"/>
              </w:rPr>
              <w:t>601688</w:t>
            </w:r>
          </w:p>
        </w:tc>
        <w:tc>
          <w:tcPr>
            <w:tcW w:w="1701" w:type="dxa"/>
            <w:vAlign w:val="center"/>
          </w:tcPr>
          <w:p w:rsidR="00A9459B" w:rsidRDefault="00FD6859">
            <w:pPr>
              <w:jc w:val="center"/>
            </w:pPr>
            <w:r>
              <w:rPr>
                <w:color w:val="000000"/>
                <w:sz w:val="24"/>
              </w:rPr>
              <w:t>华泰证券</w:t>
            </w:r>
          </w:p>
        </w:tc>
        <w:tc>
          <w:tcPr>
            <w:tcW w:w="1559" w:type="dxa"/>
            <w:vAlign w:val="center"/>
          </w:tcPr>
          <w:p w:rsidR="00A9459B" w:rsidRDefault="00FD6859">
            <w:pPr>
              <w:jc w:val="right"/>
            </w:pPr>
            <w:r>
              <w:rPr>
                <w:color w:val="000000"/>
                <w:sz w:val="24"/>
              </w:rPr>
              <w:t>400,000</w:t>
            </w:r>
          </w:p>
        </w:tc>
        <w:tc>
          <w:tcPr>
            <w:tcW w:w="1701" w:type="dxa"/>
            <w:vAlign w:val="center"/>
          </w:tcPr>
          <w:p w:rsidR="00A9459B" w:rsidRDefault="00FD6859">
            <w:pPr>
              <w:jc w:val="right"/>
            </w:pPr>
            <w:r>
              <w:rPr>
                <w:color w:val="000000"/>
                <w:sz w:val="24"/>
              </w:rPr>
              <w:t>9,788,000.00</w:t>
            </w:r>
          </w:p>
        </w:tc>
        <w:tc>
          <w:tcPr>
            <w:tcW w:w="1843" w:type="dxa"/>
            <w:vAlign w:val="center"/>
          </w:tcPr>
          <w:p w:rsidR="00A9459B" w:rsidRDefault="00FD6859">
            <w:pPr>
              <w:jc w:val="right"/>
            </w:pPr>
            <w:r>
              <w:rPr>
                <w:color w:val="000000"/>
                <w:sz w:val="24"/>
              </w:rPr>
              <w:t>3.08</w:t>
            </w:r>
          </w:p>
        </w:tc>
      </w:tr>
      <w:tr w:rsidR="00A9459B">
        <w:trPr>
          <w:jc w:val="center"/>
        </w:trPr>
        <w:tc>
          <w:tcPr>
            <w:tcW w:w="817" w:type="dxa"/>
            <w:vAlign w:val="center"/>
          </w:tcPr>
          <w:p w:rsidR="00A9459B" w:rsidRDefault="00FD6859">
            <w:pPr>
              <w:jc w:val="center"/>
            </w:pPr>
            <w:r>
              <w:rPr>
                <w:color w:val="000000"/>
                <w:sz w:val="24"/>
              </w:rPr>
              <w:t>2</w:t>
            </w:r>
          </w:p>
        </w:tc>
        <w:tc>
          <w:tcPr>
            <w:tcW w:w="1276" w:type="dxa"/>
            <w:vAlign w:val="center"/>
          </w:tcPr>
          <w:p w:rsidR="00A9459B" w:rsidRDefault="00FD6859">
            <w:pPr>
              <w:jc w:val="center"/>
            </w:pPr>
            <w:r>
              <w:rPr>
                <w:color w:val="000000"/>
                <w:sz w:val="24"/>
              </w:rPr>
              <w:t>000768</w:t>
            </w:r>
          </w:p>
        </w:tc>
        <w:tc>
          <w:tcPr>
            <w:tcW w:w="1701" w:type="dxa"/>
            <w:vAlign w:val="center"/>
          </w:tcPr>
          <w:p w:rsidR="00A9459B" w:rsidRDefault="00FD6859">
            <w:pPr>
              <w:jc w:val="center"/>
            </w:pPr>
            <w:r>
              <w:rPr>
                <w:color w:val="000000"/>
                <w:sz w:val="24"/>
              </w:rPr>
              <w:t>中航飞机</w:t>
            </w:r>
          </w:p>
        </w:tc>
        <w:tc>
          <w:tcPr>
            <w:tcW w:w="1559" w:type="dxa"/>
            <w:vAlign w:val="center"/>
          </w:tcPr>
          <w:p w:rsidR="00A9459B" w:rsidRDefault="00FD6859">
            <w:pPr>
              <w:jc w:val="right"/>
            </w:pPr>
            <w:r>
              <w:rPr>
                <w:color w:val="000000"/>
                <w:sz w:val="24"/>
              </w:rPr>
              <w:t>491,400</w:t>
            </w:r>
          </w:p>
        </w:tc>
        <w:tc>
          <w:tcPr>
            <w:tcW w:w="1701" w:type="dxa"/>
            <w:vAlign w:val="center"/>
          </w:tcPr>
          <w:p w:rsidR="00A9459B" w:rsidRDefault="00FD6859">
            <w:pPr>
              <w:jc w:val="right"/>
            </w:pPr>
            <w:r>
              <w:rPr>
                <w:color w:val="000000"/>
                <w:sz w:val="24"/>
              </w:rPr>
              <w:t>9,307,116.00</w:t>
            </w:r>
          </w:p>
        </w:tc>
        <w:tc>
          <w:tcPr>
            <w:tcW w:w="1843" w:type="dxa"/>
            <w:vAlign w:val="center"/>
          </w:tcPr>
          <w:p w:rsidR="00A9459B" w:rsidRDefault="00FD6859">
            <w:pPr>
              <w:jc w:val="right"/>
            </w:pPr>
            <w:r>
              <w:rPr>
                <w:color w:val="000000"/>
                <w:sz w:val="24"/>
              </w:rPr>
              <w:t>2.93</w:t>
            </w:r>
          </w:p>
        </w:tc>
      </w:tr>
      <w:tr w:rsidR="00A9459B">
        <w:trPr>
          <w:jc w:val="center"/>
        </w:trPr>
        <w:tc>
          <w:tcPr>
            <w:tcW w:w="817" w:type="dxa"/>
            <w:vAlign w:val="center"/>
          </w:tcPr>
          <w:p w:rsidR="00A9459B" w:rsidRDefault="00FD6859">
            <w:pPr>
              <w:jc w:val="center"/>
            </w:pPr>
            <w:r>
              <w:rPr>
                <w:color w:val="000000"/>
                <w:sz w:val="24"/>
              </w:rPr>
              <w:t>3</w:t>
            </w:r>
          </w:p>
        </w:tc>
        <w:tc>
          <w:tcPr>
            <w:tcW w:w="1276" w:type="dxa"/>
            <w:vAlign w:val="center"/>
          </w:tcPr>
          <w:p w:rsidR="00A9459B" w:rsidRDefault="00FD6859">
            <w:pPr>
              <w:jc w:val="center"/>
            </w:pPr>
            <w:r>
              <w:rPr>
                <w:color w:val="000000"/>
                <w:sz w:val="24"/>
              </w:rPr>
              <w:t>600109</w:t>
            </w:r>
          </w:p>
        </w:tc>
        <w:tc>
          <w:tcPr>
            <w:tcW w:w="1701" w:type="dxa"/>
            <w:vAlign w:val="center"/>
          </w:tcPr>
          <w:p w:rsidR="00A9459B" w:rsidRDefault="00FD6859">
            <w:pPr>
              <w:jc w:val="center"/>
            </w:pPr>
            <w:r>
              <w:rPr>
                <w:color w:val="000000"/>
                <w:sz w:val="24"/>
              </w:rPr>
              <w:t>国金证券</w:t>
            </w:r>
          </w:p>
        </w:tc>
        <w:tc>
          <w:tcPr>
            <w:tcW w:w="1559" w:type="dxa"/>
            <w:vAlign w:val="center"/>
          </w:tcPr>
          <w:p w:rsidR="00A9459B" w:rsidRDefault="00FD6859">
            <w:pPr>
              <w:jc w:val="right"/>
            </w:pPr>
            <w:r>
              <w:rPr>
                <w:color w:val="000000"/>
                <w:sz w:val="24"/>
              </w:rPr>
              <w:t>400,000</w:t>
            </w:r>
          </w:p>
        </w:tc>
        <w:tc>
          <w:tcPr>
            <w:tcW w:w="1701" w:type="dxa"/>
            <w:vAlign w:val="center"/>
          </w:tcPr>
          <w:p w:rsidR="00A9459B" w:rsidRDefault="00FD6859">
            <w:pPr>
              <w:jc w:val="right"/>
            </w:pPr>
            <w:r>
              <w:rPr>
                <w:color w:val="000000"/>
                <w:sz w:val="24"/>
              </w:rPr>
              <w:t>7,916,000.00</w:t>
            </w:r>
          </w:p>
        </w:tc>
        <w:tc>
          <w:tcPr>
            <w:tcW w:w="1843" w:type="dxa"/>
            <w:vAlign w:val="center"/>
          </w:tcPr>
          <w:p w:rsidR="00A9459B" w:rsidRDefault="00FD6859">
            <w:pPr>
              <w:jc w:val="right"/>
            </w:pPr>
            <w:r>
              <w:rPr>
                <w:color w:val="000000"/>
                <w:sz w:val="24"/>
              </w:rPr>
              <w:t>2.49</w:t>
            </w:r>
          </w:p>
        </w:tc>
      </w:tr>
      <w:tr w:rsidR="00A9459B">
        <w:trPr>
          <w:jc w:val="center"/>
        </w:trPr>
        <w:tc>
          <w:tcPr>
            <w:tcW w:w="817" w:type="dxa"/>
            <w:vAlign w:val="center"/>
          </w:tcPr>
          <w:p w:rsidR="00A9459B" w:rsidRDefault="00FD6859">
            <w:pPr>
              <w:jc w:val="center"/>
            </w:pPr>
            <w:r>
              <w:rPr>
                <w:color w:val="000000"/>
                <w:sz w:val="24"/>
              </w:rPr>
              <w:t>4</w:t>
            </w:r>
          </w:p>
        </w:tc>
        <w:tc>
          <w:tcPr>
            <w:tcW w:w="1276" w:type="dxa"/>
            <w:vAlign w:val="center"/>
          </w:tcPr>
          <w:p w:rsidR="00A9459B" w:rsidRDefault="00FD6859">
            <w:pPr>
              <w:jc w:val="center"/>
            </w:pPr>
            <w:r>
              <w:rPr>
                <w:color w:val="000000"/>
                <w:sz w:val="24"/>
              </w:rPr>
              <w:t>000783</w:t>
            </w:r>
          </w:p>
        </w:tc>
        <w:tc>
          <w:tcPr>
            <w:tcW w:w="1701" w:type="dxa"/>
            <w:vAlign w:val="center"/>
          </w:tcPr>
          <w:p w:rsidR="00A9459B" w:rsidRDefault="00FD6859">
            <w:pPr>
              <w:jc w:val="center"/>
            </w:pPr>
            <w:r>
              <w:rPr>
                <w:color w:val="000000"/>
                <w:sz w:val="24"/>
              </w:rPr>
              <w:t>长江证券</w:t>
            </w:r>
          </w:p>
        </w:tc>
        <w:tc>
          <w:tcPr>
            <w:tcW w:w="1559" w:type="dxa"/>
            <w:vAlign w:val="center"/>
          </w:tcPr>
          <w:p w:rsidR="00A9459B" w:rsidRDefault="00FD6859">
            <w:pPr>
              <w:jc w:val="right"/>
            </w:pPr>
            <w:r>
              <w:rPr>
                <w:color w:val="000000"/>
                <w:sz w:val="24"/>
              </w:rPr>
              <w:t>400,000</w:t>
            </w:r>
          </w:p>
        </w:tc>
        <w:tc>
          <w:tcPr>
            <w:tcW w:w="1701" w:type="dxa"/>
            <w:vAlign w:val="center"/>
          </w:tcPr>
          <w:p w:rsidR="00A9459B" w:rsidRDefault="00FD6859">
            <w:pPr>
              <w:jc w:val="right"/>
            </w:pPr>
            <w:r>
              <w:rPr>
                <w:color w:val="000000"/>
                <w:sz w:val="24"/>
              </w:rPr>
              <w:t>6,728,000.00</w:t>
            </w:r>
          </w:p>
        </w:tc>
        <w:tc>
          <w:tcPr>
            <w:tcW w:w="1843" w:type="dxa"/>
            <w:vAlign w:val="center"/>
          </w:tcPr>
          <w:p w:rsidR="00A9459B" w:rsidRDefault="00FD6859">
            <w:pPr>
              <w:jc w:val="right"/>
            </w:pPr>
            <w:r>
              <w:rPr>
                <w:color w:val="000000"/>
                <w:sz w:val="24"/>
              </w:rPr>
              <w:t>2.12</w:t>
            </w:r>
          </w:p>
        </w:tc>
      </w:tr>
      <w:tr w:rsidR="00A9459B">
        <w:trPr>
          <w:jc w:val="center"/>
        </w:trPr>
        <w:tc>
          <w:tcPr>
            <w:tcW w:w="817" w:type="dxa"/>
            <w:vAlign w:val="center"/>
          </w:tcPr>
          <w:p w:rsidR="00A9459B" w:rsidRDefault="00FD6859">
            <w:pPr>
              <w:jc w:val="center"/>
            </w:pPr>
            <w:r>
              <w:rPr>
                <w:color w:val="000000"/>
                <w:sz w:val="24"/>
              </w:rPr>
              <w:t>5</w:t>
            </w:r>
          </w:p>
        </w:tc>
        <w:tc>
          <w:tcPr>
            <w:tcW w:w="1276" w:type="dxa"/>
            <w:vAlign w:val="center"/>
          </w:tcPr>
          <w:p w:rsidR="00A9459B" w:rsidRDefault="00FD6859">
            <w:pPr>
              <w:jc w:val="center"/>
            </w:pPr>
            <w:r>
              <w:rPr>
                <w:color w:val="000000"/>
                <w:sz w:val="24"/>
              </w:rPr>
              <w:t>600584</w:t>
            </w:r>
          </w:p>
        </w:tc>
        <w:tc>
          <w:tcPr>
            <w:tcW w:w="1701" w:type="dxa"/>
            <w:vAlign w:val="center"/>
          </w:tcPr>
          <w:p w:rsidR="00A9459B" w:rsidRDefault="00FD6859">
            <w:pPr>
              <w:jc w:val="center"/>
            </w:pPr>
            <w:r>
              <w:rPr>
                <w:color w:val="000000"/>
                <w:sz w:val="24"/>
              </w:rPr>
              <w:t>长电科技</w:t>
            </w:r>
          </w:p>
        </w:tc>
        <w:tc>
          <w:tcPr>
            <w:tcW w:w="1559" w:type="dxa"/>
            <w:vAlign w:val="center"/>
          </w:tcPr>
          <w:p w:rsidR="00A9459B" w:rsidRDefault="00FD6859">
            <w:pPr>
              <w:jc w:val="right"/>
            </w:pPr>
            <w:r>
              <w:rPr>
                <w:color w:val="000000"/>
                <w:sz w:val="24"/>
              </w:rPr>
              <w:t>599,908</w:t>
            </w:r>
          </w:p>
        </w:tc>
        <w:tc>
          <w:tcPr>
            <w:tcW w:w="1701" w:type="dxa"/>
            <w:vAlign w:val="center"/>
          </w:tcPr>
          <w:p w:rsidR="00A9459B" w:rsidRDefault="00FD6859">
            <w:pPr>
              <w:jc w:val="right"/>
            </w:pPr>
            <w:r>
              <w:rPr>
                <w:color w:val="000000"/>
                <w:sz w:val="24"/>
              </w:rPr>
              <w:t>6,676,976.04</w:t>
            </w:r>
          </w:p>
        </w:tc>
        <w:tc>
          <w:tcPr>
            <w:tcW w:w="1843" w:type="dxa"/>
            <w:vAlign w:val="center"/>
          </w:tcPr>
          <w:p w:rsidR="00A9459B" w:rsidRDefault="00FD6859">
            <w:pPr>
              <w:jc w:val="right"/>
            </w:pPr>
            <w:r>
              <w:rPr>
                <w:color w:val="000000"/>
                <w:sz w:val="24"/>
              </w:rPr>
              <w:t>2.10</w:t>
            </w:r>
          </w:p>
        </w:tc>
      </w:tr>
      <w:tr w:rsidR="00A9459B">
        <w:trPr>
          <w:jc w:val="center"/>
        </w:trPr>
        <w:tc>
          <w:tcPr>
            <w:tcW w:w="817" w:type="dxa"/>
            <w:vAlign w:val="center"/>
          </w:tcPr>
          <w:p w:rsidR="00A9459B" w:rsidRDefault="00FD6859">
            <w:pPr>
              <w:jc w:val="center"/>
            </w:pPr>
            <w:r>
              <w:rPr>
                <w:color w:val="000000"/>
                <w:sz w:val="24"/>
              </w:rPr>
              <w:t>6</w:t>
            </w:r>
          </w:p>
        </w:tc>
        <w:tc>
          <w:tcPr>
            <w:tcW w:w="1276" w:type="dxa"/>
            <w:vAlign w:val="center"/>
          </w:tcPr>
          <w:p w:rsidR="00A9459B" w:rsidRDefault="00FD6859">
            <w:pPr>
              <w:jc w:val="center"/>
            </w:pPr>
            <w:r>
              <w:rPr>
                <w:color w:val="000000"/>
                <w:sz w:val="24"/>
              </w:rPr>
              <w:t>600893</w:t>
            </w:r>
          </w:p>
        </w:tc>
        <w:tc>
          <w:tcPr>
            <w:tcW w:w="1701" w:type="dxa"/>
            <w:vAlign w:val="center"/>
          </w:tcPr>
          <w:p w:rsidR="00A9459B" w:rsidRDefault="00FD6859">
            <w:pPr>
              <w:jc w:val="center"/>
            </w:pPr>
            <w:r>
              <w:rPr>
                <w:color w:val="000000"/>
                <w:sz w:val="24"/>
              </w:rPr>
              <w:t>航空动力</w:t>
            </w:r>
          </w:p>
        </w:tc>
        <w:tc>
          <w:tcPr>
            <w:tcW w:w="1559" w:type="dxa"/>
            <w:vAlign w:val="center"/>
          </w:tcPr>
          <w:p w:rsidR="00A9459B" w:rsidRDefault="00FD6859">
            <w:pPr>
              <w:jc w:val="right"/>
            </w:pPr>
            <w:r>
              <w:rPr>
                <w:color w:val="000000"/>
                <w:sz w:val="24"/>
              </w:rPr>
              <w:t>199,916</w:t>
            </w:r>
          </w:p>
        </w:tc>
        <w:tc>
          <w:tcPr>
            <w:tcW w:w="1701" w:type="dxa"/>
            <w:vAlign w:val="center"/>
          </w:tcPr>
          <w:p w:rsidR="00A9459B" w:rsidRDefault="00FD6859">
            <w:pPr>
              <w:jc w:val="right"/>
            </w:pPr>
            <w:r>
              <w:rPr>
                <w:color w:val="000000"/>
                <w:sz w:val="24"/>
              </w:rPr>
              <w:t>5,789,567.36</w:t>
            </w:r>
          </w:p>
        </w:tc>
        <w:tc>
          <w:tcPr>
            <w:tcW w:w="1843" w:type="dxa"/>
            <w:vAlign w:val="center"/>
          </w:tcPr>
          <w:p w:rsidR="00A9459B" w:rsidRDefault="00FD6859">
            <w:pPr>
              <w:jc w:val="right"/>
            </w:pPr>
            <w:r>
              <w:rPr>
                <w:color w:val="000000"/>
                <w:sz w:val="24"/>
              </w:rPr>
              <w:t>1.82</w:t>
            </w:r>
          </w:p>
        </w:tc>
      </w:tr>
      <w:tr w:rsidR="00A9459B">
        <w:trPr>
          <w:jc w:val="center"/>
        </w:trPr>
        <w:tc>
          <w:tcPr>
            <w:tcW w:w="817" w:type="dxa"/>
            <w:vAlign w:val="center"/>
          </w:tcPr>
          <w:p w:rsidR="00A9459B" w:rsidRDefault="00FD6859">
            <w:pPr>
              <w:jc w:val="center"/>
            </w:pPr>
            <w:r>
              <w:rPr>
                <w:color w:val="000000"/>
                <w:sz w:val="24"/>
              </w:rPr>
              <w:t>7</w:t>
            </w:r>
          </w:p>
        </w:tc>
        <w:tc>
          <w:tcPr>
            <w:tcW w:w="1276" w:type="dxa"/>
            <w:vAlign w:val="center"/>
          </w:tcPr>
          <w:p w:rsidR="00A9459B" w:rsidRDefault="00FD6859">
            <w:pPr>
              <w:jc w:val="center"/>
            </w:pPr>
            <w:r>
              <w:rPr>
                <w:color w:val="000000"/>
                <w:sz w:val="24"/>
              </w:rPr>
              <w:t>600118</w:t>
            </w:r>
          </w:p>
        </w:tc>
        <w:tc>
          <w:tcPr>
            <w:tcW w:w="1701" w:type="dxa"/>
            <w:vAlign w:val="center"/>
          </w:tcPr>
          <w:p w:rsidR="00A9459B" w:rsidRDefault="00FD6859">
            <w:pPr>
              <w:jc w:val="center"/>
            </w:pPr>
            <w:r>
              <w:rPr>
                <w:color w:val="000000"/>
                <w:sz w:val="24"/>
              </w:rPr>
              <w:t>中国卫星</w:t>
            </w:r>
          </w:p>
        </w:tc>
        <w:tc>
          <w:tcPr>
            <w:tcW w:w="1559" w:type="dxa"/>
            <w:vAlign w:val="center"/>
          </w:tcPr>
          <w:p w:rsidR="00A9459B" w:rsidRDefault="00FD6859">
            <w:pPr>
              <w:jc w:val="right"/>
            </w:pPr>
            <w:r>
              <w:rPr>
                <w:color w:val="000000"/>
                <w:sz w:val="24"/>
              </w:rPr>
              <w:t>200,000</w:t>
            </w:r>
          </w:p>
        </w:tc>
        <w:tc>
          <w:tcPr>
            <w:tcW w:w="1701" w:type="dxa"/>
            <w:vAlign w:val="center"/>
          </w:tcPr>
          <w:p w:rsidR="00A9459B" w:rsidRDefault="00FD6859">
            <w:pPr>
              <w:jc w:val="right"/>
            </w:pPr>
            <w:r>
              <w:rPr>
                <w:color w:val="000000"/>
                <w:sz w:val="24"/>
              </w:rPr>
              <w:t>5,696,000.00</w:t>
            </w:r>
          </w:p>
        </w:tc>
        <w:tc>
          <w:tcPr>
            <w:tcW w:w="1843" w:type="dxa"/>
            <w:vAlign w:val="center"/>
          </w:tcPr>
          <w:p w:rsidR="00A9459B" w:rsidRDefault="00FD6859">
            <w:pPr>
              <w:jc w:val="right"/>
            </w:pPr>
            <w:r>
              <w:rPr>
                <w:color w:val="000000"/>
                <w:sz w:val="24"/>
              </w:rPr>
              <w:t>1.79</w:t>
            </w:r>
          </w:p>
        </w:tc>
      </w:tr>
      <w:tr w:rsidR="00A9459B">
        <w:trPr>
          <w:jc w:val="center"/>
        </w:trPr>
        <w:tc>
          <w:tcPr>
            <w:tcW w:w="817" w:type="dxa"/>
            <w:vAlign w:val="center"/>
          </w:tcPr>
          <w:p w:rsidR="00A9459B" w:rsidRDefault="00FD6859">
            <w:pPr>
              <w:jc w:val="center"/>
            </w:pPr>
            <w:r>
              <w:rPr>
                <w:color w:val="000000"/>
                <w:sz w:val="24"/>
              </w:rPr>
              <w:t>8</w:t>
            </w:r>
          </w:p>
        </w:tc>
        <w:tc>
          <w:tcPr>
            <w:tcW w:w="1276" w:type="dxa"/>
            <w:vAlign w:val="center"/>
          </w:tcPr>
          <w:p w:rsidR="00A9459B" w:rsidRDefault="00FD6859">
            <w:pPr>
              <w:jc w:val="center"/>
            </w:pPr>
            <w:r>
              <w:rPr>
                <w:color w:val="000000"/>
                <w:sz w:val="24"/>
              </w:rPr>
              <w:t>601989</w:t>
            </w:r>
          </w:p>
        </w:tc>
        <w:tc>
          <w:tcPr>
            <w:tcW w:w="1701" w:type="dxa"/>
            <w:vAlign w:val="center"/>
          </w:tcPr>
          <w:p w:rsidR="00A9459B" w:rsidRDefault="00FD6859">
            <w:pPr>
              <w:jc w:val="center"/>
            </w:pPr>
            <w:r>
              <w:rPr>
                <w:color w:val="000000"/>
                <w:sz w:val="24"/>
              </w:rPr>
              <w:t>中国重工</w:t>
            </w:r>
          </w:p>
        </w:tc>
        <w:tc>
          <w:tcPr>
            <w:tcW w:w="1559" w:type="dxa"/>
            <w:vAlign w:val="center"/>
          </w:tcPr>
          <w:p w:rsidR="00A9459B" w:rsidRDefault="00FD6859">
            <w:pPr>
              <w:jc w:val="right"/>
            </w:pPr>
            <w:r>
              <w:rPr>
                <w:color w:val="000000"/>
                <w:sz w:val="24"/>
              </w:rPr>
              <w:t>600,000</w:t>
            </w:r>
          </w:p>
        </w:tc>
        <w:tc>
          <w:tcPr>
            <w:tcW w:w="1701" w:type="dxa"/>
            <w:vAlign w:val="center"/>
          </w:tcPr>
          <w:p w:rsidR="00A9459B" w:rsidRDefault="00FD6859">
            <w:pPr>
              <w:jc w:val="right"/>
            </w:pPr>
            <w:r>
              <w:rPr>
                <w:color w:val="000000"/>
                <w:sz w:val="24"/>
              </w:rPr>
              <w:t>5,526,000.00</w:t>
            </w:r>
          </w:p>
        </w:tc>
        <w:tc>
          <w:tcPr>
            <w:tcW w:w="1843" w:type="dxa"/>
            <w:vAlign w:val="center"/>
          </w:tcPr>
          <w:p w:rsidR="00A9459B" w:rsidRDefault="00FD6859">
            <w:pPr>
              <w:jc w:val="right"/>
            </w:pPr>
            <w:r>
              <w:rPr>
                <w:color w:val="000000"/>
                <w:sz w:val="24"/>
              </w:rPr>
              <w:t>1.74</w:t>
            </w:r>
          </w:p>
        </w:tc>
      </w:tr>
      <w:tr w:rsidR="00A9459B">
        <w:trPr>
          <w:jc w:val="center"/>
        </w:trPr>
        <w:tc>
          <w:tcPr>
            <w:tcW w:w="817" w:type="dxa"/>
            <w:vAlign w:val="center"/>
          </w:tcPr>
          <w:p w:rsidR="00A9459B" w:rsidRDefault="00FD6859">
            <w:pPr>
              <w:jc w:val="center"/>
            </w:pPr>
            <w:r>
              <w:rPr>
                <w:color w:val="000000"/>
                <w:sz w:val="24"/>
              </w:rPr>
              <w:t>9</w:t>
            </w:r>
          </w:p>
        </w:tc>
        <w:tc>
          <w:tcPr>
            <w:tcW w:w="1276" w:type="dxa"/>
            <w:vAlign w:val="center"/>
          </w:tcPr>
          <w:p w:rsidR="00A9459B" w:rsidRDefault="00FD6859">
            <w:pPr>
              <w:jc w:val="center"/>
            </w:pPr>
            <w:r>
              <w:rPr>
                <w:color w:val="000000"/>
                <w:sz w:val="24"/>
              </w:rPr>
              <w:t>601788</w:t>
            </w:r>
          </w:p>
        </w:tc>
        <w:tc>
          <w:tcPr>
            <w:tcW w:w="1701" w:type="dxa"/>
            <w:vAlign w:val="center"/>
          </w:tcPr>
          <w:p w:rsidR="00A9459B" w:rsidRDefault="00FD6859">
            <w:pPr>
              <w:jc w:val="center"/>
            </w:pPr>
            <w:r>
              <w:rPr>
                <w:color w:val="000000"/>
                <w:sz w:val="24"/>
              </w:rPr>
              <w:t>光大证券</w:t>
            </w:r>
          </w:p>
        </w:tc>
        <w:tc>
          <w:tcPr>
            <w:tcW w:w="1559" w:type="dxa"/>
            <w:vAlign w:val="center"/>
          </w:tcPr>
          <w:p w:rsidR="00A9459B" w:rsidRDefault="00FD6859">
            <w:pPr>
              <w:jc w:val="right"/>
            </w:pPr>
            <w:r>
              <w:rPr>
                <w:color w:val="000000"/>
                <w:sz w:val="24"/>
              </w:rPr>
              <w:t>132,500</w:t>
            </w:r>
          </w:p>
        </w:tc>
        <w:tc>
          <w:tcPr>
            <w:tcW w:w="1701" w:type="dxa"/>
            <w:vAlign w:val="center"/>
          </w:tcPr>
          <w:p w:rsidR="00A9459B" w:rsidRDefault="00FD6859">
            <w:pPr>
              <w:jc w:val="right"/>
            </w:pPr>
            <w:r>
              <w:rPr>
                <w:color w:val="000000"/>
                <w:sz w:val="24"/>
              </w:rPr>
              <w:t>3,781,550.00</w:t>
            </w:r>
          </w:p>
        </w:tc>
        <w:tc>
          <w:tcPr>
            <w:tcW w:w="1843" w:type="dxa"/>
            <w:vAlign w:val="center"/>
          </w:tcPr>
          <w:p w:rsidR="00A9459B" w:rsidRDefault="00FD6859">
            <w:pPr>
              <w:jc w:val="right"/>
            </w:pPr>
            <w:r>
              <w:rPr>
                <w:color w:val="000000"/>
                <w:sz w:val="24"/>
              </w:rPr>
              <w:t>1.19</w:t>
            </w:r>
          </w:p>
        </w:tc>
      </w:tr>
      <w:tr w:rsidR="00A9459B">
        <w:trPr>
          <w:jc w:val="center"/>
        </w:trPr>
        <w:tc>
          <w:tcPr>
            <w:tcW w:w="817" w:type="dxa"/>
            <w:vAlign w:val="center"/>
          </w:tcPr>
          <w:p w:rsidR="00A9459B" w:rsidRDefault="00FD6859">
            <w:pPr>
              <w:jc w:val="center"/>
            </w:pPr>
            <w:r>
              <w:rPr>
                <w:color w:val="000000"/>
                <w:sz w:val="24"/>
              </w:rPr>
              <w:t>10</w:t>
            </w:r>
          </w:p>
        </w:tc>
        <w:tc>
          <w:tcPr>
            <w:tcW w:w="1276" w:type="dxa"/>
            <w:vAlign w:val="center"/>
          </w:tcPr>
          <w:p w:rsidR="00A9459B" w:rsidRDefault="00FD6859">
            <w:pPr>
              <w:jc w:val="center"/>
            </w:pPr>
            <w:r>
              <w:rPr>
                <w:color w:val="000000"/>
                <w:sz w:val="24"/>
              </w:rPr>
              <w:t>600208</w:t>
            </w:r>
          </w:p>
        </w:tc>
        <w:tc>
          <w:tcPr>
            <w:tcW w:w="1701" w:type="dxa"/>
            <w:vAlign w:val="center"/>
          </w:tcPr>
          <w:p w:rsidR="00A9459B" w:rsidRDefault="00FD6859">
            <w:pPr>
              <w:jc w:val="center"/>
            </w:pPr>
            <w:r>
              <w:rPr>
                <w:color w:val="000000"/>
                <w:sz w:val="24"/>
              </w:rPr>
              <w:t>新湖中宝</w:t>
            </w:r>
          </w:p>
        </w:tc>
        <w:tc>
          <w:tcPr>
            <w:tcW w:w="1559" w:type="dxa"/>
            <w:vAlign w:val="center"/>
          </w:tcPr>
          <w:p w:rsidR="00A9459B" w:rsidRDefault="00FD6859">
            <w:pPr>
              <w:jc w:val="right"/>
            </w:pPr>
            <w:r>
              <w:rPr>
                <w:color w:val="000000"/>
                <w:sz w:val="24"/>
              </w:rPr>
              <w:t>500,000</w:t>
            </w:r>
          </w:p>
        </w:tc>
        <w:tc>
          <w:tcPr>
            <w:tcW w:w="1701" w:type="dxa"/>
            <w:vAlign w:val="center"/>
          </w:tcPr>
          <w:p w:rsidR="00A9459B" w:rsidRDefault="00FD6859">
            <w:pPr>
              <w:jc w:val="right"/>
            </w:pPr>
            <w:r>
              <w:rPr>
                <w:color w:val="000000"/>
                <w:sz w:val="24"/>
              </w:rPr>
              <w:t>3,660,000.00</w:t>
            </w:r>
          </w:p>
        </w:tc>
        <w:tc>
          <w:tcPr>
            <w:tcW w:w="1843" w:type="dxa"/>
            <w:vAlign w:val="center"/>
          </w:tcPr>
          <w:p w:rsidR="00A9459B" w:rsidRDefault="00FD6859">
            <w:pPr>
              <w:jc w:val="right"/>
            </w:pPr>
            <w:r>
              <w:rPr>
                <w:color w:val="000000"/>
                <w:sz w:val="24"/>
              </w:rPr>
              <w:t>1.15</w:t>
            </w:r>
          </w:p>
        </w:tc>
      </w:tr>
    </w:tbl>
    <w:p w:rsidR="001A59F9" w:rsidRPr="00A20DFB" w:rsidRDefault="001A59F9" w:rsidP="00016A50">
      <w:pPr>
        <w:tabs>
          <w:tab w:val="left" w:pos="426"/>
        </w:tabs>
        <w:spacing w:line="360" w:lineRule="auto"/>
        <w:jc w:val="left"/>
        <w:rPr>
          <w:kern w:val="0"/>
          <w:sz w:val="24"/>
        </w:rPr>
      </w:pPr>
      <w:r w:rsidRPr="00A20DFB">
        <w:rPr>
          <w:kern w:val="0"/>
          <w:sz w:val="24"/>
        </w:rPr>
        <w:t>注：投资者欲了解本报告期末基金投资的所有股票明细，应阅读登载于基金管理人网站的年度报告正文。</w:t>
      </w:r>
    </w:p>
    <w:p w:rsidR="00A20DFB" w:rsidRPr="00C51C77" w:rsidRDefault="00A20DFB" w:rsidP="00016A50">
      <w:pPr>
        <w:tabs>
          <w:tab w:val="left" w:pos="426"/>
        </w:tabs>
        <w:spacing w:line="360" w:lineRule="auto"/>
        <w:jc w:val="left"/>
        <w:rPr>
          <w:rFonts w:asciiTheme="minorEastAsia" w:eastAsiaTheme="minorEastAsia" w:hAnsiTheme="minorEastAsia" w:cs="宋体"/>
          <w:kern w:val="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8" w:name="_Toc361324882"/>
      <w:r w:rsidRPr="00245C29">
        <w:rPr>
          <w:rFonts w:ascii="Times New Roman" w:hAnsi="Times New Roman"/>
          <w:kern w:val="0"/>
          <w:szCs w:val="24"/>
        </w:rPr>
        <w:t>8.4</w:t>
      </w:r>
      <w:bookmarkStart w:id="69" w:name="_Toc234814103"/>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报告期内股票投资组合的重大变动</w:t>
      </w:r>
      <w:bookmarkEnd w:id="68"/>
      <w:bookmarkEnd w:id="69"/>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累计买入金额超出</w:t>
      </w:r>
      <w:r w:rsidR="006A7E68" w:rsidRPr="00245C29">
        <w:rPr>
          <w:rFonts w:ascii="Times New Roman" w:hAnsi="Times New Roman" w:hint="eastAsia"/>
          <w:kern w:val="0"/>
          <w:szCs w:val="24"/>
        </w:rPr>
        <w:t>期初</w:t>
      </w:r>
      <w:r w:rsidRPr="00245C29">
        <w:rPr>
          <w:rFonts w:ascii="Times New Roman" w:hAnsi="Times New Roman" w:hint="eastAsia"/>
          <w:kern w:val="0"/>
          <w:szCs w:val="24"/>
        </w:rPr>
        <w:t>基金资产净值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本期累计买入金额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期初</w:t>
            </w:r>
            <w:r w:rsidRPr="00C234F0">
              <w:rPr>
                <w:rFonts w:hint="eastAsia"/>
                <w:color w:val="000000"/>
                <w:sz w:val="24"/>
              </w:rPr>
              <w:t>基金资产净值比例（％）</w:t>
            </w:r>
          </w:p>
        </w:tc>
      </w:tr>
      <w:tr w:rsidR="00A9459B">
        <w:tc>
          <w:tcPr>
            <w:tcW w:w="870" w:type="dxa"/>
            <w:vAlign w:val="center"/>
          </w:tcPr>
          <w:p w:rsidR="00A9459B" w:rsidRDefault="00FD6859">
            <w:pPr>
              <w:jc w:val="center"/>
            </w:pPr>
            <w:r>
              <w:rPr>
                <w:color w:val="000000"/>
                <w:sz w:val="24"/>
              </w:rPr>
              <w:t>1</w:t>
            </w:r>
          </w:p>
        </w:tc>
        <w:tc>
          <w:tcPr>
            <w:tcW w:w="1650" w:type="dxa"/>
            <w:vAlign w:val="center"/>
          </w:tcPr>
          <w:p w:rsidR="00A9459B" w:rsidRDefault="00FD6859">
            <w:pPr>
              <w:jc w:val="center"/>
            </w:pPr>
            <w:r>
              <w:rPr>
                <w:color w:val="000000"/>
                <w:sz w:val="24"/>
              </w:rPr>
              <w:t>002008</w:t>
            </w:r>
          </w:p>
        </w:tc>
        <w:tc>
          <w:tcPr>
            <w:tcW w:w="1980" w:type="dxa"/>
            <w:vAlign w:val="center"/>
          </w:tcPr>
          <w:p w:rsidR="00A9459B" w:rsidRDefault="00FD6859">
            <w:pPr>
              <w:jc w:val="center"/>
            </w:pPr>
            <w:r>
              <w:rPr>
                <w:color w:val="000000"/>
                <w:sz w:val="24"/>
              </w:rPr>
              <w:t>大族激光</w:t>
            </w:r>
          </w:p>
        </w:tc>
        <w:tc>
          <w:tcPr>
            <w:tcW w:w="2880" w:type="dxa"/>
            <w:vAlign w:val="center"/>
          </w:tcPr>
          <w:p w:rsidR="00A9459B" w:rsidRDefault="00FD6859">
            <w:pPr>
              <w:jc w:val="right"/>
            </w:pPr>
            <w:r>
              <w:rPr>
                <w:color w:val="000000"/>
                <w:sz w:val="24"/>
              </w:rPr>
              <w:t>22,243,179.27</w:t>
            </w:r>
          </w:p>
        </w:tc>
        <w:tc>
          <w:tcPr>
            <w:tcW w:w="1620" w:type="dxa"/>
            <w:vAlign w:val="center"/>
          </w:tcPr>
          <w:p w:rsidR="00A9459B" w:rsidRDefault="00FD6859">
            <w:pPr>
              <w:jc w:val="right"/>
            </w:pPr>
            <w:r>
              <w:rPr>
                <w:color w:val="000000"/>
                <w:sz w:val="24"/>
              </w:rPr>
              <w:t>4.53</w:t>
            </w:r>
          </w:p>
        </w:tc>
      </w:tr>
      <w:tr w:rsidR="00A9459B">
        <w:tc>
          <w:tcPr>
            <w:tcW w:w="870" w:type="dxa"/>
            <w:vAlign w:val="center"/>
          </w:tcPr>
          <w:p w:rsidR="00A9459B" w:rsidRDefault="00FD6859">
            <w:pPr>
              <w:jc w:val="center"/>
            </w:pPr>
            <w:r>
              <w:rPr>
                <w:color w:val="000000"/>
                <w:sz w:val="24"/>
              </w:rPr>
              <w:t>2</w:t>
            </w:r>
          </w:p>
        </w:tc>
        <w:tc>
          <w:tcPr>
            <w:tcW w:w="1650" w:type="dxa"/>
            <w:vAlign w:val="center"/>
          </w:tcPr>
          <w:p w:rsidR="00A9459B" w:rsidRDefault="00FD6859">
            <w:pPr>
              <w:jc w:val="center"/>
            </w:pPr>
            <w:r>
              <w:rPr>
                <w:color w:val="000000"/>
                <w:sz w:val="24"/>
              </w:rPr>
              <w:t>600048</w:t>
            </w:r>
          </w:p>
        </w:tc>
        <w:tc>
          <w:tcPr>
            <w:tcW w:w="1980" w:type="dxa"/>
            <w:vAlign w:val="center"/>
          </w:tcPr>
          <w:p w:rsidR="00A9459B" w:rsidRDefault="00FD6859">
            <w:pPr>
              <w:jc w:val="center"/>
            </w:pPr>
            <w:r>
              <w:rPr>
                <w:color w:val="000000"/>
                <w:sz w:val="24"/>
              </w:rPr>
              <w:t>保利地产</w:t>
            </w:r>
          </w:p>
        </w:tc>
        <w:tc>
          <w:tcPr>
            <w:tcW w:w="2880" w:type="dxa"/>
            <w:vAlign w:val="center"/>
          </w:tcPr>
          <w:p w:rsidR="00A9459B" w:rsidRDefault="00FD6859">
            <w:pPr>
              <w:jc w:val="right"/>
            </w:pPr>
            <w:r>
              <w:rPr>
                <w:color w:val="000000"/>
                <w:sz w:val="24"/>
              </w:rPr>
              <w:t>19,363,074.00</w:t>
            </w:r>
          </w:p>
        </w:tc>
        <w:tc>
          <w:tcPr>
            <w:tcW w:w="1620" w:type="dxa"/>
            <w:vAlign w:val="center"/>
          </w:tcPr>
          <w:p w:rsidR="00A9459B" w:rsidRDefault="00FD6859">
            <w:pPr>
              <w:jc w:val="right"/>
            </w:pPr>
            <w:r>
              <w:rPr>
                <w:color w:val="000000"/>
                <w:sz w:val="24"/>
              </w:rPr>
              <w:t>3.94</w:t>
            </w:r>
          </w:p>
        </w:tc>
      </w:tr>
      <w:tr w:rsidR="00A9459B">
        <w:tc>
          <w:tcPr>
            <w:tcW w:w="870" w:type="dxa"/>
            <w:vAlign w:val="center"/>
          </w:tcPr>
          <w:p w:rsidR="00A9459B" w:rsidRDefault="00FD6859">
            <w:pPr>
              <w:jc w:val="center"/>
            </w:pPr>
            <w:r>
              <w:rPr>
                <w:color w:val="000000"/>
                <w:sz w:val="24"/>
              </w:rPr>
              <w:t>3</w:t>
            </w:r>
          </w:p>
        </w:tc>
        <w:tc>
          <w:tcPr>
            <w:tcW w:w="1650" w:type="dxa"/>
            <w:vAlign w:val="center"/>
          </w:tcPr>
          <w:p w:rsidR="00A9459B" w:rsidRDefault="00FD6859">
            <w:pPr>
              <w:jc w:val="center"/>
            </w:pPr>
            <w:r>
              <w:rPr>
                <w:color w:val="000000"/>
                <w:sz w:val="24"/>
              </w:rPr>
              <w:t>600837</w:t>
            </w:r>
          </w:p>
        </w:tc>
        <w:tc>
          <w:tcPr>
            <w:tcW w:w="1980" w:type="dxa"/>
            <w:vAlign w:val="center"/>
          </w:tcPr>
          <w:p w:rsidR="00A9459B" w:rsidRDefault="00FD6859">
            <w:pPr>
              <w:jc w:val="center"/>
            </w:pPr>
            <w:r>
              <w:rPr>
                <w:color w:val="000000"/>
                <w:sz w:val="24"/>
              </w:rPr>
              <w:t>海通证券</w:t>
            </w:r>
          </w:p>
        </w:tc>
        <w:tc>
          <w:tcPr>
            <w:tcW w:w="2880" w:type="dxa"/>
            <w:vAlign w:val="center"/>
          </w:tcPr>
          <w:p w:rsidR="00A9459B" w:rsidRDefault="00FD6859">
            <w:pPr>
              <w:jc w:val="right"/>
            </w:pPr>
            <w:r>
              <w:rPr>
                <w:color w:val="000000"/>
                <w:sz w:val="24"/>
              </w:rPr>
              <w:t>13,628,896.00</w:t>
            </w:r>
          </w:p>
        </w:tc>
        <w:tc>
          <w:tcPr>
            <w:tcW w:w="1620" w:type="dxa"/>
            <w:vAlign w:val="center"/>
          </w:tcPr>
          <w:p w:rsidR="00A9459B" w:rsidRDefault="00FD6859">
            <w:pPr>
              <w:jc w:val="right"/>
            </w:pPr>
            <w:r>
              <w:rPr>
                <w:color w:val="000000"/>
                <w:sz w:val="24"/>
              </w:rPr>
              <w:t>2.77</w:t>
            </w:r>
          </w:p>
        </w:tc>
      </w:tr>
      <w:tr w:rsidR="00A9459B">
        <w:tc>
          <w:tcPr>
            <w:tcW w:w="870" w:type="dxa"/>
            <w:vAlign w:val="center"/>
          </w:tcPr>
          <w:p w:rsidR="00A9459B" w:rsidRDefault="00FD6859">
            <w:pPr>
              <w:jc w:val="center"/>
            </w:pPr>
            <w:r>
              <w:rPr>
                <w:color w:val="000000"/>
                <w:sz w:val="24"/>
              </w:rPr>
              <w:t>4</w:t>
            </w:r>
          </w:p>
        </w:tc>
        <w:tc>
          <w:tcPr>
            <w:tcW w:w="1650" w:type="dxa"/>
            <w:vAlign w:val="center"/>
          </w:tcPr>
          <w:p w:rsidR="00A9459B" w:rsidRDefault="00FD6859">
            <w:pPr>
              <w:jc w:val="center"/>
            </w:pPr>
            <w:r>
              <w:rPr>
                <w:color w:val="000000"/>
                <w:sz w:val="24"/>
              </w:rPr>
              <w:t>601688</w:t>
            </w:r>
          </w:p>
        </w:tc>
        <w:tc>
          <w:tcPr>
            <w:tcW w:w="1980" w:type="dxa"/>
            <w:vAlign w:val="center"/>
          </w:tcPr>
          <w:p w:rsidR="00A9459B" w:rsidRDefault="00FD6859">
            <w:pPr>
              <w:jc w:val="center"/>
            </w:pPr>
            <w:r>
              <w:rPr>
                <w:color w:val="000000"/>
                <w:sz w:val="24"/>
              </w:rPr>
              <w:t>华泰证券</w:t>
            </w:r>
          </w:p>
        </w:tc>
        <w:tc>
          <w:tcPr>
            <w:tcW w:w="2880" w:type="dxa"/>
            <w:vAlign w:val="center"/>
          </w:tcPr>
          <w:p w:rsidR="00A9459B" w:rsidRDefault="00FD6859">
            <w:pPr>
              <w:jc w:val="right"/>
            </w:pPr>
            <w:r>
              <w:rPr>
                <w:color w:val="000000"/>
                <w:sz w:val="24"/>
              </w:rPr>
              <w:t>13,541,701.30</w:t>
            </w:r>
          </w:p>
        </w:tc>
        <w:tc>
          <w:tcPr>
            <w:tcW w:w="1620" w:type="dxa"/>
            <w:vAlign w:val="center"/>
          </w:tcPr>
          <w:p w:rsidR="00A9459B" w:rsidRDefault="00FD6859">
            <w:pPr>
              <w:jc w:val="right"/>
            </w:pPr>
            <w:r>
              <w:rPr>
                <w:color w:val="000000"/>
                <w:sz w:val="24"/>
              </w:rPr>
              <w:t>2.76</w:t>
            </w:r>
          </w:p>
        </w:tc>
      </w:tr>
      <w:tr w:rsidR="00A9459B">
        <w:tc>
          <w:tcPr>
            <w:tcW w:w="870" w:type="dxa"/>
            <w:vAlign w:val="center"/>
          </w:tcPr>
          <w:p w:rsidR="00A9459B" w:rsidRDefault="00FD6859">
            <w:pPr>
              <w:jc w:val="center"/>
            </w:pPr>
            <w:r>
              <w:rPr>
                <w:color w:val="000000"/>
                <w:sz w:val="24"/>
              </w:rPr>
              <w:t>5</w:t>
            </w:r>
          </w:p>
        </w:tc>
        <w:tc>
          <w:tcPr>
            <w:tcW w:w="1650" w:type="dxa"/>
            <w:vAlign w:val="center"/>
          </w:tcPr>
          <w:p w:rsidR="00A9459B" w:rsidRDefault="00FD6859">
            <w:pPr>
              <w:jc w:val="center"/>
            </w:pPr>
            <w:r>
              <w:rPr>
                <w:color w:val="000000"/>
                <w:sz w:val="24"/>
              </w:rPr>
              <w:t>600109</w:t>
            </w:r>
          </w:p>
        </w:tc>
        <w:tc>
          <w:tcPr>
            <w:tcW w:w="1980" w:type="dxa"/>
            <w:vAlign w:val="center"/>
          </w:tcPr>
          <w:p w:rsidR="00A9459B" w:rsidRDefault="00FD6859">
            <w:pPr>
              <w:jc w:val="center"/>
            </w:pPr>
            <w:r>
              <w:rPr>
                <w:color w:val="000000"/>
                <w:sz w:val="24"/>
              </w:rPr>
              <w:t>国金证券</w:t>
            </w:r>
          </w:p>
        </w:tc>
        <w:tc>
          <w:tcPr>
            <w:tcW w:w="2880" w:type="dxa"/>
            <w:vAlign w:val="center"/>
          </w:tcPr>
          <w:p w:rsidR="00A9459B" w:rsidRDefault="00FD6859">
            <w:pPr>
              <w:jc w:val="right"/>
            </w:pPr>
            <w:r>
              <w:rPr>
                <w:color w:val="000000"/>
                <w:sz w:val="24"/>
              </w:rPr>
              <w:t>12,593,528.75</w:t>
            </w:r>
          </w:p>
        </w:tc>
        <w:tc>
          <w:tcPr>
            <w:tcW w:w="1620" w:type="dxa"/>
            <w:vAlign w:val="center"/>
          </w:tcPr>
          <w:p w:rsidR="00A9459B" w:rsidRDefault="00FD6859">
            <w:pPr>
              <w:jc w:val="right"/>
            </w:pPr>
            <w:r>
              <w:rPr>
                <w:color w:val="000000"/>
                <w:sz w:val="24"/>
              </w:rPr>
              <w:t>2.56</w:t>
            </w:r>
          </w:p>
        </w:tc>
      </w:tr>
      <w:tr w:rsidR="00A9459B">
        <w:tc>
          <w:tcPr>
            <w:tcW w:w="870" w:type="dxa"/>
            <w:vAlign w:val="center"/>
          </w:tcPr>
          <w:p w:rsidR="00A9459B" w:rsidRDefault="00FD6859">
            <w:pPr>
              <w:jc w:val="center"/>
            </w:pPr>
            <w:r>
              <w:rPr>
                <w:color w:val="000000"/>
                <w:sz w:val="24"/>
              </w:rPr>
              <w:t>6</w:t>
            </w:r>
          </w:p>
        </w:tc>
        <w:tc>
          <w:tcPr>
            <w:tcW w:w="1650" w:type="dxa"/>
            <w:vAlign w:val="center"/>
          </w:tcPr>
          <w:p w:rsidR="00A9459B" w:rsidRDefault="00FD6859">
            <w:pPr>
              <w:jc w:val="center"/>
            </w:pPr>
            <w:r>
              <w:rPr>
                <w:color w:val="000000"/>
                <w:sz w:val="24"/>
              </w:rPr>
              <w:t>600016</w:t>
            </w:r>
          </w:p>
        </w:tc>
        <w:tc>
          <w:tcPr>
            <w:tcW w:w="1980" w:type="dxa"/>
            <w:vAlign w:val="center"/>
          </w:tcPr>
          <w:p w:rsidR="00A9459B" w:rsidRDefault="00FD6859">
            <w:pPr>
              <w:jc w:val="center"/>
            </w:pPr>
            <w:r>
              <w:rPr>
                <w:color w:val="000000"/>
                <w:sz w:val="24"/>
              </w:rPr>
              <w:t>民生银行</w:t>
            </w:r>
          </w:p>
        </w:tc>
        <w:tc>
          <w:tcPr>
            <w:tcW w:w="2880" w:type="dxa"/>
            <w:vAlign w:val="center"/>
          </w:tcPr>
          <w:p w:rsidR="00A9459B" w:rsidRDefault="00FD6859">
            <w:pPr>
              <w:jc w:val="right"/>
            </w:pPr>
            <w:r>
              <w:rPr>
                <w:color w:val="000000"/>
                <w:sz w:val="24"/>
              </w:rPr>
              <w:t>11,838,480.00</w:t>
            </w:r>
          </w:p>
        </w:tc>
        <w:tc>
          <w:tcPr>
            <w:tcW w:w="1620" w:type="dxa"/>
            <w:vAlign w:val="center"/>
          </w:tcPr>
          <w:p w:rsidR="00A9459B" w:rsidRDefault="00FD6859">
            <w:pPr>
              <w:jc w:val="right"/>
            </w:pPr>
            <w:r>
              <w:rPr>
                <w:color w:val="000000"/>
                <w:sz w:val="24"/>
              </w:rPr>
              <w:t>2.41</w:t>
            </w:r>
          </w:p>
        </w:tc>
      </w:tr>
      <w:tr w:rsidR="00A9459B">
        <w:tc>
          <w:tcPr>
            <w:tcW w:w="870" w:type="dxa"/>
            <w:vAlign w:val="center"/>
          </w:tcPr>
          <w:p w:rsidR="00A9459B" w:rsidRDefault="00FD6859">
            <w:pPr>
              <w:jc w:val="center"/>
            </w:pPr>
            <w:r>
              <w:rPr>
                <w:color w:val="000000"/>
                <w:sz w:val="24"/>
              </w:rPr>
              <w:t>7</w:t>
            </w:r>
          </w:p>
        </w:tc>
        <w:tc>
          <w:tcPr>
            <w:tcW w:w="1650" w:type="dxa"/>
            <w:vAlign w:val="center"/>
          </w:tcPr>
          <w:p w:rsidR="00A9459B" w:rsidRDefault="00FD6859">
            <w:pPr>
              <w:jc w:val="center"/>
            </w:pPr>
            <w:r>
              <w:rPr>
                <w:color w:val="000000"/>
                <w:sz w:val="24"/>
              </w:rPr>
              <w:t>600050</w:t>
            </w:r>
          </w:p>
        </w:tc>
        <w:tc>
          <w:tcPr>
            <w:tcW w:w="1980" w:type="dxa"/>
            <w:vAlign w:val="center"/>
          </w:tcPr>
          <w:p w:rsidR="00A9459B" w:rsidRDefault="00FD6859">
            <w:pPr>
              <w:jc w:val="center"/>
            </w:pPr>
            <w:r>
              <w:rPr>
                <w:color w:val="000000"/>
                <w:sz w:val="24"/>
              </w:rPr>
              <w:t>中国联通</w:t>
            </w:r>
          </w:p>
        </w:tc>
        <w:tc>
          <w:tcPr>
            <w:tcW w:w="2880" w:type="dxa"/>
            <w:vAlign w:val="center"/>
          </w:tcPr>
          <w:p w:rsidR="00A9459B" w:rsidRDefault="00FD6859">
            <w:pPr>
              <w:jc w:val="right"/>
            </w:pPr>
            <w:r>
              <w:rPr>
                <w:color w:val="000000"/>
                <w:sz w:val="24"/>
              </w:rPr>
              <w:t>10,738,120.00</w:t>
            </w:r>
          </w:p>
        </w:tc>
        <w:tc>
          <w:tcPr>
            <w:tcW w:w="1620" w:type="dxa"/>
            <w:vAlign w:val="center"/>
          </w:tcPr>
          <w:p w:rsidR="00A9459B" w:rsidRDefault="00FD6859">
            <w:pPr>
              <w:jc w:val="right"/>
            </w:pPr>
            <w:r>
              <w:rPr>
                <w:color w:val="000000"/>
                <w:sz w:val="24"/>
              </w:rPr>
              <w:t>2.19</w:t>
            </w:r>
          </w:p>
        </w:tc>
      </w:tr>
      <w:tr w:rsidR="00A9459B">
        <w:tc>
          <w:tcPr>
            <w:tcW w:w="870" w:type="dxa"/>
            <w:vAlign w:val="center"/>
          </w:tcPr>
          <w:p w:rsidR="00A9459B" w:rsidRDefault="00FD6859">
            <w:pPr>
              <w:jc w:val="center"/>
            </w:pPr>
            <w:r>
              <w:rPr>
                <w:color w:val="000000"/>
                <w:sz w:val="24"/>
              </w:rPr>
              <w:t>8</w:t>
            </w:r>
          </w:p>
        </w:tc>
        <w:tc>
          <w:tcPr>
            <w:tcW w:w="1650" w:type="dxa"/>
            <w:vAlign w:val="center"/>
          </w:tcPr>
          <w:p w:rsidR="00A9459B" w:rsidRDefault="00FD6859">
            <w:pPr>
              <w:jc w:val="center"/>
            </w:pPr>
            <w:r>
              <w:rPr>
                <w:color w:val="000000"/>
                <w:sz w:val="24"/>
              </w:rPr>
              <w:t>600584</w:t>
            </w:r>
          </w:p>
        </w:tc>
        <w:tc>
          <w:tcPr>
            <w:tcW w:w="1980" w:type="dxa"/>
            <w:vAlign w:val="center"/>
          </w:tcPr>
          <w:p w:rsidR="00A9459B" w:rsidRDefault="00FD6859">
            <w:pPr>
              <w:jc w:val="center"/>
            </w:pPr>
            <w:r>
              <w:rPr>
                <w:color w:val="000000"/>
                <w:sz w:val="24"/>
              </w:rPr>
              <w:t>长电科技</w:t>
            </w:r>
          </w:p>
        </w:tc>
        <w:tc>
          <w:tcPr>
            <w:tcW w:w="2880" w:type="dxa"/>
            <w:vAlign w:val="center"/>
          </w:tcPr>
          <w:p w:rsidR="00A9459B" w:rsidRDefault="00FD6859">
            <w:pPr>
              <w:jc w:val="right"/>
            </w:pPr>
            <w:r>
              <w:rPr>
                <w:color w:val="000000"/>
                <w:sz w:val="24"/>
              </w:rPr>
              <w:t>10,627,581.30</w:t>
            </w:r>
          </w:p>
        </w:tc>
        <w:tc>
          <w:tcPr>
            <w:tcW w:w="1620" w:type="dxa"/>
            <w:vAlign w:val="center"/>
          </w:tcPr>
          <w:p w:rsidR="00A9459B" w:rsidRDefault="00FD6859">
            <w:pPr>
              <w:jc w:val="right"/>
            </w:pPr>
            <w:r>
              <w:rPr>
                <w:color w:val="000000"/>
                <w:sz w:val="24"/>
              </w:rPr>
              <w:t>2.16</w:t>
            </w:r>
          </w:p>
        </w:tc>
      </w:tr>
      <w:tr w:rsidR="00A9459B">
        <w:tc>
          <w:tcPr>
            <w:tcW w:w="870" w:type="dxa"/>
            <w:vAlign w:val="center"/>
          </w:tcPr>
          <w:p w:rsidR="00A9459B" w:rsidRDefault="00FD6859">
            <w:pPr>
              <w:jc w:val="center"/>
            </w:pPr>
            <w:r>
              <w:rPr>
                <w:color w:val="000000"/>
                <w:sz w:val="24"/>
              </w:rPr>
              <w:t>9</w:t>
            </w:r>
          </w:p>
        </w:tc>
        <w:tc>
          <w:tcPr>
            <w:tcW w:w="1650" w:type="dxa"/>
            <w:vAlign w:val="center"/>
          </w:tcPr>
          <w:p w:rsidR="00A9459B" w:rsidRDefault="00FD6859">
            <w:pPr>
              <w:jc w:val="center"/>
            </w:pPr>
            <w:r>
              <w:rPr>
                <w:color w:val="000000"/>
                <w:sz w:val="24"/>
              </w:rPr>
              <w:t>600703</w:t>
            </w:r>
          </w:p>
        </w:tc>
        <w:tc>
          <w:tcPr>
            <w:tcW w:w="1980" w:type="dxa"/>
            <w:vAlign w:val="center"/>
          </w:tcPr>
          <w:p w:rsidR="00A9459B" w:rsidRDefault="00FD6859">
            <w:pPr>
              <w:jc w:val="center"/>
            </w:pPr>
            <w:r>
              <w:rPr>
                <w:color w:val="000000"/>
                <w:sz w:val="24"/>
              </w:rPr>
              <w:t>三安光电</w:t>
            </w:r>
          </w:p>
        </w:tc>
        <w:tc>
          <w:tcPr>
            <w:tcW w:w="2880" w:type="dxa"/>
            <w:vAlign w:val="center"/>
          </w:tcPr>
          <w:p w:rsidR="00A9459B" w:rsidRDefault="00FD6859">
            <w:pPr>
              <w:jc w:val="right"/>
            </w:pPr>
            <w:r>
              <w:rPr>
                <w:color w:val="000000"/>
                <w:sz w:val="24"/>
              </w:rPr>
              <w:t>9,913,168.92</w:t>
            </w:r>
          </w:p>
        </w:tc>
        <w:tc>
          <w:tcPr>
            <w:tcW w:w="1620" w:type="dxa"/>
            <w:vAlign w:val="center"/>
          </w:tcPr>
          <w:p w:rsidR="00A9459B" w:rsidRDefault="00FD6859">
            <w:pPr>
              <w:jc w:val="right"/>
            </w:pPr>
            <w:r>
              <w:rPr>
                <w:color w:val="000000"/>
                <w:sz w:val="24"/>
              </w:rPr>
              <w:t>2.02</w:t>
            </w:r>
          </w:p>
        </w:tc>
      </w:tr>
      <w:tr w:rsidR="00A9459B">
        <w:tc>
          <w:tcPr>
            <w:tcW w:w="870" w:type="dxa"/>
            <w:vAlign w:val="center"/>
          </w:tcPr>
          <w:p w:rsidR="00A9459B" w:rsidRDefault="00FD6859">
            <w:pPr>
              <w:jc w:val="center"/>
            </w:pPr>
            <w:r>
              <w:rPr>
                <w:color w:val="000000"/>
                <w:sz w:val="24"/>
              </w:rPr>
              <w:t>10</w:t>
            </w:r>
          </w:p>
        </w:tc>
        <w:tc>
          <w:tcPr>
            <w:tcW w:w="1650" w:type="dxa"/>
            <w:vAlign w:val="center"/>
          </w:tcPr>
          <w:p w:rsidR="00A9459B" w:rsidRDefault="00FD6859">
            <w:pPr>
              <w:jc w:val="center"/>
            </w:pPr>
            <w:r>
              <w:rPr>
                <w:color w:val="000000"/>
                <w:sz w:val="24"/>
              </w:rPr>
              <w:t>000783</w:t>
            </w:r>
          </w:p>
        </w:tc>
        <w:tc>
          <w:tcPr>
            <w:tcW w:w="1980" w:type="dxa"/>
            <w:vAlign w:val="center"/>
          </w:tcPr>
          <w:p w:rsidR="00A9459B" w:rsidRDefault="00FD6859">
            <w:pPr>
              <w:jc w:val="center"/>
            </w:pPr>
            <w:r>
              <w:rPr>
                <w:color w:val="000000"/>
                <w:sz w:val="24"/>
              </w:rPr>
              <w:t>长江证券</w:t>
            </w:r>
          </w:p>
        </w:tc>
        <w:tc>
          <w:tcPr>
            <w:tcW w:w="2880" w:type="dxa"/>
            <w:vAlign w:val="center"/>
          </w:tcPr>
          <w:p w:rsidR="00A9459B" w:rsidRDefault="00FD6859">
            <w:pPr>
              <w:jc w:val="right"/>
            </w:pPr>
            <w:r>
              <w:rPr>
                <w:color w:val="000000"/>
                <w:sz w:val="24"/>
              </w:rPr>
              <w:t>8,810,587.69</w:t>
            </w:r>
          </w:p>
        </w:tc>
        <w:tc>
          <w:tcPr>
            <w:tcW w:w="1620" w:type="dxa"/>
            <w:vAlign w:val="center"/>
          </w:tcPr>
          <w:p w:rsidR="00A9459B" w:rsidRDefault="00FD6859">
            <w:pPr>
              <w:jc w:val="right"/>
            </w:pPr>
            <w:r>
              <w:rPr>
                <w:color w:val="000000"/>
                <w:sz w:val="24"/>
              </w:rPr>
              <w:t>1.79</w:t>
            </w:r>
          </w:p>
        </w:tc>
      </w:tr>
      <w:tr w:rsidR="00A9459B">
        <w:tc>
          <w:tcPr>
            <w:tcW w:w="870" w:type="dxa"/>
            <w:vAlign w:val="center"/>
          </w:tcPr>
          <w:p w:rsidR="00A9459B" w:rsidRDefault="00FD6859">
            <w:pPr>
              <w:jc w:val="center"/>
            </w:pPr>
            <w:r>
              <w:rPr>
                <w:color w:val="000000"/>
                <w:sz w:val="24"/>
              </w:rPr>
              <w:t>11</w:t>
            </w:r>
          </w:p>
        </w:tc>
        <w:tc>
          <w:tcPr>
            <w:tcW w:w="1650" w:type="dxa"/>
            <w:vAlign w:val="center"/>
          </w:tcPr>
          <w:p w:rsidR="00A9459B" w:rsidRDefault="00FD6859">
            <w:pPr>
              <w:jc w:val="center"/>
            </w:pPr>
            <w:r>
              <w:rPr>
                <w:color w:val="000000"/>
                <w:sz w:val="24"/>
              </w:rPr>
              <w:t>000100</w:t>
            </w:r>
          </w:p>
        </w:tc>
        <w:tc>
          <w:tcPr>
            <w:tcW w:w="1980" w:type="dxa"/>
            <w:vAlign w:val="center"/>
          </w:tcPr>
          <w:p w:rsidR="00A9459B" w:rsidRDefault="00FD6859">
            <w:pPr>
              <w:jc w:val="center"/>
            </w:pPr>
            <w:r>
              <w:rPr>
                <w:color w:val="000000"/>
                <w:sz w:val="24"/>
              </w:rPr>
              <w:t xml:space="preserve">TCL </w:t>
            </w:r>
            <w:r>
              <w:rPr>
                <w:color w:val="000000"/>
                <w:sz w:val="24"/>
              </w:rPr>
              <w:t>集团</w:t>
            </w:r>
          </w:p>
        </w:tc>
        <w:tc>
          <w:tcPr>
            <w:tcW w:w="2880" w:type="dxa"/>
            <w:vAlign w:val="center"/>
          </w:tcPr>
          <w:p w:rsidR="00A9459B" w:rsidRDefault="00FD6859">
            <w:pPr>
              <w:jc w:val="right"/>
            </w:pPr>
            <w:r>
              <w:rPr>
                <w:color w:val="000000"/>
                <w:sz w:val="24"/>
              </w:rPr>
              <w:t>8,397,214.90</w:t>
            </w:r>
          </w:p>
        </w:tc>
        <w:tc>
          <w:tcPr>
            <w:tcW w:w="1620" w:type="dxa"/>
            <w:vAlign w:val="center"/>
          </w:tcPr>
          <w:p w:rsidR="00A9459B" w:rsidRDefault="00FD6859">
            <w:pPr>
              <w:jc w:val="right"/>
            </w:pPr>
            <w:r>
              <w:rPr>
                <w:color w:val="000000"/>
                <w:sz w:val="24"/>
              </w:rPr>
              <w:t>1.71</w:t>
            </w:r>
          </w:p>
        </w:tc>
      </w:tr>
      <w:tr w:rsidR="00A9459B">
        <w:tc>
          <w:tcPr>
            <w:tcW w:w="870" w:type="dxa"/>
            <w:vAlign w:val="center"/>
          </w:tcPr>
          <w:p w:rsidR="00A9459B" w:rsidRDefault="00FD6859">
            <w:pPr>
              <w:jc w:val="center"/>
            </w:pPr>
            <w:r>
              <w:rPr>
                <w:color w:val="000000"/>
                <w:sz w:val="24"/>
              </w:rPr>
              <w:t>12</w:t>
            </w:r>
          </w:p>
        </w:tc>
        <w:tc>
          <w:tcPr>
            <w:tcW w:w="1650" w:type="dxa"/>
            <w:vAlign w:val="center"/>
          </w:tcPr>
          <w:p w:rsidR="00A9459B" w:rsidRDefault="00FD6859">
            <w:pPr>
              <w:jc w:val="center"/>
            </w:pPr>
            <w:r>
              <w:rPr>
                <w:color w:val="000000"/>
                <w:sz w:val="24"/>
              </w:rPr>
              <w:t>600804</w:t>
            </w:r>
          </w:p>
        </w:tc>
        <w:tc>
          <w:tcPr>
            <w:tcW w:w="1980" w:type="dxa"/>
            <w:vAlign w:val="center"/>
          </w:tcPr>
          <w:p w:rsidR="00A9459B" w:rsidRDefault="00FD6859">
            <w:pPr>
              <w:jc w:val="center"/>
            </w:pPr>
            <w:r>
              <w:rPr>
                <w:color w:val="000000"/>
                <w:sz w:val="24"/>
              </w:rPr>
              <w:t>鹏博士</w:t>
            </w:r>
          </w:p>
        </w:tc>
        <w:tc>
          <w:tcPr>
            <w:tcW w:w="2880" w:type="dxa"/>
            <w:vAlign w:val="center"/>
          </w:tcPr>
          <w:p w:rsidR="00A9459B" w:rsidRDefault="00FD6859">
            <w:pPr>
              <w:jc w:val="right"/>
            </w:pPr>
            <w:r>
              <w:rPr>
                <w:color w:val="000000"/>
                <w:sz w:val="24"/>
              </w:rPr>
              <w:t>8,229,812.61</w:t>
            </w:r>
          </w:p>
        </w:tc>
        <w:tc>
          <w:tcPr>
            <w:tcW w:w="1620" w:type="dxa"/>
            <w:vAlign w:val="center"/>
          </w:tcPr>
          <w:p w:rsidR="00A9459B" w:rsidRDefault="00FD6859">
            <w:pPr>
              <w:jc w:val="right"/>
            </w:pPr>
            <w:r>
              <w:rPr>
                <w:color w:val="000000"/>
                <w:sz w:val="24"/>
              </w:rPr>
              <w:t>1.68</w:t>
            </w:r>
          </w:p>
        </w:tc>
      </w:tr>
      <w:tr w:rsidR="00A9459B">
        <w:tc>
          <w:tcPr>
            <w:tcW w:w="870" w:type="dxa"/>
            <w:vAlign w:val="center"/>
          </w:tcPr>
          <w:p w:rsidR="00A9459B" w:rsidRDefault="00FD6859">
            <w:pPr>
              <w:jc w:val="center"/>
            </w:pPr>
            <w:r>
              <w:rPr>
                <w:color w:val="000000"/>
                <w:sz w:val="24"/>
              </w:rPr>
              <w:t>13</w:t>
            </w:r>
          </w:p>
        </w:tc>
        <w:tc>
          <w:tcPr>
            <w:tcW w:w="1650" w:type="dxa"/>
            <w:vAlign w:val="center"/>
          </w:tcPr>
          <w:p w:rsidR="00A9459B" w:rsidRDefault="00FD6859">
            <w:pPr>
              <w:jc w:val="center"/>
            </w:pPr>
            <w:r>
              <w:rPr>
                <w:color w:val="000000"/>
                <w:sz w:val="24"/>
              </w:rPr>
              <w:t>601788</w:t>
            </w:r>
          </w:p>
        </w:tc>
        <w:tc>
          <w:tcPr>
            <w:tcW w:w="1980" w:type="dxa"/>
            <w:vAlign w:val="center"/>
          </w:tcPr>
          <w:p w:rsidR="00A9459B" w:rsidRDefault="00FD6859">
            <w:pPr>
              <w:jc w:val="center"/>
            </w:pPr>
            <w:r>
              <w:rPr>
                <w:color w:val="000000"/>
                <w:sz w:val="24"/>
              </w:rPr>
              <w:t>光大证券</w:t>
            </w:r>
          </w:p>
        </w:tc>
        <w:tc>
          <w:tcPr>
            <w:tcW w:w="2880" w:type="dxa"/>
            <w:vAlign w:val="center"/>
          </w:tcPr>
          <w:p w:rsidR="00A9459B" w:rsidRDefault="00FD6859">
            <w:pPr>
              <w:jc w:val="right"/>
            </w:pPr>
            <w:r>
              <w:rPr>
                <w:color w:val="000000"/>
                <w:sz w:val="24"/>
              </w:rPr>
              <w:t>7,946,764.00</w:t>
            </w:r>
          </w:p>
        </w:tc>
        <w:tc>
          <w:tcPr>
            <w:tcW w:w="1620" w:type="dxa"/>
            <w:vAlign w:val="center"/>
          </w:tcPr>
          <w:p w:rsidR="00A9459B" w:rsidRDefault="00FD6859">
            <w:pPr>
              <w:jc w:val="right"/>
            </w:pPr>
            <w:r>
              <w:rPr>
                <w:color w:val="000000"/>
                <w:sz w:val="24"/>
              </w:rPr>
              <w:t>1.62</w:t>
            </w:r>
          </w:p>
        </w:tc>
      </w:tr>
      <w:tr w:rsidR="00A9459B">
        <w:tc>
          <w:tcPr>
            <w:tcW w:w="870" w:type="dxa"/>
            <w:vAlign w:val="center"/>
          </w:tcPr>
          <w:p w:rsidR="00A9459B" w:rsidRDefault="00FD6859">
            <w:pPr>
              <w:jc w:val="center"/>
            </w:pPr>
            <w:r>
              <w:rPr>
                <w:color w:val="000000"/>
                <w:sz w:val="24"/>
              </w:rPr>
              <w:t>14</w:t>
            </w:r>
          </w:p>
        </w:tc>
        <w:tc>
          <w:tcPr>
            <w:tcW w:w="1650" w:type="dxa"/>
            <w:vAlign w:val="center"/>
          </w:tcPr>
          <w:p w:rsidR="00A9459B" w:rsidRDefault="00FD6859">
            <w:pPr>
              <w:jc w:val="center"/>
            </w:pPr>
            <w:r>
              <w:rPr>
                <w:color w:val="000000"/>
                <w:sz w:val="24"/>
              </w:rPr>
              <w:t>300104</w:t>
            </w:r>
          </w:p>
        </w:tc>
        <w:tc>
          <w:tcPr>
            <w:tcW w:w="1980" w:type="dxa"/>
            <w:vAlign w:val="center"/>
          </w:tcPr>
          <w:p w:rsidR="00A9459B" w:rsidRDefault="00FD6859">
            <w:pPr>
              <w:jc w:val="center"/>
            </w:pPr>
            <w:r>
              <w:rPr>
                <w:color w:val="000000"/>
                <w:sz w:val="24"/>
              </w:rPr>
              <w:t>乐视网</w:t>
            </w:r>
          </w:p>
        </w:tc>
        <w:tc>
          <w:tcPr>
            <w:tcW w:w="2880" w:type="dxa"/>
            <w:vAlign w:val="center"/>
          </w:tcPr>
          <w:p w:rsidR="00A9459B" w:rsidRDefault="00FD6859">
            <w:pPr>
              <w:jc w:val="right"/>
            </w:pPr>
            <w:r>
              <w:rPr>
                <w:color w:val="000000"/>
                <w:sz w:val="24"/>
              </w:rPr>
              <w:t>7,697,417.00</w:t>
            </w:r>
          </w:p>
        </w:tc>
        <w:tc>
          <w:tcPr>
            <w:tcW w:w="1620" w:type="dxa"/>
            <w:vAlign w:val="center"/>
          </w:tcPr>
          <w:p w:rsidR="00A9459B" w:rsidRDefault="00FD6859">
            <w:pPr>
              <w:jc w:val="right"/>
            </w:pPr>
            <w:r>
              <w:rPr>
                <w:color w:val="000000"/>
                <w:sz w:val="24"/>
              </w:rPr>
              <w:t>1.57</w:t>
            </w:r>
          </w:p>
        </w:tc>
      </w:tr>
      <w:tr w:rsidR="00A9459B">
        <w:tc>
          <w:tcPr>
            <w:tcW w:w="870" w:type="dxa"/>
            <w:vAlign w:val="center"/>
          </w:tcPr>
          <w:p w:rsidR="00A9459B" w:rsidRDefault="00FD6859">
            <w:pPr>
              <w:jc w:val="center"/>
            </w:pPr>
            <w:r>
              <w:rPr>
                <w:color w:val="000000"/>
                <w:sz w:val="24"/>
              </w:rPr>
              <w:t>15</w:t>
            </w:r>
          </w:p>
        </w:tc>
        <w:tc>
          <w:tcPr>
            <w:tcW w:w="1650" w:type="dxa"/>
            <w:vAlign w:val="center"/>
          </w:tcPr>
          <w:p w:rsidR="00A9459B" w:rsidRDefault="00FD6859">
            <w:pPr>
              <w:jc w:val="center"/>
            </w:pPr>
            <w:r>
              <w:rPr>
                <w:color w:val="000000"/>
                <w:sz w:val="24"/>
              </w:rPr>
              <w:t>601989</w:t>
            </w:r>
          </w:p>
        </w:tc>
        <w:tc>
          <w:tcPr>
            <w:tcW w:w="1980" w:type="dxa"/>
            <w:vAlign w:val="center"/>
          </w:tcPr>
          <w:p w:rsidR="00A9459B" w:rsidRDefault="00FD6859">
            <w:pPr>
              <w:jc w:val="center"/>
            </w:pPr>
            <w:r>
              <w:rPr>
                <w:color w:val="000000"/>
                <w:sz w:val="24"/>
              </w:rPr>
              <w:t>中国重工</w:t>
            </w:r>
          </w:p>
        </w:tc>
        <w:tc>
          <w:tcPr>
            <w:tcW w:w="2880" w:type="dxa"/>
            <w:vAlign w:val="center"/>
          </w:tcPr>
          <w:p w:rsidR="00A9459B" w:rsidRDefault="00FD6859">
            <w:pPr>
              <w:jc w:val="right"/>
            </w:pPr>
            <w:r>
              <w:rPr>
                <w:color w:val="000000"/>
                <w:sz w:val="24"/>
              </w:rPr>
              <w:t>7,593,594.00</w:t>
            </w:r>
          </w:p>
        </w:tc>
        <w:tc>
          <w:tcPr>
            <w:tcW w:w="1620" w:type="dxa"/>
            <w:vAlign w:val="center"/>
          </w:tcPr>
          <w:p w:rsidR="00A9459B" w:rsidRDefault="00FD6859">
            <w:pPr>
              <w:jc w:val="right"/>
            </w:pPr>
            <w:r>
              <w:rPr>
                <w:color w:val="000000"/>
                <w:sz w:val="24"/>
              </w:rPr>
              <w:t>1.55</w:t>
            </w:r>
          </w:p>
        </w:tc>
      </w:tr>
      <w:tr w:rsidR="00A9459B">
        <w:tc>
          <w:tcPr>
            <w:tcW w:w="870" w:type="dxa"/>
            <w:vAlign w:val="center"/>
          </w:tcPr>
          <w:p w:rsidR="00A9459B" w:rsidRDefault="00FD6859">
            <w:pPr>
              <w:jc w:val="center"/>
            </w:pPr>
            <w:r>
              <w:rPr>
                <w:color w:val="000000"/>
                <w:sz w:val="24"/>
              </w:rPr>
              <w:t>16</w:t>
            </w:r>
          </w:p>
        </w:tc>
        <w:tc>
          <w:tcPr>
            <w:tcW w:w="1650" w:type="dxa"/>
            <w:vAlign w:val="center"/>
          </w:tcPr>
          <w:p w:rsidR="00A9459B" w:rsidRDefault="00FD6859">
            <w:pPr>
              <w:jc w:val="center"/>
            </w:pPr>
            <w:r>
              <w:rPr>
                <w:color w:val="000000"/>
                <w:sz w:val="24"/>
              </w:rPr>
              <w:t>000768</w:t>
            </w:r>
          </w:p>
        </w:tc>
        <w:tc>
          <w:tcPr>
            <w:tcW w:w="1980" w:type="dxa"/>
            <w:vAlign w:val="center"/>
          </w:tcPr>
          <w:p w:rsidR="00A9459B" w:rsidRDefault="00FD6859">
            <w:pPr>
              <w:jc w:val="center"/>
            </w:pPr>
            <w:r>
              <w:rPr>
                <w:color w:val="000000"/>
                <w:sz w:val="24"/>
              </w:rPr>
              <w:t>中航飞机</w:t>
            </w:r>
          </w:p>
        </w:tc>
        <w:tc>
          <w:tcPr>
            <w:tcW w:w="2880" w:type="dxa"/>
            <w:vAlign w:val="center"/>
          </w:tcPr>
          <w:p w:rsidR="00A9459B" w:rsidRDefault="00FD6859">
            <w:pPr>
              <w:jc w:val="right"/>
            </w:pPr>
            <w:r>
              <w:rPr>
                <w:color w:val="000000"/>
                <w:sz w:val="24"/>
              </w:rPr>
              <w:t>7,349,402.36</w:t>
            </w:r>
          </w:p>
        </w:tc>
        <w:tc>
          <w:tcPr>
            <w:tcW w:w="1620" w:type="dxa"/>
            <w:vAlign w:val="center"/>
          </w:tcPr>
          <w:p w:rsidR="00A9459B" w:rsidRDefault="00FD6859">
            <w:pPr>
              <w:jc w:val="right"/>
            </w:pPr>
            <w:r>
              <w:rPr>
                <w:color w:val="000000"/>
                <w:sz w:val="24"/>
              </w:rPr>
              <w:t>1.50</w:t>
            </w:r>
          </w:p>
        </w:tc>
      </w:tr>
      <w:tr w:rsidR="00A9459B">
        <w:tc>
          <w:tcPr>
            <w:tcW w:w="870" w:type="dxa"/>
            <w:vAlign w:val="center"/>
          </w:tcPr>
          <w:p w:rsidR="00A9459B" w:rsidRDefault="00FD6859">
            <w:pPr>
              <w:jc w:val="center"/>
            </w:pPr>
            <w:r>
              <w:rPr>
                <w:color w:val="000000"/>
                <w:sz w:val="24"/>
              </w:rPr>
              <w:t>17</w:t>
            </w:r>
          </w:p>
        </w:tc>
        <w:tc>
          <w:tcPr>
            <w:tcW w:w="1650" w:type="dxa"/>
            <w:vAlign w:val="center"/>
          </w:tcPr>
          <w:p w:rsidR="00A9459B" w:rsidRDefault="00FD6859">
            <w:pPr>
              <w:jc w:val="center"/>
            </w:pPr>
            <w:r>
              <w:rPr>
                <w:color w:val="000000"/>
                <w:sz w:val="24"/>
              </w:rPr>
              <w:t>600893</w:t>
            </w:r>
          </w:p>
        </w:tc>
        <w:tc>
          <w:tcPr>
            <w:tcW w:w="1980" w:type="dxa"/>
            <w:vAlign w:val="center"/>
          </w:tcPr>
          <w:p w:rsidR="00A9459B" w:rsidRDefault="00FD6859">
            <w:pPr>
              <w:jc w:val="center"/>
            </w:pPr>
            <w:r>
              <w:rPr>
                <w:color w:val="000000"/>
                <w:sz w:val="24"/>
              </w:rPr>
              <w:t>中航动力</w:t>
            </w:r>
          </w:p>
        </w:tc>
        <w:tc>
          <w:tcPr>
            <w:tcW w:w="2880" w:type="dxa"/>
            <w:vAlign w:val="center"/>
          </w:tcPr>
          <w:p w:rsidR="00A9459B" w:rsidRDefault="00FD6859">
            <w:pPr>
              <w:jc w:val="right"/>
            </w:pPr>
            <w:r>
              <w:rPr>
                <w:color w:val="000000"/>
                <w:sz w:val="24"/>
              </w:rPr>
              <w:t>7,189,190.88</w:t>
            </w:r>
          </w:p>
        </w:tc>
        <w:tc>
          <w:tcPr>
            <w:tcW w:w="1620" w:type="dxa"/>
            <w:vAlign w:val="center"/>
          </w:tcPr>
          <w:p w:rsidR="00A9459B" w:rsidRDefault="00FD6859">
            <w:pPr>
              <w:jc w:val="right"/>
            </w:pPr>
            <w:r>
              <w:rPr>
                <w:color w:val="000000"/>
                <w:sz w:val="24"/>
              </w:rPr>
              <w:t>1.46</w:t>
            </w:r>
          </w:p>
        </w:tc>
      </w:tr>
      <w:tr w:rsidR="00A9459B">
        <w:tc>
          <w:tcPr>
            <w:tcW w:w="870" w:type="dxa"/>
            <w:vAlign w:val="center"/>
          </w:tcPr>
          <w:p w:rsidR="00A9459B" w:rsidRDefault="00FD6859">
            <w:pPr>
              <w:jc w:val="center"/>
            </w:pPr>
            <w:r>
              <w:rPr>
                <w:color w:val="000000"/>
                <w:sz w:val="24"/>
              </w:rPr>
              <w:t>18</w:t>
            </w:r>
          </w:p>
        </w:tc>
        <w:tc>
          <w:tcPr>
            <w:tcW w:w="1650" w:type="dxa"/>
            <w:vAlign w:val="center"/>
          </w:tcPr>
          <w:p w:rsidR="00A9459B" w:rsidRDefault="00FD6859">
            <w:pPr>
              <w:jc w:val="center"/>
            </w:pPr>
            <w:r>
              <w:rPr>
                <w:color w:val="000000"/>
                <w:sz w:val="24"/>
              </w:rPr>
              <w:t>600118</w:t>
            </w:r>
          </w:p>
        </w:tc>
        <w:tc>
          <w:tcPr>
            <w:tcW w:w="1980" w:type="dxa"/>
            <w:vAlign w:val="center"/>
          </w:tcPr>
          <w:p w:rsidR="00A9459B" w:rsidRDefault="00FD6859">
            <w:pPr>
              <w:jc w:val="center"/>
            </w:pPr>
            <w:r>
              <w:rPr>
                <w:color w:val="000000"/>
                <w:sz w:val="24"/>
              </w:rPr>
              <w:t>中国卫星</w:t>
            </w:r>
          </w:p>
        </w:tc>
        <w:tc>
          <w:tcPr>
            <w:tcW w:w="2880" w:type="dxa"/>
            <w:vAlign w:val="center"/>
          </w:tcPr>
          <w:p w:rsidR="00A9459B" w:rsidRDefault="00FD6859">
            <w:pPr>
              <w:jc w:val="right"/>
            </w:pPr>
            <w:r>
              <w:rPr>
                <w:color w:val="000000"/>
                <w:sz w:val="24"/>
              </w:rPr>
              <w:t>5,537,923.20</w:t>
            </w:r>
          </w:p>
        </w:tc>
        <w:tc>
          <w:tcPr>
            <w:tcW w:w="1620" w:type="dxa"/>
            <w:vAlign w:val="center"/>
          </w:tcPr>
          <w:p w:rsidR="00A9459B" w:rsidRDefault="00FD6859">
            <w:pPr>
              <w:jc w:val="right"/>
            </w:pPr>
            <w:r>
              <w:rPr>
                <w:color w:val="000000"/>
                <w:sz w:val="24"/>
              </w:rPr>
              <w:t>1.13</w:t>
            </w:r>
          </w:p>
        </w:tc>
      </w:tr>
      <w:tr w:rsidR="00A9459B">
        <w:tc>
          <w:tcPr>
            <w:tcW w:w="870" w:type="dxa"/>
            <w:vAlign w:val="center"/>
          </w:tcPr>
          <w:p w:rsidR="00A9459B" w:rsidRDefault="00FD6859">
            <w:pPr>
              <w:jc w:val="center"/>
            </w:pPr>
            <w:r>
              <w:rPr>
                <w:color w:val="000000"/>
                <w:sz w:val="24"/>
              </w:rPr>
              <w:t>19</w:t>
            </w:r>
          </w:p>
        </w:tc>
        <w:tc>
          <w:tcPr>
            <w:tcW w:w="1650" w:type="dxa"/>
            <w:vAlign w:val="center"/>
          </w:tcPr>
          <w:p w:rsidR="00A9459B" w:rsidRDefault="00FD6859">
            <w:pPr>
              <w:jc w:val="center"/>
            </w:pPr>
            <w:r>
              <w:rPr>
                <w:color w:val="000000"/>
                <w:sz w:val="24"/>
              </w:rPr>
              <w:t>600067</w:t>
            </w:r>
          </w:p>
        </w:tc>
        <w:tc>
          <w:tcPr>
            <w:tcW w:w="1980" w:type="dxa"/>
            <w:vAlign w:val="center"/>
          </w:tcPr>
          <w:p w:rsidR="00A9459B" w:rsidRDefault="00FD6859">
            <w:pPr>
              <w:jc w:val="center"/>
            </w:pPr>
            <w:r>
              <w:rPr>
                <w:color w:val="000000"/>
                <w:sz w:val="24"/>
              </w:rPr>
              <w:t>冠城大通</w:t>
            </w:r>
          </w:p>
        </w:tc>
        <w:tc>
          <w:tcPr>
            <w:tcW w:w="2880" w:type="dxa"/>
            <w:vAlign w:val="center"/>
          </w:tcPr>
          <w:p w:rsidR="00A9459B" w:rsidRDefault="00FD6859">
            <w:pPr>
              <w:jc w:val="right"/>
            </w:pPr>
            <w:r>
              <w:rPr>
                <w:color w:val="000000"/>
                <w:sz w:val="24"/>
              </w:rPr>
              <w:t>5,531,629.59</w:t>
            </w:r>
          </w:p>
        </w:tc>
        <w:tc>
          <w:tcPr>
            <w:tcW w:w="1620" w:type="dxa"/>
            <w:vAlign w:val="center"/>
          </w:tcPr>
          <w:p w:rsidR="00A9459B" w:rsidRDefault="00FD6859">
            <w:pPr>
              <w:jc w:val="right"/>
            </w:pPr>
            <w:r>
              <w:rPr>
                <w:color w:val="000000"/>
                <w:sz w:val="24"/>
              </w:rPr>
              <w:t>1.13</w:t>
            </w:r>
          </w:p>
        </w:tc>
      </w:tr>
      <w:tr w:rsidR="00A9459B">
        <w:tc>
          <w:tcPr>
            <w:tcW w:w="870" w:type="dxa"/>
            <w:vAlign w:val="center"/>
          </w:tcPr>
          <w:p w:rsidR="00A9459B" w:rsidRDefault="00FD6859">
            <w:pPr>
              <w:jc w:val="center"/>
            </w:pPr>
            <w:r>
              <w:rPr>
                <w:color w:val="000000"/>
                <w:sz w:val="24"/>
              </w:rPr>
              <w:t>20</w:t>
            </w:r>
          </w:p>
        </w:tc>
        <w:tc>
          <w:tcPr>
            <w:tcW w:w="1650" w:type="dxa"/>
            <w:vAlign w:val="center"/>
          </w:tcPr>
          <w:p w:rsidR="00A9459B" w:rsidRDefault="00FD6859">
            <w:pPr>
              <w:jc w:val="center"/>
            </w:pPr>
            <w:r>
              <w:rPr>
                <w:color w:val="000000"/>
                <w:sz w:val="24"/>
              </w:rPr>
              <w:t>601992</w:t>
            </w:r>
          </w:p>
        </w:tc>
        <w:tc>
          <w:tcPr>
            <w:tcW w:w="1980" w:type="dxa"/>
            <w:vAlign w:val="center"/>
          </w:tcPr>
          <w:p w:rsidR="00A9459B" w:rsidRDefault="00FD6859">
            <w:pPr>
              <w:jc w:val="center"/>
            </w:pPr>
            <w:r>
              <w:rPr>
                <w:color w:val="000000"/>
                <w:sz w:val="24"/>
              </w:rPr>
              <w:t>金隅股份</w:t>
            </w:r>
          </w:p>
        </w:tc>
        <w:tc>
          <w:tcPr>
            <w:tcW w:w="2880" w:type="dxa"/>
            <w:vAlign w:val="center"/>
          </w:tcPr>
          <w:p w:rsidR="00A9459B" w:rsidRDefault="00FD6859">
            <w:pPr>
              <w:jc w:val="right"/>
            </w:pPr>
            <w:r>
              <w:rPr>
                <w:color w:val="000000"/>
                <w:sz w:val="24"/>
              </w:rPr>
              <w:t>5,458,033.06</w:t>
            </w:r>
          </w:p>
        </w:tc>
        <w:tc>
          <w:tcPr>
            <w:tcW w:w="1620" w:type="dxa"/>
            <w:vAlign w:val="center"/>
          </w:tcPr>
          <w:p w:rsidR="00A9459B" w:rsidRDefault="00FD6859">
            <w:pPr>
              <w:jc w:val="right"/>
            </w:pPr>
            <w:r>
              <w:rPr>
                <w:color w:val="000000"/>
                <w:sz w:val="24"/>
              </w:rPr>
              <w:t>1.11</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本期累计买入金额</w:t>
      </w:r>
      <w:r w:rsidRPr="00C234F0">
        <w:rPr>
          <w:kern w:val="0"/>
          <w:sz w:val="24"/>
        </w:rPr>
        <w:t>”</w:t>
      </w:r>
      <w:r w:rsidRPr="00C234F0">
        <w:rPr>
          <w:kern w:val="0"/>
          <w:sz w:val="24"/>
        </w:rPr>
        <w:t>按买入成交金额（成交单价乘以成交数量）填列，不考虑相关交易费用。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累计卖出金额超出</w:t>
      </w:r>
      <w:r w:rsidR="006A7E68" w:rsidRPr="00245C29">
        <w:rPr>
          <w:rFonts w:ascii="Times New Roman" w:hAnsi="Times New Roman" w:hint="eastAsia"/>
          <w:kern w:val="0"/>
          <w:szCs w:val="24"/>
        </w:rPr>
        <w:t>期初</w:t>
      </w:r>
      <w:r w:rsidRPr="00245C29">
        <w:rPr>
          <w:rFonts w:ascii="Times New Roman" w:hAnsi="Times New Roman" w:hint="eastAsia"/>
          <w:kern w:val="0"/>
          <w:szCs w:val="24"/>
        </w:rPr>
        <w:t>基金资产净值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本期累计卖出金额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期初</w:t>
            </w:r>
            <w:r w:rsidRPr="00C234F0">
              <w:rPr>
                <w:rFonts w:hint="eastAsia"/>
                <w:color w:val="000000"/>
                <w:sz w:val="24"/>
              </w:rPr>
              <w:t>基金资产净值比例（％）</w:t>
            </w:r>
          </w:p>
        </w:tc>
      </w:tr>
      <w:tr w:rsidR="00A9459B">
        <w:tc>
          <w:tcPr>
            <w:tcW w:w="870" w:type="dxa"/>
            <w:vAlign w:val="center"/>
          </w:tcPr>
          <w:p w:rsidR="00A9459B" w:rsidRDefault="00FD6859">
            <w:pPr>
              <w:jc w:val="center"/>
            </w:pPr>
            <w:r>
              <w:t>1</w:t>
            </w:r>
          </w:p>
        </w:tc>
        <w:tc>
          <w:tcPr>
            <w:tcW w:w="1650" w:type="dxa"/>
            <w:vAlign w:val="center"/>
          </w:tcPr>
          <w:p w:rsidR="00A9459B" w:rsidRDefault="00FD6859">
            <w:pPr>
              <w:jc w:val="center"/>
            </w:pPr>
            <w:r>
              <w:t>002008</w:t>
            </w:r>
          </w:p>
        </w:tc>
        <w:tc>
          <w:tcPr>
            <w:tcW w:w="1980" w:type="dxa"/>
            <w:vAlign w:val="center"/>
          </w:tcPr>
          <w:p w:rsidR="00A9459B" w:rsidRDefault="00FD6859">
            <w:pPr>
              <w:jc w:val="center"/>
            </w:pPr>
            <w:r>
              <w:t>大族激光</w:t>
            </w:r>
          </w:p>
        </w:tc>
        <w:tc>
          <w:tcPr>
            <w:tcW w:w="2880" w:type="dxa"/>
            <w:vAlign w:val="center"/>
          </w:tcPr>
          <w:p w:rsidR="00A9459B" w:rsidRDefault="00FD6859">
            <w:pPr>
              <w:jc w:val="right"/>
            </w:pPr>
            <w:r>
              <w:t>26,111,466.81</w:t>
            </w:r>
          </w:p>
        </w:tc>
        <w:tc>
          <w:tcPr>
            <w:tcW w:w="1620" w:type="dxa"/>
            <w:vAlign w:val="center"/>
          </w:tcPr>
          <w:p w:rsidR="00A9459B" w:rsidRDefault="00FD6859">
            <w:pPr>
              <w:jc w:val="right"/>
            </w:pPr>
            <w:r>
              <w:t>5.32</w:t>
            </w:r>
          </w:p>
        </w:tc>
      </w:tr>
      <w:tr w:rsidR="00A9459B">
        <w:tc>
          <w:tcPr>
            <w:tcW w:w="870" w:type="dxa"/>
            <w:vAlign w:val="center"/>
          </w:tcPr>
          <w:p w:rsidR="00A9459B" w:rsidRDefault="00FD6859">
            <w:pPr>
              <w:jc w:val="center"/>
            </w:pPr>
            <w:r>
              <w:t>2</w:t>
            </w:r>
          </w:p>
        </w:tc>
        <w:tc>
          <w:tcPr>
            <w:tcW w:w="1650" w:type="dxa"/>
            <w:vAlign w:val="center"/>
          </w:tcPr>
          <w:p w:rsidR="00A9459B" w:rsidRDefault="00FD6859">
            <w:pPr>
              <w:jc w:val="center"/>
            </w:pPr>
            <w:r>
              <w:t>600048</w:t>
            </w:r>
          </w:p>
        </w:tc>
        <w:tc>
          <w:tcPr>
            <w:tcW w:w="1980" w:type="dxa"/>
            <w:vAlign w:val="center"/>
          </w:tcPr>
          <w:p w:rsidR="00A9459B" w:rsidRDefault="00FD6859">
            <w:pPr>
              <w:jc w:val="center"/>
            </w:pPr>
            <w:r>
              <w:t>保利地产</w:t>
            </w:r>
          </w:p>
        </w:tc>
        <w:tc>
          <w:tcPr>
            <w:tcW w:w="2880" w:type="dxa"/>
            <w:vAlign w:val="center"/>
          </w:tcPr>
          <w:p w:rsidR="00A9459B" w:rsidRDefault="00FD6859">
            <w:pPr>
              <w:jc w:val="right"/>
            </w:pPr>
            <w:r>
              <w:t>19,577,760.46</w:t>
            </w:r>
          </w:p>
        </w:tc>
        <w:tc>
          <w:tcPr>
            <w:tcW w:w="1620" w:type="dxa"/>
            <w:vAlign w:val="center"/>
          </w:tcPr>
          <w:p w:rsidR="00A9459B" w:rsidRDefault="00FD6859">
            <w:pPr>
              <w:jc w:val="right"/>
            </w:pPr>
            <w:r>
              <w:t>3.99</w:t>
            </w:r>
          </w:p>
        </w:tc>
      </w:tr>
      <w:tr w:rsidR="00A9459B">
        <w:tc>
          <w:tcPr>
            <w:tcW w:w="870" w:type="dxa"/>
            <w:vAlign w:val="center"/>
          </w:tcPr>
          <w:p w:rsidR="00A9459B" w:rsidRDefault="00FD6859">
            <w:pPr>
              <w:jc w:val="center"/>
            </w:pPr>
            <w:r>
              <w:t>3</w:t>
            </w:r>
          </w:p>
        </w:tc>
        <w:tc>
          <w:tcPr>
            <w:tcW w:w="1650" w:type="dxa"/>
            <w:vAlign w:val="center"/>
          </w:tcPr>
          <w:p w:rsidR="00A9459B" w:rsidRDefault="00FD6859">
            <w:pPr>
              <w:jc w:val="center"/>
            </w:pPr>
            <w:r>
              <w:t>600837</w:t>
            </w:r>
          </w:p>
        </w:tc>
        <w:tc>
          <w:tcPr>
            <w:tcW w:w="1980" w:type="dxa"/>
            <w:vAlign w:val="center"/>
          </w:tcPr>
          <w:p w:rsidR="00A9459B" w:rsidRDefault="00FD6859">
            <w:pPr>
              <w:jc w:val="center"/>
            </w:pPr>
            <w:r>
              <w:t>海通证券</w:t>
            </w:r>
          </w:p>
        </w:tc>
        <w:tc>
          <w:tcPr>
            <w:tcW w:w="2880" w:type="dxa"/>
            <w:vAlign w:val="center"/>
          </w:tcPr>
          <w:p w:rsidR="00A9459B" w:rsidRDefault="00FD6859">
            <w:pPr>
              <w:jc w:val="right"/>
            </w:pPr>
            <w:r>
              <w:t>17,896,770.18</w:t>
            </w:r>
          </w:p>
        </w:tc>
        <w:tc>
          <w:tcPr>
            <w:tcW w:w="1620" w:type="dxa"/>
            <w:vAlign w:val="center"/>
          </w:tcPr>
          <w:p w:rsidR="00A9459B" w:rsidRDefault="00FD6859">
            <w:pPr>
              <w:jc w:val="right"/>
            </w:pPr>
            <w:r>
              <w:t>3.64</w:t>
            </w:r>
          </w:p>
        </w:tc>
      </w:tr>
      <w:tr w:rsidR="00A9459B">
        <w:tc>
          <w:tcPr>
            <w:tcW w:w="870" w:type="dxa"/>
            <w:vAlign w:val="center"/>
          </w:tcPr>
          <w:p w:rsidR="00A9459B" w:rsidRDefault="00FD6859">
            <w:pPr>
              <w:jc w:val="center"/>
            </w:pPr>
            <w:r>
              <w:t>4</w:t>
            </w:r>
          </w:p>
        </w:tc>
        <w:tc>
          <w:tcPr>
            <w:tcW w:w="1650" w:type="dxa"/>
            <w:vAlign w:val="center"/>
          </w:tcPr>
          <w:p w:rsidR="00A9459B" w:rsidRDefault="00FD6859">
            <w:pPr>
              <w:jc w:val="center"/>
            </w:pPr>
            <w:r>
              <w:t>300137</w:t>
            </w:r>
          </w:p>
        </w:tc>
        <w:tc>
          <w:tcPr>
            <w:tcW w:w="1980" w:type="dxa"/>
            <w:vAlign w:val="center"/>
          </w:tcPr>
          <w:p w:rsidR="00A9459B" w:rsidRDefault="00FD6859">
            <w:pPr>
              <w:jc w:val="center"/>
            </w:pPr>
            <w:r>
              <w:t>先河环保</w:t>
            </w:r>
          </w:p>
        </w:tc>
        <w:tc>
          <w:tcPr>
            <w:tcW w:w="2880" w:type="dxa"/>
            <w:vAlign w:val="center"/>
          </w:tcPr>
          <w:p w:rsidR="00A9459B" w:rsidRDefault="00FD6859">
            <w:pPr>
              <w:jc w:val="right"/>
            </w:pPr>
            <w:r>
              <w:t>13,688,123.78</w:t>
            </w:r>
          </w:p>
        </w:tc>
        <w:tc>
          <w:tcPr>
            <w:tcW w:w="1620" w:type="dxa"/>
            <w:vAlign w:val="center"/>
          </w:tcPr>
          <w:p w:rsidR="00A9459B" w:rsidRDefault="00FD6859">
            <w:pPr>
              <w:jc w:val="right"/>
            </w:pPr>
            <w:r>
              <w:t>2.79</w:t>
            </w:r>
          </w:p>
        </w:tc>
      </w:tr>
      <w:tr w:rsidR="00A9459B">
        <w:tc>
          <w:tcPr>
            <w:tcW w:w="870" w:type="dxa"/>
            <w:vAlign w:val="center"/>
          </w:tcPr>
          <w:p w:rsidR="00A9459B" w:rsidRDefault="00FD6859">
            <w:pPr>
              <w:jc w:val="center"/>
            </w:pPr>
            <w:r>
              <w:t>5</w:t>
            </w:r>
          </w:p>
        </w:tc>
        <w:tc>
          <w:tcPr>
            <w:tcW w:w="1650" w:type="dxa"/>
            <w:vAlign w:val="center"/>
          </w:tcPr>
          <w:p w:rsidR="00A9459B" w:rsidRDefault="00FD6859">
            <w:pPr>
              <w:jc w:val="center"/>
            </w:pPr>
            <w:r>
              <w:t>600703</w:t>
            </w:r>
          </w:p>
        </w:tc>
        <w:tc>
          <w:tcPr>
            <w:tcW w:w="1980" w:type="dxa"/>
            <w:vAlign w:val="center"/>
          </w:tcPr>
          <w:p w:rsidR="00A9459B" w:rsidRDefault="00FD6859">
            <w:pPr>
              <w:jc w:val="center"/>
            </w:pPr>
            <w:r>
              <w:t>三安光电</w:t>
            </w:r>
          </w:p>
        </w:tc>
        <w:tc>
          <w:tcPr>
            <w:tcW w:w="2880" w:type="dxa"/>
            <w:vAlign w:val="center"/>
          </w:tcPr>
          <w:p w:rsidR="00A9459B" w:rsidRDefault="00FD6859">
            <w:pPr>
              <w:jc w:val="right"/>
            </w:pPr>
            <w:r>
              <w:t>13,349,080.03</w:t>
            </w:r>
          </w:p>
        </w:tc>
        <w:tc>
          <w:tcPr>
            <w:tcW w:w="1620" w:type="dxa"/>
            <w:vAlign w:val="center"/>
          </w:tcPr>
          <w:p w:rsidR="00A9459B" w:rsidRDefault="00FD6859">
            <w:pPr>
              <w:jc w:val="right"/>
            </w:pPr>
            <w:r>
              <w:t>2.72</w:t>
            </w:r>
          </w:p>
        </w:tc>
      </w:tr>
      <w:tr w:rsidR="00A9459B">
        <w:tc>
          <w:tcPr>
            <w:tcW w:w="870" w:type="dxa"/>
            <w:vAlign w:val="center"/>
          </w:tcPr>
          <w:p w:rsidR="00A9459B" w:rsidRDefault="00FD6859">
            <w:pPr>
              <w:jc w:val="center"/>
            </w:pPr>
            <w:r>
              <w:t>6</w:t>
            </w:r>
          </w:p>
        </w:tc>
        <w:tc>
          <w:tcPr>
            <w:tcW w:w="1650" w:type="dxa"/>
            <w:vAlign w:val="center"/>
          </w:tcPr>
          <w:p w:rsidR="00A9459B" w:rsidRDefault="00FD6859">
            <w:pPr>
              <w:jc w:val="center"/>
            </w:pPr>
            <w:r>
              <w:t>600016</w:t>
            </w:r>
          </w:p>
        </w:tc>
        <w:tc>
          <w:tcPr>
            <w:tcW w:w="1980" w:type="dxa"/>
            <w:vAlign w:val="center"/>
          </w:tcPr>
          <w:p w:rsidR="00A9459B" w:rsidRDefault="00FD6859">
            <w:pPr>
              <w:jc w:val="center"/>
            </w:pPr>
            <w:r>
              <w:t>民生银行</w:t>
            </w:r>
          </w:p>
        </w:tc>
        <w:tc>
          <w:tcPr>
            <w:tcW w:w="2880" w:type="dxa"/>
            <w:vAlign w:val="center"/>
          </w:tcPr>
          <w:p w:rsidR="00A9459B" w:rsidRDefault="00FD6859">
            <w:pPr>
              <w:jc w:val="right"/>
            </w:pPr>
            <w:r>
              <w:t>11,406,321.65</w:t>
            </w:r>
          </w:p>
        </w:tc>
        <w:tc>
          <w:tcPr>
            <w:tcW w:w="1620" w:type="dxa"/>
            <w:vAlign w:val="center"/>
          </w:tcPr>
          <w:p w:rsidR="00A9459B" w:rsidRDefault="00FD6859">
            <w:pPr>
              <w:jc w:val="right"/>
            </w:pPr>
            <w:r>
              <w:t>2.32</w:t>
            </w:r>
          </w:p>
        </w:tc>
      </w:tr>
      <w:tr w:rsidR="00A9459B">
        <w:tc>
          <w:tcPr>
            <w:tcW w:w="870" w:type="dxa"/>
            <w:vAlign w:val="center"/>
          </w:tcPr>
          <w:p w:rsidR="00A9459B" w:rsidRDefault="00FD6859">
            <w:pPr>
              <w:jc w:val="center"/>
            </w:pPr>
            <w:r>
              <w:t>7</w:t>
            </w:r>
          </w:p>
        </w:tc>
        <w:tc>
          <w:tcPr>
            <w:tcW w:w="1650" w:type="dxa"/>
            <w:vAlign w:val="center"/>
          </w:tcPr>
          <w:p w:rsidR="00A9459B" w:rsidRDefault="00FD6859">
            <w:pPr>
              <w:jc w:val="center"/>
            </w:pPr>
            <w:r>
              <w:t>601688</w:t>
            </w:r>
          </w:p>
        </w:tc>
        <w:tc>
          <w:tcPr>
            <w:tcW w:w="1980" w:type="dxa"/>
            <w:vAlign w:val="center"/>
          </w:tcPr>
          <w:p w:rsidR="00A9459B" w:rsidRDefault="00FD6859">
            <w:pPr>
              <w:jc w:val="center"/>
            </w:pPr>
            <w:r>
              <w:t>华泰证券</w:t>
            </w:r>
          </w:p>
        </w:tc>
        <w:tc>
          <w:tcPr>
            <w:tcW w:w="2880" w:type="dxa"/>
            <w:vAlign w:val="center"/>
          </w:tcPr>
          <w:p w:rsidR="00A9459B" w:rsidRDefault="00FD6859">
            <w:pPr>
              <w:jc w:val="right"/>
            </w:pPr>
            <w:r>
              <w:t>11,050,878.82</w:t>
            </w:r>
          </w:p>
        </w:tc>
        <w:tc>
          <w:tcPr>
            <w:tcW w:w="1620" w:type="dxa"/>
            <w:vAlign w:val="center"/>
          </w:tcPr>
          <w:p w:rsidR="00A9459B" w:rsidRDefault="00FD6859">
            <w:pPr>
              <w:jc w:val="right"/>
            </w:pPr>
            <w:r>
              <w:t>2.25</w:t>
            </w:r>
          </w:p>
        </w:tc>
      </w:tr>
      <w:tr w:rsidR="00A9459B">
        <w:tc>
          <w:tcPr>
            <w:tcW w:w="870" w:type="dxa"/>
            <w:vAlign w:val="center"/>
          </w:tcPr>
          <w:p w:rsidR="00A9459B" w:rsidRDefault="00FD6859">
            <w:pPr>
              <w:jc w:val="center"/>
            </w:pPr>
            <w:r>
              <w:t>8</w:t>
            </w:r>
          </w:p>
        </w:tc>
        <w:tc>
          <w:tcPr>
            <w:tcW w:w="1650" w:type="dxa"/>
            <w:vAlign w:val="center"/>
          </w:tcPr>
          <w:p w:rsidR="00A9459B" w:rsidRDefault="00FD6859">
            <w:pPr>
              <w:jc w:val="center"/>
            </w:pPr>
            <w:r>
              <w:t>600050</w:t>
            </w:r>
          </w:p>
        </w:tc>
        <w:tc>
          <w:tcPr>
            <w:tcW w:w="1980" w:type="dxa"/>
            <w:vAlign w:val="center"/>
          </w:tcPr>
          <w:p w:rsidR="00A9459B" w:rsidRDefault="00FD6859">
            <w:pPr>
              <w:jc w:val="center"/>
            </w:pPr>
            <w:r>
              <w:t>中国联通</w:t>
            </w:r>
          </w:p>
        </w:tc>
        <w:tc>
          <w:tcPr>
            <w:tcW w:w="2880" w:type="dxa"/>
            <w:vAlign w:val="center"/>
          </w:tcPr>
          <w:p w:rsidR="00A9459B" w:rsidRDefault="00FD6859">
            <w:pPr>
              <w:jc w:val="right"/>
            </w:pPr>
            <w:r>
              <w:t>10,503,916.66</w:t>
            </w:r>
          </w:p>
        </w:tc>
        <w:tc>
          <w:tcPr>
            <w:tcW w:w="1620" w:type="dxa"/>
            <w:vAlign w:val="center"/>
          </w:tcPr>
          <w:p w:rsidR="00A9459B" w:rsidRDefault="00FD6859">
            <w:pPr>
              <w:jc w:val="right"/>
            </w:pPr>
            <w:r>
              <w:t>2.14</w:t>
            </w:r>
          </w:p>
        </w:tc>
      </w:tr>
      <w:tr w:rsidR="00A9459B">
        <w:tc>
          <w:tcPr>
            <w:tcW w:w="870" w:type="dxa"/>
            <w:vAlign w:val="center"/>
          </w:tcPr>
          <w:p w:rsidR="00A9459B" w:rsidRDefault="00FD6859">
            <w:pPr>
              <w:jc w:val="center"/>
            </w:pPr>
            <w:r>
              <w:t>9</w:t>
            </w:r>
          </w:p>
        </w:tc>
        <w:tc>
          <w:tcPr>
            <w:tcW w:w="1650" w:type="dxa"/>
            <w:vAlign w:val="center"/>
          </w:tcPr>
          <w:p w:rsidR="00A9459B" w:rsidRDefault="00FD6859">
            <w:pPr>
              <w:jc w:val="center"/>
            </w:pPr>
            <w:r>
              <w:t>000100</w:t>
            </w:r>
          </w:p>
        </w:tc>
        <w:tc>
          <w:tcPr>
            <w:tcW w:w="1980" w:type="dxa"/>
            <w:vAlign w:val="center"/>
          </w:tcPr>
          <w:p w:rsidR="00A9459B" w:rsidRDefault="00FD6859">
            <w:pPr>
              <w:jc w:val="center"/>
            </w:pPr>
            <w:r>
              <w:t xml:space="preserve">TCL </w:t>
            </w:r>
            <w:r>
              <w:t>集团</w:t>
            </w:r>
          </w:p>
        </w:tc>
        <w:tc>
          <w:tcPr>
            <w:tcW w:w="2880" w:type="dxa"/>
            <w:vAlign w:val="center"/>
          </w:tcPr>
          <w:p w:rsidR="00A9459B" w:rsidRDefault="00FD6859">
            <w:pPr>
              <w:jc w:val="right"/>
            </w:pPr>
            <w:r>
              <w:t>9,016,075.00</w:t>
            </w:r>
          </w:p>
        </w:tc>
        <w:tc>
          <w:tcPr>
            <w:tcW w:w="1620" w:type="dxa"/>
            <w:vAlign w:val="center"/>
          </w:tcPr>
          <w:p w:rsidR="00A9459B" w:rsidRDefault="00FD6859">
            <w:pPr>
              <w:jc w:val="right"/>
            </w:pPr>
            <w:r>
              <w:t>1.84</w:t>
            </w:r>
          </w:p>
        </w:tc>
      </w:tr>
      <w:tr w:rsidR="00A9459B">
        <w:tc>
          <w:tcPr>
            <w:tcW w:w="870" w:type="dxa"/>
            <w:vAlign w:val="center"/>
          </w:tcPr>
          <w:p w:rsidR="00A9459B" w:rsidRDefault="00FD6859">
            <w:pPr>
              <w:jc w:val="center"/>
            </w:pPr>
            <w:r>
              <w:t>10</w:t>
            </w:r>
          </w:p>
        </w:tc>
        <w:tc>
          <w:tcPr>
            <w:tcW w:w="1650" w:type="dxa"/>
            <w:vAlign w:val="center"/>
          </w:tcPr>
          <w:p w:rsidR="00A9459B" w:rsidRDefault="00FD6859">
            <w:pPr>
              <w:jc w:val="center"/>
            </w:pPr>
            <w:r>
              <w:t>600150</w:t>
            </w:r>
          </w:p>
        </w:tc>
        <w:tc>
          <w:tcPr>
            <w:tcW w:w="1980" w:type="dxa"/>
            <w:vAlign w:val="center"/>
          </w:tcPr>
          <w:p w:rsidR="00A9459B" w:rsidRDefault="00FD6859">
            <w:pPr>
              <w:jc w:val="center"/>
            </w:pPr>
            <w:r>
              <w:t>中国船舶</w:t>
            </w:r>
          </w:p>
        </w:tc>
        <w:tc>
          <w:tcPr>
            <w:tcW w:w="2880" w:type="dxa"/>
            <w:vAlign w:val="center"/>
          </w:tcPr>
          <w:p w:rsidR="00A9459B" w:rsidRDefault="00FD6859">
            <w:pPr>
              <w:jc w:val="right"/>
            </w:pPr>
            <w:r>
              <w:t>8,448,114.37</w:t>
            </w:r>
          </w:p>
        </w:tc>
        <w:tc>
          <w:tcPr>
            <w:tcW w:w="1620" w:type="dxa"/>
            <w:vAlign w:val="center"/>
          </w:tcPr>
          <w:p w:rsidR="00A9459B" w:rsidRDefault="00FD6859">
            <w:pPr>
              <w:jc w:val="right"/>
            </w:pPr>
            <w:r>
              <w:t>1.72</w:t>
            </w:r>
          </w:p>
        </w:tc>
      </w:tr>
      <w:tr w:rsidR="00A9459B">
        <w:tc>
          <w:tcPr>
            <w:tcW w:w="870" w:type="dxa"/>
            <w:vAlign w:val="center"/>
          </w:tcPr>
          <w:p w:rsidR="00A9459B" w:rsidRDefault="00FD6859">
            <w:pPr>
              <w:jc w:val="center"/>
            </w:pPr>
            <w:r>
              <w:t>11</w:t>
            </w:r>
          </w:p>
        </w:tc>
        <w:tc>
          <w:tcPr>
            <w:tcW w:w="1650" w:type="dxa"/>
            <w:vAlign w:val="center"/>
          </w:tcPr>
          <w:p w:rsidR="00A9459B" w:rsidRDefault="00FD6859">
            <w:pPr>
              <w:jc w:val="center"/>
            </w:pPr>
            <w:r>
              <w:t>300104</w:t>
            </w:r>
          </w:p>
        </w:tc>
        <w:tc>
          <w:tcPr>
            <w:tcW w:w="1980" w:type="dxa"/>
            <w:vAlign w:val="center"/>
          </w:tcPr>
          <w:p w:rsidR="00A9459B" w:rsidRDefault="00FD6859">
            <w:pPr>
              <w:jc w:val="center"/>
            </w:pPr>
            <w:r>
              <w:t>乐视网</w:t>
            </w:r>
          </w:p>
        </w:tc>
        <w:tc>
          <w:tcPr>
            <w:tcW w:w="2880" w:type="dxa"/>
            <w:vAlign w:val="center"/>
          </w:tcPr>
          <w:p w:rsidR="00A9459B" w:rsidRDefault="00FD6859">
            <w:pPr>
              <w:jc w:val="right"/>
            </w:pPr>
            <w:r>
              <w:t>8,019,401.00</w:t>
            </w:r>
          </w:p>
        </w:tc>
        <w:tc>
          <w:tcPr>
            <w:tcW w:w="1620" w:type="dxa"/>
            <w:vAlign w:val="center"/>
          </w:tcPr>
          <w:p w:rsidR="00A9459B" w:rsidRDefault="00FD6859">
            <w:pPr>
              <w:jc w:val="right"/>
            </w:pPr>
            <w:r>
              <w:t>1.63</w:t>
            </w:r>
          </w:p>
        </w:tc>
      </w:tr>
      <w:tr w:rsidR="00A9459B">
        <w:tc>
          <w:tcPr>
            <w:tcW w:w="870" w:type="dxa"/>
            <w:vAlign w:val="center"/>
          </w:tcPr>
          <w:p w:rsidR="00A9459B" w:rsidRDefault="00FD6859">
            <w:pPr>
              <w:jc w:val="center"/>
            </w:pPr>
            <w:r>
              <w:t>12</w:t>
            </w:r>
          </w:p>
        </w:tc>
        <w:tc>
          <w:tcPr>
            <w:tcW w:w="1650" w:type="dxa"/>
            <w:vAlign w:val="center"/>
          </w:tcPr>
          <w:p w:rsidR="00A9459B" w:rsidRDefault="00FD6859">
            <w:pPr>
              <w:jc w:val="center"/>
            </w:pPr>
            <w:r>
              <w:t>002081</w:t>
            </w:r>
          </w:p>
        </w:tc>
        <w:tc>
          <w:tcPr>
            <w:tcW w:w="1980" w:type="dxa"/>
            <w:vAlign w:val="center"/>
          </w:tcPr>
          <w:p w:rsidR="00A9459B" w:rsidRDefault="00FD6859">
            <w:pPr>
              <w:jc w:val="center"/>
            </w:pPr>
            <w:r>
              <w:t>金</w:t>
            </w:r>
            <w:r>
              <w:t xml:space="preserve"> </w:t>
            </w:r>
            <w:r>
              <w:t>螳</w:t>
            </w:r>
            <w:r>
              <w:t xml:space="preserve"> </w:t>
            </w:r>
            <w:r>
              <w:t>螂</w:t>
            </w:r>
          </w:p>
        </w:tc>
        <w:tc>
          <w:tcPr>
            <w:tcW w:w="2880" w:type="dxa"/>
            <w:vAlign w:val="center"/>
          </w:tcPr>
          <w:p w:rsidR="00A9459B" w:rsidRDefault="00FD6859">
            <w:pPr>
              <w:jc w:val="right"/>
            </w:pPr>
            <w:r>
              <w:t>7,467,435.04</w:t>
            </w:r>
          </w:p>
        </w:tc>
        <w:tc>
          <w:tcPr>
            <w:tcW w:w="1620" w:type="dxa"/>
            <w:vAlign w:val="center"/>
          </w:tcPr>
          <w:p w:rsidR="00A9459B" w:rsidRDefault="00FD6859">
            <w:pPr>
              <w:jc w:val="right"/>
            </w:pPr>
            <w:r>
              <w:t>1.52</w:t>
            </w:r>
          </w:p>
        </w:tc>
      </w:tr>
      <w:tr w:rsidR="00A9459B">
        <w:tc>
          <w:tcPr>
            <w:tcW w:w="870" w:type="dxa"/>
            <w:vAlign w:val="center"/>
          </w:tcPr>
          <w:p w:rsidR="00A9459B" w:rsidRDefault="00FD6859">
            <w:pPr>
              <w:jc w:val="center"/>
            </w:pPr>
            <w:r>
              <w:t>13</w:t>
            </w:r>
          </w:p>
        </w:tc>
        <w:tc>
          <w:tcPr>
            <w:tcW w:w="1650" w:type="dxa"/>
            <w:vAlign w:val="center"/>
          </w:tcPr>
          <w:p w:rsidR="00A9459B" w:rsidRDefault="00FD6859">
            <w:pPr>
              <w:jc w:val="center"/>
            </w:pPr>
            <w:r>
              <w:t>601989</w:t>
            </w:r>
          </w:p>
        </w:tc>
        <w:tc>
          <w:tcPr>
            <w:tcW w:w="1980" w:type="dxa"/>
            <w:vAlign w:val="center"/>
          </w:tcPr>
          <w:p w:rsidR="00A9459B" w:rsidRDefault="00FD6859">
            <w:pPr>
              <w:jc w:val="center"/>
            </w:pPr>
            <w:r>
              <w:t>中国重工</w:t>
            </w:r>
          </w:p>
        </w:tc>
        <w:tc>
          <w:tcPr>
            <w:tcW w:w="2880" w:type="dxa"/>
            <w:vAlign w:val="center"/>
          </w:tcPr>
          <w:p w:rsidR="00A9459B" w:rsidRDefault="00FD6859">
            <w:pPr>
              <w:jc w:val="right"/>
            </w:pPr>
            <w:r>
              <w:t>6,882,416.67</w:t>
            </w:r>
          </w:p>
        </w:tc>
        <w:tc>
          <w:tcPr>
            <w:tcW w:w="1620" w:type="dxa"/>
            <w:vAlign w:val="center"/>
          </w:tcPr>
          <w:p w:rsidR="00A9459B" w:rsidRDefault="00FD6859">
            <w:pPr>
              <w:jc w:val="right"/>
            </w:pPr>
            <w:r>
              <w:t>1.40</w:t>
            </w:r>
          </w:p>
        </w:tc>
      </w:tr>
      <w:tr w:rsidR="00A9459B">
        <w:tc>
          <w:tcPr>
            <w:tcW w:w="870" w:type="dxa"/>
            <w:vAlign w:val="center"/>
          </w:tcPr>
          <w:p w:rsidR="00A9459B" w:rsidRDefault="00FD6859">
            <w:pPr>
              <w:jc w:val="center"/>
            </w:pPr>
            <w:r>
              <w:t>14</w:t>
            </w:r>
          </w:p>
        </w:tc>
        <w:tc>
          <w:tcPr>
            <w:tcW w:w="1650" w:type="dxa"/>
            <w:vAlign w:val="center"/>
          </w:tcPr>
          <w:p w:rsidR="00A9459B" w:rsidRDefault="00FD6859">
            <w:pPr>
              <w:jc w:val="center"/>
            </w:pPr>
            <w:r>
              <w:t>600109</w:t>
            </w:r>
          </w:p>
        </w:tc>
        <w:tc>
          <w:tcPr>
            <w:tcW w:w="1980" w:type="dxa"/>
            <w:vAlign w:val="center"/>
          </w:tcPr>
          <w:p w:rsidR="00A9459B" w:rsidRDefault="00FD6859">
            <w:pPr>
              <w:jc w:val="center"/>
            </w:pPr>
            <w:r>
              <w:t>国金证券</w:t>
            </w:r>
          </w:p>
        </w:tc>
        <w:tc>
          <w:tcPr>
            <w:tcW w:w="2880" w:type="dxa"/>
            <w:vAlign w:val="center"/>
          </w:tcPr>
          <w:p w:rsidR="00A9459B" w:rsidRDefault="00FD6859">
            <w:pPr>
              <w:jc w:val="right"/>
            </w:pPr>
            <w:r>
              <w:t>6,211,344.41</w:t>
            </w:r>
          </w:p>
        </w:tc>
        <w:tc>
          <w:tcPr>
            <w:tcW w:w="1620" w:type="dxa"/>
            <w:vAlign w:val="center"/>
          </w:tcPr>
          <w:p w:rsidR="00A9459B" w:rsidRDefault="00FD6859">
            <w:pPr>
              <w:jc w:val="right"/>
            </w:pPr>
            <w:r>
              <w:t>1.26</w:t>
            </w:r>
          </w:p>
        </w:tc>
      </w:tr>
      <w:tr w:rsidR="00A9459B">
        <w:tc>
          <w:tcPr>
            <w:tcW w:w="870" w:type="dxa"/>
            <w:vAlign w:val="center"/>
          </w:tcPr>
          <w:p w:rsidR="00A9459B" w:rsidRDefault="00FD6859">
            <w:pPr>
              <w:jc w:val="center"/>
            </w:pPr>
            <w:r>
              <w:t>15</w:t>
            </w:r>
          </w:p>
        </w:tc>
        <w:tc>
          <w:tcPr>
            <w:tcW w:w="1650" w:type="dxa"/>
            <w:vAlign w:val="center"/>
          </w:tcPr>
          <w:p w:rsidR="00A9459B" w:rsidRDefault="00FD6859">
            <w:pPr>
              <w:jc w:val="center"/>
            </w:pPr>
            <w:r>
              <w:t>000927</w:t>
            </w:r>
          </w:p>
        </w:tc>
        <w:tc>
          <w:tcPr>
            <w:tcW w:w="1980" w:type="dxa"/>
            <w:vAlign w:val="center"/>
          </w:tcPr>
          <w:p w:rsidR="00A9459B" w:rsidRDefault="00FD6859">
            <w:pPr>
              <w:jc w:val="center"/>
            </w:pPr>
            <w:r>
              <w:t>一汽夏利</w:t>
            </w:r>
          </w:p>
        </w:tc>
        <w:tc>
          <w:tcPr>
            <w:tcW w:w="2880" w:type="dxa"/>
            <w:vAlign w:val="center"/>
          </w:tcPr>
          <w:p w:rsidR="00A9459B" w:rsidRDefault="00FD6859">
            <w:pPr>
              <w:jc w:val="right"/>
            </w:pPr>
            <w:r>
              <w:t>6,202,585.90</w:t>
            </w:r>
          </w:p>
        </w:tc>
        <w:tc>
          <w:tcPr>
            <w:tcW w:w="1620" w:type="dxa"/>
            <w:vAlign w:val="center"/>
          </w:tcPr>
          <w:p w:rsidR="00A9459B" w:rsidRDefault="00FD6859">
            <w:pPr>
              <w:jc w:val="right"/>
            </w:pPr>
            <w:r>
              <w:t>1.26</w:t>
            </w:r>
          </w:p>
        </w:tc>
      </w:tr>
      <w:tr w:rsidR="00A9459B">
        <w:tc>
          <w:tcPr>
            <w:tcW w:w="870" w:type="dxa"/>
            <w:vAlign w:val="center"/>
          </w:tcPr>
          <w:p w:rsidR="00A9459B" w:rsidRDefault="00FD6859">
            <w:pPr>
              <w:jc w:val="center"/>
            </w:pPr>
            <w:r>
              <w:t>16</w:t>
            </w:r>
          </w:p>
        </w:tc>
        <w:tc>
          <w:tcPr>
            <w:tcW w:w="1650" w:type="dxa"/>
            <w:vAlign w:val="center"/>
          </w:tcPr>
          <w:p w:rsidR="00A9459B" w:rsidRDefault="00FD6859">
            <w:pPr>
              <w:jc w:val="center"/>
            </w:pPr>
            <w:r>
              <w:t>600804</w:t>
            </w:r>
          </w:p>
        </w:tc>
        <w:tc>
          <w:tcPr>
            <w:tcW w:w="1980" w:type="dxa"/>
            <w:vAlign w:val="center"/>
          </w:tcPr>
          <w:p w:rsidR="00A9459B" w:rsidRDefault="00FD6859">
            <w:pPr>
              <w:jc w:val="center"/>
            </w:pPr>
            <w:r>
              <w:t>鹏博士</w:t>
            </w:r>
          </w:p>
        </w:tc>
        <w:tc>
          <w:tcPr>
            <w:tcW w:w="2880" w:type="dxa"/>
            <w:vAlign w:val="center"/>
          </w:tcPr>
          <w:p w:rsidR="00A9459B" w:rsidRDefault="00FD6859">
            <w:pPr>
              <w:jc w:val="right"/>
            </w:pPr>
            <w:r>
              <w:t>6,113,725.69</w:t>
            </w:r>
          </w:p>
        </w:tc>
        <w:tc>
          <w:tcPr>
            <w:tcW w:w="1620" w:type="dxa"/>
            <w:vAlign w:val="center"/>
          </w:tcPr>
          <w:p w:rsidR="00A9459B" w:rsidRDefault="00FD6859">
            <w:pPr>
              <w:jc w:val="right"/>
            </w:pPr>
            <w:r>
              <w:t>1.24</w:t>
            </w:r>
          </w:p>
        </w:tc>
      </w:tr>
      <w:tr w:rsidR="00A9459B">
        <w:tc>
          <w:tcPr>
            <w:tcW w:w="870" w:type="dxa"/>
            <w:vAlign w:val="center"/>
          </w:tcPr>
          <w:p w:rsidR="00A9459B" w:rsidRDefault="00FD6859">
            <w:pPr>
              <w:jc w:val="center"/>
            </w:pPr>
            <w:r>
              <w:t>17</w:t>
            </w:r>
          </w:p>
        </w:tc>
        <w:tc>
          <w:tcPr>
            <w:tcW w:w="1650" w:type="dxa"/>
            <w:vAlign w:val="center"/>
          </w:tcPr>
          <w:p w:rsidR="00A9459B" w:rsidRDefault="00FD6859">
            <w:pPr>
              <w:jc w:val="center"/>
            </w:pPr>
            <w:r>
              <w:t>002415</w:t>
            </w:r>
          </w:p>
        </w:tc>
        <w:tc>
          <w:tcPr>
            <w:tcW w:w="1980" w:type="dxa"/>
            <w:vAlign w:val="center"/>
          </w:tcPr>
          <w:p w:rsidR="00A9459B" w:rsidRDefault="00FD6859">
            <w:pPr>
              <w:jc w:val="center"/>
            </w:pPr>
            <w:r>
              <w:t>海康威视</w:t>
            </w:r>
          </w:p>
        </w:tc>
        <w:tc>
          <w:tcPr>
            <w:tcW w:w="2880" w:type="dxa"/>
            <w:vAlign w:val="center"/>
          </w:tcPr>
          <w:p w:rsidR="00A9459B" w:rsidRDefault="00FD6859">
            <w:pPr>
              <w:jc w:val="right"/>
            </w:pPr>
            <w:r>
              <w:t>5,933,397.04</w:t>
            </w:r>
          </w:p>
        </w:tc>
        <w:tc>
          <w:tcPr>
            <w:tcW w:w="1620" w:type="dxa"/>
            <w:vAlign w:val="center"/>
          </w:tcPr>
          <w:p w:rsidR="00A9459B" w:rsidRDefault="00FD6859">
            <w:pPr>
              <w:jc w:val="right"/>
            </w:pPr>
            <w:r>
              <w:t>1.21</w:t>
            </w:r>
          </w:p>
        </w:tc>
      </w:tr>
      <w:tr w:rsidR="00A9459B">
        <w:tc>
          <w:tcPr>
            <w:tcW w:w="870" w:type="dxa"/>
            <w:vAlign w:val="center"/>
          </w:tcPr>
          <w:p w:rsidR="00A9459B" w:rsidRDefault="00FD6859">
            <w:pPr>
              <w:jc w:val="center"/>
            </w:pPr>
            <w:r>
              <w:t>18</w:t>
            </w:r>
          </w:p>
        </w:tc>
        <w:tc>
          <w:tcPr>
            <w:tcW w:w="1650" w:type="dxa"/>
            <w:vAlign w:val="center"/>
          </w:tcPr>
          <w:p w:rsidR="00A9459B" w:rsidRDefault="00FD6859">
            <w:pPr>
              <w:jc w:val="center"/>
            </w:pPr>
            <w:r>
              <w:t>600089</w:t>
            </w:r>
          </w:p>
        </w:tc>
        <w:tc>
          <w:tcPr>
            <w:tcW w:w="1980" w:type="dxa"/>
            <w:vAlign w:val="center"/>
          </w:tcPr>
          <w:p w:rsidR="00A9459B" w:rsidRDefault="00FD6859">
            <w:pPr>
              <w:jc w:val="center"/>
            </w:pPr>
            <w:r>
              <w:t>特变电工</w:t>
            </w:r>
          </w:p>
        </w:tc>
        <w:tc>
          <w:tcPr>
            <w:tcW w:w="2880" w:type="dxa"/>
            <w:vAlign w:val="center"/>
          </w:tcPr>
          <w:p w:rsidR="00A9459B" w:rsidRDefault="00FD6859">
            <w:pPr>
              <w:jc w:val="right"/>
            </w:pPr>
            <w:r>
              <w:t>5,919,714.90</w:t>
            </w:r>
          </w:p>
        </w:tc>
        <w:tc>
          <w:tcPr>
            <w:tcW w:w="1620" w:type="dxa"/>
            <w:vAlign w:val="center"/>
          </w:tcPr>
          <w:p w:rsidR="00A9459B" w:rsidRDefault="00FD6859">
            <w:pPr>
              <w:jc w:val="right"/>
            </w:pPr>
            <w:r>
              <w:t>1.21</w:t>
            </w:r>
          </w:p>
        </w:tc>
      </w:tr>
      <w:tr w:rsidR="00A9459B">
        <w:tc>
          <w:tcPr>
            <w:tcW w:w="870" w:type="dxa"/>
            <w:vAlign w:val="center"/>
          </w:tcPr>
          <w:p w:rsidR="00A9459B" w:rsidRDefault="00FD6859">
            <w:pPr>
              <w:jc w:val="center"/>
            </w:pPr>
            <w:r>
              <w:t>19</w:t>
            </w:r>
          </w:p>
        </w:tc>
        <w:tc>
          <w:tcPr>
            <w:tcW w:w="1650" w:type="dxa"/>
            <w:vAlign w:val="center"/>
          </w:tcPr>
          <w:p w:rsidR="00A9459B" w:rsidRDefault="00FD6859">
            <w:pPr>
              <w:jc w:val="center"/>
            </w:pPr>
            <w:r>
              <w:t>600067</w:t>
            </w:r>
          </w:p>
        </w:tc>
        <w:tc>
          <w:tcPr>
            <w:tcW w:w="1980" w:type="dxa"/>
            <w:vAlign w:val="center"/>
          </w:tcPr>
          <w:p w:rsidR="00A9459B" w:rsidRDefault="00FD6859">
            <w:pPr>
              <w:jc w:val="center"/>
            </w:pPr>
            <w:r>
              <w:t>冠城大通</w:t>
            </w:r>
          </w:p>
        </w:tc>
        <w:tc>
          <w:tcPr>
            <w:tcW w:w="2880" w:type="dxa"/>
            <w:vAlign w:val="center"/>
          </w:tcPr>
          <w:p w:rsidR="00A9459B" w:rsidRDefault="00FD6859">
            <w:pPr>
              <w:jc w:val="right"/>
            </w:pPr>
            <w:r>
              <w:t>5,774,187.25</w:t>
            </w:r>
          </w:p>
        </w:tc>
        <w:tc>
          <w:tcPr>
            <w:tcW w:w="1620" w:type="dxa"/>
            <w:vAlign w:val="center"/>
          </w:tcPr>
          <w:p w:rsidR="00A9459B" w:rsidRDefault="00FD6859">
            <w:pPr>
              <w:jc w:val="right"/>
            </w:pPr>
            <w:r>
              <w:t>1.18</w:t>
            </w:r>
          </w:p>
        </w:tc>
      </w:tr>
      <w:tr w:rsidR="00A9459B">
        <w:tc>
          <w:tcPr>
            <w:tcW w:w="870" w:type="dxa"/>
            <w:vAlign w:val="center"/>
          </w:tcPr>
          <w:p w:rsidR="00A9459B" w:rsidRDefault="00FD6859">
            <w:pPr>
              <w:jc w:val="center"/>
            </w:pPr>
            <w:r>
              <w:t>20</w:t>
            </w:r>
          </w:p>
        </w:tc>
        <w:tc>
          <w:tcPr>
            <w:tcW w:w="1650" w:type="dxa"/>
            <w:vAlign w:val="center"/>
          </w:tcPr>
          <w:p w:rsidR="00A9459B" w:rsidRDefault="00FD6859">
            <w:pPr>
              <w:jc w:val="center"/>
            </w:pPr>
            <w:r>
              <w:t>300207</w:t>
            </w:r>
          </w:p>
        </w:tc>
        <w:tc>
          <w:tcPr>
            <w:tcW w:w="1980" w:type="dxa"/>
            <w:vAlign w:val="center"/>
          </w:tcPr>
          <w:p w:rsidR="00A9459B" w:rsidRDefault="00FD6859">
            <w:pPr>
              <w:jc w:val="center"/>
            </w:pPr>
            <w:r>
              <w:t>欣旺达</w:t>
            </w:r>
          </w:p>
        </w:tc>
        <w:tc>
          <w:tcPr>
            <w:tcW w:w="2880" w:type="dxa"/>
            <w:vAlign w:val="center"/>
          </w:tcPr>
          <w:p w:rsidR="00A9459B" w:rsidRDefault="00FD6859">
            <w:pPr>
              <w:jc w:val="right"/>
            </w:pPr>
            <w:r>
              <w:t>5,574,891.77</w:t>
            </w:r>
          </w:p>
        </w:tc>
        <w:tc>
          <w:tcPr>
            <w:tcW w:w="1620" w:type="dxa"/>
            <w:vAlign w:val="center"/>
          </w:tcPr>
          <w:p w:rsidR="00A9459B" w:rsidRDefault="00FD6859">
            <w:pPr>
              <w:jc w:val="right"/>
            </w:pPr>
            <w:r>
              <w:t>1.14</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本期累计卖出金额</w:t>
      </w:r>
      <w:r w:rsidRPr="00C234F0">
        <w:rPr>
          <w:kern w:val="0"/>
          <w:sz w:val="24"/>
        </w:rPr>
        <w:t>”</w:t>
      </w:r>
      <w:r w:rsidRPr="00C234F0">
        <w:rPr>
          <w:kern w:val="0"/>
          <w:sz w:val="24"/>
        </w:rPr>
        <w:t>按卖出成交金额（成交单价乘以成交数量）填列，不考虑相关交易费用。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kern w:val="2"/>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买入股票的成本总额及卖出股票的收入总额</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买入股票的成本（成交）总额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470,949,565.38</w:t>
            </w:r>
          </w:p>
        </w:tc>
      </w:tr>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卖出股票的收入（成交）总额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435,442,564.00</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买入股票成本</w:t>
      </w:r>
      <w:r w:rsidRPr="00C234F0">
        <w:rPr>
          <w:kern w:val="0"/>
          <w:sz w:val="24"/>
        </w:rPr>
        <w:t>”</w:t>
      </w:r>
      <w:r w:rsidRPr="00C234F0">
        <w:rPr>
          <w:kern w:val="0"/>
          <w:sz w:val="24"/>
        </w:rPr>
        <w:t>或</w:t>
      </w:r>
      <w:r w:rsidRPr="00C234F0">
        <w:rPr>
          <w:kern w:val="0"/>
          <w:sz w:val="24"/>
        </w:rPr>
        <w:t>“</w:t>
      </w:r>
      <w:r w:rsidRPr="00C234F0">
        <w:rPr>
          <w:kern w:val="0"/>
          <w:sz w:val="24"/>
        </w:rPr>
        <w:t>卖出股票收入</w:t>
      </w:r>
      <w:r w:rsidRPr="00C234F0">
        <w:rPr>
          <w:kern w:val="0"/>
          <w:sz w:val="24"/>
        </w:rPr>
        <w:t>”</w:t>
      </w:r>
      <w:r w:rsidRPr="00C234F0">
        <w:rPr>
          <w:kern w:val="0"/>
          <w:sz w:val="24"/>
        </w:rPr>
        <w:t>均按买卖成交金额（成交单价乘以成交数量）填列，不考虑相关交易费用。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bookmarkStart w:id="70" w:name="_Toc234814104"/>
      <w:bookmarkStart w:id="71" w:name="_Toc361324883"/>
      <w:r w:rsidRPr="00245C29">
        <w:rPr>
          <w:rFonts w:ascii="Times New Roman" w:hAnsi="Times New Roman"/>
          <w:kern w:val="0"/>
          <w:szCs w:val="24"/>
        </w:rPr>
        <w:t>8.5</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期末按债券品种分类的债券投资组合</w:t>
      </w:r>
      <w:bookmarkEnd w:id="70"/>
      <w:bookmarkEnd w:id="71"/>
    </w:p>
    <w:p w:rsidR="001A59F9" w:rsidRPr="00C234F0" w:rsidRDefault="001A59F9" w:rsidP="00C234F0">
      <w:pPr>
        <w:autoSpaceDE w:val="0"/>
        <w:autoSpaceDN w:val="0"/>
        <w:adjustRightInd w:val="0"/>
        <w:spacing w:before="29" w:line="288" w:lineRule="auto"/>
        <w:ind w:left="15"/>
        <w:jc w:val="right"/>
        <w:rPr>
          <w:color w:val="000000"/>
          <w:sz w:val="24"/>
        </w:rPr>
      </w:pPr>
      <w:r w:rsidRPr="00C234F0">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2835"/>
        <w:gridCol w:w="2780"/>
        <w:gridCol w:w="2249"/>
      </w:tblGrid>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序号</w:t>
            </w:r>
          </w:p>
        </w:tc>
        <w:tc>
          <w:tcPr>
            <w:tcW w:w="2835"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债券品种</w:t>
            </w:r>
          </w:p>
        </w:tc>
        <w:tc>
          <w:tcPr>
            <w:tcW w:w="2780"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公允价值</w:t>
            </w:r>
          </w:p>
        </w:tc>
        <w:tc>
          <w:tcPr>
            <w:tcW w:w="2249"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占基金资产净值比例</w:t>
            </w:r>
            <w:r w:rsidRPr="00C234F0">
              <w:rPr>
                <w:color w:val="000000"/>
                <w:sz w:val="24"/>
              </w:rPr>
              <w:t>(</w:t>
            </w:r>
            <w:r w:rsidRPr="00C234F0">
              <w:rPr>
                <w:rFonts w:hint="eastAsia"/>
                <w:color w:val="000000"/>
                <w:sz w:val="24"/>
              </w:rPr>
              <w:t>％</w:t>
            </w:r>
            <w:r w:rsidRPr="00C234F0">
              <w:rPr>
                <w:color w:val="000000"/>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1</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国家债券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2</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央行票据</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3</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金融债券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40,312,000.00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12.69</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其中：政策性金融债</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40,312,000.00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12.69</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4</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企业债券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11,041,800.00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3.48</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5</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企业短期融资</w:t>
            </w:r>
            <w:r w:rsidR="000C0A18" w:rsidRPr="00C234F0">
              <w:rPr>
                <w:rFonts w:hint="eastAsia"/>
                <w:color w:val="000000"/>
                <w:sz w:val="24"/>
              </w:rPr>
              <w:t>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6</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中期票据</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7</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可转债</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408,618.00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0.13</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8</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其他</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9</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合计</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51,762,418.00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16.29</w:t>
            </w:r>
          </w:p>
        </w:tc>
      </w:tr>
    </w:tbl>
    <w:p w:rsidR="00436166" w:rsidRPr="00C51C77" w:rsidRDefault="00436166" w:rsidP="00BE4E5D">
      <w:pPr>
        <w:tabs>
          <w:tab w:val="left" w:pos="426"/>
        </w:tabs>
        <w:spacing w:before="29" w:line="288" w:lineRule="auto"/>
        <w:jc w:val="left"/>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72" w:name="_Toc361324884"/>
      <w:r w:rsidRPr="00245C29">
        <w:rPr>
          <w:rFonts w:ascii="Times New Roman" w:hAnsi="Times New Roman"/>
          <w:kern w:val="0"/>
          <w:szCs w:val="24"/>
        </w:rPr>
        <w:t>8.6</w:t>
      </w:r>
      <w:bookmarkStart w:id="73" w:name="_Toc234814105"/>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451388" w:rsidRPr="00245C29">
        <w:rPr>
          <w:rFonts w:ascii="Times New Roman" w:hAnsi="Times New Roman" w:hint="eastAsia"/>
          <w:kern w:val="0"/>
          <w:szCs w:val="24"/>
        </w:rPr>
        <w:t>排序</w:t>
      </w:r>
      <w:r w:rsidRPr="00245C29">
        <w:rPr>
          <w:rFonts w:ascii="Times New Roman" w:hAnsi="Times New Roman" w:hint="eastAsia"/>
          <w:kern w:val="0"/>
          <w:szCs w:val="24"/>
        </w:rPr>
        <w:t>的前五名债券投资明细</w:t>
      </w:r>
      <w:bookmarkEnd w:id="72"/>
      <w:bookmarkEnd w:id="73"/>
    </w:p>
    <w:p w:rsidR="001A59F9" w:rsidRPr="005F057B" w:rsidRDefault="001A59F9" w:rsidP="005F057B">
      <w:pPr>
        <w:autoSpaceDE w:val="0"/>
        <w:autoSpaceDN w:val="0"/>
        <w:adjustRightInd w:val="0"/>
        <w:spacing w:before="29" w:line="288" w:lineRule="auto"/>
        <w:ind w:left="15"/>
        <w:jc w:val="right"/>
        <w:rPr>
          <w:color w:val="000000"/>
          <w:sz w:val="24"/>
        </w:rPr>
      </w:pPr>
      <w:r w:rsidRPr="005F057B">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500"/>
        <w:gridCol w:w="1500"/>
      </w:tblGrid>
      <w:tr w:rsidR="001A59F9" w:rsidRPr="00C51C77" w:rsidTr="006A1415">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序号</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债券代码</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债券名称</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数量</w:t>
            </w:r>
            <w:r w:rsidRPr="005F057B">
              <w:rPr>
                <w:color w:val="000000"/>
                <w:sz w:val="24"/>
              </w:rPr>
              <w:t>(</w:t>
            </w:r>
            <w:r w:rsidRPr="005F057B">
              <w:rPr>
                <w:rFonts w:hint="eastAsia"/>
                <w:color w:val="000000"/>
                <w:sz w:val="24"/>
              </w:rPr>
              <w:t>张</w:t>
            </w:r>
            <w:r w:rsidRPr="005F057B">
              <w:rPr>
                <w:color w:val="000000"/>
                <w:sz w:val="24"/>
              </w:rPr>
              <w:t>)</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公允价值</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占基金资产净值比例</w:t>
            </w:r>
            <w:r w:rsidRPr="005F057B">
              <w:rPr>
                <w:color w:val="000000"/>
                <w:sz w:val="24"/>
              </w:rPr>
              <w:t>(</w:t>
            </w:r>
            <w:r w:rsidRPr="005F057B">
              <w:rPr>
                <w:rFonts w:hint="eastAsia"/>
                <w:color w:val="000000"/>
                <w:sz w:val="24"/>
              </w:rPr>
              <w:t>％</w:t>
            </w:r>
            <w:r w:rsidRPr="005F057B">
              <w:rPr>
                <w:color w:val="000000"/>
                <w:sz w:val="24"/>
              </w:rPr>
              <w:t>)</w:t>
            </w:r>
          </w:p>
        </w:tc>
      </w:tr>
      <w:tr w:rsidR="00A9459B">
        <w:tc>
          <w:tcPr>
            <w:tcW w:w="1499" w:type="dxa"/>
            <w:vAlign w:val="center"/>
          </w:tcPr>
          <w:p w:rsidR="00A9459B" w:rsidRDefault="00FD6859">
            <w:pPr>
              <w:jc w:val="center"/>
            </w:pPr>
            <w:r>
              <w:rPr>
                <w:color w:val="000000"/>
                <w:sz w:val="24"/>
              </w:rPr>
              <w:t>1</w:t>
            </w:r>
          </w:p>
        </w:tc>
        <w:tc>
          <w:tcPr>
            <w:tcW w:w="1499" w:type="dxa"/>
            <w:vAlign w:val="center"/>
          </w:tcPr>
          <w:p w:rsidR="00A9459B" w:rsidRDefault="00FD6859">
            <w:pPr>
              <w:jc w:val="center"/>
            </w:pPr>
            <w:r>
              <w:rPr>
                <w:color w:val="000000"/>
                <w:sz w:val="24"/>
              </w:rPr>
              <w:t>140320</w:t>
            </w:r>
          </w:p>
        </w:tc>
        <w:tc>
          <w:tcPr>
            <w:tcW w:w="1500" w:type="dxa"/>
            <w:vAlign w:val="center"/>
          </w:tcPr>
          <w:p w:rsidR="00A9459B" w:rsidRDefault="00FD6859">
            <w:pPr>
              <w:jc w:val="center"/>
            </w:pPr>
            <w:r>
              <w:rPr>
                <w:color w:val="000000"/>
                <w:sz w:val="24"/>
              </w:rPr>
              <w:t>14</w:t>
            </w:r>
            <w:r>
              <w:rPr>
                <w:color w:val="000000"/>
                <w:sz w:val="24"/>
              </w:rPr>
              <w:t>进出</w:t>
            </w:r>
            <w:r>
              <w:rPr>
                <w:color w:val="000000"/>
                <w:sz w:val="24"/>
              </w:rPr>
              <w:t>20</w:t>
            </w:r>
          </w:p>
        </w:tc>
        <w:tc>
          <w:tcPr>
            <w:tcW w:w="1500" w:type="dxa"/>
            <w:vAlign w:val="center"/>
          </w:tcPr>
          <w:p w:rsidR="00A9459B" w:rsidRDefault="00FD6859">
            <w:pPr>
              <w:jc w:val="right"/>
            </w:pPr>
            <w:r>
              <w:rPr>
                <w:color w:val="000000"/>
                <w:sz w:val="24"/>
              </w:rPr>
              <w:t>300,000</w:t>
            </w:r>
          </w:p>
        </w:tc>
        <w:tc>
          <w:tcPr>
            <w:tcW w:w="1500" w:type="dxa"/>
            <w:vAlign w:val="center"/>
          </w:tcPr>
          <w:p w:rsidR="00A9459B" w:rsidRDefault="00FD6859">
            <w:pPr>
              <w:jc w:val="right"/>
            </w:pPr>
            <w:r>
              <w:rPr>
                <w:color w:val="000000"/>
                <w:sz w:val="24"/>
              </w:rPr>
              <w:t>30,039,000.00</w:t>
            </w:r>
          </w:p>
        </w:tc>
        <w:tc>
          <w:tcPr>
            <w:tcW w:w="1500" w:type="dxa"/>
            <w:vAlign w:val="center"/>
          </w:tcPr>
          <w:p w:rsidR="00A9459B" w:rsidRDefault="00FD6859">
            <w:pPr>
              <w:jc w:val="right"/>
            </w:pPr>
            <w:r>
              <w:rPr>
                <w:color w:val="000000"/>
                <w:sz w:val="24"/>
              </w:rPr>
              <w:t>9.45</w:t>
            </w:r>
          </w:p>
        </w:tc>
      </w:tr>
      <w:tr w:rsidR="00A9459B">
        <w:tc>
          <w:tcPr>
            <w:tcW w:w="1499" w:type="dxa"/>
            <w:vAlign w:val="center"/>
          </w:tcPr>
          <w:p w:rsidR="00A9459B" w:rsidRDefault="00FD6859">
            <w:pPr>
              <w:jc w:val="center"/>
            </w:pPr>
            <w:r>
              <w:rPr>
                <w:color w:val="000000"/>
                <w:sz w:val="24"/>
              </w:rPr>
              <w:t>2</w:t>
            </w:r>
          </w:p>
        </w:tc>
        <w:tc>
          <w:tcPr>
            <w:tcW w:w="1499" w:type="dxa"/>
            <w:vAlign w:val="center"/>
          </w:tcPr>
          <w:p w:rsidR="00A9459B" w:rsidRDefault="00FD6859">
            <w:pPr>
              <w:jc w:val="center"/>
            </w:pPr>
            <w:r>
              <w:rPr>
                <w:color w:val="000000"/>
                <w:sz w:val="24"/>
              </w:rPr>
              <w:t>122266</w:t>
            </w:r>
          </w:p>
        </w:tc>
        <w:tc>
          <w:tcPr>
            <w:tcW w:w="1500" w:type="dxa"/>
            <w:vAlign w:val="center"/>
          </w:tcPr>
          <w:p w:rsidR="00A9459B" w:rsidRDefault="00FD6859">
            <w:pPr>
              <w:jc w:val="center"/>
            </w:pPr>
            <w:r>
              <w:rPr>
                <w:color w:val="000000"/>
                <w:sz w:val="24"/>
              </w:rPr>
              <w:t>13</w:t>
            </w:r>
            <w:r>
              <w:rPr>
                <w:color w:val="000000"/>
                <w:sz w:val="24"/>
              </w:rPr>
              <w:t>中信</w:t>
            </w:r>
            <w:r>
              <w:rPr>
                <w:color w:val="000000"/>
                <w:sz w:val="24"/>
              </w:rPr>
              <w:t>03</w:t>
            </w:r>
          </w:p>
        </w:tc>
        <w:tc>
          <w:tcPr>
            <w:tcW w:w="1500" w:type="dxa"/>
            <w:vAlign w:val="center"/>
          </w:tcPr>
          <w:p w:rsidR="00A9459B" w:rsidRDefault="00FD6859">
            <w:pPr>
              <w:jc w:val="right"/>
            </w:pPr>
            <w:r>
              <w:rPr>
                <w:color w:val="000000"/>
                <w:sz w:val="24"/>
              </w:rPr>
              <w:t>110,000</w:t>
            </w:r>
          </w:p>
        </w:tc>
        <w:tc>
          <w:tcPr>
            <w:tcW w:w="1500" w:type="dxa"/>
            <w:vAlign w:val="center"/>
          </w:tcPr>
          <w:p w:rsidR="00A9459B" w:rsidRDefault="00FD6859">
            <w:pPr>
              <w:jc w:val="right"/>
            </w:pPr>
            <w:r>
              <w:rPr>
                <w:color w:val="000000"/>
                <w:sz w:val="24"/>
              </w:rPr>
              <w:t>11,041,800.00</w:t>
            </w:r>
          </w:p>
        </w:tc>
        <w:tc>
          <w:tcPr>
            <w:tcW w:w="1500" w:type="dxa"/>
            <w:vAlign w:val="center"/>
          </w:tcPr>
          <w:p w:rsidR="00A9459B" w:rsidRDefault="00FD6859">
            <w:pPr>
              <w:jc w:val="right"/>
            </w:pPr>
            <w:r>
              <w:rPr>
                <w:color w:val="000000"/>
                <w:sz w:val="24"/>
              </w:rPr>
              <w:t>3.48</w:t>
            </w:r>
          </w:p>
        </w:tc>
      </w:tr>
      <w:tr w:rsidR="00A9459B">
        <w:tc>
          <w:tcPr>
            <w:tcW w:w="1499" w:type="dxa"/>
            <w:vAlign w:val="center"/>
          </w:tcPr>
          <w:p w:rsidR="00A9459B" w:rsidRDefault="00FD6859">
            <w:pPr>
              <w:jc w:val="center"/>
            </w:pPr>
            <w:r>
              <w:rPr>
                <w:color w:val="000000"/>
                <w:sz w:val="24"/>
              </w:rPr>
              <w:t>3</w:t>
            </w:r>
          </w:p>
        </w:tc>
        <w:tc>
          <w:tcPr>
            <w:tcW w:w="1499" w:type="dxa"/>
            <w:vAlign w:val="center"/>
          </w:tcPr>
          <w:p w:rsidR="00A9459B" w:rsidRDefault="00FD6859">
            <w:pPr>
              <w:jc w:val="center"/>
            </w:pPr>
            <w:r>
              <w:rPr>
                <w:color w:val="000000"/>
                <w:sz w:val="24"/>
              </w:rPr>
              <w:t>018001</w:t>
            </w:r>
          </w:p>
        </w:tc>
        <w:tc>
          <w:tcPr>
            <w:tcW w:w="1500" w:type="dxa"/>
            <w:vAlign w:val="center"/>
          </w:tcPr>
          <w:p w:rsidR="00A9459B" w:rsidRDefault="00FD6859">
            <w:pPr>
              <w:jc w:val="center"/>
            </w:pPr>
            <w:r>
              <w:rPr>
                <w:color w:val="000000"/>
                <w:sz w:val="24"/>
              </w:rPr>
              <w:t>国开</w:t>
            </w:r>
            <w:r>
              <w:rPr>
                <w:color w:val="000000"/>
                <w:sz w:val="24"/>
              </w:rPr>
              <w:t>1301</w:t>
            </w:r>
          </w:p>
        </w:tc>
        <w:tc>
          <w:tcPr>
            <w:tcW w:w="1500" w:type="dxa"/>
            <w:vAlign w:val="center"/>
          </w:tcPr>
          <w:p w:rsidR="00A9459B" w:rsidRDefault="00FD6859">
            <w:pPr>
              <w:jc w:val="right"/>
            </w:pPr>
            <w:r>
              <w:rPr>
                <w:color w:val="000000"/>
                <w:sz w:val="24"/>
              </w:rPr>
              <w:t>100,000</w:t>
            </w:r>
          </w:p>
        </w:tc>
        <w:tc>
          <w:tcPr>
            <w:tcW w:w="1500" w:type="dxa"/>
            <w:vAlign w:val="center"/>
          </w:tcPr>
          <w:p w:rsidR="00A9459B" w:rsidRDefault="00FD6859">
            <w:pPr>
              <w:jc w:val="right"/>
            </w:pPr>
            <w:r>
              <w:rPr>
                <w:color w:val="000000"/>
                <w:sz w:val="24"/>
              </w:rPr>
              <w:t>10,273,000.00</w:t>
            </w:r>
          </w:p>
        </w:tc>
        <w:tc>
          <w:tcPr>
            <w:tcW w:w="1500" w:type="dxa"/>
            <w:vAlign w:val="center"/>
          </w:tcPr>
          <w:p w:rsidR="00A9459B" w:rsidRDefault="00FD6859">
            <w:pPr>
              <w:jc w:val="right"/>
            </w:pPr>
            <w:r>
              <w:rPr>
                <w:color w:val="000000"/>
                <w:sz w:val="24"/>
              </w:rPr>
              <w:t>3.23</w:t>
            </w:r>
          </w:p>
        </w:tc>
      </w:tr>
      <w:tr w:rsidR="00A9459B">
        <w:tc>
          <w:tcPr>
            <w:tcW w:w="1499" w:type="dxa"/>
            <w:vAlign w:val="center"/>
          </w:tcPr>
          <w:p w:rsidR="00A9459B" w:rsidRDefault="00FD6859">
            <w:pPr>
              <w:jc w:val="center"/>
            </w:pPr>
            <w:r>
              <w:rPr>
                <w:color w:val="000000"/>
                <w:sz w:val="24"/>
              </w:rPr>
              <w:t>4</w:t>
            </w:r>
          </w:p>
        </w:tc>
        <w:tc>
          <w:tcPr>
            <w:tcW w:w="1499" w:type="dxa"/>
            <w:vAlign w:val="center"/>
          </w:tcPr>
          <w:p w:rsidR="00A9459B" w:rsidRDefault="00FD6859">
            <w:pPr>
              <w:jc w:val="center"/>
            </w:pPr>
            <w:r>
              <w:rPr>
                <w:color w:val="000000"/>
                <w:sz w:val="24"/>
              </w:rPr>
              <w:t>113501</w:t>
            </w:r>
          </w:p>
        </w:tc>
        <w:tc>
          <w:tcPr>
            <w:tcW w:w="1500" w:type="dxa"/>
            <w:vAlign w:val="center"/>
          </w:tcPr>
          <w:p w:rsidR="00A9459B" w:rsidRDefault="00FD6859">
            <w:pPr>
              <w:jc w:val="center"/>
            </w:pPr>
            <w:r>
              <w:rPr>
                <w:color w:val="000000"/>
                <w:sz w:val="24"/>
              </w:rPr>
              <w:t>洛钼转债</w:t>
            </w:r>
          </w:p>
        </w:tc>
        <w:tc>
          <w:tcPr>
            <w:tcW w:w="1500" w:type="dxa"/>
            <w:vAlign w:val="center"/>
          </w:tcPr>
          <w:p w:rsidR="00A9459B" w:rsidRDefault="00FD6859">
            <w:pPr>
              <w:jc w:val="right"/>
            </w:pPr>
            <w:r>
              <w:rPr>
                <w:color w:val="000000"/>
                <w:sz w:val="24"/>
              </w:rPr>
              <w:t>3,220</w:t>
            </w:r>
          </w:p>
        </w:tc>
        <w:tc>
          <w:tcPr>
            <w:tcW w:w="1500" w:type="dxa"/>
            <w:vAlign w:val="center"/>
          </w:tcPr>
          <w:p w:rsidR="00A9459B" w:rsidRDefault="00FD6859">
            <w:pPr>
              <w:jc w:val="right"/>
            </w:pPr>
            <w:r>
              <w:rPr>
                <w:color w:val="000000"/>
                <w:sz w:val="24"/>
              </w:rPr>
              <w:t>408,618.00</w:t>
            </w:r>
          </w:p>
        </w:tc>
        <w:tc>
          <w:tcPr>
            <w:tcW w:w="1500" w:type="dxa"/>
            <w:vAlign w:val="center"/>
          </w:tcPr>
          <w:p w:rsidR="00A9459B" w:rsidRDefault="00FD6859">
            <w:pPr>
              <w:jc w:val="right"/>
            </w:pPr>
            <w:r>
              <w:rPr>
                <w:color w:val="000000"/>
                <w:sz w:val="24"/>
              </w:rPr>
              <w:t>0.13</w:t>
            </w:r>
          </w:p>
        </w:tc>
      </w:tr>
    </w:tbl>
    <w:p w:rsidR="00360E5D" w:rsidRPr="00BE4E5D" w:rsidRDefault="00360E5D" w:rsidP="00BE4E5D">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bookmarkStart w:id="74" w:name="_Toc361324885"/>
      <w:r w:rsidRPr="00245C29">
        <w:rPr>
          <w:rFonts w:ascii="Times New Roman" w:hAnsi="Times New Roman"/>
          <w:kern w:val="0"/>
          <w:szCs w:val="24"/>
        </w:rPr>
        <w:t>8.7</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3D0669" w:rsidRPr="00245C29">
        <w:rPr>
          <w:rFonts w:ascii="Times New Roman" w:hAnsi="Times New Roman" w:hint="eastAsia"/>
          <w:kern w:val="0"/>
          <w:szCs w:val="24"/>
        </w:rPr>
        <w:t>排序</w:t>
      </w:r>
      <w:r w:rsidRPr="00245C29">
        <w:rPr>
          <w:rFonts w:ascii="Times New Roman" w:hAnsi="Times New Roman" w:hint="eastAsia"/>
          <w:kern w:val="0"/>
          <w:szCs w:val="24"/>
        </w:rPr>
        <w:t>的</w:t>
      </w:r>
      <w:r w:rsidR="007D125C" w:rsidRPr="00245C29">
        <w:rPr>
          <w:rFonts w:ascii="Times New Roman" w:hAnsi="Times New Roman" w:hint="eastAsia"/>
          <w:kern w:val="0"/>
          <w:szCs w:val="24"/>
        </w:rPr>
        <w:t>前十名</w:t>
      </w:r>
      <w:r w:rsidRPr="00245C29">
        <w:rPr>
          <w:rFonts w:ascii="Times New Roman" w:hAnsi="Times New Roman" w:hint="eastAsia"/>
          <w:kern w:val="0"/>
          <w:szCs w:val="24"/>
        </w:rPr>
        <w:t>资产支持证券投资明细</w:t>
      </w:r>
      <w:bookmarkEnd w:id="74"/>
    </w:p>
    <w:p w:rsidR="001A59F9" w:rsidRPr="00BE4E5D" w:rsidRDefault="001A59F9" w:rsidP="00BE4E5D">
      <w:pPr>
        <w:tabs>
          <w:tab w:val="left" w:pos="426"/>
        </w:tabs>
        <w:spacing w:before="29" w:line="288" w:lineRule="auto"/>
        <w:jc w:val="left"/>
        <w:rPr>
          <w:kern w:val="0"/>
          <w:sz w:val="24"/>
        </w:rPr>
      </w:pPr>
      <w:r w:rsidRPr="00F20F8D">
        <w:rPr>
          <w:kern w:val="0"/>
          <w:sz w:val="24"/>
        </w:rPr>
        <w:t>本基金本报告期末未持有资产支持证券。</w:t>
      </w:r>
      <w:r w:rsidR="00BE4E5D">
        <w:rPr>
          <w:rFonts w:hint="eastAsia"/>
          <w:kern w:val="0"/>
          <w:sz w:val="24"/>
        </w:rPr>
        <w:br/>
      </w:r>
    </w:p>
    <w:p w:rsidR="000E4505" w:rsidRDefault="000E4505"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8.8</w:t>
      </w:r>
      <w:r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报告期末按公允价值占基金资产净值比例大小排序的前五名贵金属投资明细</w:t>
      </w:r>
    </w:p>
    <w:p w:rsidR="000E4505" w:rsidRPr="00BE4E5D" w:rsidRDefault="000E4505" w:rsidP="00BE4E5D">
      <w:pPr>
        <w:tabs>
          <w:tab w:val="left" w:pos="426"/>
        </w:tabs>
        <w:spacing w:before="29" w:line="288" w:lineRule="auto"/>
        <w:jc w:val="left"/>
        <w:rPr>
          <w:kern w:val="0"/>
          <w:sz w:val="24"/>
        </w:rPr>
      </w:pPr>
      <w:r w:rsidRPr="009B5FD9">
        <w:rPr>
          <w:kern w:val="0"/>
          <w:sz w:val="24"/>
        </w:rPr>
        <w:t>本基金本报告期末未持有贵金属。</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5" w:name="_Toc361324886"/>
      <w:r w:rsidRPr="00245C29">
        <w:rPr>
          <w:rFonts w:ascii="Times New Roman" w:hAnsi="Times New Roman"/>
          <w:kern w:val="0"/>
          <w:szCs w:val="24"/>
        </w:rPr>
        <w:t>8.9</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w:t>
      </w:r>
      <w:r w:rsidR="006A4B92" w:rsidRPr="00245C29">
        <w:rPr>
          <w:rFonts w:ascii="Times New Roman" w:hAnsi="Times New Roman" w:hint="eastAsia"/>
          <w:kern w:val="0"/>
          <w:szCs w:val="24"/>
        </w:rPr>
        <w:t>序</w:t>
      </w:r>
      <w:r w:rsidRPr="00245C29">
        <w:rPr>
          <w:rFonts w:ascii="Times New Roman" w:hAnsi="Times New Roman" w:hint="eastAsia"/>
          <w:kern w:val="0"/>
          <w:szCs w:val="24"/>
        </w:rPr>
        <w:t>的前五名权证投资明细</w:t>
      </w:r>
      <w:bookmarkEnd w:id="75"/>
    </w:p>
    <w:p w:rsidR="001A59F9" w:rsidRPr="00BE4E5D" w:rsidRDefault="001A59F9" w:rsidP="00CB09E3">
      <w:pPr>
        <w:tabs>
          <w:tab w:val="left" w:pos="426"/>
        </w:tabs>
        <w:spacing w:before="29" w:line="288" w:lineRule="auto"/>
        <w:jc w:val="left"/>
        <w:rPr>
          <w:kern w:val="0"/>
          <w:sz w:val="24"/>
        </w:rPr>
      </w:pPr>
      <w:r w:rsidRPr="009B5FD9">
        <w:rPr>
          <w:kern w:val="0"/>
          <w:sz w:val="24"/>
        </w:rPr>
        <w:t>本基金本报告期末未持有权证。</w:t>
      </w:r>
      <w:r w:rsidR="00BE4E5D">
        <w:rPr>
          <w:rFonts w:hint="eastAsia"/>
          <w:kern w:val="0"/>
          <w:sz w:val="24"/>
        </w:rPr>
        <w:br/>
      </w:r>
    </w:p>
    <w:p w:rsidR="005D072B" w:rsidRPr="00245C29" w:rsidRDefault="005D072B"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 xml:space="preserve">8.10 </w:t>
      </w:r>
      <w:r w:rsidRPr="00245C29">
        <w:rPr>
          <w:rFonts w:ascii="Times New Roman" w:hAnsi="Times New Roman" w:hint="eastAsia"/>
          <w:kern w:val="0"/>
          <w:szCs w:val="24"/>
        </w:rPr>
        <w:t>报告期末本基金投资的股指期货交易情况说明</w:t>
      </w:r>
    </w:p>
    <w:p w:rsidR="005D072B" w:rsidRPr="00BE4E5D" w:rsidRDefault="005D072B" w:rsidP="00BE4E5D">
      <w:pPr>
        <w:tabs>
          <w:tab w:val="left" w:pos="426"/>
        </w:tabs>
        <w:spacing w:before="29" w:line="288" w:lineRule="auto"/>
        <w:jc w:val="left"/>
        <w:rPr>
          <w:kern w:val="0"/>
          <w:sz w:val="24"/>
        </w:rPr>
      </w:pPr>
      <w:r w:rsidRPr="00075D2A">
        <w:rPr>
          <w:kern w:val="0"/>
          <w:sz w:val="24"/>
        </w:rPr>
        <w:t>本基金本报告期末未持有股指期货。</w:t>
      </w:r>
      <w:r w:rsidR="00BE4E5D">
        <w:rPr>
          <w:rFonts w:hint="eastAsia"/>
          <w:kern w:val="0"/>
          <w:sz w:val="24"/>
        </w:rPr>
        <w:br/>
      </w:r>
    </w:p>
    <w:p w:rsidR="00E074BE" w:rsidRPr="00245C29" w:rsidRDefault="00E074BE"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8.11</w:t>
      </w:r>
      <w:r w:rsidRPr="00245C29">
        <w:rPr>
          <w:rFonts w:ascii="Times New Roman" w:hAnsi="Times New Roman" w:hint="eastAsia"/>
          <w:kern w:val="0"/>
          <w:szCs w:val="24"/>
        </w:rPr>
        <w:t>报告期末本基金投资的国债期货交易情况说明</w:t>
      </w:r>
    </w:p>
    <w:p w:rsidR="00294431" w:rsidRPr="00BE4E5D" w:rsidRDefault="00E074BE" w:rsidP="00BE4E5D">
      <w:pPr>
        <w:tabs>
          <w:tab w:val="left" w:pos="426"/>
        </w:tabs>
        <w:spacing w:before="29" w:line="288" w:lineRule="auto"/>
        <w:jc w:val="left"/>
        <w:rPr>
          <w:kern w:val="0"/>
          <w:sz w:val="24"/>
        </w:rPr>
      </w:pPr>
      <w:r w:rsidRPr="00294431">
        <w:rPr>
          <w:rFonts w:hint="eastAsia"/>
          <w:kern w:val="0"/>
          <w:sz w:val="24"/>
        </w:rPr>
        <w:t>本基金本报告期末未持有国债期货。</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6" w:name="_Toc361324887"/>
      <w:r w:rsidRPr="00245C29">
        <w:rPr>
          <w:rFonts w:ascii="Times New Roman" w:hAnsi="Times New Roman"/>
          <w:kern w:val="0"/>
          <w:szCs w:val="24"/>
        </w:rPr>
        <w:t xml:space="preserve">8.12 </w:t>
      </w:r>
      <w:r w:rsidRPr="00245C29">
        <w:rPr>
          <w:rFonts w:ascii="Times New Roman" w:hAnsi="Times New Roman" w:hint="eastAsia"/>
          <w:kern w:val="0"/>
          <w:szCs w:val="24"/>
        </w:rPr>
        <w:t>投资组合报告附注</w:t>
      </w:r>
      <w:bookmarkEnd w:id="76"/>
    </w:p>
    <w:p w:rsidR="001A59F9" w:rsidRDefault="001A59F9" w:rsidP="00AA16A6">
      <w:pPr>
        <w:spacing w:before="29" w:line="288" w:lineRule="auto"/>
        <w:rPr>
          <w:color w:val="000000"/>
          <w:sz w:val="24"/>
        </w:rPr>
      </w:pPr>
      <w:r w:rsidRPr="00A57982">
        <w:rPr>
          <w:b/>
          <w:color w:val="000000"/>
          <w:sz w:val="24"/>
        </w:rPr>
        <w:t>8.12.1</w:t>
      </w:r>
      <w:r w:rsidRPr="00463BF5">
        <w:rPr>
          <w:color w:val="000000"/>
          <w:sz w:val="24"/>
        </w:rPr>
        <w:t>报告期内本基金投资的前十名证券的发行主体未被监管部门立案调查，在本报告编制日前一年内本基金投资的前十名证券的发行主体未受到公开谴责和处罚。</w:t>
      </w:r>
    </w:p>
    <w:p w:rsidR="001A59F9" w:rsidRDefault="001A59F9" w:rsidP="00AA16A6">
      <w:pPr>
        <w:spacing w:before="29" w:line="288" w:lineRule="auto"/>
        <w:rPr>
          <w:color w:val="000000"/>
          <w:sz w:val="24"/>
        </w:rPr>
      </w:pPr>
      <w:r w:rsidRPr="00A57982">
        <w:rPr>
          <w:b/>
          <w:color w:val="000000"/>
          <w:sz w:val="24"/>
        </w:rPr>
        <w:t>8.12.2</w:t>
      </w:r>
      <w:r w:rsidRPr="00463BF5">
        <w:rPr>
          <w:color w:val="000000"/>
          <w:sz w:val="24"/>
        </w:rPr>
        <w:t>本基金投资的前十名股票中，没有超出基金合同规定的备选股票库之外的股票。</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期末其他各项资产构成</w:t>
      </w:r>
    </w:p>
    <w:p w:rsidR="001A59F9" w:rsidRPr="004627DD" w:rsidRDefault="001A59F9" w:rsidP="00026C9C">
      <w:pPr>
        <w:autoSpaceDE w:val="0"/>
        <w:autoSpaceDN w:val="0"/>
        <w:adjustRightInd w:val="0"/>
        <w:spacing w:before="29" w:line="360" w:lineRule="auto"/>
        <w:ind w:left="15"/>
        <w:jc w:val="right"/>
        <w:rPr>
          <w:color w:val="000000"/>
          <w:sz w:val="24"/>
        </w:rPr>
      </w:pPr>
      <w:r w:rsidRPr="004627DD">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rFonts w:hint="eastAsia"/>
                <w:color w:val="000000"/>
                <w:sz w:val="24"/>
              </w:rPr>
              <w:t>序号</w:t>
            </w:r>
          </w:p>
        </w:tc>
        <w:tc>
          <w:tcPr>
            <w:tcW w:w="4117" w:type="dxa"/>
          </w:tcPr>
          <w:p w:rsidR="001A59F9" w:rsidRPr="005717F5" w:rsidRDefault="001A59F9" w:rsidP="005717F5">
            <w:pPr>
              <w:spacing w:before="29" w:line="288" w:lineRule="auto"/>
              <w:jc w:val="center"/>
              <w:rPr>
                <w:color w:val="000000"/>
                <w:sz w:val="24"/>
              </w:rPr>
            </w:pPr>
            <w:r w:rsidRPr="005717F5">
              <w:rPr>
                <w:rFonts w:hint="eastAsia"/>
                <w:color w:val="000000"/>
                <w:sz w:val="24"/>
              </w:rPr>
              <w:t>名称</w:t>
            </w:r>
          </w:p>
        </w:tc>
        <w:tc>
          <w:tcPr>
            <w:tcW w:w="4118" w:type="dxa"/>
          </w:tcPr>
          <w:p w:rsidR="001A59F9" w:rsidRPr="005717F5" w:rsidRDefault="001A59F9" w:rsidP="005717F5">
            <w:pPr>
              <w:spacing w:before="29" w:line="288" w:lineRule="auto"/>
              <w:jc w:val="center"/>
              <w:rPr>
                <w:color w:val="000000"/>
                <w:sz w:val="24"/>
              </w:rPr>
            </w:pPr>
            <w:r w:rsidRPr="005717F5">
              <w:rPr>
                <w:rFonts w:hint="eastAsia"/>
                <w:color w:val="000000"/>
                <w:sz w:val="24"/>
              </w:rPr>
              <w:t>金额</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1</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存出保证金</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105,187.52</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2</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应收证券清算款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3</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应收股利</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4</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应收利息</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2,120,503.54</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5</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应收申购款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222,507.52</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6</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其他应收款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7</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待摊费用</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8</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9</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合计</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2,448,198.58</w:t>
            </w:r>
          </w:p>
        </w:tc>
      </w:tr>
    </w:tbl>
    <w:p w:rsidR="001A59F9" w:rsidRPr="00C51C77"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8.12.4</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期末持有的处于转股期的可转换债券明细</w:t>
      </w:r>
    </w:p>
    <w:p w:rsidR="001A59F9" w:rsidRPr="00C51C77" w:rsidRDefault="001A59F9" w:rsidP="00A81E7C">
      <w:pPr>
        <w:tabs>
          <w:tab w:val="left" w:pos="426"/>
        </w:tabs>
        <w:spacing w:before="29" w:line="288" w:lineRule="auto"/>
        <w:jc w:val="left"/>
        <w:rPr>
          <w:rFonts w:asciiTheme="minorEastAsia" w:eastAsiaTheme="minorEastAsia" w:hAnsiTheme="minorEastAsia"/>
          <w:color w:val="000000"/>
          <w:szCs w:val="21"/>
        </w:rPr>
      </w:pPr>
      <w:r w:rsidRPr="00273FD9">
        <w:rPr>
          <w:kern w:val="0"/>
          <w:sz w:val="24"/>
        </w:rPr>
        <w:t>本基金本报告期末未持有处于转股期的可转换债券。</w:t>
      </w:r>
      <w:r w:rsidR="00A81E7C">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8.12.5</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期末前十名股票中存在流通受限情况的说明</w:t>
      </w:r>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8"/>
        <w:gridCol w:w="1272"/>
        <w:gridCol w:w="1271"/>
        <w:gridCol w:w="1870"/>
        <w:gridCol w:w="1522"/>
        <w:gridCol w:w="2005"/>
      </w:tblGrid>
      <w:tr w:rsidR="001A59F9" w:rsidRPr="00C51C77" w:rsidTr="00F53C7C">
        <w:tc>
          <w:tcPr>
            <w:tcW w:w="1083"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序号</w:t>
            </w:r>
          </w:p>
        </w:tc>
        <w:tc>
          <w:tcPr>
            <w:tcW w:w="1302"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股票代码</w:t>
            </w:r>
          </w:p>
        </w:tc>
        <w:tc>
          <w:tcPr>
            <w:tcW w:w="1301"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股票名称</w:t>
            </w:r>
          </w:p>
        </w:tc>
        <w:tc>
          <w:tcPr>
            <w:tcW w:w="1917"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流通受限部分的公允价值</w:t>
            </w:r>
          </w:p>
        </w:tc>
        <w:tc>
          <w:tcPr>
            <w:tcW w:w="1559"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占基金资产净值比例</w:t>
            </w:r>
            <w:r w:rsidRPr="00AA54E3">
              <w:rPr>
                <w:color w:val="000000"/>
                <w:sz w:val="24"/>
              </w:rPr>
              <w:t>(%)</w:t>
            </w:r>
          </w:p>
        </w:tc>
        <w:tc>
          <w:tcPr>
            <w:tcW w:w="2056"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流通受限情况说明</w:t>
            </w:r>
          </w:p>
        </w:tc>
      </w:tr>
      <w:tr w:rsidR="00A9459B">
        <w:tc>
          <w:tcPr>
            <w:tcW w:w="1058" w:type="dxa"/>
            <w:vAlign w:val="center"/>
          </w:tcPr>
          <w:p w:rsidR="00A9459B" w:rsidRDefault="00FD6859">
            <w:pPr>
              <w:jc w:val="center"/>
            </w:pPr>
            <w:r>
              <w:rPr>
                <w:color w:val="000000"/>
                <w:sz w:val="24"/>
              </w:rPr>
              <w:t>1</w:t>
            </w:r>
          </w:p>
        </w:tc>
        <w:tc>
          <w:tcPr>
            <w:tcW w:w="1272" w:type="dxa"/>
            <w:vAlign w:val="center"/>
          </w:tcPr>
          <w:p w:rsidR="00A9459B" w:rsidRDefault="00FD6859">
            <w:pPr>
              <w:jc w:val="center"/>
            </w:pPr>
            <w:r>
              <w:rPr>
                <w:color w:val="000000"/>
                <w:sz w:val="24"/>
              </w:rPr>
              <w:t>600584</w:t>
            </w:r>
          </w:p>
        </w:tc>
        <w:tc>
          <w:tcPr>
            <w:tcW w:w="1271" w:type="dxa"/>
            <w:vAlign w:val="center"/>
          </w:tcPr>
          <w:p w:rsidR="00A9459B" w:rsidRDefault="00FD6859">
            <w:pPr>
              <w:jc w:val="center"/>
            </w:pPr>
            <w:r>
              <w:rPr>
                <w:color w:val="000000"/>
                <w:sz w:val="24"/>
              </w:rPr>
              <w:t>长电科技</w:t>
            </w:r>
          </w:p>
        </w:tc>
        <w:tc>
          <w:tcPr>
            <w:tcW w:w="1870" w:type="dxa"/>
            <w:vAlign w:val="center"/>
          </w:tcPr>
          <w:p w:rsidR="00A9459B" w:rsidRDefault="00FD6859">
            <w:pPr>
              <w:jc w:val="right"/>
            </w:pPr>
            <w:r>
              <w:rPr>
                <w:color w:val="000000"/>
                <w:sz w:val="24"/>
              </w:rPr>
              <w:t>6,676,976.04</w:t>
            </w:r>
          </w:p>
        </w:tc>
        <w:tc>
          <w:tcPr>
            <w:tcW w:w="1522" w:type="dxa"/>
            <w:vAlign w:val="center"/>
          </w:tcPr>
          <w:p w:rsidR="00A9459B" w:rsidRDefault="00FD6859">
            <w:pPr>
              <w:jc w:val="right"/>
            </w:pPr>
            <w:r>
              <w:rPr>
                <w:color w:val="000000"/>
                <w:sz w:val="24"/>
              </w:rPr>
              <w:t>2.10</w:t>
            </w:r>
          </w:p>
        </w:tc>
        <w:tc>
          <w:tcPr>
            <w:tcW w:w="2005" w:type="dxa"/>
            <w:vAlign w:val="center"/>
          </w:tcPr>
          <w:p w:rsidR="00A9459B" w:rsidRDefault="00FD6859">
            <w:pPr>
              <w:jc w:val="right"/>
            </w:pPr>
            <w:r>
              <w:rPr>
                <w:color w:val="000000"/>
                <w:sz w:val="24"/>
              </w:rPr>
              <w:t>重大事项</w:t>
            </w:r>
          </w:p>
        </w:tc>
      </w:tr>
    </w:tbl>
    <w:p w:rsidR="00E056A4" w:rsidRPr="00C51C77" w:rsidRDefault="00E056A4" w:rsidP="00026C9C">
      <w:pPr>
        <w:autoSpaceDE w:val="0"/>
        <w:autoSpaceDN w:val="0"/>
        <w:adjustRightInd w:val="0"/>
        <w:spacing w:line="360" w:lineRule="auto"/>
        <w:ind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8.12.6</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投资组合报告附注的其他文字描述部分</w:t>
      </w:r>
    </w:p>
    <w:p w:rsidR="001A59F9" w:rsidRDefault="001A59F9" w:rsidP="00F53C7C">
      <w:pPr>
        <w:spacing w:before="29" w:line="288" w:lineRule="auto"/>
        <w:rPr>
          <w:color w:val="000000"/>
          <w:sz w:val="24"/>
        </w:rPr>
      </w:pPr>
      <w:r w:rsidRPr="00F53C7C">
        <w:rPr>
          <w:color w:val="000000"/>
          <w:sz w:val="24"/>
        </w:rPr>
        <w:t>由于四舍五入的原因，分项之和与合计项之间可能存在尾差。</w:t>
      </w:r>
    </w:p>
    <w:p w:rsidR="00F53C7C" w:rsidRPr="00F53C7C" w:rsidRDefault="00F53C7C" w:rsidP="00F53C7C">
      <w:pPr>
        <w:spacing w:before="29" w:line="288" w:lineRule="auto"/>
        <w:rPr>
          <w:color w:val="000000"/>
          <w:sz w:val="24"/>
        </w:rPr>
      </w:pPr>
    </w:p>
    <w:p w:rsidR="001A59F9" w:rsidRDefault="001A59F9" w:rsidP="00FD6859">
      <w:pPr>
        <w:pStyle w:val="1"/>
        <w:keepNext/>
        <w:keepLines/>
        <w:widowControl w:val="0"/>
        <w:spacing w:beforeLines="100" w:before="312" w:afterLines="100" w:after="312" w:line="288" w:lineRule="auto"/>
        <w:jc w:val="center"/>
        <w:rPr>
          <w:b/>
          <w:color w:val="000000"/>
          <w:szCs w:val="24"/>
        </w:rPr>
      </w:pPr>
      <w:bookmarkStart w:id="77" w:name="_Toc225500050"/>
      <w:bookmarkStart w:id="78" w:name="_Toc361324888"/>
      <w:r w:rsidRPr="00EF3943">
        <w:rPr>
          <w:rFonts w:hint="eastAsia"/>
          <w:b/>
          <w:color w:val="000000"/>
          <w:szCs w:val="24"/>
        </w:rPr>
        <w:t>§</w:t>
      </w:r>
      <w:r w:rsidRPr="00EF3943">
        <w:rPr>
          <w:b/>
          <w:color w:val="000000"/>
          <w:szCs w:val="24"/>
        </w:rPr>
        <w:t>9</w:t>
      </w:r>
      <w:r w:rsidR="009153A3" w:rsidRPr="00EF3943">
        <w:rPr>
          <w:rFonts w:hint="eastAsia"/>
          <w:b/>
          <w:color w:val="000000"/>
          <w:szCs w:val="24"/>
        </w:rPr>
        <w:t xml:space="preserve">  </w:t>
      </w:r>
      <w:r w:rsidRPr="00EF3943">
        <w:rPr>
          <w:rFonts w:hint="eastAsia"/>
          <w:b/>
          <w:color w:val="000000"/>
          <w:szCs w:val="24"/>
        </w:rPr>
        <w:t>基金份额持有人信息</w:t>
      </w:r>
      <w:bookmarkEnd w:id="77"/>
      <w:bookmarkEnd w:id="78"/>
    </w:p>
    <w:p w:rsidR="001A59F9" w:rsidRPr="00245C29" w:rsidRDefault="001A59F9" w:rsidP="00245C29">
      <w:pPr>
        <w:pStyle w:val="20"/>
        <w:spacing w:before="29" w:after="0" w:line="288" w:lineRule="auto"/>
        <w:rPr>
          <w:rFonts w:ascii="Times New Roman" w:hAnsi="Times New Roman"/>
          <w:kern w:val="0"/>
          <w:szCs w:val="24"/>
        </w:rPr>
      </w:pPr>
      <w:bookmarkStart w:id="79" w:name="_Toc225500051"/>
      <w:bookmarkStart w:id="80" w:name="_Toc361324889"/>
      <w:r w:rsidRPr="00245C29">
        <w:rPr>
          <w:rFonts w:ascii="Times New Roman" w:hAnsi="Times New Roman"/>
          <w:kern w:val="0"/>
          <w:szCs w:val="24"/>
        </w:rPr>
        <w:t xml:space="preserve">9.1 </w:t>
      </w:r>
      <w:r w:rsidRPr="00245C29">
        <w:rPr>
          <w:rFonts w:ascii="Times New Roman" w:hAnsi="Times New Roman" w:hint="eastAsia"/>
          <w:kern w:val="0"/>
          <w:szCs w:val="24"/>
        </w:rPr>
        <w:t>期末基金份额持有人户数及持有人结构</w:t>
      </w:r>
      <w:bookmarkEnd w:id="79"/>
      <w:bookmarkEnd w:id="80"/>
    </w:p>
    <w:p w:rsidR="002869EF" w:rsidRPr="00FC1A5A" w:rsidRDefault="002869EF" w:rsidP="00FC1A5A">
      <w:pPr>
        <w:autoSpaceDE w:val="0"/>
        <w:autoSpaceDN w:val="0"/>
        <w:adjustRightInd w:val="0"/>
        <w:spacing w:before="29" w:line="288" w:lineRule="auto"/>
        <w:ind w:left="15"/>
        <w:jc w:val="right"/>
        <w:rPr>
          <w:color w:val="000000"/>
          <w:sz w:val="24"/>
        </w:rPr>
      </w:pPr>
      <w:r w:rsidRPr="00FC1A5A">
        <w:rPr>
          <w:rFonts w:hint="eastAsia"/>
          <w:color w:val="000000"/>
          <w:sz w:val="24"/>
        </w:rPr>
        <w:t>份额单位：份</w:t>
      </w:r>
    </w:p>
    <w:tbl>
      <w:tblPr>
        <w:tblW w:w="5000" w:type="pct"/>
        <w:tblInd w:w="108" w:type="dxa"/>
        <w:tblLayout w:type="fixed"/>
        <w:tblLook w:val="00A0" w:firstRow="1" w:lastRow="0" w:firstColumn="1" w:lastColumn="0" w:noHBand="0" w:noVBand="0"/>
      </w:tblPr>
      <w:tblGrid>
        <w:gridCol w:w="2049"/>
        <w:gridCol w:w="1463"/>
        <w:gridCol w:w="1757"/>
        <w:gridCol w:w="1129"/>
        <w:gridCol w:w="1792"/>
        <w:gridCol w:w="1096"/>
      </w:tblGrid>
      <w:tr w:rsidR="00FD6859" w:rsidRPr="004B25B0" w:rsidTr="00FD6859">
        <w:tc>
          <w:tcPr>
            <w:tcW w:w="964" w:type="pct"/>
            <w:vMerge w:val="restart"/>
            <w:tcBorders>
              <w:top w:val="single" w:sz="8" w:space="0" w:color="000000"/>
              <w:left w:val="single" w:sz="8" w:space="0" w:color="000000"/>
              <w:right w:val="single" w:sz="8" w:space="0" w:color="000000"/>
            </w:tcBorders>
            <w:vAlign w:val="center"/>
          </w:tcPr>
          <w:p w:rsidR="00A9459B" w:rsidRDefault="00FD6859">
            <w:pPr>
              <w:jc w:val="center"/>
            </w:pPr>
            <w:r>
              <w:t>持有人户数</w:t>
            </w:r>
            <w:r>
              <w:t>(</w:t>
            </w:r>
            <w:r>
              <w:t>户</w:t>
            </w:r>
            <w: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持有人结构</w:t>
            </w:r>
          </w:p>
        </w:tc>
      </w:tr>
      <w:tr w:rsidR="00FD6859" w:rsidRPr="004B25B0" w:rsidTr="00FD6859">
        <w:tc>
          <w:tcPr>
            <w:tcW w:w="964" w:type="pct"/>
            <w:vMerge/>
            <w:tcBorders>
              <w:left w:val="single" w:sz="8" w:space="0" w:color="000000"/>
              <w:right w:val="single" w:sz="8" w:space="0" w:color="000000"/>
            </w:tcBorders>
          </w:tcPr>
          <w:p w:rsidR="00A9459B" w:rsidRDefault="00A9459B">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个人投资者</w:t>
            </w:r>
          </w:p>
        </w:tc>
      </w:tr>
      <w:tr w:rsidR="00FD6859" w:rsidRPr="004B25B0" w:rsidTr="00FD6859">
        <w:tc>
          <w:tcPr>
            <w:tcW w:w="964" w:type="pct"/>
            <w:vMerge/>
            <w:tcBorders>
              <w:left w:val="single" w:sz="8" w:space="0" w:color="000000"/>
              <w:bottom w:val="single" w:sz="8" w:space="0" w:color="000000"/>
              <w:right w:val="single" w:sz="8" w:space="0" w:color="000000"/>
            </w:tcBorders>
          </w:tcPr>
          <w:p w:rsidR="00A9459B" w:rsidRDefault="00A9459B">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r>
      <w:tr w:rsidR="00FD6859" w:rsidRPr="004B25B0" w:rsidTr="00FD6859">
        <w:tc>
          <w:tcPr>
            <w:tcW w:w="964" w:type="pct"/>
            <w:tcBorders>
              <w:top w:val="single" w:sz="8" w:space="0" w:color="000000"/>
              <w:left w:val="single" w:sz="8" w:space="0" w:color="000000"/>
              <w:bottom w:val="single" w:sz="8" w:space="0" w:color="000000"/>
              <w:right w:val="single" w:sz="8" w:space="0" w:color="000000"/>
            </w:tcBorders>
            <w:vAlign w:val="center"/>
          </w:tcPr>
          <w:p w:rsidR="00A9459B" w:rsidRDefault="00FD6859">
            <w:pPr>
              <w:jc w:val="center"/>
            </w:pPr>
            <w:r>
              <w:rPr>
                <w:bCs/>
                <w:color w:val="000000"/>
                <w:szCs w:val="21"/>
              </w:rPr>
              <w:t>2,256</w:t>
            </w:r>
          </w:p>
        </w:tc>
        <w:tc>
          <w:tcPr>
            <w:tcW w:w="688"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130,947.30</w:t>
            </w: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99,045.90</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0.03%</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295,318,054.39</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5531B6">
            <w:pPr>
              <w:spacing w:line="360" w:lineRule="auto"/>
              <w:jc w:val="right"/>
              <w:rPr>
                <w:bCs/>
                <w:color w:val="000000"/>
                <w:szCs w:val="21"/>
              </w:rPr>
            </w:pPr>
            <w:r w:rsidRPr="004B25B0">
              <w:rPr>
                <w:bCs/>
                <w:color w:val="000000"/>
                <w:szCs w:val="21"/>
              </w:rPr>
              <w:t>99.97%</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1" w:name="_Toc361324891"/>
      <w:r w:rsidRPr="00245C29">
        <w:rPr>
          <w:rFonts w:ascii="Times New Roman" w:hAnsi="Times New Roman"/>
          <w:kern w:val="0"/>
          <w:szCs w:val="24"/>
        </w:rPr>
        <w:t>9.2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期末基金管理人的从业人员持有本基金的情况</w:t>
      </w:r>
      <w:bookmarkEnd w:id="8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7"/>
        <w:gridCol w:w="3011"/>
        <w:gridCol w:w="2160"/>
      </w:tblGrid>
      <w:tr w:rsidR="001A59F9" w:rsidRPr="00C51C77" w:rsidTr="00E7239C">
        <w:tc>
          <w:tcPr>
            <w:tcW w:w="3827"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项目</w:t>
            </w:r>
          </w:p>
        </w:tc>
        <w:tc>
          <w:tcPr>
            <w:tcW w:w="3011"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持有份额总数（份）</w:t>
            </w:r>
          </w:p>
        </w:tc>
        <w:tc>
          <w:tcPr>
            <w:tcW w:w="2160"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占基金总份额比例</w:t>
            </w:r>
          </w:p>
        </w:tc>
      </w:tr>
      <w:tr w:rsidR="001A59F9" w:rsidRPr="00C51C77" w:rsidTr="00E7239C">
        <w:tc>
          <w:tcPr>
            <w:tcW w:w="3827" w:type="dxa"/>
            <w:vAlign w:val="center"/>
          </w:tcPr>
          <w:p w:rsidR="001A59F9" w:rsidRPr="00C51C77" w:rsidRDefault="001A59F9" w:rsidP="004E0F59">
            <w:pPr>
              <w:spacing w:before="29" w:line="288" w:lineRule="auto"/>
              <w:jc w:val="left"/>
              <w:rPr>
                <w:rFonts w:asciiTheme="minorEastAsia" w:eastAsiaTheme="minorEastAsia" w:hAnsiTheme="minorEastAsia"/>
                <w:color w:val="000000"/>
                <w:szCs w:val="21"/>
              </w:rPr>
            </w:pPr>
            <w:r w:rsidRPr="004E0F59">
              <w:rPr>
                <w:rFonts w:hint="eastAsia"/>
                <w:color w:val="000000"/>
                <w:sz w:val="24"/>
              </w:rPr>
              <w:t>基金管理人所有从业人员持有本基金</w:t>
            </w:r>
          </w:p>
        </w:tc>
        <w:tc>
          <w:tcPr>
            <w:tcW w:w="3011" w:type="dxa"/>
            <w:vAlign w:val="center"/>
          </w:tcPr>
          <w:p w:rsidR="001A59F9" w:rsidRPr="00BF787C" w:rsidRDefault="00FD6859" w:rsidP="00BF787C">
            <w:pPr>
              <w:widowControl/>
              <w:spacing w:before="29" w:line="288" w:lineRule="auto"/>
              <w:jc w:val="right"/>
              <w:rPr>
                <w:color w:val="000000"/>
                <w:kern w:val="0"/>
                <w:sz w:val="24"/>
              </w:rPr>
            </w:pPr>
            <w:r>
              <w:rPr>
                <w:rFonts w:hint="eastAsia"/>
                <w:color w:val="000000"/>
                <w:kern w:val="0"/>
                <w:sz w:val="24"/>
              </w:rPr>
              <w:t>-</w:t>
            </w:r>
          </w:p>
        </w:tc>
        <w:tc>
          <w:tcPr>
            <w:tcW w:w="2160" w:type="dxa"/>
            <w:vAlign w:val="center"/>
          </w:tcPr>
          <w:p w:rsidR="001A59F9" w:rsidRPr="00BF787C" w:rsidRDefault="00FD6859" w:rsidP="00BF787C">
            <w:pPr>
              <w:widowControl/>
              <w:spacing w:before="29" w:line="288" w:lineRule="auto"/>
              <w:jc w:val="right"/>
              <w:rPr>
                <w:color w:val="000000"/>
                <w:kern w:val="0"/>
                <w:sz w:val="24"/>
              </w:rPr>
            </w:pPr>
            <w:r>
              <w:rPr>
                <w:rFonts w:hint="eastAsia"/>
                <w:color w:val="000000"/>
                <w:kern w:val="0"/>
                <w:sz w:val="24"/>
              </w:rPr>
              <w:t>-</w:t>
            </w:r>
          </w:p>
        </w:tc>
      </w:tr>
    </w:tbl>
    <w:p w:rsidR="001A59F9" w:rsidRPr="00E7239C" w:rsidRDefault="001A59F9" w:rsidP="00026C9C">
      <w:pPr>
        <w:spacing w:line="360" w:lineRule="auto"/>
        <w:rPr>
          <w:rFonts w:asciiTheme="minorEastAsia" w:eastAsiaTheme="minorEastAsia" w:hAnsiTheme="minorEastAsia"/>
          <w:color w:val="000000"/>
          <w:szCs w:val="21"/>
        </w:rPr>
      </w:pPr>
    </w:p>
    <w:p w:rsidR="00DB4544" w:rsidRPr="00E77BEC" w:rsidRDefault="00DB4544" w:rsidP="00245C29">
      <w:pPr>
        <w:pStyle w:val="20"/>
        <w:spacing w:before="29" w:after="0" w:line="288" w:lineRule="auto"/>
        <w:rPr>
          <w:rFonts w:ascii="宋体" w:hAnsi="宋体"/>
          <w:sz w:val="21"/>
          <w:szCs w:val="21"/>
        </w:rPr>
      </w:pPr>
      <w:r w:rsidRPr="00245C29">
        <w:rPr>
          <w:rFonts w:ascii="Times New Roman" w:hAnsi="Times New Roman"/>
          <w:kern w:val="0"/>
          <w:szCs w:val="24"/>
        </w:rPr>
        <w:t>9.3</w:t>
      </w:r>
      <w:r w:rsidRPr="00245C29">
        <w:rPr>
          <w:rFonts w:ascii="Times New Roman" w:hAnsi="Times New Roman" w:hint="eastAsia"/>
          <w:kern w:val="0"/>
          <w:szCs w:val="24"/>
        </w:rPr>
        <w:t>期末基金管理人的从业人员持有本开放式基金份额总量区间的情况</w:t>
      </w:r>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203"/>
        <w:gridCol w:w="5795"/>
      </w:tblGrid>
      <w:tr w:rsidR="00DB4544" w:rsidRPr="00E77BEC" w:rsidTr="00B41E3D">
        <w:trPr>
          <w:trHeight w:val="285"/>
        </w:trPr>
        <w:tc>
          <w:tcPr>
            <w:tcW w:w="1780"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项目</w:t>
            </w:r>
          </w:p>
        </w:tc>
        <w:tc>
          <w:tcPr>
            <w:tcW w:w="3220"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持有基金份额总量的数量区间（万份）</w:t>
            </w:r>
          </w:p>
        </w:tc>
      </w:tr>
      <w:tr w:rsidR="00DB4544" w:rsidRPr="00E77BEC" w:rsidTr="00B41E3D">
        <w:trPr>
          <w:trHeight w:val="713"/>
        </w:trPr>
        <w:tc>
          <w:tcPr>
            <w:tcW w:w="1780"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本公司高级管理人员、基金投资和研究部门负责人持有本开放式基金</w:t>
            </w:r>
          </w:p>
        </w:tc>
        <w:tc>
          <w:tcPr>
            <w:tcW w:w="3220" w:type="pct"/>
            <w:shd w:val="clear" w:color="auto" w:fill="auto"/>
            <w:tcMar>
              <w:top w:w="0" w:type="dxa"/>
              <w:left w:w="108" w:type="dxa"/>
              <w:bottom w:w="0" w:type="dxa"/>
              <w:right w:w="108" w:type="dxa"/>
            </w:tcMar>
            <w:vAlign w:val="center"/>
            <w:hideMark/>
          </w:tcPr>
          <w:p w:rsidR="00DB4544" w:rsidRPr="00BF787C" w:rsidRDefault="00AF2919" w:rsidP="00BF787C">
            <w:pPr>
              <w:widowControl/>
              <w:spacing w:before="29" w:line="288" w:lineRule="auto"/>
              <w:jc w:val="right"/>
              <w:rPr>
                <w:color w:val="000000"/>
                <w:kern w:val="0"/>
                <w:sz w:val="24"/>
              </w:rPr>
            </w:pPr>
            <w:r>
              <w:rPr>
                <w:color w:val="000000"/>
                <w:kern w:val="0"/>
                <w:sz w:val="24"/>
              </w:rPr>
              <w:t>0</w:t>
            </w:r>
          </w:p>
        </w:tc>
      </w:tr>
      <w:tr w:rsidR="00DB4544" w:rsidRPr="00E77BEC" w:rsidTr="00B41E3D">
        <w:trPr>
          <w:trHeight w:val="285"/>
        </w:trPr>
        <w:tc>
          <w:tcPr>
            <w:tcW w:w="1780"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本基金基金经理持有本开放式基金</w:t>
            </w:r>
          </w:p>
        </w:tc>
        <w:tc>
          <w:tcPr>
            <w:tcW w:w="3220" w:type="pct"/>
            <w:shd w:val="clear" w:color="auto" w:fill="auto"/>
            <w:tcMar>
              <w:top w:w="0" w:type="dxa"/>
              <w:left w:w="108" w:type="dxa"/>
              <w:bottom w:w="0" w:type="dxa"/>
              <w:right w:w="108" w:type="dxa"/>
            </w:tcMar>
            <w:vAlign w:val="center"/>
            <w:hideMark/>
          </w:tcPr>
          <w:p w:rsidR="00DB4544" w:rsidRPr="00BF787C" w:rsidRDefault="00AF2919" w:rsidP="00BF787C">
            <w:pPr>
              <w:widowControl/>
              <w:spacing w:before="29" w:line="288" w:lineRule="auto"/>
              <w:jc w:val="right"/>
              <w:rPr>
                <w:color w:val="000000"/>
                <w:kern w:val="0"/>
                <w:sz w:val="24"/>
              </w:rPr>
            </w:pPr>
            <w:r>
              <w:rPr>
                <w:color w:val="000000"/>
                <w:kern w:val="0"/>
                <w:sz w:val="24"/>
              </w:rPr>
              <w:t>0</w:t>
            </w:r>
          </w:p>
        </w:tc>
      </w:tr>
    </w:tbl>
    <w:p w:rsidR="00DB4544" w:rsidRPr="00C51C77" w:rsidRDefault="00DB4544" w:rsidP="00026C9C">
      <w:pPr>
        <w:spacing w:line="360" w:lineRule="auto"/>
        <w:rPr>
          <w:rFonts w:asciiTheme="minorEastAsia" w:eastAsiaTheme="minorEastAsia" w:hAnsiTheme="minorEastAsia"/>
          <w:color w:val="000000"/>
          <w:szCs w:val="21"/>
        </w:rPr>
      </w:pPr>
    </w:p>
    <w:p w:rsidR="001A59F9" w:rsidRDefault="001A59F9" w:rsidP="00300454">
      <w:pPr>
        <w:pStyle w:val="1"/>
        <w:keepNext/>
        <w:keepLines/>
        <w:widowControl w:val="0"/>
        <w:spacing w:before="29" w:line="288" w:lineRule="auto"/>
        <w:jc w:val="center"/>
        <w:rPr>
          <w:b/>
          <w:bCs/>
          <w:szCs w:val="24"/>
          <w:lang w:val="en-US"/>
        </w:rPr>
      </w:pPr>
      <w:bookmarkStart w:id="82" w:name="_Toc225500053"/>
      <w:bookmarkStart w:id="83" w:name="_Toc361324892"/>
      <w:r w:rsidRPr="00300454">
        <w:rPr>
          <w:rFonts w:hint="eastAsia"/>
          <w:b/>
          <w:bCs/>
          <w:szCs w:val="24"/>
          <w:lang w:val="en-US"/>
        </w:rPr>
        <w:t>§</w:t>
      </w:r>
      <w:r w:rsidR="009153A3" w:rsidRPr="00300454">
        <w:rPr>
          <w:b/>
          <w:bCs/>
          <w:szCs w:val="24"/>
          <w:lang w:val="en-US"/>
        </w:rPr>
        <w:t>10</w:t>
      </w:r>
      <w:r w:rsidR="009153A3" w:rsidRPr="00300454">
        <w:rPr>
          <w:rFonts w:hint="eastAsia"/>
          <w:b/>
          <w:bCs/>
          <w:szCs w:val="24"/>
          <w:lang w:val="en-US"/>
        </w:rPr>
        <w:t xml:space="preserve">  </w:t>
      </w:r>
      <w:r w:rsidRPr="00300454">
        <w:rPr>
          <w:rFonts w:hint="eastAsia"/>
          <w:b/>
          <w:bCs/>
          <w:szCs w:val="24"/>
          <w:lang w:val="en-US"/>
        </w:rPr>
        <w:t>开放式基金份额变动</w:t>
      </w:r>
      <w:bookmarkEnd w:id="82"/>
      <w:bookmarkEnd w:id="83"/>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单位：份</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3508"/>
      </w:tblGrid>
      <w:tr w:rsidR="001A59F9" w:rsidRPr="00C51C77" w:rsidTr="001E60E8">
        <w:tc>
          <w:tcPr>
            <w:tcW w:w="3111" w:type="pct"/>
            <w:vAlign w:val="center"/>
          </w:tcPr>
          <w:p w:rsidR="001A59F9" w:rsidRPr="00300454" w:rsidRDefault="00A76E17" w:rsidP="00300454">
            <w:pPr>
              <w:spacing w:before="29" w:line="288" w:lineRule="auto"/>
              <w:rPr>
                <w:sz w:val="24"/>
              </w:rPr>
            </w:pPr>
            <w:r w:rsidRPr="00300454">
              <w:rPr>
                <w:rFonts w:hint="eastAsia"/>
                <w:sz w:val="24"/>
              </w:rPr>
              <w:t>基金合同生效日</w:t>
            </w:r>
            <w:r w:rsidRPr="00300454">
              <w:rPr>
                <w:rFonts w:hint="eastAsia"/>
                <w:sz w:val="24"/>
              </w:rPr>
              <w:t>(</w:t>
            </w:r>
            <w:r w:rsidR="00146153" w:rsidRPr="00300454">
              <w:rPr>
                <w:sz w:val="24"/>
              </w:rPr>
              <w:t>2013</w:t>
            </w:r>
            <w:r w:rsidR="00146153" w:rsidRPr="00300454">
              <w:rPr>
                <w:sz w:val="24"/>
              </w:rPr>
              <w:t>年</w:t>
            </w:r>
            <w:r w:rsidR="00146153" w:rsidRPr="00300454">
              <w:rPr>
                <w:sz w:val="24"/>
              </w:rPr>
              <w:t>4</w:t>
            </w:r>
            <w:r w:rsidR="00146153" w:rsidRPr="00300454">
              <w:rPr>
                <w:sz w:val="24"/>
              </w:rPr>
              <w:t>月</w:t>
            </w:r>
            <w:r w:rsidR="00146153" w:rsidRPr="00300454">
              <w:rPr>
                <w:sz w:val="24"/>
              </w:rPr>
              <w:t>24</w:t>
            </w:r>
            <w:r w:rsidR="00146153" w:rsidRPr="00300454">
              <w:rPr>
                <w:sz w:val="24"/>
              </w:rPr>
              <w:t>日</w:t>
            </w:r>
            <w:r w:rsidRPr="00300454">
              <w:rPr>
                <w:rFonts w:hint="eastAsia"/>
                <w:sz w:val="24"/>
              </w:rPr>
              <w:t>)</w:t>
            </w:r>
            <w:r w:rsidR="001A59F9" w:rsidRPr="00300454">
              <w:rPr>
                <w:rFonts w:hint="eastAsia"/>
                <w:sz w:val="24"/>
              </w:rPr>
              <w:t>基金份额总额</w:t>
            </w:r>
          </w:p>
        </w:tc>
        <w:tc>
          <w:tcPr>
            <w:tcW w:w="1889" w:type="pct"/>
          </w:tcPr>
          <w:p w:rsidR="001A59F9" w:rsidRPr="00300454" w:rsidRDefault="001A59F9" w:rsidP="00300454">
            <w:pPr>
              <w:spacing w:before="29" w:line="288" w:lineRule="auto"/>
              <w:jc w:val="right"/>
              <w:rPr>
                <w:sz w:val="24"/>
              </w:rPr>
            </w:pPr>
            <w:r w:rsidRPr="00300454">
              <w:rPr>
                <w:sz w:val="24"/>
              </w:rPr>
              <w:t xml:space="preserve">744,437,272.39 </w:t>
            </w:r>
          </w:p>
        </w:tc>
      </w:tr>
      <w:tr w:rsidR="001A59F9" w:rsidRPr="00C51C77" w:rsidTr="001E60E8">
        <w:tc>
          <w:tcPr>
            <w:tcW w:w="3111" w:type="pct"/>
            <w:vAlign w:val="center"/>
          </w:tcPr>
          <w:p w:rsidR="001A59F9" w:rsidRPr="00300454" w:rsidRDefault="0078060F" w:rsidP="00300454">
            <w:pPr>
              <w:spacing w:before="29" w:line="288" w:lineRule="auto"/>
              <w:rPr>
                <w:sz w:val="24"/>
              </w:rPr>
            </w:pPr>
            <w:r w:rsidRPr="00300454">
              <w:rPr>
                <w:rFonts w:hint="eastAsia"/>
                <w:sz w:val="24"/>
              </w:rPr>
              <w:t>本报告期期初基金份额总额</w:t>
            </w:r>
          </w:p>
        </w:tc>
        <w:tc>
          <w:tcPr>
            <w:tcW w:w="1889" w:type="pct"/>
          </w:tcPr>
          <w:p w:rsidR="001A59F9" w:rsidRPr="00300454" w:rsidRDefault="001A59F9" w:rsidP="00300454">
            <w:pPr>
              <w:spacing w:before="29" w:line="288" w:lineRule="auto"/>
              <w:jc w:val="right"/>
              <w:rPr>
                <w:sz w:val="24"/>
              </w:rPr>
            </w:pPr>
            <w:r w:rsidRPr="00300454">
              <w:rPr>
                <w:sz w:val="24"/>
              </w:rPr>
              <w:t>484,187,123.52</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本报告期</w:t>
            </w:r>
            <w:r w:rsidR="001A59F9" w:rsidRPr="00300454">
              <w:rPr>
                <w:rFonts w:hint="eastAsia"/>
                <w:sz w:val="24"/>
              </w:rPr>
              <w:t>基金总申购份额</w:t>
            </w:r>
          </w:p>
        </w:tc>
        <w:tc>
          <w:tcPr>
            <w:tcW w:w="1889" w:type="pct"/>
          </w:tcPr>
          <w:p w:rsidR="001A59F9" w:rsidRPr="00300454" w:rsidRDefault="001A59F9" w:rsidP="00300454">
            <w:pPr>
              <w:spacing w:before="29" w:line="288" w:lineRule="auto"/>
              <w:jc w:val="right"/>
              <w:rPr>
                <w:sz w:val="24"/>
              </w:rPr>
            </w:pPr>
            <w:r w:rsidRPr="00300454">
              <w:rPr>
                <w:sz w:val="24"/>
              </w:rPr>
              <w:t>7,512,213.23</w:t>
            </w:r>
          </w:p>
        </w:tc>
      </w:tr>
      <w:tr w:rsidR="001A59F9" w:rsidRPr="00C51C77" w:rsidTr="001E60E8">
        <w:tc>
          <w:tcPr>
            <w:tcW w:w="3111" w:type="pct"/>
            <w:vAlign w:val="center"/>
          </w:tcPr>
          <w:p w:rsidR="001A59F9" w:rsidRPr="00300454" w:rsidRDefault="001A59F9" w:rsidP="00300454">
            <w:pPr>
              <w:spacing w:before="29" w:line="288" w:lineRule="auto"/>
              <w:rPr>
                <w:sz w:val="24"/>
              </w:rPr>
            </w:pPr>
            <w:r w:rsidRPr="00300454">
              <w:rPr>
                <w:rFonts w:hint="eastAsia"/>
                <w:sz w:val="24"/>
              </w:rPr>
              <w:t>减：</w:t>
            </w:r>
            <w:r w:rsidR="00B94AF7" w:rsidRPr="00300454">
              <w:rPr>
                <w:sz w:val="24"/>
              </w:rPr>
              <w:t>本报告期</w:t>
            </w:r>
            <w:r w:rsidRPr="00300454">
              <w:rPr>
                <w:rFonts w:hint="eastAsia"/>
                <w:sz w:val="24"/>
              </w:rPr>
              <w:t>基金总赎回份额</w:t>
            </w:r>
          </w:p>
        </w:tc>
        <w:tc>
          <w:tcPr>
            <w:tcW w:w="1889" w:type="pct"/>
          </w:tcPr>
          <w:p w:rsidR="001A59F9" w:rsidRPr="00300454" w:rsidRDefault="001A59F9" w:rsidP="00300454">
            <w:pPr>
              <w:spacing w:before="29" w:line="288" w:lineRule="auto"/>
              <w:jc w:val="right"/>
              <w:rPr>
                <w:sz w:val="24"/>
              </w:rPr>
            </w:pPr>
            <w:r w:rsidRPr="00300454">
              <w:rPr>
                <w:sz w:val="24"/>
              </w:rPr>
              <w:t>196,282,236.46</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本报告期</w:t>
            </w:r>
            <w:r w:rsidR="001A59F9" w:rsidRPr="00300454">
              <w:rPr>
                <w:rFonts w:hint="eastAsia"/>
                <w:sz w:val="24"/>
              </w:rPr>
              <w:t>基金拆分变动份额</w:t>
            </w:r>
          </w:p>
        </w:tc>
        <w:tc>
          <w:tcPr>
            <w:tcW w:w="1889" w:type="pct"/>
          </w:tcPr>
          <w:p w:rsidR="001A59F9" w:rsidRPr="00300454" w:rsidRDefault="001A59F9" w:rsidP="00300454">
            <w:pPr>
              <w:spacing w:before="29" w:line="288" w:lineRule="auto"/>
              <w:jc w:val="right"/>
              <w:rPr>
                <w:sz w:val="24"/>
              </w:rPr>
            </w:pPr>
            <w:r w:rsidRPr="00300454">
              <w:rPr>
                <w:sz w:val="24"/>
              </w:rPr>
              <w:t>-</w:t>
            </w:r>
          </w:p>
        </w:tc>
      </w:tr>
      <w:tr w:rsidR="001A59F9" w:rsidRPr="00C51C77" w:rsidTr="001E60E8">
        <w:tc>
          <w:tcPr>
            <w:tcW w:w="3111" w:type="pct"/>
            <w:vAlign w:val="center"/>
          </w:tcPr>
          <w:p w:rsidR="001A59F9" w:rsidRPr="00300454" w:rsidRDefault="00ED5DF2" w:rsidP="00300454">
            <w:pPr>
              <w:spacing w:before="29" w:line="288" w:lineRule="auto"/>
              <w:rPr>
                <w:sz w:val="24"/>
              </w:rPr>
            </w:pPr>
            <w:r w:rsidRPr="00300454">
              <w:rPr>
                <w:rFonts w:hint="eastAsia"/>
                <w:sz w:val="24"/>
              </w:rPr>
              <w:t>本报告期期末基金份额总额</w:t>
            </w:r>
          </w:p>
        </w:tc>
        <w:tc>
          <w:tcPr>
            <w:tcW w:w="1889" w:type="pct"/>
          </w:tcPr>
          <w:p w:rsidR="001A59F9" w:rsidRPr="00300454" w:rsidRDefault="001A59F9" w:rsidP="00300454">
            <w:pPr>
              <w:spacing w:before="29" w:line="288" w:lineRule="auto"/>
              <w:jc w:val="right"/>
              <w:rPr>
                <w:sz w:val="24"/>
              </w:rPr>
            </w:pPr>
            <w:r w:rsidRPr="00300454">
              <w:rPr>
                <w:sz w:val="24"/>
              </w:rPr>
              <w:t>295,417,100.29</w:t>
            </w:r>
          </w:p>
        </w:tc>
      </w:tr>
    </w:tbl>
    <w:p w:rsidR="00A9459B" w:rsidRDefault="00FD6859">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r>
        <w:rPr>
          <w:kern w:val="0"/>
          <w:sz w:val="24"/>
        </w:rPr>
        <w:t xml:space="preserve"> </w:t>
      </w:r>
    </w:p>
    <w:p w:rsidR="001A59F9" w:rsidRDefault="001A59F9" w:rsidP="00273FD9">
      <w:pPr>
        <w:tabs>
          <w:tab w:val="left" w:pos="426"/>
        </w:tabs>
        <w:spacing w:before="29" w:line="288" w:lineRule="auto"/>
        <w:jc w:val="left"/>
        <w:rPr>
          <w:kern w:val="0"/>
          <w:sz w:val="24"/>
        </w:rPr>
      </w:pPr>
      <w:r w:rsidRPr="00273FD9">
        <w:rPr>
          <w:kern w:val="0"/>
          <w:sz w:val="24"/>
        </w:rPr>
        <w:t xml:space="preserve">    2</w:t>
      </w:r>
      <w:r w:rsidRPr="00273FD9">
        <w:rPr>
          <w:kern w:val="0"/>
          <w:sz w:val="24"/>
        </w:rPr>
        <w:t>、如果本报告期间发生转换出业务，则总赎回份额中包含该业务。</w:t>
      </w:r>
    </w:p>
    <w:p w:rsidR="00766709" w:rsidRPr="00273FD9" w:rsidRDefault="00766709" w:rsidP="00273FD9">
      <w:pPr>
        <w:tabs>
          <w:tab w:val="left" w:pos="426"/>
        </w:tabs>
        <w:spacing w:before="29" w:line="288" w:lineRule="auto"/>
        <w:jc w:val="left"/>
        <w:rPr>
          <w:kern w:val="0"/>
          <w:sz w:val="24"/>
        </w:rPr>
      </w:pPr>
    </w:p>
    <w:p w:rsidR="001A59F9" w:rsidRDefault="001A59F9" w:rsidP="00FD6859">
      <w:pPr>
        <w:pStyle w:val="1"/>
        <w:keepNext/>
        <w:keepLines/>
        <w:widowControl w:val="0"/>
        <w:spacing w:beforeLines="100" w:before="312" w:afterLines="100" w:after="312" w:line="288" w:lineRule="auto"/>
        <w:jc w:val="center"/>
        <w:rPr>
          <w:b/>
          <w:bCs/>
          <w:szCs w:val="24"/>
          <w:lang w:val="en-US"/>
        </w:rPr>
      </w:pPr>
      <w:bookmarkStart w:id="84" w:name="_Toc225500054"/>
      <w:bookmarkStart w:id="85" w:name="_Toc361324893"/>
      <w:r w:rsidRPr="00087272">
        <w:rPr>
          <w:rFonts w:hint="eastAsia"/>
          <w:b/>
          <w:bCs/>
          <w:szCs w:val="24"/>
          <w:lang w:val="en-US"/>
        </w:rPr>
        <w:t>§</w:t>
      </w:r>
      <w:r w:rsidRPr="00087272">
        <w:rPr>
          <w:b/>
          <w:bCs/>
          <w:szCs w:val="24"/>
          <w:lang w:val="en-US"/>
        </w:rPr>
        <w:t>11</w:t>
      </w:r>
      <w:r w:rsidR="009153A3" w:rsidRPr="00087272">
        <w:rPr>
          <w:rFonts w:hint="eastAsia"/>
          <w:b/>
          <w:bCs/>
          <w:szCs w:val="24"/>
          <w:lang w:val="en-US"/>
        </w:rPr>
        <w:t xml:space="preserve">  </w:t>
      </w:r>
      <w:r w:rsidRPr="00087272">
        <w:rPr>
          <w:rFonts w:hint="eastAsia"/>
          <w:b/>
          <w:bCs/>
          <w:szCs w:val="24"/>
          <w:lang w:val="en-US"/>
        </w:rPr>
        <w:t>重大事件揭示</w:t>
      </w:r>
      <w:bookmarkEnd w:id="84"/>
      <w:bookmarkEnd w:id="85"/>
    </w:p>
    <w:p w:rsidR="001A59F9" w:rsidRPr="00245C29" w:rsidRDefault="001A59F9" w:rsidP="00245C29">
      <w:pPr>
        <w:pStyle w:val="20"/>
        <w:spacing w:before="29" w:after="0" w:line="288" w:lineRule="auto"/>
        <w:rPr>
          <w:rFonts w:ascii="Times New Roman" w:hAnsi="Times New Roman"/>
          <w:kern w:val="0"/>
          <w:szCs w:val="24"/>
        </w:rPr>
      </w:pPr>
      <w:bookmarkStart w:id="86" w:name="_Toc361324894"/>
      <w:r w:rsidRPr="00245C29">
        <w:rPr>
          <w:rFonts w:ascii="Times New Roman" w:hAnsi="Times New Roman"/>
          <w:kern w:val="0"/>
          <w:szCs w:val="24"/>
        </w:rPr>
        <w:t>11.1</w:t>
      </w:r>
      <w:r w:rsidRPr="00245C29">
        <w:rPr>
          <w:rFonts w:ascii="Times New Roman" w:hAnsi="Times New Roman" w:hint="eastAsia"/>
          <w:kern w:val="0"/>
          <w:szCs w:val="24"/>
        </w:rPr>
        <w:t>基金份额持有人大会决议</w:t>
      </w:r>
      <w:bookmarkEnd w:id="86"/>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本基金本报告期内未召开基金份额持有人大会。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C51C77" w:rsidRDefault="001A59F9" w:rsidP="00245C29">
      <w:pPr>
        <w:pStyle w:val="20"/>
        <w:spacing w:before="29" w:after="0" w:line="288" w:lineRule="auto"/>
        <w:rPr>
          <w:rFonts w:asciiTheme="minorEastAsia" w:eastAsiaTheme="minorEastAsia" w:hAnsiTheme="minorEastAsia"/>
          <w:kern w:val="0"/>
          <w:sz w:val="21"/>
          <w:szCs w:val="21"/>
        </w:rPr>
      </w:pPr>
      <w:bookmarkStart w:id="87" w:name="_Toc361324895"/>
      <w:r w:rsidRPr="00245C29">
        <w:rPr>
          <w:rFonts w:ascii="Times New Roman" w:hAnsi="Times New Roman"/>
          <w:kern w:val="0"/>
          <w:szCs w:val="24"/>
        </w:rPr>
        <w:t xml:space="preserve">11.2 </w:t>
      </w:r>
      <w:r w:rsidRPr="00245C29">
        <w:rPr>
          <w:rFonts w:ascii="Times New Roman" w:hAnsi="Times New Roman" w:hint="eastAsia"/>
          <w:kern w:val="0"/>
          <w:szCs w:val="24"/>
        </w:rPr>
        <w:t>基金管理人、基金托管人的专门基金托管部门的重大人事变动</w:t>
      </w:r>
      <w:bookmarkEnd w:id="87"/>
    </w:p>
    <w:p w:rsidR="00A9459B" w:rsidRDefault="00FD6859">
      <w:pPr>
        <w:spacing w:before="29" w:line="288" w:lineRule="auto"/>
        <w:ind w:firstLineChars="200" w:firstLine="480"/>
        <w:rPr>
          <w:color w:val="000000"/>
          <w:sz w:val="24"/>
        </w:rPr>
      </w:pPr>
      <w:r>
        <w:rPr>
          <w:color w:val="000000"/>
          <w:sz w:val="24"/>
        </w:rPr>
        <w:t>1</w:t>
      </w:r>
      <w:r>
        <w:rPr>
          <w:color w:val="000000"/>
          <w:sz w:val="24"/>
        </w:rPr>
        <w:t>、基金管理人的重大人事变动：</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日本基金管理人发布公告，经公司第三届董事会第三十二次会议审议通过，同意战龙先生辞去公司总经理职务，并决定由公司董事长钱文挥先生代为履行公司总经理职务，代为履行总经理职务的期限不超过</w:t>
      </w:r>
      <w:r>
        <w:rPr>
          <w:color w:val="000000"/>
          <w:sz w:val="24"/>
        </w:rPr>
        <w:t>90</w:t>
      </w:r>
      <w:r>
        <w:rPr>
          <w:color w:val="000000"/>
          <w:sz w:val="24"/>
        </w:rPr>
        <w:t>日。</w:t>
      </w:r>
      <w:r w:rsidR="004F0ADD" w:rsidRPr="00E86DF3">
        <w:rPr>
          <w:rFonts w:hint="eastAsia"/>
          <w:color w:val="000000"/>
          <w:sz w:val="24"/>
        </w:rPr>
        <w:t>期后变动（如有）敬请关注基金管理人发布的相关公告。</w:t>
      </w:r>
    </w:p>
    <w:p w:rsidR="001A59F9" w:rsidRPr="00700C00" w:rsidRDefault="001A59F9" w:rsidP="00700C00">
      <w:pPr>
        <w:spacing w:before="29" w:line="288" w:lineRule="auto"/>
        <w:ind w:firstLineChars="200" w:firstLine="480"/>
        <w:rPr>
          <w:color w:val="000000"/>
          <w:sz w:val="24"/>
        </w:rPr>
      </w:pPr>
      <w:r w:rsidRPr="00700C00">
        <w:rPr>
          <w:color w:val="000000"/>
          <w:sz w:val="24"/>
        </w:rPr>
        <w:t>2</w:t>
      </w:r>
      <w:r w:rsidRPr="00700C00">
        <w:rPr>
          <w:color w:val="000000"/>
          <w:sz w:val="24"/>
        </w:rPr>
        <w:t>、基金托管人的基金托管部门的重大人事变动：因中国农业银行股份有限公司（以下简称</w:t>
      </w:r>
      <w:r w:rsidRPr="00700C00">
        <w:rPr>
          <w:color w:val="000000"/>
          <w:sz w:val="24"/>
        </w:rPr>
        <w:t>“</w:t>
      </w:r>
      <w:r w:rsidRPr="00700C00">
        <w:rPr>
          <w:color w:val="000000"/>
          <w:sz w:val="24"/>
        </w:rPr>
        <w:t>中国农业银行</w:t>
      </w:r>
      <w:r w:rsidRPr="00700C00">
        <w:rPr>
          <w:color w:val="000000"/>
          <w:sz w:val="24"/>
        </w:rPr>
        <w:t>”</w:t>
      </w:r>
      <w:r w:rsidRPr="00700C00">
        <w:rPr>
          <w:color w:val="000000"/>
          <w:sz w:val="24"/>
        </w:rPr>
        <w:t>）工作需要，任命余晓晨先生主持中国农业银行托管业务部</w:t>
      </w:r>
      <w:r w:rsidRPr="00700C00">
        <w:rPr>
          <w:color w:val="000000"/>
          <w:sz w:val="24"/>
        </w:rPr>
        <w:t>/</w:t>
      </w:r>
      <w:r w:rsidRPr="00700C00">
        <w:rPr>
          <w:color w:val="000000"/>
          <w:sz w:val="24"/>
        </w:rPr>
        <w:t>养老金管理中心工作。余晓晨先生的基金行业高级管理人员任职资格已在中国基金业协会备案。</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8" w:name="_Toc361324896"/>
      <w:r w:rsidRPr="00245C29">
        <w:rPr>
          <w:rFonts w:ascii="Times New Roman" w:hAnsi="Times New Roman"/>
          <w:kern w:val="0"/>
          <w:szCs w:val="24"/>
        </w:rPr>
        <w:t xml:space="preserve">11.3 </w:t>
      </w:r>
      <w:r w:rsidRPr="00245C29">
        <w:rPr>
          <w:rFonts w:ascii="Times New Roman" w:hAnsi="Times New Roman" w:hint="eastAsia"/>
          <w:kern w:val="0"/>
          <w:szCs w:val="24"/>
        </w:rPr>
        <w:t>涉及基金管理人、基金财产、基金托管业务的诉讼</w:t>
      </w:r>
      <w:bookmarkEnd w:id="88"/>
    </w:p>
    <w:p w:rsidR="001A59F9" w:rsidRPr="00700C00" w:rsidRDefault="001A59F9" w:rsidP="00700C00">
      <w:pPr>
        <w:spacing w:before="29" w:line="288" w:lineRule="auto"/>
        <w:ind w:firstLineChars="200" w:firstLine="480"/>
        <w:rPr>
          <w:color w:val="000000"/>
          <w:sz w:val="24"/>
        </w:rPr>
      </w:pPr>
      <w:r w:rsidRPr="00700C00">
        <w:rPr>
          <w:color w:val="000000"/>
          <w:sz w:val="24"/>
        </w:rPr>
        <w:t>本报告期内未发生涉及本基金管理人、基金财产、基金托管业务的诉讼事项。</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9" w:name="_Toc361324897"/>
      <w:r w:rsidRPr="00245C29">
        <w:rPr>
          <w:rFonts w:ascii="Times New Roman" w:hAnsi="Times New Roman"/>
          <w:kern w:val="0"/>
          <w:szCs w:val="24"/>
        </w:rPr>
        <w:t xml:space="preserve">11.4 </w:t>
      </w:r>
      <w:r w:rsidRPr="00245C29">
        <w:rPr>
          <w:rFonts w:ascii="Times New Roman" w:hAnsi="Times New Roman" w:hint="eastAsia"/>
          <w:kern w:val="0"/>
          <w:szCs w:val="24"/>
        </w:rPr>
        <w:t>基金投资策略的改变</w:t>
      </w:r>
      <w:bookmarkEnd w:id="89"/>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本基金本报告期内投资策略未发生改变。</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0" w:name="_Toc361324898"/>
      <w:r w:rsidRPr="00245C29">
        <w:rPr>
          <w:rFonts w:ascii="Times New Roman" w:hAnsi="Times New Roman"/>
          <w:kern w:val="0"/>
          <w:szCs w:val="24"/>
        </w:rPr>
        <w:t>11.5</w:t>
      </w:r>
      <w:bookmarkEnd w:id="90"/>
      <w:r w:rsidR="001134F0" w:rsidRPr="00245C29">
        <w:rPr>
          <w:rFonts w:ascii="Times New Roman" w:hAnsi="Times New Roman" w:hint="eastAsia"/>
          <w:kern w:val="0"/>
          <w:szCs w:val="24"/>
        </w:rPr>
        <w:t>为基金进行审计的会计师事务所情况</w:t>
      </w:r>
    </w:p>
    <w:p w:rsidR="001A59F9" w:rsidRPr="00700C00" w:rsidRDefault="001A59F9" w:rsidP="00700C00">
      <w:pPr>
        <w:spacing w:before="29" w:line="288" w:lineRule="auto"/>
        <w:ind w:firstLineChars="200" w:firstLine="480"/>
        <w:rPr>
          <w:color w:val="000000"/>
          <w:sz w:val="24"/>
        </w:rPr>
      </w:pPr>
      <w:bookmarkStart w:id="91" w:name="OLE_LINK3"/>
      <w:r w:rsidRPr="00700C00">
        <w:rPr>
          <w:color w:val="000000"/>
          <w:sz w:val="24"/>
        </w:rPr>
        <w:t>本报告期内，为本基金提供审计服务的会计师事务所为普华永道中天会计师事务所（特殊普通合伙），本期审计费用为</w:t>
      </w:r>
      <w:r w:rsidRPr="00700C00">
        <w:rPr>
          <w:color w:val="000000"/>
          <w:sz w:val="24"/>
        </w:rPr>
        <w:t>60,000.00</w:t>
      </w:r>
      <w:r w:rsidRPr="00700C00">
        <w:rPr>
          <w:color w:val="000000"/>
          <w:sz w:val="24"/>
        </w:rPr>
        <w:t>元。自本基金合同生效以来，本基金未改聘为其审计的会计师事务所。</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2" w:name="_Toc361324899"/>
      <w:bookmarkEnd w:id="91"/>
      <w:r w:rsidRPr="00245C29">
        <w:rPr>
          <w:rFonts w:ascii="Times New Roman" w:hAnsi="Times New Roman"/>
          <w:kern w:val="0"/>
          <w:szCs w:val="24"/>
        </w:rPr>
        <w:t xml:space="preserve">11.6 </w:t>
      </w:r>
      <w:r w:rsidRPr="00245C29">
        <w:rPr>
          <w:rFonts w:ascii="Times New Roman" w:hAnsi="Times New Roman" w:hint="eastAsia"/>
          <w:kern w:val="0"/>
          <w:szCs w:val="24"/>
        </w:rPr>
        <w:t>管理人、托管人及其高级管理人员受稽查或处罚等情况</w:t>
      </w:r>
      <w:bookmarkEnd w:id="92"/>
    </w:p>
    <w:p w:rsidR="001A59F9" w:rsidRPr="00700C00" w:rsidRDefault="001A59F9" w:rsidP="00700C00">
      <w:pPr>
        <w:spacing w:before="29" w:line="288" w:lineRule="auto"/>
        <w:ind w:firstLineChars="200" w:firstLine="480"/>
        <w:rPr>
          <w:color w:val="000000"/>
          <w:sz w:val="24"/>
        </w:rPr>
      </w:pPr>
      <w:r w:rsidRPr="00700C00">
        <w:rPr>
          <w:color w:val="000000"/>
          <w:sz w:val="24"/>
        </w:rPr>
        <w:t>本基金管理人、基金托管人及其高级管理人员本报告期内未受监管部门稽查或处罚。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3" w:name="_Toc361324900"/>
      <w:r w:rsidRPr="00245C29">
        <w:rPr>
          <w:rFonts w:ascii="Times New Roman" w:hAnsi="Times New Roman"/>
          <w:kern w:val="0"/>
          <w:szCs w:val="24"/>
        </w:rPr>
        <w:t xml:space="preserve">11.7 </w:t>
      </w:r>
      <w:r w:rsidRPr="00245C29">
        <w:rPr>
          <w:rFonts w:ascii="Times New Roman" w:hAnsi="Times New Roman" w:hint="eastAsia"/>
          <w:kern w:val="0"/>
          <w:szCs w:val="24"/>
        </w:rPr>
        <w:t>基金租用证券公司交易单元的有关情况</w:t>
      </w:r>
      <w:bookmarkEnd w:id="93"/>
    </w:p>
    <w:p w:rsidR="001A59F9" w:rsidRPr="00245C29" w:rsidRDefault="001A59F9" w:rsidP="00245C29">
      <w:pPr>
        <w:pStyle w:val="20"/>
        <w:spacing w:before="29" w:after="0" w:line="288" w:lineRule="auto"/>
        <w:rPr>
          <w:rFonts w:ascii="Times New Roman" w:hAnsi="Times New Roman"/>
          <w:kern w:val="0"/>
          <w:szCs w:val="24"/>
        </w:rPr>
      </w:pPr>
      <w:bookmarkStart w:id="94" w:name="_Toc249760070"/>
      <w:r w:rsidRPr="00245C29">
        <w:rPr>
          <w:rFonts w:ascii="Times New Roman" w:hAnsi="Times New Roman"/>
          <w:kern w:val="0"/>
          <w:szCs w:val="24"/>
        </w:rPr>
        <w:t>11.7.1</w:t>
      </w:r>
      <w:r w:rsidRPr="00245C29">
        <w:rPr>
          <w:rFonts w:ascii="Times New Roman" w:hAnsi="Times New Roman" w:hint="eastAsia"/>
          <w:kern w:val="0"/>
          <w:szCs w:val="24"/>
        </w:rPr>
        <w:t>基金租用证券公司交易单元进行股票投资及佣金支付情况</w:t>
      </w:r>
      <w:bookmarkEnd w:id="94"/>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A59F9" w:rsidRPr="00465C9F" w:rsidTr="00EA2417">
        <w:tc>
          <w:tcPr>
            <w:tcW w:w="1560" w:type="dxa"/>
            <w:vMerge w:val="restart"/>
            <w:vAlign w:val="center"/>
          </w:tcPr>
          <w:p w:rsidR="001A59F9" w:rsidRPr="00465C9F" w:rsidRDefault="001A59F9" w:rsidP="00A97873">
            <w:pPr>
              <w:spacing w:before="29" w:line="288" w:lineRule="auto"/>
              <w:ind w:left="17"/>
              <w:jc w:val="center"/>
              <w:rPr>
                <w:color w:val="000000"/>
                <w:szCs w:val="21"/>
              </w:rPr>
            </w:pPr>
            <w:bookmarkStart w:id="95" w:name="_Toc249760071"/>
            <w:r w:rsidRPr="00465C9F">
              <w:rPr>
                <w:rFonts w:hint="eastAsia"/>
                <w:color w:val="000000"/>
                <w:szCs w:val="21"/>
              </w:rPr>
              <w:t>券商名称</w:t>
            </w:r>
          </w:p>
        </w:tc>
        <w:tc>
          <w:tcPr>
            <w:tcW w:w="780" w:type="dxa"/>
            <w:vMerge w:val="restart"/>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交易单元数量</w:t>
            </w:r>
          </w:p>
        </w:tc>
        <w:tc>
          <w:tcPr>
            <w:tcW w:w="288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股票交易</w:t>
            </w:r>
          </w:p>
        </w:tc>
        <w:tc>
          <w:tcPr>
            <w:tcW w:w="270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应支付该券商的佣金</w:t>
            </w:r>
          </w:p>
        </w:tc>
        <w:tc>
          <w:tcPr>
            <w:tcW w:w="1080" w:type="dxa"/>
            <w:vMerge w:val="restart"/>
            <w:vAlign w:val="center"/>
          </w:tcPr>
          <w:p w:rsidR="001A59F9" w:rsidRPr="00465C9F" w:rsidRDefault="001A59F9" w:rsidP="00A97873">
            <w:pPr>
              <w:spacing w:before="29" w:line="288" w:lineRule="auto"/>
              <w:ind w:left="17"/>
              <w:jc w:val="center"/>
              <w:rPr>
                <w:rFonts w:asciiTheme="minorEastAsia" w:eastAsiaTheme="minorEastAsia" w:hAnsiTheme="minorEastAsia"/>
                <w:color w:val="000000"/>
                <w:kern w:val="0"/>
                <w:szCs w:val="21"/>
              </w:rPr>
            </w:pPr>
            <w:r w:rsidRPr="00465C9F">
              <w:rPr>
                <w:rFonts w:hint="eastAsia"/>
                <w:color w:val="000000"/>
                <w:szCs w:val="21"/>
              </w:rPr>
              <w:t>备注</w:t>
            </w:r>
          </w:p>
        </w:tc>
      </w:tr>
      <w:tr w:rsidR="001A59F9" w:rsidRPr="00465C9F" w:rsidTr="00EA2417">
        <w:tc>
          <w:tcPr>
            <w:tcW w:w="900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180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成交金额</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占当期股票成交总额的比例</w:t>
            </w:r>
          </w:p>
        </w:tc>
        <w:tc>
          <w:tcPr>
            <w:tcW w:w="162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佣金</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占当期佣金总量的比例</w:t>
            </w:r>
          </w:p>
        </w:tc>
        <w:tc>
          <w:tcPr>
            <w:tcW w:w="10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kern w:val="0"/>
                <w:szCs w:val="21"/>
              </w:rPr>
            </w:pPr>
          </w:p>
        </w:tc>
      </w:tr>
      <w:tr w:rsidR="00A9459B">
        <w:tc>
          <w:tcPr>
            <w:tcW w:w="1559" w:type="dxa"/>
            <w:vAlign w:val="center"/>
          </w:tcPr>
          <w:p w:rsidR="00A9459B" w:rsidRDefault="00FD6859">
            <w:pPr>
              <w:jc w:val="left"/>
            </w:pPr>
            <w:r>
              <w:rPr>
                <w:color w:val="000000"/>
                <w:szCs w:val="21"/>
              </w:rPr>
              <w:t>中国国际金融有限公司</w:t>
            </w:r>
          </w:p>
        </w:tc>
        <w:tc>
          <w:tcPr>
            <w:tcW w:w="779" w:type="dxa"/>
            <w:vAlign w:val="center"/>
          </w:tcPr>
          <w:p w:rsidR="00A9459B" w:rsidRDefault="00FD6859">
            <w:pPr>
              <w:jc w:val="right"/>
            </w:pPr>
            <w:r>
              <w:rPr>
                <w:color w:val="000000"/>
                <w:szCs w:val="21"/>
              </w:rPr>
              <w:t>1</w:t>
            </w:r>
          </w:p>
        </w:tc>
        <w:tc>
          <w:tcPr>
            <w:tcW w:w="1800" w:type="dxa"/>
            <w:vAlign w:val="center"/>
          </w:tcPr>
          <w:p w:rsidR="00A9459B" w:rsidRDefault="00FD6859">
            <w:pPr>
              <w:jc w:val="right"/>
            </w:pPr>
            <w:r>
              <w:rPr>
                <w:color w:val="000000"/>
                <w:szCs w:val="21"/>
              </w:rPr>
              <w:t>87,688,744.81</w:t>
            </w:r>
          </w:p>
        </w:tc>
        <w:tc>
          <w:tcPr>
            <w:tcW w:w="1080" w:type="dxa"/>
            <w:vAlign w:val="center"/>
          </w:tcPr>
          <w:p w:rsidR="00A9459B" w:rsidRDefault="00FD6859">
            <w:pPr>
              <w:jc w:val="right"/>
            </w:pPr>
            <w:r>
              <w:rPr>
                <w:color w:val="000000"/>
                <w:szCs w:val="21"/>
              </w:rPr>
              <w:t>9.69%</w:t>
            </w:r>
          </w:p>
        </w:tc>
        <w:tc>
          <w:tcPr>
            <w:tcW w:w="1620" w:type="dxa"/>
            <w:vAlign w:val="center"/>
          </w:tcPr>
          <w:p w:rsidR="00A9459B" w:rsidRDefault="00FD6859">
            <w:pPr>
              <w:jc w:val="right"/>
            </w:pPr>
            <w:r>
              <w:rPr>
                <w:color w:val="000000"/>
                <w:szCs w:val="21"/>
              </w:rPr>
              <w:t>79,831.89</w:t>
            </w:r>
          </w:p>
        </w:tc>
        <w:tc>
          <w:tcPr>
            <w:tcW w:w="1080" w:type="dxa"/>
            <w:vAlign w:val="center"/>
          </w:tcPr>
          <w:p w:rsidR="00A9459B" w:rsidRDefault="00FD6859">
            <w:pPr>
              <w:jc w:val="right"/>
            </w:pPr>
            <w:r>
              <w:rPr>
                <w:color w:val="000000"/>
                <w:szCs w:val="21"/>
              </w:rPr>
              <w:t>9.69%</w:t>
            </w:r>
          </w:p>
        </w:tc>
        <w:tc>
          <w:tcPr>
            <w:tcW w:w="1080" w:type="dxa"/>
            <w:vAlign w:val="center"/>
          </w:tcPr>
          <w:p w:rsidR="00A9459B" w:rsidRDefault="00FD6859" w:rsidP="00FD6859">
            <w:pPr>
              <w:jc w:val="right"/>
            </w:pPr>
            <w:r>
              <w:rPr>
                <w:color w:val="000000"/>
                <w:szCs w:val="21"/>
              </w:rPr>
              <w:t>-</w:t>
            </w:r>
          </w:p>
        </w:tc>
      </w:tr>
      <w:tr w:rsidR="00A9459B">
        <w:tc>
          <w:tcPr>
            <w:tcW w:w="1559" w:type="dxa"/>
            <w:vAlign w:val="center"/>
          </w:tcPr>
          <w:p w:rsidR="00A9459B" w:rsidRDefault="00FD6859">
            <w:pPr>
              <w:jc w:val="left"/>
            </w:pPr>
            <w:r>
              <w:rPr>
                <w:color w:val="000000"/>
                <w:szCs w:val="21"/>
              </w:rPr>
              <w:t>上海华信证券有限责任公司</w:t>
            </w:r>
          </w:p>
        </w:tc>
        <w:tc>
          <w:tcPr>
            <w:tcW w:w="779" w:type="dxa"/>
            <w:vAlign w:val="center"/>
          </w:tcPr>
          <w:p w:rsidR="00A9459B" w:rsidRDefault="00FD6859">
            <w:pPr>
              <w:jc w:val="right"/>
            </w:pPr>
            <w:r>
              <w:rPr>
                <w:color w:val="000000"/>
                <w:szCs w:val="21"/>
              </w:rPr>
              <w:t>1</w:t>
            </w:r>
          </w:p>
        </w:tc>
        <w:tc>
          <w:tcPr>
            <w:tcW w:w="1800" w:type="dxa"/>
            <w:vAlign w:val="center"/>
          </w:tcPr>
          <w:p w:rsidR="00A9459B" w:rsidRDefault="00FD6859">
            <w:pPr>
              <w:jc w:val="right"/>
            </w:pPr>
            <w:r>
              <w:rPr>
                <w:color w:val="000000"/>
                <w:szCs w:val="21"/>
              </w:rPr>
              <w:t>8,185,366.10</w:t>
            </w:r>
          </w:p>
        </w:tc>
        <w:tc>
          <w:tcPr>
            <w:tcW w:w="1080" w:type="dxa"/>
            <w:vAlign w:val="center"/>
          </w:tcPr>
          <w:p w:rsidR="00A9459B" w:rsidRDefault="00FD6859">
            <w:pPr>
              <w:jc w:val="right"/>
            </w:pPr>
            <w:r>
              <w:rPr>
                <w:color w:val="000000"/>
                <w:szCs w:val="21"/>
              </w:rPr>
              <w:t>0.90%</w:t>
            </w:r>
          </w:p>
        </w:tc>
        <w:tc>
          <w:tcPr>
            <w:tcW w:w="1620" w:type="dxa"/>
            <w:vAlign w:val="center"/>
          </w:tcPr>
          <w:p w:rsidR="00A9459B" w:rsidRDefault="00FD6859">
            <w:pPr>
              <w:jc w:val="right"/>
            </w:pPr>
            <w:r>
              <w:rPr>
                <w:color w:val="000000"/>
                <w:szCs w:val="21"/>
              </w:rPr>
              <w:t>7,452.02</w:t>
            </w:r>
          </w:p>
        </w:tc>
        <w:tc>
          <w:tcPr>
            <w:tcW w:w="1080" w:type="dxa"/>
            <w:vAlign w:val="center"/>
          </w:tcPr>
          <w:p w:rsidR="00A9459B" w:rsidRDefault="00FD6859">
            <w:pPr>
              <w:jc w:val="right"/>
            </w:pPr>
            <w:r>
              <w:rPr>
                <w:color w:val="000000"/>
                <w:szCs w:val="21"/>
              </w:rPr>
              <w:t>0.90%</w:t>
            </w:r>
          </w:p>
        </w:tc>
        <w:tc>
          <w:tcPr>
            <w:tcW w:w="1080" w:type="dxa"/>
            <w:vAlign w:val="center"/>
          </w:tcPr>
          <w:p w:rsidR="00A9459B" w:rsidRDefault="00FD6859" w:rsidP="00FD6859">
            <w:pPr>
              <w:jc w:val="right"/>
            </w:pPr>
            <w:r>
              <w:rPr>
                <w:color w:val="000000"/>
                <w:szCs w:val="21"/>
              </w:rPr>
              <w:t>-</w:t>
            </w:r>
          </w:p>
        </w:tc>
      </w:tr>
      <w:tr w:rsidR="00A9459B">
        <w:tc>
          <w:tcPr>
            <w:tcW w:w="1559" w:type="dxa"/>
            <w:vAlign w:val="center"/>
          </w:tcPr>
          <w:p w:rsidR="00A9459B" w:rsidRDefault="00FD6859">
            <w:pPr>
              <w:jc w:val="left"/>
            </w:pPr>
            <w:r>
              <w:rPr>
                <w:color w:val="000000"/>
                <w:szCs w:val="21"/>
              </w:rPr>
              <w:t>东方证券股份有限公司</w:t>
            </w:r>
          </w:p>
        </w:tc>
        <w:tc>
          <w:tcPr>
            <w:tcW w:w="779" w:type="dxa"/>
            <w:vAlign w:val="center"/>
          </w:tcPr>
          <w:p w:rsidR="00A9459B" w:rsidRDefault="00FD6859">
            <w:pPr>
              <w:jc w:val="right"/>
            </w:pPr>
            <w:r>
              <w:rPr>
                <w:color w:val="000000"/>
                <w:szCs w:val="21"/>
              </w:rPr>
              <w:t>1</w:t>
            </w:r>
          </w:p>
        </w:tc>
        <w:tc>
          <w:tcPr>
            <w:tcW w:w="1800" w:type="dxa"/>
            <w:vAlign w:val="center"/>
          </w:tcPr>
          <w:p w:rsidR="00A9459B" w:rsidRDefault="00FD6859">
            <w:pPr>
              <w:jc w:val="right"/>
            </w:pPr>
            <w:r>
              <w:rPr>
                <w:color w:val="000000"/>
                <w:szCs w:val="21"/>
              </w:rPr>
              <w:t>5,538,543.41</w:t>
            </w:r>
          </w:p>
        </w:tc>
        <w:tc>
          <w:tcPr>
            <w:tcW w:w="1080" w:type="dxa"/>
            <w:vAlign w:val="center"/>
          </w:tcPr>
          <w:p w:rsidR="00A9459B" w:rsidRDefault="00FD6859">
            <w:pPr>
              <w:jc w:val="right"/>
            </w:pPr>
            <w:r>
              <w:rPr>
                <w:color w:val="000000"/>
                <w:szCs w:val="21"/>
              </w:rPr>
              <w:t>0.61%</w:t>
            </w:r>
          </w:p>
        </w:tc>
        <w:tc>
          <w:tcPr>
            <w:tcW w:w="1620" w:type="dxa"/>
            <w:vAlign w:val="center"/>
          </w:tcPr>
          <w:p w:rsidR="00A9459B" w:rsidRDefault="00FD6859">
            <w:pPr>
              <w:jc w:val="right"/>
            </w:pPr>
            <w:r>
              <w:rPr>
                <w:color w:val="000000"/>
                <w:szCs w:val="21"/>
              </w:rPr>
              <w:t>5,042.10</w:t>
            </w:r>
          </w:p>
        </w:tc>
        <w:tc>
          <w:tcPr>
            <w:tcW w:w="1080" w:type="dxa"/>
            <w:vAlign w:val="center"/>
          </w:tcPr>
          <w:p w:rsidR="00A9459B" w:rsidRDefault="00FD6859">
            <w:pPr>
              <w:jc w:val="right"/>
            </w:pPr>
            <w:r>
              <w:rPr>
                <w:color w:val="000000"/>
                <w:szCs w:val="21"/>
              </w:rPr>
              <w:t>0.61%</w:t>
            </w:r>
          </w:p>
        </w:tc>
        <w:tc>
          <w:tcPr>
            <w:tcW w:w="1080" w:type="dxa"/>
            <w:vAlign w:val="center"/>
          </w:tcPr>
          <w:p w:rsidR="00A9459B" w:rsidRDefault="00FD6859" w:rsidP="00FD6859">
            <w:pPr>
              <w:jc w:val="right"/>
            </w:pPr>
            <w:r>
              <w:rPr>
                <w:color w:val="000000"/>
                <w:szCs w:val="21"/>
              </w:rPr>
              <w:t>-</w:t>
            </w:r>
          </w:p>
        </w:tc>
      </w:tr>
      <w:tr w:rsidR="00A9459B">
        <w:tc>
          <w:tcPr>
            <w:tcW w:w="1559" w:type="dxa"/>
            <w:vAlign w:val="center"/>
          </w:tcPr>
          <w:p w:rsidR="00A9459B" w:rsidRDefault="00FD6859">
            <w:pPr>
              <w:jc w:val="left"/>
            </w:pPr>
            <w:r>
              <w:rPr>
                <w:color w:val="000000"/>
                <w:szCs w:val="21"/>
              </w:rPr>
              <w:t>华泰证券股份有限公司</w:t>
            </w:r>
          </w:p>
        </w:tc>
        <w:tc>
          <w:tcPr>
            <w:tcW w:w="779" w:type="dxa"/>
            <w:vAlign w:val="center"/>
          </w:tcPr>
          <w:p w:rsidR="00A9459B" w:rsidRDefault="00FD6859">
            <w:pPr>
              <w:jc w:val="right"/>
            </w:pPr>
            <w:r>
              <w:rPr>
                <w:color w:val="000000"/>
                <w:szCs w:val="21"/>
              </w:rPr>
              <w:t>1</w:t>
            </w:r>
          </w:p>
        </w:tc>
        <w:tc>
          <w:tcPr>
            <w:tcW w:w="1800" w:type="dxa"/>
            <w:vAlign w:val="center"/>
          </w:tcPr>
          <w:p w:rsidR="00A9459B" w:rsidRDefault="00FD6859">
            <w:pPr>
              <w:jc w:val="right"/>
            </w:pPr>
            <w:r>
              <w:rPr>
                <w:color w:val="000000"/>
                <w:szCs w:val="21"/>
              </w:rPr>
              <w:t>458,968.00</w:t>
            </w:r>
          </w:p>
        </w:tc>
        <w:tc>
          <w:tcPr>
            <w:tcW w:w="1080" w:type="dxa"/>
            <w:vAlign w:val="center"/>
          </w:tcPr>
          <w:p w:rsidR="00A9459B" w:rsidRDefault="00FD6859">
            <w:pPr>
              <w:jc w:val="right"/>
            </w:pPr>
            <w:r>
              <w:rPr>
                <w:color w:val="000000"/>
                <w:szCs w:val="21"/>
              </w:rPr>
              <w:t>0.05%</w:t>
            </w:r>
          </w:p>
        </w:tc>
        <w:tc>
          <w:tcPr>
            <w:tcW w:w="1620" w:type="dxa"/>
            <w:vAlign w:val="center"/>
          </w:tcPr>
          <w:p w:rsidR="00A9459B" w:rsidRDefault="00FD6859">
            <w:pPr>
              <w:jc w:val="right"/>
            </w:pPr>
            <w:r>
              <w:rPr>
                <w:color w:val="000000"/>
                <w:szCs w:val="21"/>
              </w:rPr>
              <w:t>417.85</w:t>
            </w:r>
          </w:p>
        </w:tc>
        <w:tc>
          <w:tcPr>
            <w:tcW w:w="1080" w:type="dxa"/>
            <w:vAlign w:val="center"/>
          </w:tcPr>
          <w:p w:rsidR="00A9459B" w:rsidRDefault="00FD6859">
            <w:pPr>
              <w:jc w:val="right"/>
            </w:pPr>
            <w:r>
              <w:rPr>
                <w:color w:val="000000"/>
                <w:szCs w:val="21"/>
              </w:rPr>
              <w:t>0.05%</w:t>
            </w:r>
          </w:p>
        </w:tc>
        <w:tc>
          <w:tcPr>
            <w:tcW w:w="1080" w:type="dxa"/>
            <w:vAlign w:val="center"/>
          </w:tcPr>
          <w:p w:rsidR="00A9459B" w:rsidRDefault="00FD6859" w:rsidP="00FD6859">
            <w:pPr>
              <w:jc w:val="right"/>
            </w:pPr>
            <w:r>
              <w:rPr>
                <w:color w:val="000000"/>
                <w:szCs w:val="21"/>
              </w:rPr>
              <w:t>-</w:t>
            </w:r>
          </w:p>
        </w:tc>
      </w:tr>
      <w:tr w:rsidR="00A9459B">
        <w:tc>
          <w:tcPr>
            <w:tcW w:w="1559" w:type="dxa"/>
            <w:vAlign w:val="center"/>
          </w:tcPr>
          <w:p w:rsidR="00A9459B" w:rsidRDefault="00FD6859">
            <w:pPr>
              <w:jc w:val="left"/>
            </w:pPr>
            <w:r>
              <w:rPr>
                <w:color w:val="000000"/>
                <w:szCs w:val="21"/>
              </w:rPr>
              <w:t>光大证券股份有限公司</w:t>
            </w:r>
          </w:p>
        </w:tc>
        <w:tc>
          <w:tcPr>
            <w:tcW w:w="779" w:type="dxa"/>
            <w:vAlign w:val="center"/>
          </w:tcPr>
          <w:p w:rsidR="00A9459B" w:rsidRDefault="00FD6859">
            <w:pPr>
              <w:jc w:val="right"/>
            </w:pPr>
            <w:r>
              <w:rPr>
                <w:color w:val="000000"/>
                <w:szCs w:val="21"/>
              </w:rPr>
              <w:t>1</w:t>
            </w:r>
          </w:p>
        </w:tc>
        <w:tc>
          <w:tcPr>
            <w:tcW w:w="1800" w:type="dxa"/>
            <w:vAlign w:val="center"/>
          </w:tcPr>
          <w:p w:rsidR="00A9459B" w:rsidRDefault="00FD6859">
            <w:pPr>
              <w:jc w:val="right"/>
            </w:pPr>
            <w:r>
              <w:rPr>
                <w:color w:val="000000"/>
                <w:szCs w:val="21"/>
              </w:rPr>
              <w:t>42,652,615.10</w:t>
            </w:r>
          </w:p>
        </w:tc>
        <w:tc>
          <w:tcPr>
            <w:tcW w:w="1080" w:type="dxa"/>
            <w:vAlign w:val="center"/>
          </w:tcPr>
          <w:p w:rsidR="00A9459B" w:rsidRDefault="00FD6859">
            <w:pPr>
              <w:jc w:val="right"/>
            </w:pPr>
            <w:r>
              <w:rPr>
                <w:color w:val="000000"/>
                <w:szCs w:val="21"/>
              </w:rPr>
              <w:t>4.71%</w:t>
            </w:r>
          </w:p>
        </w:tc>
        <w:tc>
          <w:tcPr>
            <w:tcW w:w="1620" w:type="dxa"/>
            <w:vAlign w:val="center"/>
          </w:tcPr>
          <w:p w:rsidR="00A9459B" w:rsidRDefault="00FD6859">
            <w:pPr>
              <w:jc w:val="right"/>
            </w:pPr>
            <w:r>
              <w:rPr>
                <w:color w:val="000000"/>
                <w:szCs w:val="21"/>
              </w:rPr>
              <w:t>38,830.98</w:t>
            </w:r>
          </w:p>
        </w:tc>
        <w:tc>
          <w:tcPr>
            <w:tcW w:w="1080" w:type="dxa"/>
            <w:vAlign w:val="center"/>
          </w:tcPr>
          <w:p w:rsidR="00A9459B" w:rsidRDefault="00FD6859">
            <w:pPr>
              <w:jc w:val="right"/>
            </w:pPr>
            <w:r>
              <w:rPr>
                <w:color w:val="000000"/>
                <w:szCs w:val="21"/>
              </w:rPr>
              <w:t>4.71%</w:t>
            </w:r>
          </w:p>
        </w:tc>
        <w:tc>
          <w:tcPr>
            <w:tcW w:w="1080" w:type="dxa"/>
            <w:vAlign w:val="center"/>
          </w:tcPr>
          <w:p w:rsidR="00A9459B" w:rsidRDefault="00FD6859" w:rsidP="00FD6859">
            <w:pPr>
              <w:jc w:val="right"/>
            </w:pPr>
            <w:r>
              <w:rPr>
                <w:color w:val="000000"/>
                <w:szCs w:val="21"/>
              </w:rPr>
              <w:t>-</w:t>
            </w:r>
          </w:p>
        </w:tc>
      </w:tr>
      <w:tr w:rsidR="00A9459B">
        <w:tc>
          <w:tcPr>
            <w:tcW w:w="1559" w:type="dxa"/>
            <w:vAlign w:val="center"/>
          </w:tcPr>
          <w:p w:rsidR="00A9459B" w:rsidRDefault="00FD6859">
            <w:pPr>
              <w:jc w:val="left"/>
            </w:pPr>
            <w:r>
              <w:rPr>
                <w:color w:val="000000"/>
                <w:szCs w:val="21"/>
              </w:rPr>
              <w:t>招商证券股份有限公司</w:t>
            </w:r>
          </w:p>
        </w:tc>
        <w:tc>
          <w:tcPr>
            <w:tcW w:w="779" w:type="dxa"/>
            <w:vAlign w:val="center"/>
          </w:tcPr>
          <w:p w:rsidR="00A9459B" w:rsidRDefault="00FD6859">
            <w:pPr>
              <w:jc w:val="right"/>
            </w:pPr>
            <w:r>
              <w:rPr>
                <w:color w:val="000000"/>
                <w:szCs w:val="21"/>
              </w:rPr>
              <w:t>1</w:t>
            </w:r>
          </w:p>
        </w:tc>
        <w:tc>
          <w:tcPr>
            <w:tcW w:w="1800" w:type="dxa"/>
            <w:vAlign w:val="center"/>
          </w:tcPr>
          <w:p w:rsidR="00A9459B" w:rsidRDefault="00FD6859">
            <w:pPr>
              <w:jc w:val="right"/>
            </w:pPr>
            <w:r>
              <w:rPr>
                <w:color w:val="000000"/>
                <w:szCs w:val="21"/>
              </w:rPr>
              <w:t>37,821,825.34</w:t>
            </w:r>
          </w:p>
        </w:tc>
        <w:tc>
          <w:tcPr>
            <w:tcW w:w="1080" w:type="dxa"/>
            <w:vAlign w:val="center"/>
          </w:tcPr>
          <w:p w:rsidR="00A9459B" w:rsidRDefault="00FD6859">
            <w:pPr>
              <w:jc w:val="right"/>
            </w:pPr>
            <w:r>
              <w:rPr>
                <w:color w:val="000000"/>
                <w:szCs w:val="21"/>
              </w:rPr>
              <w:t>4.18%</w:t>
            </w:r>
          </w:p>
        </w:tc>
        <w:tc>
          <w:tcPr>
            <w:tcW w:w="1620" w:type="dxa"/>
            <w:vAlign w:val="center"/>
          </w:tcPr>
          <w:p w:rsidR="00A9459B" w:rsidRDefault="00FD6859">
            <w:pPr>
              <w:jc w:val="right"/>
            </w:pPr>
            <w:r>
              <w:rPr>
                <w:color w:val="000000"/>
                <w:szCs w:val="21"/>
              </w:rPr>
              <w:t>34,433.15</w:t>
            </w:r>
          </w:p>
        </w:tc>
        <w:tc>
          <w:tcPr>
            <w:tcW w:w="1080" w:type="dxa"/>
            <w:vAlign w:val="center"/>
          </w:tcPr>
          <w:p w:rsidR="00A9459B" w:rsidRDefault="00FD6859">
            <w:pPr>
              <w:jc w:val="right"/>
            </w:pPr>
            <w:r>
              <w:rPr>
                <w:color w:val="000000"/>
                <w:szCs w:val="21"/>
              </w:rPr>
              <w:t>4.18%</w:t>
            </w:r>
          </w:p>
        </w:tc>
        <w:tc>
          <w:tcPr>
            <w:tcW w:w="1080" w:type="dxa"/>
            <w:vAlign w:val="center"/>
          </w:tcPr>
          <w:p w:rsidR="00A9459B" w:rsidRDefault="00FD6859" w:rsidP="00FD6859">
            <w:pPr>
              <w:jc w:val="right"/>
            </w:pPr>
            <w:r>
              <w:rPr>
                <w:color w:val="000000"/>
                <w:szCs w:val="21"/>
              </w:rPr>
              <w:t>-</w:t>
            </w:r>
          </w:p>
        </w:tc>
      </w:tr>
      <w:tr w:rsidR="00A9459B">
        <w:tc>
          <w:tcPr>
            <w:tcW w:w="1559" w:type="dxa"/>
            <w:vAlign w:val="center"/>
          </w:tcPr>
          <w:p w:rsidR="00A9459B" w:rsidRDefault="00FD6859">
            <w:pPr>
              <w:jc w:val="left"/>
            </w:pPr>
            <w:r>
              <w:rPr>
                <w:color w:val="000000"/>
                <w:szCs w:val="21"/>
              </w:rPr>
              <w:t>长江证券股份有限公司</w:t>
            </w:r>
          </w:p>
        </w:tc>
        <w:tc>
          <w:tcPr>
            <w:tcW w:w="779" w:type="dxa"/>
            <w:vAlign w:val="center"/>
          </w:tcPr>
          <w:p w:rsidR="00A9459B" w:rsidRDefault="00FD6859">
            <w:pPr>
              <w:jc w:val="right"/>
            </w:pPr>
            <w:r>
              <w:rPr>
                <w:color w:val="000000"/>
                <w:szCs w:val="21"/>
              </w:rPr>
              <w:t>1</w:t>
            </w:r>
          </w:p>
        </w:tc>
        <w:tc>
          <w:tcPr>
            <w:tcW w:w="1800" w:type="dxa"/>
            <w:vAlign w:val="center"/>
          </w:tcPr>
          <w:p w:rsidR="00A9459B" w:rsidRDefault="00FD6859">
            <w:pPr>
              <w:jc w:val="right"/>
            </w:pPr>
            <w:r>
              <w:rPr>
                <w:color w:val="000000"/>
                <w:szCs w:val="21"/>
              </w:rPr>
              <w:t>35,472,233.88</w:t>
            </w:r>
          </w:p>
        </w:tc>
        <w:tc>
          <w:tcPr>
            <w:tcW w:w="1080" w:type="dxa"/>
            <w:vAlign w:val="center"/>
          </w:tcPr>
          <w:p w:rsidR="00A9459B" w:rsidRDefault="00FD6859">
            <w:pPr>
              <w:jc w:val="right"/>
            </w:pPr>
            <w:r>
              <w:rPr>
                <w:color w:val="000000"/>
                <w:szCs w:val="21"/>
              </w:rPr>
              <w:t>3.92%</w:t>
            </w:r>
          </w:p>
        </w:tc>
        <w:tc>
          <w:tcPr>
            <w:tcW w:w="1620" w:type="dxa"/>
            <w:vAlign w:val="center"/>
          </w:tcPr>
          <w:p w:rsidR="00A9459B" w:rsidRDefault="00FD6859">
            <w:pPr>
              <w:jc w:val="right"/>
            </w:pPr>
            <w:r>
              <w:rPr>
                <w:color w:val="000000"/>
                <w:szCs w:val="21"/>
              </w:rPr>
              <w:t>32,293.60</w:t>
            </w:r>
          </w:p>
        </w:tc>
        <w:tc>
          <w:tcPr>
            <w:tcW w:w="1080" w:type="dxa"/>
            <w:vAlign w:val="center"/>
          </w:tcPr>
          <w:p w:rsidR="00A9459B" w:rsidRDefault="00FD6859">
            <w:pPr>
              <w:jc w:val="right"/>
            </w:pPr>
            <w:r>
              <w:rPr>
                <w:color w:val="000000"/>
                <w:szCs w:val="21"/>
              </w:rPr>
              <w:t>3.92%</w:t>
            </w:r>
          </w:p>
        </w:tc>
        <w:tc>
          <w:tcPr>
            <w:tcW w:w="1080" w:type="dxa"/>
            <w:vAlign w:val="center"/>
          </w:tcPr>
          <w:p w:rsidR="00A9459B" w:rsidRDefault="00FD6859" w:rsidP="00FD6859">
            <w:pPr>
              <w:jc w:val="right"/>
            </w:pPr>
            <w:r>
              <w:rPr>
                <w:color w:val="000000"/>
                <w:szCs w:val="21"/>
              </w:rPr>
              <w:t>-</w:t>
            </w:r>
          </w:p>
        </w:tc>
      </w:tr>
      <w:tr w:rsidR="00A9459B">
        <w:tc>
          <w:tcPr>
            <w:tcW w:w="1559" w:type="dxa"/>
            <w:vAlign w:val="center"/>
          </w:tcPr>
          <w:p w:rsidR="00A9459B" w:rsidRDefault="00FD6859">
            <w:pPr>
              <w:jc w:val="left"/>
            </w:pPr>
            <w:r>
              <w:rPr>
                <w:color w:val="000000"/>
                <w:szCs w:val="21"/>
              </w:rPr>
              <w:t>瑞银证券有限责任公司</w:t>
            </w:r>
          </w:p>
        </w:tc>
        <w:tc>
          <w:tcPr>
            <w:tcW w:w="779" w:type="dxa"/>
            <w:vAlign w:val="center"/>
          </w:tcPr>
          <w:p w:rsidR="00A9459B" w:rsidRDefault="00FD6859">
            <w:pPr>
              <w:jc w:val="right"/>
            </w:pPr>
            <w:r>
              <w:rPr>
                <w:color w:val="000000"/>
                <w:szCs w:val="21"/>
              </w:rPr>
              <w:t>1</w:t>
            </w:r>
          </w:p>
        </w:tc>
        <w:tc>
          <w:tcPr>
            <w:tcW w:w="1800" w:type="dxa"/>
            <w:vAlign w:val="center"/>
          </w:tcPr>
          <w:p w:rsidR="00A9459B" w:rsidRDefault="00FD6859">
            <w:pPr>
              <w:jc w:val="right"/>
            </w:pPr>
            <w:r>
              <w:rPr>
                <w:color w:val="000000"/>
                <w:szCs w:val="21"/>
              </w:rPr>
              <w:t>3,196,550.10</w:t>
            </w:r>
          </w:p>
        </w:tc>
        <w:tc>
          <w:tcPr>
            <w:tcW w:w="1080" w:type="dxa"/>
            <w:vAlign w:val="center"/>
          </w:tcPr>
          <w:p w:rsidR="00A9459B" w:rsidRDefault="00FD6859">
            <w:pPr>
              <w:jc w:val="right"/>
            </w:pPr>
            <w:r>
              <w:rPr>
                <w:color w:val="000000"/>
                <w:szCs w:val="21"/>
              </w:rPr>
              <w:t>0.35%</w:t>
            </w:r>
          </w:p>
        </w:tc>
        <w:tc>
          <w:tcPr>
            <w:tcW w:w="1620" w:type="dxa"/>
            <w:vAlign w:val="center"/>
          </w:tcPr>
          <w:p w:rsidR="00A9459B" w:rsidRDefault="00FD6859">
            <w:pPr>
              <w:jc w:val="right"/>
            </w:pPr>
            <w:r>
              <w:rPr>
                <w:color w:val="000000"/>
                <w:szCs w:val="21"/>
              </w:rPr>
              <w:t>2,910.44</w:t>
            </w:r>
          </w:p>
        </w:tc>
        <w:tc>
          <w:tcPr>
            <w:tcW w:w="1080" w:type="dxa"/>
            <w:vAlign w:val="center"/>
          </w:tcPr>
          <w:p w:rsidR="00A9459B" w:rsidRDefault="00FD6859">
            <w:pPr>
              <w:jc w:val="right"/>
            </w:pPr>
            <w:r>
              <w:rPr>
                <w:color w:val="000000"/>
                <w:szCs w:val="21"/>
              </w:rPr>
              <w:t>0.35%</w:t>
            </w:r>
          </w:p>
        </w:tc>
        <w:tc>
          <w:tcPr>
            <w:tcW w:w="1080" w:type="dxa"/>
            <w:vAlign w:val="center"/>
          </w:tcPr>
          <w:p w:rsidR="00A9459B" w:rsidRDefault="00FD6859" w:rsidP="00FD6859">
            <w:pPr>
              <w:jc w:val="right"/>
            </w:pPr>
            <w:r>
              <w:rPr>
                <w:color w:val="000000"/>
                <w:szCs w:val="21"/>
              </w:rPr>
              <w:t>-</w:t>
            </w:r>
          </w:p>
        </w:tc>
      </w:tr>
      <w:tr w:rsidR="00A9459B">
        <w:tc>
          <w:tcPr>
            <w:tcW w:w="1559" w:type="dxa"/>
            <w:vAlign w:val="center"/>
          </w:tcPr>
          <w:p w:rsidR="00A9459B" w:rsidRDefault="00FD6859">
            <w:pPr>
              <w:jc w:val="left"/>
            </w:pPr>
            <w:r>
              <w:rPr>
                <w:color w:val="000000"/>
                <w:szCs w:val="21"/>
              </w:rPr>
              <w:t>东兴证券股份有限公司</w:t>
            </w:r>
          </w:p>
        </w:tc>
        <w:tc>
          <w:tcPr>
            <w:tcW w:w="779" w:type="dxa"/>
            <w:vAlign w:val="center"/>
          </w:tcPr>
          <w:p w:rsidR="00A9459B" w:rsidRDefault="00FD6859">
            <w:pPr>
              <w:jc w:val="right"/>
            </w:pPr>
            <w:r>
              <w:rPr>
                <w:color w:val="000000"/>
                <w:szCs w:val="21"/>
              </w:rPr>
              <w:t>1</w:t>
            </w:r>
          </w:p>
        </w:tc>
        <w:tc>
          <w:tcPr>
            <w:tcW w:w="1800" w:type="dxa"/>
            <w:vAlign w:val="center"/>
          </w:tcPr>
          <w:p w:rsidR="00A9459B" w:rsidRDefault="00FD6859">
            <w:pPr>
              <w:jc w:val="right"/>
            </w:pPr>
            <w:r>
              <w:rPr>
                <w:color w:val="000000"/>
                <w:szCs w:val="21"/>
              </w:rPr>
              <w:t>30,492,823.05</w:t>
            </w:r>
          </w:p>
        </w:tc>
        <w:tc>
          <w:tcPr>
            <w:tcW w:w="1080" w:type="dxa"/>
            <w:vAlign w:val="center"/>
          </w:tcPr>
          <w:p w:rsidR="00A9459B" w:rsidRDefault="00FD6859">
            <w:pPr>
              <w:jc w:val="right"/>
            </w:pPr>
            <w:r>
              <w:rPr>
                <w:color w:val="000000"/>
                <w:szCs w:val="21"/>
              </w:rPr>
              <w:t>3.37%</w:t>
            </w:r>
          </w:p>
        </w:tc>
        <w:tc>
          <w:tcPr>
            <w:tcW w:w="1620" w:type="dxa"/>
            <w:vAlign w:val="center"/>
          </w:tcPr>
          <w:p w:rsidR="00A9459B" w:rsidRDefault="00FD6859">
            <w:pPr>
              <w:jc w:val="right"/>
            </w:pPr>
            <w:r>
              <w:rPr>
                <w:color w:val="000000"/>
                <w:szCs w:val="21"/>
              </w:rPr>
              <w:t>27,760.75</w:t>
            </w:r>
          </w:p>
        </w:tc>
        <w:tc>
          <w:tcPr>
            <w:tcW w:w="1080" w:type="dxa"/>
            <w:vAlign w:val="center"/>
          </w:tcPr>
          <w:p w:rsidR="00A9459B" w:rsidRDefault="00FD6859">
            <w:pPr>
              <w:jc w:val="right"/>
            </w:pPr>
            <w:r>
              <w:rPr>
                <w:color w:val="000000"/>
                <w:szCs w:val="21"/>
              </w:rPr>
              <w:t>3.37%</w:t>
            </w:r>
          </w:p>
        </w:tc>
        <w:tc>
          <w:tcPr>
            <w:tcW w:w="1080" w:type="dxa"/>
            <w:vAlign w:val="center"/>
          </w:tcPr>
          <w:p w:rsidR="00A9459B" w:rsidRDefault="00FD6859" w:rsidP="00FD6859">
            <w:pPr>
              <w:jc w:val="right"/>
            </w:pPr>
            <w:r>
              <w:rPr>
                <w:color w:val="000000"/>
                <w:szCs w:val="21"/>
              </w:rPr>
              <w:t>-</w:t>
            </w:r>
          </w:p>
        </w:tc>
      </w:tr>
      <w:tr w:rsidR="00A9459B">
        <w:tc>
          <w:tcPr>
            <w:tcW w:w="1559" w:type="dxa"/>
            <w:vAlign w:val="center"/>
          </w:tcPr>
          <w:p w:rsidR="00A9459B" w:rsidRDefault="00FD6859">
            <w:pPr>
              <w:jc w:val="left"/>
            </w:pPr>
            <w:r>
              <w:rPr>
                <w:color w:val="000000"/>
                <w:szCs w:val="21"/>
              </w:rPr>
              <w:t>广发证券股份有限公司</w:t>
            </w:r>
          </w:p>
        </w:tc>
        <w:tc>
          <w:tcPr>
            <w:tcW w:w="779" w:type="dxa"/>
            <w:vAlign w:val="center"/>
          </w:tcPr>
          <w:p w:rsidR="00A9459B" w:rsidRDefault="00FD6859">
            <w:pPr>
              <w:jc w:val="right"/>
            </w:pPr>
            <w:r>
              <w:rPr>
                <w:color w:val="000000"/>
                <w:szCs w:val="21"/>
              </w:rPr>
              <w:t>1</w:t>
            </w:r>
          </w:p>
        </w:tc>
        <w:tc>
          <w:tcPr>
            <w:tcW w:w="1800" w:type="dxa"/>
            <w:vAlign w:val="center"/>
          </w:tcPr>
          <w:p w:rsidR="00A9459B" w:rsidRDefault="00FD6859">
            <w:pPr>
              <w:jc w:val="right"/>
            </w:pPr>
            <w:r>
              <w:rPr>
                <w:color w:val="000000"/>
                <w:szCs w:val="21"/>
              </w:rPr>
              <w:t>257,516,772.30</w:t>
            </w:r>
          </w:p>
        </w:tc>
        <w:tc>
          <w:tcPr>
            <w:tcW w:w="1080" w:type="dxa"/>
            <w:vAlign w:val="center"/>
          </w:tcPr>
          <w:p w:rsidR="00A9459B" w:rsidRDefault="00FD6859">
            <w:pPr>
              <w:jc w:val="right"/>
            </w:pPr>
            <w:r>
              <w:rPr>
                <w:color w:val="000000"/>
                <w:szCs w:val="21"/>
              </w:rPr>
              <w:t>28.45%</w:t>
            </w:r>
          </w:p>
        </w:tc>
        <w:tc>
          <w:tcPr>
            <w:tcW w:w="1620" w:type="dxa"/>
            <w:vAlign w:val="center"/>
          </w:tcPr>
          <w:p w:rsidR="00A9459B" w:rsidRDefault="00FD6859">
            <w:pPr>
              <w:jc w:val="right"/>
            </w:pPr>
            <w:r>
              <w:rPr>
                <w:color w:val="000000"/>
                <w:szCs w:val="21"/>
              </w:rPr>
              <w:t>234,442.14</w:t>
            </w:r>
          </w:p>
        </w:tc>
        <w:tc>
          <w:tcPr>
            <w:tcW w:w="1080" w:type="dxa"/>
            <w:vAlign w:val="center"/>
          </w:tcPr>
          <w:p w:rsidR="00A9459B" w:rsidRDefault="00FD6859">
            <w:pPr>
              <w:jc w:val="right"/>
            </w:pPr>
            <w:r>
              <w:rPr>
                <w:color w:val="000000"/>
                <w:szCs w:val="21"/>
              </w:rPr>
              <w:t>28.45%</w:t>
            </w:r>
          </w:p>
        </w:tc>
        <w:tc>
          <w:tcPr>
            <w:tcW w:w="1080" w:type="dxa"/>
            <w:vAlign w:val="center"/>
          </w:tcPr>
          <w:p w:rsidR="00A9459B" w:rsidRDefault="00FD6859" w:rsidP="00FD6859">
            <w:pPr>
              <w:jc w:val="right"/>
            </w:pPr>
            <w:r>
              <w:rPr>
                <w:color w:val="000000"/>
                <w:szCs w:val="21"/>
              </w:rPr>
              <w:t>-</w:t>
            </w:r>
          </w:p>
        </w:tc>
      </w:tr>
      <w:tr w:rsidR="00A9459B">
        <w:tc>
          <w:tcPr>
            <w:tcW w:w="1559" w:type="dxa"/>
            <w:vAlign w:val="center"/>
          </w:tcPr>
          <w:p w:rsidR="00A9459B" w:rsidRDefault="00FD6859">
            <w:pPr>
              <w:jc w:val="left"/>
            </w:pPr>
            <w:r>
              <w:rPr>
                <w:color w:val="000000"/>
                <w:szCs w:val="21"/>
              </w:rPr>
              <w:t>宏源证券股份有限公司</w:t>
            </w:r>
          </w:p>
        </w:tc>
        <w:tc>
          <w:tcPr>
            <w:tcW w:w="779" w:type="dxa"/>
            <w:vAlign w:val="center"/>
          </w:tcPr>
          <w:p w:rsidR="00A9459B" w:rsidRDefault="00FD6859">
            <w:pPr>
              <w:jc w:val="right"/>
            </w:pPr>
            <w:r>
              <w:rPr>
                <w:color w:val="000000"/>
                <w:szCs w:val="21"/>
              </w:rPr>
              <w:t>1</w:t>
            </w:r>
          </w:p>
        </w:tc>
        <w:tc>
          <w:tcPr>
            <w:tcW w:w="1800" w:type="dxa"/>
            <w:vAlign w:val="center"/>
          </w:tcPr>
          <w:p w:rsidR="00A9459B" w:rsidRDefault="00FD6859">
            <w:pPr>
              <w:jc w:val="right"/>
            </w:pPr>
            <w:r>
              <w:rPr>
                <w:color w:val="000000"/>
                <w:szCs w:val="21"/>
              </w:rPr>
              <w:t>24,529,040.88</w:t>
            </w:r>
          </w:p>
        </w:tc>
        <w:tc>
          <w:tcPr>
            <w:tcW w:w="1080" w:type="dxa"/>
            <w:vAlign w:val="center"/>
          </w:tcPr>
          <w:p w:rsidR="00A9459B" w:rsidRDefault="00FD6859">
            <w:pPr>
              <w:jc w:val="right"/>
            </w:pPr>
            <w:r>
              <w:rPr>
                <w:color w:val="000000"/>
                <w:szCs w:val="21"/>
              </w:rPr>
              <w:t>2.71%</w:t>
            </w:r>
          </w:p>
        </w:tc>
        <w:tc>
          <w:tcPr>
            <w:tcW w:w="1620" w:type="dxa"/>
            <w:vAlign w:val="center"/>
          </w:tcPr>
          <w:p w:rsidR="00A9459B" w:rsidRDefault="00FD6859">
            <w:pPr>
              <w:jc w:val="right"/>
            </w:pPr>
            <w:r>
              <w:rPr>
                <w:color w:val="000000"/>
                <w:szCs w:val="21"/>
              </w:rPr>
              <w:t>22,331.30</w:t>
            </w:r>
          </w:p>
        </w:tc>
        <w:tc>
          <w:tcPr>
            <w:tcW w:w="1080" w:type="dxa"/>
            <w:vAlign w:val="center"/>
          </w:tcPr>
          <w:p w:rsidR="00A9459B" w:rsidRDefault="00FD6859">
            <w:pPr>
              <w:jc w:val="right"/>
            </w:pPr>
            <w:r>
              <w:rPr>
                <w:color w:val="000000"/>
                <w:szCs w:val="21"/>
              </w:rPr>
              <w:t>2.71%</w:t>
            </w:r>
          </w:p>
        </w:tc>
        <w:tc>
          <w:tcPr>
            <w:tcW w:w="1080" w:type="dxa"/>
            <w:vAlign w:val="center"/>
          </w:tcPr>
          <w:p w:rsidR="00A9459B" w:rsidRDefault="00FD6859" w:rsidP="00FD6859">
            <w:pPr>
              <w:jc w:val="right"/>
            </w:pPr>
            <w:r>
              <w:rPr>
                <w:color w:val="000000"/>
                <w:szCs w:val="21"/>
              </w:rPr>
              <w:t>-</w:t>
            </w:r>
          </w:p>
        </w:tc>
      </w:tr>
      <w:tr w:rsidR="00A9459B">
        <w:tc>
          <w:tcPr>
            <w:tcW w:w="1559" w:type="dxa"/>
            <w:vAlign w:val="center"/>
          </w:tcPr>
          <w:p w:rsidR="00A9459B" w:rsidRDefault="00FD6859">
            <w:pPr>
              <w:jc w:val="left"/>
            </w:pPr>
            <w:r>
              <w:rPr>
                <w:color w:val="000000"/>
                <w:szCs w:val="21"/>
              </w:rPr>
              <w:t>中信建投证券股份有限公司</w:t>
            </w:r>
          </w:p>
        </w:tc>
        <w:tc>
          <w:tcPr>
            <w:tcW w:w="779" w:type="dxa"/>
            <w:vAlign w:val="center"/>
          </w:tcPr>
          <w:p w:rsidR="00A9459B" w:rsidRDefault="00FD6859">
            <w:pPr>
              <w:jc w:val="right"/>
            </w:pPr>
            <w:r>
              <w:rPr>
                <w:color w:val="000000"/>
                <w:szCs w:val="21"/>
              </w:rPr>
              <w:t>2</w:t>
            </w:r>
          </w:p>
        </w:tc>
        <w:tc>
          <w:tcPr>
            <w:tcW w:w="1800" w:type="dxa"/>
            <w:vAlign w:val="center"/>
          </w:tcPr>
          <w:p w:rsidR="00A9459B" w:rsidRDefault="00FD6859">
            <w:pPr>
              <w:jc w:val="right"/>
            </w:pPr>
            <w:r>
              <w:rPr>
                <w:color w:val="000000"/>
                <w:szCs w:val="21"/>
              </w:rPr>
              <w:t>1,800,381.00</w:t>
            </w:r>
          </w:p>
        </w:tc>
        <w:tc>
          <w:tcPr>
            <w:tcW w:w="1080" w:type="dxa"/>
            <w:vAlign w:val="center"/>
          </w:tcPr>
          <w:p w:rsidR="00A9459B" w:rsidRDefault="00FD6859">
            <w:pPr>
              <w:jc w:val="right"/>
            </w:pPr>
            <w:r>
              <w:rPr>
                <w:color w:val="000000"/>
                <w:szCs w:val="21"/>
              </w:rPr>
              <w:t>0.20%</w:t>
            </w:r>
          </w:p>
        </w:tc>
        <w:tc>
          <w:tcPr>
            <w:tcW w:w="1620" w:type="dxa"/>
            <w:vAlign w:val="center"/>
          </w:tcPr>
          <w:p w:rsidR="00A9459B" w:rsidRDefault="00FD6859">
            <w:pPr>
              <w:jc w:val="right"/>
            </w:pPr>
            <w:r>
              <w:rPr>
                <w:color w:val="000000"/>
                <w:szCs w:val="21"/>
              </w:rPr>
              <w:t>1,639.07</w:t>
            </w:r>
          </w:p>
        </w:tc>
        <w:tc>
          <w:tcPr>
            <w:tcW w:w="1080" w:type="dxa"/>
            <w:vAlign w:val="center"/>
          </w:tcPr>
          <w:p w:rsidR="00A9459B" w:rsidRDefault="00FD6859">
            <w:pPr>
              <w:jc w:val="right"/>
            </w:pPr>
            <w:r>
              <w:rPr>
                <w:color w:val="000000"/>
                <w:szCs w:val="21"/>
              </w:rPr>
              <w:t>0.20%</w:t>
            </w:r>
          </w:p>
        </w:tc>
        <w:tc>
          <w:tcPr>
            <w:tcW w:w="1080" w:type="dxa"/>
            <w:vAlign w:val="center"/>
          </w:tcPr>
          <w:p w:rsidR="00A9459B" w:rsidRDefault="00FD6859" w:rsidP="00FD6859">
            <w:pPr>
              <w:jc w:val="right"/>
            </w:pPr>
            <w:r>
              <w:rPr>
                <w:color w:val="000000"/>
                <w:szCs w:val="21"/>
              </w:rPr>
              <w:t>-</w:t>
            </w:r>
          </w:p>
        </w:tc>
      </w:tr>
      <w:tr w:rsidR="00A9459B">
        <w:tc>
          <w:tcPr>
            <w:tcW w:w="1559" w:type="dxa"/>
            <w:vAlign w:val="center"/>
          </w:tcPr>
          <w:p w:rsidR="00A9459B" w:rsidRDefault="00FD6859">
            <w:pPr>
              <w:jc w:val="left"/>
            </w:pPr>
            <w:r>
              <w:rPr>
                <w:color w:val="000000"/>
                <w:szCs w:val="21"/>
              </w:rPr>
              <w:t>兴业证券股份有限公司</w:t>
            </w:r>
          </w:p>
        </w:tc>
        <w:tc>
          <w:tcPr>
            <w:tcW w:w="779" w:type="dxa"/>
            <w:vAlign w:val="center"/>
          </w:tcPr>
          <w:p w:rsidR="00A9459B" w:rsidRDefault="00FD6859">
            <w:pPr>
              <w:jc w:val="right"/>
            </w:pPr>
            <w:r>
              <w:rPr>
                <w:color w:val="000000"/>
                <w:szCs w:val="21"/>
              </w:rPr>
              <w:t>1</w:t>
            </w:r>
          </w:p>
        </w:tc>
        <w:tc>
          <w:tcPr>
            <w:tcW w:w="1800" w:type="dxa"/>
            <w:vAlign w:val="center"/>
          </w:tcPr>
          <w:p w:rsidR="00A9459B" w:rsidRDefault="00FD6859">
            <w:pPr>
              <w:jc w:val="right"/>
            </w:pPr>
            <w:r>
              <w:rPr>
                <w:color w:val="000000"/>
                <w:szCs w:val="21"/>
              </w:rPr>
              <w:t>15,959,950.11</w:t>
            </w:r>
          </w:p>
        </w:tc>
        <w:tc>
          <w:tcPr>
            <w:tcW w:w="1080" w:type="dxa"/>
            <w:vAlign w:val="center"/>
          </w:tcPr>
          <w:p w:rsidR="00A9459B" w:rsidRDefault="00FD6859">
            <w:pPr>
              <w:jc w:val="right"/>
            </w:pPr>
            <w:r>
              <w:rPr>
                <w:color w:val="000000"/>
                <w:szCs w:val="21"/>
              </w:rPr>
              <w:t>1.76%</w:t>
            </w:r>
          </w:p>
        </w:tc>
        <w:tc>
          <w:tcPr>
            <w:tcW w:w="1620" w:type="dxa"/>
            <w:vAlign w:val="center"/>
          </w:tcPr>
          <w:p w:rsidR="00A9459B" w:rsidRDefault="00FD6859">
            <w:pPr>
              <w:jc w:val="right"/>
            </w:pPr>
            <w:r>
              <w:rPr>
                <w:color w:val="000000"/>
                <w:szCs w:val="21"/>
              </w:rPr>
              <w:t>14,529.87</w:t>
            </w:r>
          </w:p>
        </w:tc>
        <w:tc>
          <w:tcPr>
            <w:tcW w:w="1080" w:type="dxa"/>
            <w:vAlign w:val="center"/>
          </w:tcPr>
          <w:p w:rsidR="00A9459B" w:rsidRDefault="00FD6859">
            <w:pPr>
              <w:jc w:val="right"/>
            </w:pPr>
            <w:r>
              <w:rPr>
                <w:color w:val="000000"/>
                <w:szCs w:val="21"/>
              </w:rPr>
              <w:t>1.76%</w:t>
            </w:r>
          </w:p>
        </w:tc>
        <w:tc>
          <w:tcPr>
            <w:tcW w:w="1080" w:type="dxa"/>
            <w:vAlign w:val="center"/>
          </w:tcPr>
          <w:p w:rsidR="00A9459B" w:rsidRDefault="00FD6859" w:rsidP="00FD6859">
            <w:pPr>
              <w:jc w:val="right"/>
            </w:pPr>
            <w:r>
              <w:rPr>
                <w:color w:val="000000"/>
                <w:szCs w:val="21"/>
              </w:rPr>
              <w:t>-</w:t>
            </w:r>
          </w:p>
        </w:tc>
      </w:tr>
      <w:tr w:rsidR="00A9459B">
        <w:tc>
          <w:tcPr>
            <w:tcW w:w="1559" w:type="dxa"/>
            <w:vAlign w:val="center"/>
          </w:tcPr>
          <w:p w:rsidR="00A9459B" w:rsidRDefault="00FD6859">
            <w:pPr>
              <w:jc w:val="left"/>
            </w:pPr>
            <w:r>
              <w:rPr>
                <w:color w:val="000000"/>
                <w:szCs w:val="21"/>
              </w:rPr>
              <w:t>民生证券股份有限公司</w:t>
            </w:r>
          </w:p>
        </w:tc>
        <w:tc>
          <w:tcPr>
            <w:tcW w:w="779" w:type="dxa"/>
            <w:vAlign w:val="center"/>
          </w:tcPr>
          <w:p w:rsidR="00A9459B" w:rsidRDefault="00FD6859">
            <w:pPr>
              <w:jc w:val="right"/>
            </w:pPr>
            <w:r>
              <w:rPr>
                <w:color w:val="000000"/>
                <w:szCs w:val="21"/>
              </w:rPr>
              <w:t>1</w:t>
            </w:r>
          </w:p>
        </w:tc>
        <w:tc>
          <w:tcPr>
            <w:tcW w:w="1800" w:type="dxa"/>
            <w:vAlign w:val="center"/>
          </w:tcPr>
          <w:p w:rsidR="00A9459B" w:rsidRDefault="00FD6859">
            <w:pPr>
              <w:jc w:val="right"/>
            </w:pPr>
            <w:r>
              <w:rPr>
                <w:color w:val="000000"/>
                <w:szCs w:val="21"/>
              </w:rPr>
              <w:t>13,621,018.78</w:t>
            </w:r>
          </w:p>
        </w:tc>
        <w:tc>
          <w:tcPr>
            <w:tcW w:w="1080" w:type="dxa"/>
            <w:vAlign w:val="center"/>
          </w:tcPr>
          <w:p w:rsidR="00A9459B" w:rsidRDefault="00FD6859">
            <w:pPr>
              <w:jc w:val="right"/>
            </w:pPr>
            <w:r>
              <w:rPr>
                <w:color w:val="000000"/>
                <w:szCs w:val="21"/>
              </w:rPr>
              <w:t>1.50%</w:t>
            </w:r>
          </w:p>
        </w:tc>
        <w:tc>
          <w:tcPr>
            <w:tcW w:w="1620" w:type="dxa"/>
            <w:vAlign w:val="center"/>
          </w:tcPr>
          <w:p w:rsidR="00A9459B" w:rsidRDefault="00FD6859">
            <w:pPr>
              <w:jc w:val="right"/>
            </w:pPr>
            <w:r>
              <w:rPr>
                <w:color w:val="000000"/>
                <w:szCs w:val="21"/>
              </w:rPr>
              <w:t>12,401.04</w:t>
            </w:r>
          </w:p>
        </w:tc>
        <w:tc>
          <w:tcPr>
            <w:tcW w:w="1080" w:type="dxa"/>
            <w:vAlign w:val="center"/>
          </w:tcPr>
          <w:p w:rsidR="00A9459B" w:rsidRDefault="00FD6859">
            <w:pPr>
              <w:jc w:val="right"/>
            </w:pPr>
            <w:r>
              <w:rPr>
                <w:color w:val="000000"/>
                <w:szCs w:val="21"/>
              </w:rPr>
              <w:t>1.50%</w:t>
            </w:r>
          </w:p>
        </w:tc>
        <w:tc>
          <w:tcPr>
            <w:tcW w:w="1080" w:type="dxa"/>
            <w:vAlign w:val="center"/>
          </w:tcPr>
          <w:p w:rsidR="00A9459B" w:rsidRDefault="00FD6859" w:rsidP="00FD6859">
            <w:pPr>
              <w:jc w:val="right"/>
            </w:pPr>
            <w:r>
              <w:rPr>
                <w:color w:val="000000"/>
                <w:szCs w:val="21"/>
              </w:rPr>
              <w:t>-</w:t>
            </w:r>
          </w:p>
        </w:tc>
      </w:tr>
      <w:tr w:rsidR="00A9459B">
        <w:tc>
          <w:tcPr>
            <w:tcW w:w="1559" w:type="dxa"/>
            <w:vAlign w:val="center"/>
          </w:tcPr>
          <w:p w:rsidR="00A9459B" w:rsidRDefault="00FD6859">
            <w:pPr>
              <w:jc w:val="left"/>
            </w:pPr>
            <w:r>
              <w:rPr>
                <w:color w:val="000000"/>
                <w:szCs w:val="21"/>
              </w:rPr>
              <w:t>海通证券股份有限公司</w:t>
            </w:r>
          </w:p>
        </w:tc>
        <w:tc>
          <w:tcPr>
            <w:tcW w:w="779" w:type="dxa"/>
            <w:vAlign w:val="center"/>
          </w:tcPr>
          <w:p w:rsidR="00A9459B" w:rsidRDefault="00FD6859">
            <w:pPr>
              <w:jc w:val="right"/>
            </w:pPr>
            <w:r>
              <w:rPr>
                <w:color w:val="000000"/>
                <w:szCs w:val="21"/>
              </w:rPr>
              <w:t>1</w:t>
            </w:r>
          </w:p>
        </w:tc>
        <w:tc>
          <w:tcPr>
            <w:tcW w:w="1800" w:type="dxa"/>
            <w:vAlign w:val="center"/>
          </w:tcPr>
          <w:p w:rsidR="00A9459B" w:rsidRDefault="00FD6859">
            <w:pPr>
              <w:jc w:val="right"/>
            </w:pPr>
            <w:r>
              <w:rPr>
                <w:color w:val="000000"/>
                <w:szCs w:val="21"/>
              </w:rPr>
              <w:t>13,086,202.07</w:t>
            </w:r>
          </w:p>
        </w:tc>
        <w:tc>
          <w:tcPr>
            <w:tcW w:w="1080" w:type="dxa"/>
            <w:vAlign w:val="center"/>
          </w:tcPr>
          <w:p w:rsidR="00A9459B" w:rsidRDefault="00FD6859">
            <w:pPr>
              <w:jc w:val="right"/>
            </w:pPr>
            <w:r>
              <w:rPr>
                <w:color w:val="000000"/>
                <w:szCs w:val="21"/>
              </w:rPr>
              <w:t>1.45%</w:t>
            </w:r>
          </w:p>
        </w:tc>
        <w:tc>
          <w:tcPr>
            <w:tcW w:w="1620" w:type="dxa"/>
            <w:vAlign w:val="center"/>
          </w:tcPr>
          <w:p w:rsidR="00A9459B" w:rsidRDefault="00FD6859">
            <w:pPr>
              <w:jc w:val="right"/>
            </w:pPr>
            <w:r>
              <w:rPr>
                <w:color w:val="000000"/>
                <w:szCs w:val="21"/>
              </w:rPr>
              <w:t>11,913.81</w:t>
            </w:r>
          </w:p>
        </w:tc>
        <w:tc>
          <w:tcPr>
            <w:tcW w:w="1080" w:type="dxa"/>
            <w:vAlign w:val="center"/>
          </w:tcPr>
          <w:p w:rsidR="00A9459B" w:rsidRDefault="00FD6859">
            <w:pPr>
              <w:jc w:val="right"/>
            </w:pPr>
            <w:r>
              <w:rPr>
                <w:color w:val="000000"/>
                <w:szCs w:val="21"/>
              </w:rPr>
              <w:t>1.45%</w:t>
            </w:r>
          </w:p>
        </w:tc>
        <w:tc>
          <w:tcPr>
            <w:tcW w:w="1080" w:type="dxa"/>
            <w:vAlign w:val="center"/>
          </w:tcPr>
          <w:p w:rsidR="00A9459B" w:rsidRDefault="00FD6859" w:rsidP="00FD6859">
            <w:pPr>
              <w:jc w:val="right"/>
            </w:pPr>
            <w:r>
              <w:rPr>
                <w:color w:val="000000"/>
                <w:szCs w:val="21"/>
              </w:rPr>
              <w:t>-</w:t>
            </w:r>
          </w:p>
        </w:tc>
      </w:tr>
      <w:tr w:rsidR="00A9459B">
        <w:tc>
          <w:tcPr>
            <w:tcW w:w="1559" w:type="dxa"/>
            <w:vAlign w:val="center"/>
          </w:tcPr>
          <w:p w:rsidR="00A9459B" w:rsidRDefault="00FD6859">
            <w:pPr>
              <w:jc w:val="left"/>
            </w:pPr>
            <w:r>
              <w:rPr>
                <w:color w:val="000000"/>
                <w:szCs w:val="21"/>
              </w:rPr>
              <w:t>申银万国证券股份有限公司</w:t>
            </w:r>
          </w:p>
        </w:tc>
        <w:tc>
          <w:tcPr>
            <w:tcW w:w="779" w:type="dxa"/>
            <w:vAlign w:val="center"/>
          </w:tcPr>
          <w:p w:rsidR="00A9459B" w:rsidRDefault="00FD6859">
            <w:pPr>
              <w:jc w:val="right"/>
            </w:pPr>
            <w:r>
              <w:rPr>
                <w:color w:val="000000"/>
                <w:szCs w:val="21"/>
              </w:rPr>
              <w:t>1</w:t>
            </w:r>
          </w:p>
        </w:tc>
        <w:tc>
          <w:tcPr>
            <w:tcW w:w="1800" w:type="dxa"/>
            <w:vAlign w:val="center"/>
          </w:tcPr>
          <w:p w:rsidR="00A9459B" w:rsidRDefault="00FD6859">
            <w:pPr>
              <w:jc w:val="right"/>
            </w:pPr>
            <w:r>
              <w:rPr>
                <w:color w:val="000000"/>
                <w:szCs w:val="21"/>
              </w:rPr>
              <w:t>122,441,507.31</w:t>
            </w:r>
          </w:p>
        </w:tc>
        <w:tc>
          <w:tcPr>
            <w:tcW w:w="1080" w:type="dxa"/>
            <w:vAlign w:val="center"/>
          </w:tcPr>
          <w:p w:rsidR="00A9459B" w:rsidRDefault="00FD6859">
            <w:pPr>
              <w:jc w:val="right"/>
            </w:pPr>
            <w:r>
              <w:rPr>
                <w:color w:val="000000"/>
                <w:szCs w:val="21"/>
              </w:rPr>
              <w:t>13.53%</w:t>
            </w:r>
          </w:p>
        </w:tc>
        <w:tc>
          <w:tcPr>
            <w:tcW w:w="1620" w:type="dxa"/>
            <w:vAlign w:val="center"/>
          </w:tcPr>
          <w:p w:rsidR="00A9459B" w:rsidRDefault="00FD6859">
            <w:pPr>
              <w:jc w:val="right"/>
            </w:pPr>
            <w:r>
              <w:rPr>
                <w:color w:val="000000"/>
                <w:szCs w:val="21"/>
              </w:rPr>
              <w:t>111,470.44</w:t>
            </w:r>
          </w:p>
        </w:tc>
        <w:tc>
          <w:tcPr>
            <w:tcW w:w="1080" w:type="dxa"/>
            <w:vAlign w:val="center"/>
          </w:tcPr>
          <w:p w:rsidR="00A9459B" w:rsidRDefault="00FD6859">
            <w:pPr>
              <w:jc w:val="right"/>
            </w:pPr>
            <w:r>
              <w:rPr>
                <w:color w:val="000000"/>
                <w:szCs w:val="21"/>
              </w:rPr>
              <w:t>13.53%</w:t>
            </w:r>
          </w:p>
        </w:tc>
        <w:tc>
          <w:tcPr>
            <w:tcW w:w="1080" w:type="dxa"/>
            <w:vAlign w:val="center"/>
          </w:tcPr>
          <w:p w:rsidR="00A9459B" w:rsidRDefault="00FD6859" w:rsidP="00FD6859">
            <w:pPr>
              <w:jc w:val="right"/>
            </w:pPr>
            <w:r>
              <w:rPr>
                <w:color w:val="000000"/>
                <w:szCs w:val="21"/>
              </w:rPr>
              <w:t>-</w:t>
            </w:r>
          </w:p>
        </w:tc>
      </w:tr>
      <w:tr w:rsidR="00A9459B">
        <w:tc>
          <w:tcPr>
            <w:tcW w:w="1559" w:type="dxa"/>
            <w:vAlign w:val="center"/>
          </w:tcPr>
          <w:p w:rsidR="00A9459B" w:rsidRDefault="00FD6859">
            <w:pPr>
              <w:jc w:val="left"/>
            </w:pPr>
            <w:r>
              <w:rPr>
                <w:color w:val="000000"/>
                <w:szCs w:val="21"/>
              </w:rPr>
              <w:t>国信证券股份有限公司</w:t>
            </w:r>
          </w:p>
        </w:tc>
        <w:tc>
          <w:tcPr>
            <w:tcW w:w="779" w:type="dxa"/>
            <w:vAlign w:val="center"/>
          </w:tcPr>
          <w:p w:rsidR="00A9459B" w:rsidRDefault="00FD6859">
            <w:pPr>
              <w:jc w:val="right"/>
            </w:pPr>
            <w:r>
              <w:rPr>
                <w:color w:val="000000"/>
                <w:szCs w:val="21"/>
              </w:rPr>
              <w:t>2</w:t>
            </w:r>
          </w:p>
        </w:tc>
        <w:tc>
          <w:tcPr>
            <w:tcW w:w="1800" w:type="dxa"/>
            <w:vAlign w:val="center"/>
          </w:tcPr>
          <w:p w:rsidR="00A9459B" w:rsidRDefault="00FD6859">
            <w:pPr>
              <w:jc w:val="right"/>
            </w:pPr>
            <w:r>
              <w:rPr>
                <w:color w:val="000000"/>
                <w:szCs w:val="21"/>
              </w:rPr>
              <w:t>103,898,711.61</w:t>
            </w:r>
          </w:p>
        </w:tc>
        <w:tc>
          <w:tcPr>
            <w:tcW w:w="1080" w:type="dxa"/>
            <w:vAlign w:val="center"/>
          </w:tcPr>
          <w:p w:rsidR="00A9459B" w:rsidRDefault="00FD6859">
            <w:pPr>
              <w:jc w:val="right"/>
            </w:pPr>
            <w:r>
              <w:rPr>
                <w:color w:val="000000"/>
                <w:szCs w:val="21"/>
              </w:rPr>
              <w:t>11.48%</w:t>
            </w:r>
          </w:p>
        </w:tc>
        <w:tc>
          <w:tcPr>
            <w:tcW w:w="1620" w:type="dxa"/>
            <w:vAlign w:val="center"/>
          </w:tcPr>
          <w:p w:rsidR="00A9459B" w:rsidRDefault="00FD6859">
            <w:pPr>
              <w:jc w:val="right"/>
            </w:pPr>
            <w:r>
              <w:rPr>
                <w:color w:val="000000"/>
                <w:szCs w:val="21"/>
              </w:rPr>
              <w:t>94,589.82</w:t>
            </w:r>
          </w:p>
        </w:tc>
        <w:tc>
          <w:tcPr>
            <w:tcW w:w="1080" w:type="dxa"/>
            <w:vAlign w:val="center"/>
          </w:tcPr>
          <w:p w:rsidR="00A9459B" w:rsidRDefault="00FD6859">
            <w:pPr>
              <w:jc w:val="right"/>
            </w:pPr>
            <w:r>
              <w:rPr>
                <w:color w:val="000000"/>
                <w:szCs w:val="21"/>
              </w:rPr>
              <w:t>11.48%</w:t>
            </w:r>
          </w:p>
        </w:tc>
        <w:tc>
          <w:tcPr>
            <w:tcW w:w="1080" w:type="dxa"/>
            <w:vAlign w:val="center"/>
          </w:tcPr>
          <w:p w:rsidR="00A9459B" w:rsidRDefault="00FD6859" w:rsidP="00FD6859">
            <w:pPr>
              <w:jc w:val="right"/>
            </w:pPr>
            <w:r>
              <w:rPr>
                <w:color w:val="000000"/>
                <w:szCs w:val="21"/>
              </w:rPr>
              <w:t>-</w:t>
            </w:r>
          </w:p>
        </w:tc>
      </w:tr>
      <w:tr w:rsidR="00A9459B">
        <w:tc>
          <w:tcPr>
            <w:tcW w:w="1559" w:type="dxa"/>
            <w:vAlign w:val="center"/>
          </w:tcPr>
          <w:p w:rsidR="00A9459B" w:rsidRDefault="00FD6859">
            <w:pPr>
              <w:jc w:val="left"/>
            </w:pPr>
            <w:r>
              <w:rPr>
                <w:color w:val="000000"/>
                <w:szCs w:val="21"/>
              </w:rPr>
              <w:t>国泰君安证券股份有限公司</w:t>
            </w:r>
          </w:p>
        </w:tc>
        <w:tc>
          <w:tcPr>
            <w:tcW w:w="779" w:type="dxa"/>
            <w:vAlign w:val="center"/>
          </w:tcPr>
          <w:p w:rsidR="00A9459B" w:rsidRDefault="00FD6859">
            <w:pPr>
              <w:jc w:val="right"/>
            </w:pPr>
            <w:r>
              <w:rPr>
                <w:color w:val="000000"/>
                <w:szCs w:val="21"/>
              </w:rPr>
              <w:t>1</w:t>
            </w:r>
          </w:p>
        </w:tc>
        <w:tc>
          <w:tcPr>
            <w:tcW w:w="1800" w:type="dxa"/>
            <w:vAlign w:val="center"/>
          </w:tcPr>
          <w:p w:rsidR="00A9459B" w:rsidRDefault="00FD6859">
            <w:pPr>
              <w:jc w:val="right"/>
            </w:pPr>
            <w:r>
              <w:rPr>
                <w:color w:val="000000"/>
                <w:szCs w:val="21"/>
              </w:rPr>
              <w:t>100,868,253.46</w:t>
            </w:r>
          </w:p>
        </w:tc>
        <w:tc>
          <w:tcPr>
            <w:tcW w:w="1080" w:type="dxa"/>
            <w:vAlign w:val="center"/>
          </w:tcPr>
          <w:p w:rsidR="00A9459B" w:rsidRDefault="00FD6859">
            <w:pPr>
              <w:jc w:val="right"/>
            </w:pPr>
            <w:r>
              <w:rPr>
                <w:color w:val="000000"/>
                <w:szCs w:val="21"/>
              </w:rPr>
              <w:t>11.14%</w:t>
            </w:r>
          </w:p>
        </w:tc>
        <w:tc>
          <w:tcPr>
            <w:tcW w:w="1620" w:type="dxa"/>
            <w:vAlign w:val="center"/>
          </w:tcPr>
          <w:p w:rsidR="00A9459B" w:rsidRDefault="00FD6859">
            <w:pPr>
              <w:jc w:val="right"/>
            </w:pPr>
            <w:r>
              <w:rPr>
                <w:color w:val="000000"/>
                <w:szCs w:val="21"/>
              </w:rPr>
              <w:t>91,830.79</w:t>
            </w:r>
          </w:p>
        </w:tc>
        <w:tc>
          <w:tcPr>
            <w:tcW w:w="1080" w:type="dxa"/>
            <w:vAlign w:val="center"/>
          </w:tcPr>
          <w:p w:rsidR="00A9459B" w:rsidRDefault="00FD6859">
            <w:pPr>
              <w:jc w:val="right"/>
            </w:pPr>
            <w:r>
              <w:rPr>
                <w:color w:val="000000"/>
                <w:szCs w:val="21"/>
              </w:rPr>
              <w:t>11.14%</w:t>
            </w:r>
          </w:p>
        </w:tc>
        <w:tc>
          <w:tcPr>
            <w:tcW w:w="1080" w:type="dxa"/>
            <w:vAlign w:val="center"/>
          </w:tcPr>
          <w:p w:rsidR="00A9459B" w:rsidRDefault="00FD6859" w:rsidP="00FD6859">
            <w:pPr>
              <w:jc w:val="right"/>
            </w:pPr>
            <w:r>
              <w:rPr>
                <w:color w:val="000000"/>
                <w:szCs w:val="21"/>
              </w:rPr>
              <w:t>-</w:t>
            </w:r>
          </w:p>
        </w:tc>
      </w:tr>
      <w:tr w:rsidR="00A9459B">
        <w:tc>
          <w:tcPr>
            <w:tcW w:w="1559" w:type="dxa"/>
            <w:vAlign w:val="center"/>
          </w:tcPr>
          <w:p w:rsidR="00A9459B" w:rsidRDefault="00FD6859">
            <w:pPr>
              <w:jc w:val="left"/>
            </w:pPr>
            <w:r>
              <w:rPr>
                <w:color w:val="000000"/>
                <w:szCs w:val="21"/>
              </w:rPr>
              <w:t>东北证券股份有限公司</w:t>
            </w:r>
          </w:p>
        </w:tc>
        <w:tc>
          <w:tcPr>
            <w:tcW w:w="779" w:type="dxa"/>
            <w:vAlign w:val="center"/>
          </w:tcPr>
          <w:p w:rsidR="00A9459B" w:rsidRDefault="00FD6859">
            <w:pPr>
              <w:jc w:val="right"/>
            </w:pPr>
            <w:r>
              <w:rPr>
                <w:color w:val="000000"/>
                <w:szCs w:val="21"/>
              </w:rPr>
              <w:t>1</w:t>
            </w:r>
          </w:p>
        </w:tc>
        <w:tc>
          <w:tcPr>
            <w:tcW w:w="1800" w:type="dxa"/>
            <w:vAlign w:val="center"/>
          </w:tcPr>
          <w:p w:rsidR="00A9459B" w:rsidRDefault="00FD6859">
            <w:pPr>
              <w:jc w:val="right"/>
            </w:pPr>
            <w:r>
              <w:rPr>
                <w:color w:val="000000"/>
                <w:szCs w:val="21"/>
              </w:rPr>
              <w:t>-</w:t>
            </w:r>
          </w:p>
        </w:tc>
        <w:tc>
          <w:tcPr>
            <w:tcW w:w="1080" w:type="dxa"/>
            <w:vAlign w:val="center"/>
          </w:tcPr>
          <w:p w:rsidR="00A9459B" w:rsidRDefault="00FD6859">
            <w:pPr>
              <w:jc w:val="right"/>
            </w:pPr>
            <w:r>
              <w:rPr>
                <w:color w:val="000000"/>
                <w:szCs w:val="21"/>
              </w:rPr>
              <w:t>-</w:t>
            </w:r>
          </w:p>
        </w:tc>
        <w:tc>
          <w:tcPr>
            <w:tcW w:w="1620" w:type="dxa"/>
            <w:vAlign w:val="center"/>
          </w:tcPr>
          <w:p w:rsidR="00A9459B" w:rsidRDefault="00FD6859">
            <w:pPr>
              <w:jc w:val="right"/>
            </w:pPr>
            <w:r>
              <w:rPr>
                <w:color w:val="000000"/>
                <w:szCs w:val="21"/>
              </w:rPr>
              <w:t>-</w:t>
            </w:r>
          </w:p>
        </w:tc>
        <w:tc>
          <w:tcPr>
            <w:tcW w:w="1080" w:type="dxa"/>
            <w:vAlign w:val="center"/>
          </w:tcPr>
          <w:p w:rsidR="00A9459B" w:rsidRDefault="00FD6859">
            <w:pPr>
              <w:jc w:val="right"/>
            </w:pPr>
            <w:r>
              <w:rPr>
                <w:color w:val="000000"/>
                <w:szCs w:val="21"/>
              </w:rPr>
              <w:t>-</w:t>
            </w:r>
          </w:p>
        </w:tc>
        <w:tc>
          <w:tcPr>
            <w:tcW w:w="1080" w:type="dxa"/>
            <w:vAlign w:val="center"/>
          </w:tcPr>
          <w:p w:rsidR="00A9459B" w:rsidRDefault="00FD6859" w:rsidP="00FD6859">
            <w:pPr>
              <w:jc w:val="right"/>
            </w:pPr>
            <w:r>
              <w:rPr>
                <w:color w:val="000000"/>
                <w:szCs w:val="21"/>
              </w:rPr>
              <w:t>-</w:t>
            </w:r>
          </w:p>
        </w:tc>
      </w:tr>
      <w:tr w:rsidR="00A9459B">
        <w:tc>
          <w:tcPr>
            <w:tcW w:w="1559" w:type="dxa"/>
            <w:vAlign w:val="center"/>
          </w:tcPr>
          <w:p w:rsidR="00A9459B" w:rsidRDefault="00FD6859">
            <w:pPr>
              <w:jc w:val="left"/>
            </w:pPr>
            <w:r>
              <w:rPr>
                <w:color w:val="000000"/>
                <w:szCs w:val="21"/>
              </w:rPr>
              <w:t>平安证券有限责任公司</w:t>
            </w:r>
          </w:p>
        </w:tc>
        <w:tc>
          <w:tcPr>
            <w:tcW w:w="779" w:type="dxa"/>
            <w:vAlign w:val="center"/>
          </w:tcPr>
          <w:p w:rsidR="00A9459B" w:rsidRDefault="00FD6859">
            <w:pPr>
              <w:jc w:val="right"/>
            </w:pPr>
            <w:r>
              <w:rPr>
                <w:color w:val="000000"/>
                <w:szCs w:val="21"/>
              </w:rPr>
              <w:t>1</w:t>
            </w:r>
          </w:p>
        </w:tc>
        <w:tc>
          <w:tcPr>
            <w:tcW w:w="1800" w:type="dxa"/>
            <w:vAlign w:val="center"/>
          </w:tcPr>
          <w:p w:rsidR="00A9459B" w:rsidRDefault="00FD6859">
            <w:pPr>
              <w:jc w:val="right"/>
            </w:pPr>
            <w:r>
              <w:rPr>
                <w:color w:val="000000"/>
                <w:szCs w:val="21"/>
              </w:rPr>
              <w:t>-</w:t>
            </w:r>
          </w:p>
        </w:tc>
        <w:tc>
          <w:tcPr>
            <w:tcW w:w="1080" w:type="dxa"/>
            <w:vAlign w:val="center"/>
          </w:tcPr>
          <w:p w:rsidR="00A9459B" w:rsidRDefault="00FD6859">
            <w:pPr>
              <w:jc w:val="right"/>
            </w:pPr>
            <w:r>
              <w:rPr>
                <w:color w:val="000000"/>
                <w:szCs w:val="21"/>
              </w:rPr>
              <w:t>-</w:t>
            </w:r>
          </w:p>
        </w:tc>
        <w:tc>
          <w:tcPr>
            <w:tcW w:w="1620" w:type="dxa"/>
            <w:vAlign w:val="center"/>
          </w:tcPr>
          <w:p w:rsidR="00A9459B" w:rsidRDefault="00FD6859">
            <w:pPr>
              <w:jc w:val="right"/>
            </w:pPr>
            <w:r>
              <w:rPr>
                <w:color w:val="000000"/>
                <w:szCs w:val="21"/>
              </w:rPr>
              <w:t>-</w:t>
            </w:r>
          </w:p>
        </w:tc>
        <w:tc>
          <w:tcPr>
            <w:tcW w:w="1080" w:type="dxa"/>
            <w:vAlign w:val="center"/>
          </w:tcPr>
          <w:p w:rsidR="00A9459B" w:rsidRDefault="00FD6859">
            <w:pPr>
              <w:jc w:val="right"/>
            </w:pPr>
            <w:r>
              <w:rPr>
                <w:color w:val="000000"/>
                <w:szCs w:val="21"/>
              </w:rPr>
              <w:t>-</w:t>
            </w:r>
          </w:p>
        </w:tc>
        <w:tc>
          <w:tcPr>
            <w:tcW w:w="1080" w:type="dxa"/>
            <w:vAlign w:val="center"/>
          </w:tcPr>
          <w:p w:rsidR="00A9459B" w:rsidRDefault="00FD6859" w:rsidP="00FD6859">
            <w:pPr>
              <w:jc w:val="right"/>
            </w:pPr>
            <w:r>
              <w:rPr>
                <w:color w:val="000000"/>
                <w:szCs w:val="21"/>
              </w:rPr>
              <w:t>-</w:t>
            </w:r>
          </w:p>
        </w:tc>
      </w:tr>
      <w:tr w:rsidR="00A9459B">
        <w:tc>
          <w:tcPr>
            <w:tcW w:w="1559" w:type="dxa"/>
            <w:vAlign w:val="center"/>
          </w:tcPr>
          <w:p w:rsidR="00A9459B" w:rsidRDefault="00FD6859">
            <w:pPr>
              <w:jc w:val="left"/>
            </w:pPr>
            <w:r>
              <w:rPr>
                <w:color w:val="000000"/>
                <w:szCs w:val="21"/>
              </w:rPr>
              <w:t>中信证券股份有限公司</w:t>
            </w:r>
          </w:p>
        </w:tc>
        <w:tc>
          <w:tcPr>
            <w:tcW w:w="779" w:type="dxa"/>
            <w:vAlign w:val="center"/>
          </w:tcPr>
          <w:p w:rsidR="00A9459B" w:rsidRDefault="00FD6859">
            <w:pPr>
              <w:jc w:val="right"/>
            </w:pPr>
            <w:r>
              <w:rPr>
                <w:color w:val="000000"/>
                <w:szCs w:val="21"/>
              </w:rPr>
              <w:t>1</w:t>
            </w:r>
          </w:p>
        </w:tc>
        <w:tc>
          <w:tcPr>
            <w:tcW w:w="1800" w:type="dxa"/>
            <w:vAlign w:val="center"/>
          </w:tcPr>
          <w:p w:rsidR="00A9459B" w:rsidRDefault="00FD6859">
            <w:pPr>
              <w:jc w:val="right"/>
            </w:pPr>
            <w:r>
              <w:rPr>
                <w:color w:val="000000"/>
                <w:szCs w:val="21"/>
              </w:rPr>
              <w:t>-</w:t>
            </w:r>
          </w:p>
        </w:tc>
        <w:tc>
          <w:tcPr>
            <w:tcW w:w="1080" w:type="dxa"/>
            <w:vAlign w:val="center"/>
          </w:tcPr>
          <w:p w:rsidR="00A9459B" w:rsidRDefault="00FD6859">
            <w:pPr>
              <w:jc w:val="right"/>
            </w:pPr>
            <w:r>
              <w:rPr>
                <w:color w:val="000000"/>
                <w:szCs w:val="21"/>
              </w:rPr>
              <w:t>-</w:t>
            </w:r>
          </w:p>
        </w:tc>
        <w:tc>
          <w:tcPr>
            <w:tcW w:w="1620" w:type="dxa"/>
            <w:vAlign w:val="center"/>
          </w:tcPr>
          <w:p w:rsidR="00A9459B" w:rsidRDefault="00FD6859">
            <w:pPr>
              <w:jc w:val="right"/>
            </w:pPr>
            <w:r>
              <w:rPr>
                <w:color w:val="000000"/>
                <w:szCs w:val="21"/>
              </w:rPr>
              <w:t>-</w:t>
            </w:r>
          </w:p>
        </w:tc>
        <w:tc>
          <w:tcPr>
            <w:tcW w:w="1080" w:type="dxa"/>
            <w:vAlign w:val="center"/>
          </w:tcPr>
          <w:p w:rsidR="00A9459B" w:rsidRDefault="00FD6859">
            <w:pPr>
              <w:jc w:val="right"/>
            </w:pPr>
            <w:r>
              <w:rPr>
                <w:color w:val="000000"/>
                <w:szCs w:val="21"/>
              </w:rPr>
              <w:t>-</w:t>
            </w:r>
          </w:p>
        </w:tc>
        <w:tc>
          <w:tcPr>
            <w:tcW w:w="1080" w:type="dxa"/>
            <w:vAlign w:val="center"/>
          </w:tcPr>
          <w:p w:rsidR="00A9459B" w:rsidRDefault="00FD6859" w:rsidP="00FD6859">
            <w:pPr>
              <w:jc w:val="right"/>
            </w:pPr>
            <w:r>
              <w:rPr>
                <w:color w:val="000000"/>
                <w:szCs w:val="21"/>
              </w:rPr>
              <w:t>-</w:t>
            </w:r>
          </w:p>
        </w:tc>
      </w:tr>
      <w:tr w:rsidR="00A9459B">
        <w:tc>
          <w:tcPr>
            <w:tcW w:w="1559" w:type="dxa"/>
            <w:vAlign w:val="center"/>
          </w:tcPr>
          <w:p w:rsidR="00A9459B" w:rsidRDefault="00FD6859">
            <w:pPr>
              <w:jc w:val="left"/>
            </w:pPr>
            <w:r>
              <w:rPr>
                <w:color w:val="000000"/>
                <w:szCs w:val="21"/>
              </w:rPr>
              <w:t>华宝证券有限责任公司</w:t>
            </w:r>
          </w:p>
        </w:tc>
        <w:tc>
          <w:tcPr>
            <w:tcW w:w="779" w:type="dxa"/>
            <w:vAlign w:val="center"/>
          </w:tcPr>
          <w:p w:rsidR="00A9459B" w:rsidRDefault="00FD6859">
            <w:pPr>
              <w:jc w:val="right"/>
            </w:pPr>
            <w:r>
              <w:rPr>
                <w:color w:val="000000"/>
                <w:szCs w:val="21"/>
              </w:rPr>
              <w:t>1</w:t>
            </w:r>
          </w:p>
        </w:tc>
        <w:tc>
          <w:tcPr>
            <w:tcW w:w="1800" w:type="dxa"/>
            <w:vAlign w:val="center"/>
          </w:tcPr>
          <w:p w:rsidR="00A9459B" w:rsidRDefault="00FD6859">
            <w:pPr>
              <w:jc w:val="right"/>
            </w:pPr>
            <w:r>
              <w:rPr>
                <w:color w:val="000000"/>
                <w:szCs w:val="21"/>
              </w:rPr>
              <w:t>-</w:t>
            </w:r>
          </w:p>
        </w:tc>
        <w:tc>
          <w:tcPr>
            <w:tcW w:w="1080" w:type="dxa"/>
            <w:vAlign w:val="center"/>
          </w:tcPr>
          <w:p w:rsidR="00A9459B" w:rsidRDefault="00FD6859">
            <w:pPr>
              <w:jc w:val="right"/>
            </w:pPr>
            <w:r>
              <w:rPr>
                <w:color w:val="000000"/>
                <w:szCs w:val="21"/>
              </w:rPr>
              <w:t>-</w:t>
            </w:r>
          </w:p>
        </w:tc>
        <w:tc>
          <w:tcPr>
            <w:tcW w:w="1620" w:type="dxa"/>
            <w:vAlign w:val="center"/>
          </w:tcPr>
          <w:p w:rsidR="00A9459B" w:rsidRDefault="00FD6859">
            <w:pPr>
              <w:jc w:val="right"/>
            </w:pPr>
            <w:r>
              <w:rPr>
                <w:color w:val="000000"/>
                <w:szCs w:val="21"/>
              </w:rPr>
              <w:t>-</w:t>
            </w:r>
          </w:p>
        </w:tc>
        <w:tc>
          <w:tcPr>
            <w:tcW w:w="1080" w:type="dxa"/>
            <w:vAlign w:val="center"/>
          </w:tcPr>
          <w:p w:rsidR="00A9459B" w:rsidRDefault="00FD6859">
            <w:pPr>
              <w:jc w:val="right"/>
            </w:pPr>
            <w:r>
              <w:rPr>
                <w:color w:val="000000"/>
                <w:szCs w:val="21"/>
              </w:rPr>
              <w:t>-</w:t>
            </w:r>
          </w:p>
        </w:tc>
        <w:tc>
          <w:tcPr>
            <w:tcW w:w="1080" w:type="dxa"/>
            <w:vAlign w:val="center"/>
          </w:tcPr>
          <w:p w:rsidR="00A9459B" w:rsidRDefault="00FD6859" w:rsidP="00FD6859">
            <w:pPr>
              <w:jc w:val="right"/>
            </w:pPr>
            <w:r>
              <w:rPr>
                <w:color w:val="000000"/>
                <w:szCs w:val="21"/>
              </w:rPr>
              <w:t>-</w:t>
            </w:r>
          </w:p>
        </w:tc>
      </w:tr>
      <w:tr w:rsidR="00A9459B">
        <w:tc>
          <w:tcPr>
            <w:tcW w:w="1559" w:type="dxa"/>
            <w:vAlign w:val="center"/>
          </w:tcPr>
          <w:p w:rsidR="00A9459B" w:rsidRDefault="00FD6859">
            <w:pPr>
              <w:jc w:val="left"/>
            </w:pPr>
            <w:r>
              <w:rPr>
                <w:color w:val="000000"/>
                <w:szCs w:val="21"/>
              </w:rPr>
              <w:t>西南证券股份有限公司</w:t>
            </w:r>
          </w:p>
        </w:tc>
        <w:tc>
          <w:tcPr>
            <w:tcW w:w="779" w:type="dxa"/>
            <w:vAlign w:val="center"/>
          </w:tcPr>
          <w:p w:rsidR="00A9459B" w:rsidRDefault="00FD6859">
            <w:pPr>
              <w:jc w:val="right"/>
            </w:pPr>
            <w:r>
              <w:rPr>
                <w:color w:val="000000"/>
                <w:szCs w:val="21"/>
              </w:rPr>
              <w:t>1</w:t>
            </w:r>
          </w:p>
        </w:tc>
        <w:tc>
          <w:tcPr>
            <w:tcW w:w="1800" w:type="dxa"/>
            <w:vAlign w:val="center"/>
          </w:tcPr>
          <w:p w:rsidR="00A9459B" w:rsidRDefault="00FD6859">
            <w:pPr>
              <w:jc w:val="right"/>
            </w:pPr>
            <w:r>
              <w:rPr>
                <w:color w:val="000000"/>
                <w:szCs w:val="21"/>
              </w:rPr>
              <w:t>-</w:t>
            </w:r>
          </w:p>
        </w:tc>
        <w:tc>
          <w:tcPr>
            <w:tcW w:w="1080" w:type="dxa"/>
            <w:vAlign w:val="center"/>
          </w:tcPr>
          <w:p w:rsidR="00A9459B" w:rsidRDefault="00FD6859">
            <w:pPr>
              <w:jc w:val="right"/>
            </w:pPr>
            <w:r>
              <w:rPr>
                <w:color w:val="000000"/>
                <w:szCs w:val="21"/>
              </w:rPr>
              <w:t>-</w:t>
            </w:r>
          </w:p>
        </w:tc>
        <w:tc>
          <w:tcPr>
            <w:tcW w:w="1620" w:type="dxa"/>
            <w:vAlign w:val="center"/>
          </w:tcPr>
          <w:p w:rsidR="00A9459B" w:rsidRDefault="00FD6859">
            <w:pPr>
              <w:jc w:val="right"/>
            </w:pPr>
            <w:r>
              <w:rPr>
                <w:color w:val="000000"/>
                <w:szCs w:val="21"/>
              </w:rPr>
              <w:t>-</w:t>
            </w:r>
          </w:p>
        </w:tc>
        <w:tc>
          <w:tcPr>
            <w:tcW w:w="1080" w:type="dxa"/>
            <w:vAlign w:val="center"/>
          </w:tcPr>
          <w:p w:rsidR="00A9459B" w:rsidRDefault="00FD6859">
            <w:pPr>
              <w:jc w:val="right"/>
            </w:pPr>
            <w:r>
              <w:rPr>
                <w:color w:val="000000"/>
                <w:szCs w:val="21"/>
              </w:rPr>
              <w:t>-</w:t>
            </w:r>
          </w:p>
        </w:tc>
        <w:tc>
          <w:tcPr>
            <w:tcW w:w="1080" w:type="dxa"/>
            <w:vAlign w:val="center"/>
          </w:tcPr>
          <w:p w:rsidR="00A9459B" w:rsidRDefault="00FD6859" w:rsidP="00FD6859">
            <w:pPr>
              <w:jc w:val="right"/>
            </w:pPr>
            <w:r>
              <w:rPr>
                <w:color w:val="000000"/>
                <w:szCs w:val="21"/>
              </w:rPr>
              <w:t>-</w:t>
            </w:r>
          </w:p>
        </w:tc>
      </w:tr>
      <w:tr w:rsidR="00A9459B">
        <w:tc>
          <w:tcPr>
            <w:tcW w:w="1559" w:type="dxa"/>
            <w:vAlign w:val="center"/>
          </w:tcPr>
          <w:p w:rsidR="00A9459B" w:rsidRDefault="00FD6859">
            <w:pPr>
              <w:jc w:val="left"/>
            </w:pPr>
            <w:r>
              <w:rPr>
                <w:color w:val="000000"/>
                <w:szCs w:val="21"/>
              </w:rPr>
              <w:t>东海证券股份有限公司</w:t>
            </w:r>
          </w:p>
        </w:tc>
        <w:tc>
          <w:tcPr>
            <w:tcW w:w="779" w:type="dxa"/>
            <w:vAlign w:val="center"/>
          </w:tcPr>
          <w:p w:rsidR="00A9459B" w:rsidRDefault="00FD6859">
            <w:pPr>
              <w:jc w:val="right"/>
            </w:pPr>
            <w:r>
              <w:rPr>
                <w:color w:val="000000"/>
                <w:szCs w:val="21"/>
              </w:rPr>
              <w:t>1</w:t>
            </w:r>
          </w:p>
        </w:tc>
        <w:tc>
          <w:tcPr>
            <w:tcW w:w="1800" w:type="dxa"/>
            <w:vAlign w:val="center"/>
          </w:tcPr>
          <w:p w:rsidR="00A9459B" w:rsidRDefault="00FD6859">
            <w:pPr>
              <w:jc w:val="right"/>
            </w:pPr>
            <w:r>
              <w:rPr>
                <w:color w:val="000000"/>
                <w:szCs w:val="21"/>
              </w:rPr>
              <w:t>-</w:t>
            </w:r>
          </w:p>
        </w:tc>
        <w:tc>
          <w:tcPr>
            <w:tcW w:w="1080" w:type="dxa"/>
            <w:vAlign w:val="center"/>
          </w:tcPr>
          <w:p w:rsidR="00A9459B" w:rsidRDefault="00FD6859">
            <w:pPr>
              <w:jc w:val="right"/>
            </w:pPr>
            <w:r>
              <w:rPr>
                <w:color w:val="000000"/>
                <w:szCs w:val="21"/>
              </w:rPr>
              <w:t>-</w:t>
            </w:r>
          </w:p>
        </w:tc>
        <w:tc>
          <w:tcPr>
            <w:tcW w:w="1620" w:type="dxa"/>
            <w:vAlign w:val="center"/>
          </w:tcPr>
          <w:p w:rsidR="00A9459B" w:rsidRDefault="00FD6859">
            <w:pPr>
              <w:jc w:val="right"/>
            </w:pPr>
            <w:r>
              <w:rPr>
                <w:color w:val="000000"/>
                <w:szCs w:val="21"/>
              </w:rPr>
              <w:t>-</w:t>
            </w:r>
          </w:p>
        </w:tc>
        <w:tc>
          <w:tcPr>
            <w:tcW w:w="1080" w:type="dxa"/>
            <w:vAlign w:val="center"/>
          </w:tcPr>
          <w:p w:rsidR="00A9459B" w:rsidRDefault="00FD6859">
            <w:pPr>
              <w:jc w:val="right"/>
            </w:pPr>
            <w:r>
              <w:rPr>
                <w:color w:val="000000"/>
                <w:szCs w:val="21"/>
              </w:rPr>
              <w:t>-</w:t>
            </w:r>
          </w:p>
        </w:tc>
        <w:tc>
          <w:tcPr>
            <w:tcW w:w="1080" w:type="dxa"/>
            <w:vAlign w:val="center"/>
          </w:tcPr>
          <w:p w:rsidR="00A9459B" w:rsidRDefault="00FD6859" w:rsidP="00FD6859">
            <w:pPr>
              <w:jc w:val="right"/>
            </w:pPr>
            <w:r>
              <w:rPr>
                <w:color w:val="000000"/>
                <w:szCs w:val="21"/>
              </w:rPr>
              <w:t>-</w:t>
            </w:r>
          </w:p>
        </w:tc>
      </w:tr>
      <w:tr w:rsidR="00A9459B">
        <w:tc>
          <w:tcPr>
            <w:tcW w:w="1559" w:type="dxa"/>
            <w:vAlign w:val="center"/>
          </w:tcPr>
          <w:p w:rsidR="00A9459B" w:rsidRDefault="00FD6859">
            <w:pPr>
              <w:jc w:val="left"/>
            </w:pPr>
            <w:r>
              <w:rPr>
                <w:color w:val="000000"/>
                <w:szCs w:val="21"/>
              </w:rPr>
              <w:t>国联证券股份有限公司</w:t>
            </w:r>
          </w:p>
        </w:tc>
        <w:tc>
          <w:tcPr>
            <w:tcW w:w="779" w:type="dxa"/>
            <w:vAlign w:val="center"/>
          </w:tcPr>
          <w:p w:rsidR="00A9459B" w:rsidRDefault="00FD6859">
            <w:pPr>
              <w:jc w:val="right"/>
            </w:pPr>
            <w:r>
              <w:rPr>
                <w:color w:val="000000"/>
                <w:szCs w:val="21"/>
              </w:rPr>
              <w:t>1</w:t>
            </w:r>
          </w:p>
        </w:tc>
        <w:tc>
          <w:tcPr>
            <w:tcW w:w="1800" w:type="dxa"/>
            <w:vAlign w:val="center"/>
          </w:tcPr>
          <w:p w:rsidR="00A9459B" w:rsidRDefault="00FD6859">
            <w:pPr>
              <w:jc w:val="right"/>
            </w:pPr>
            <w:r>
              <w:rPr>
                <w:color w:val="000000"/>
                <w:szCs w:val="21"/>
              </w:rPr>
              <w:t>-</w:t>
            </w:r>
          </w:p>
        </w:tc>
        <w:tc>
          <w:tcPr>
            <w:tcW w:w="1080" w:type="dxa"/>
            <w:vAlign w:val="center"/>
          </w:tcPr>
          <w:p w:rsidR="00A9459B" w:rsidRDefault="00FD6859">
            <w:pPr>
              <w:jc w:val="right"/>
            </w:pPr>
            <w:r>
              <w:rPr>
                <w:color w:val="000000"/>
                <w:szCs w:val="21"/>
              </w:rPr>
              <w:t>-</w:t>
            </w:r>
          </w:p>
        </w:tc>
        <w:tc>
          <w:tcPr>
            <w:tcW w:w="1620" w:type="dxa"/>
            <w:vAlign w:val="center"/>
          </w:tcPr>
          <w:p w:rsidR="00A9459B" w:rsidRDefault="00FD6859">
            <w:pPr>
              <w:jc w:val="right"/>
            </w:pPr>
            <w:r>
              <w:rPr>
                <w:color w:val="000000"/>
                <w:szCs w:val="21"/>
              </w:rPr>
              <w:t>-</w:t>
            </w:r>
          </w:p>
        </w:tc>
        <w:tc>
          <w:tcPr>
            <w:tcW w:w="1080" w:type="dxa"/>
            <w:vAlign w:val="center"/>
          </w:tcPr>
          <w:p w:rsidR="00A9459B" w:rsidRDefault="00FD6859">
            <w:pPr>
              <w:jc w:val="right"/>
            </w:pPr>
            <w:r>
              <w:rPr>
                <w:color w:val="000000"/>
                <w:szCs w:val="21"/>
              </w:rPr>
              <w:t>-</w:t>
            </w:r>
          </w:p>
        </w:tc>
        <w:tc>
          <w:tcPr>
            <w:tcW w:w="1080" w:type="dxa"/>
            <w:vAlign w:val="center"/>
          </w:tcPr>
          <w:p w:rsidR="00A9459B" w:rsidRDefault="00FD6859" w:rsidP="00FD6859">
            <w:pPr>
              <w:jc w:val="right"/>
            </w:pPr>
            <w:r>
              <w:rPr>
                <w:color w:val="000000"/>
                <w:szCs w:val="21"/>
              </w:rPr>
              <w:t>-</w:t>
            </w:r>
          </w:p>
        </w:tc>
      </w:tr>
      <w:tr w:rsidR="00A9459B">
        <w:tc>
          <w:tcPr>
            <w:tcW w:w="1559" w:type="dxa"/>
            <w:vAlign w:val="center"/>
          </w:tcPr>
          <w:p w:rsidR="00A9459B" w:rsidRDefault="00FD6859">
            <w:pPr>
              <w:jc w:val="left"/>
            </w:pPr>
            <w:r>
              <w:rPr>
                <w:color w:val="000000"/>
                <w:szCs w:val="21"/>
              </w:rPr>
              <w:t>川财证券有限责任公司</w:t>
            </w:r>
          </w:p>
        </w:tc>
        <w:tc>
          <w:tcPr>
            <w:tcW w:w="779" w:type="dxa"/>
            <w:vAlign w:val="center"/>
          </w:tcPr>
          <w:p w:rsidR="00A9459B" w:rsidRDefault="00FD6859">
            <w:pPr>
              <w:jc w:val="right"/>
            </w:pPr>
            <w:r>
              <w:rPr>
                <w:color w:val="000000"/>
                <w:szCs w:val="21"/>
              </w:rPr>
              <w:t>1</w:t>
            </w:r>
          </w:p>
        </w:tc>
        <w:tc>
          <w:tcPr>
            <w:tcW w:w="1800" w:type="dxa"/>
            <w:vAlign w:val="center"/>
          </w:tcPr>
          <w:p w:rsidR="00A9459B" w:rsidRDefault="00FD6859">
            <w:pPr>
              <w:jc w:val="right"/>
            </w:pPr>
            <w:r>
              <w:rPr>
                <w:color w:val="000000"/>
                <w:szCs w:val="21"/>
              </w:rPr>
              <w:t>-</w:t>
            </w:r>
          </w:p>
        </w:tc>
        <w:tc>
          <w:tcPr>
            <w:tcW w:w="1080" w:type="dxa"/>
            <w:vAlign w:val="center"/>
          </w:tcPr>
          <w:p w:rsidR="00A9459B" w:rsidRDefault="00FD6859">
            <w:pPr>
              <w:jc w:val="right"/>
            </w:pPr>
            <w:r>
              <w:rPr>
                <w:color w:val="000000"/>
                <w:szCs w:val="21"/>
              </w:rPr>
              <w:t>-</w:t>
            </w:r>
          </w:p>
        </w:tc>
        <w:tc>
          <w:tcPr>
            <w:tcW w:w="1620" w:type="dxa"/>
            <w:vAlign w:val="center"/>
          </w:tcPr>
          <w:p w:rsidR="00A9459B" w:rsidRDefault="00FD6859">
            <w:pPr>
              <w:jc w:val="right"/>
            </w:pPr>
            <w:r>
              <w:rPr>
                <w:color w:val="000000"/>
                <w:szCs w:val="21"/>
              </w:rPr>
              <w:t>-</w:t>
            </w:r>
          </w:p>
        </w:tc>
        <w:tc>
          <w:tcPr>
            <w:tcW w:w="1080" w:type="dxa"/>
            <w:vAlign w:val="center"/>
          </w:tcPr>
          <w:p w:rsidR="00A9459B" w:rsidRDefault="00FD6859">
            <w:pPr>
              <w:jc w:val="right"/>
            </w:pPr>
            <w:r>
              <w:rPr>
                <w:color w:val="000000"/>
                <w:szCs w:val="21"/>
              </w:rPr>
              <w:t>-</w:t>
            </w:r>
          </w:p>
        </w:tc>
        <w:tc>
          <w:tcPr>
            <w:tcW w:w="1080" w:type="dxa"/>
            <w:vAlign w:val="center"/>
          </w:tcPr>
          <w:p w:rsidR="00A9459B" w:rsidRDefault="00FD6859" w:rsidP="00FD6859">
            <w:pPr>
              <w:jc w:val="right"/>
            </w:pPr>
            <w:r>
              <w:rPr>
                <w:color w:val="000000"/>
                <w:szCs w:val="21"/>
              </w:rPr>
              <w:t>-</w:t>
            </w:r>
          </w:p>
        </w:tc>
      </w:tr>
      <w:tr w:rsidR="00A9459B">
        <w:tc>
          <w:tcPr>
            <w:tcW w:w="1559" w:type="dxa"/>
            <w:vAlign w:val="center"/>
          </w:tcPr>
          <w:p w:rsidR="00A9459B" w:rsidRDefault="00FD6859">
            <w:pPr>
              <w:jc w:val="left"/>
            </w:pPr>
            <w:r>
              <w:rPr>
                <w:color w:val="000000"/>
                <w:szCs w:val="21"/>
              </w:rPr>
              <w:t>渤海证券股份有限公司</w:t>
            </w:r>
          </w:p>
        </w:tc>
        <w:tc>
          <w:tcPr>
            <w:tcW w:w="779" w:type="dxa"/>
            <w:vAlign w:val="center"/>
          </w:tcPr>
          <w:p w:rsidR="00A9459B" w:rsidRDefault="00FD6859">
            <w:pPr>
              <w:jc w:val="right"/>
            </w:pPr>
            <w:r>
              <w:rPr>
                <w:color w:val="000000"/>
                <w:szCs w:val="21"/>
              </w:rPr>
              <w:t>1</w:t>
            </w:r>
          </w:p>
        </w:tc>
        <w:tc>
          <w:tcPr>
            <w:tcW w:w="1800" w:type="dxa"/>
            <w:vAlign w:val="center"/>
          </w:tcPr>
          <w:p w:rsidR="00A9459B" w:rsidRDefault="00FD6859">
            <w:pPr>
              <w:jc w:val="right"/>
            </w:pPr>
            <w:r>
              <w:rPr>
                <w:color w:val="000000"/>
                <w:szCs w:val="21"/>
              </w:rPr>
              <w:t>-</w:t>
            </w:r>
          </w:p>
        </w:tc>
        <w:tc>
          <w:tcPr>
            <w:tcW w:w="1080" w:type="dxa"/>
            <w:vAlign w:val="center"/>
          </w:tcPr>
          <w:p w:rsidR="00A9459B" w:rsidRDefault="00FD6859">
            <w:pPr>
              <w:jc w:val="right"/>
            </w:pPr>
            <w:r>
              <w:rPr>
                <w:color w:val="000000"/>
                <w:szCs w:val="21"/>
              </w:rPr>
              <w:t>-</w:t>
            </w:r>
          </w:p>
        </w:tc>
        <w:tc>
          <w:tcPr>
            <w:tcW w:w="1620" w:type="dxa"/>
            <w:vAlign w:val="center"/>
          </w:tcPr>
          <w:p w:rsidR="00A9459B" w:rsidRDefault="00FD6859">
            <w:pPr>
              <w:jc w:val="right"/>
            </w:pPr>
            <w:r>
              <w:rPr>
                <w:color w:val="000000"/>
                <w:szCs w:val="21"/>
              </w:rPr>
              <w:t>-</w:t>
            </w:r>
          </w:p>
        </w:tc>
        <w:tc>
          <w:tcPr>
            <w:tcW w:w="1080" w:type="dxa"/>
            <w:vAlign w:val="center"/>
          </w:tcPr>
          <w:p w:rsidR="00A9459B" w:rsidRDefault="00FD6859">
            <w:pPr>
              <w:jc w:val="right"/>
            </w:pPr>
            <w:r>
              <w:rPr>
                <w:color w:val="000000"/>
                <w:szCs w:val="21"/>
              </w:rPr>
              <w:t>-</w:t>
            </w:r>
          </w:p>
        </w:tc>
        <w:tc>
          <w:tcPr>
            <w:tcW w:w="1080" w:type="dxa"/>
            <w:vAlign w:val="center"/>
          </w:tcPr>
          <w:p w:rsidR="00A9459B" w:rsidRDefault="00FD6859" w:rsidP="00FD6859">
            <w:pPr>
              <w:jc w:val="right"/>
            </w:pPr>
            <w:r>
              <w:rPr>
                <w:color w:val="000000"/>
                <w:szCs w:val="21"/>
              </w:rPr>
              <w:t>-</w:t>
            </w:r>
          </w:p>
        </w:tc>
      </w:tr>
      <w:tr w:rsidR="00A9459B">
        <w:tc>
          <w:tcPr>
            <w:tcW w:w="1559" w:type="dxa"/>
            <w:vAlign w:val="center"/>
          </w:tcPr>
          <w:p w:rsidR="00A9459B" w:rsidRDefault="00FD6859">
            <w:pPr>
              <w:jc w:val="left"/>
            </w:pPr>
            <w:r>
              <w:rPr>
                <w:color w:val="000000"/>
                <w:szCs w:val="21"/>
              </w:rPr>
              <w:t>宏信证券有限责任公司</w:t>
            </w:r>
          </w:p>
        </w:tc>
        <w:tc>
          <w:tcPr>
            <w:tcW w:w="779" w:type="dxa"/>
            <w:vAlign w:val="center"/>
          </w:tcPr>
          <w:p w:rsidR="00A9459B" w:rsidRDefault="00FD6859">
            <w:pPr>
              <w:jc w:val="right"/>
            </w:pPr>
            <w:r>
              <w:rPr>
                <w:color w:val="000000"/>
                <w:szCs w:val="21"/>
              </w:rPr>
              <w:t>1</w:t>
            </w:r>
          </w:p>
        </w:tc>
        <w:tc>
          <w:tcPr>
            <w:tcW w:w="1800" w:type="dxa"/>
            <w:vAlign w:val="center"/>
          </w:tcPr>
          <w:p w:rsidR="00A9459B" w:rsidRDefault="00FD6859">
            <w:pPr>
              <w:jc w:val="right"/>
            </w:pPr>
            <w:r>
              <w:rPr>
                <w:color w:val="000000"/>
                <w:szCs w:val="21"/>
              </w:rPr>
              <w:t>-</w:t>
            </w:r>
          </w:p>
        </w:tc>
        <w:tc>
          <w:tcPr>
            <w:tcW w:w="1080" w:type="dxa"/>
            <w:vAlign w:val="center"/>
          </w:tcPr>
          <w:p w:rsidR="00A9459B" w:rsidRDefault="00FD6859">
            <w:pPr>
              <w:jc w:val="right"/>
            </w:pPr>
            <w:r>
              <w:rPr>
                <w:color w:val="000000"/>
                <w:szCs w:val="21"/>
              </w:rPr>
              <w:t>-</w:t>
            </w:r>
          </w:p>
        </w:tc>
        <w:tc>
          <w:tcPr>
            <w:tcW w:w="1620" w:type="dxa"/>
            <w:vAlign w:val="center"/>
          </w:tcPr>
          <w:p w:rsidR="00A9459B" w:rsidRDefault="00FD6859">
            <w:pPr>
              <w:jc w:val="right"/>
            </w:pPr>
            <w:r>
              <w:rPr>
                <w:color w:val="000000"/>
                <w:szCs w:val="21"/>
              </w:rPr>
              <w:t>-</w:t>
            </w:r>
          </w:p>
        </w:tc>
        <w:tc>
          <w:tcPr>
            <w:tcW w:w="1080" w:type="dxa"/>
            <w:vAlign w:val="center"/>
          </w:tcPr>
          <w:p w:rsidR="00A9459B" w:rsidRDefault="00FD6859">
            <w:pPr>
              <w:jc w:val="right"/>
            </w:pPr>
            <w:r>
              <w:rPr>
                <w:color w:val="000000"/>
                <w:szCs w:val="21"/>
              </w:rPr>
              <w:t>-</w:t>
            </w:r>
          </w:p>
        </w:tc>
        <w:tc>
          <w:tcPr>
            <w:tcW w:w="1080" w:type="dxa"/>
            <w:vAlign w:val="center"/>
          </w:tcPr>
          <w:p w:rsidR="00A9459B" w:rsidRDefault="00FD6859" w:rsidP="00FD6859">
            <w:pPr>
              <w:jc w:val="right"/>
            </w:pPr>
            <w:r>
              <w:rPr>
                <w:color w:val="000000"/>
                <w:szCs w:val="21"/>
              </w:rPr>
              <w:t>-</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11.7.2</w:t>
      </w:r>
      <w:r w:rsidR="009153A3" w:rsidRPr="00245C29">
        <w:rPr>
          <w:rFonts w:ascii="Times New Roman" w:hAnsi="Times New Roman" w:hint="eastAsia"/>
          <w:kern w:val="0"/>
          <w:szCs w:val="24"/>
        </w:rPr>
        <w:t xml:space="preserve"> </w:t>
      </w:r>
      <w:r w:rsidRPr="00245C29">
        <w:rPr>
          <w:rFonts w:ascii="Times New Roman" w:hAnsi="Times New Roman" w:hint="eastAsia"/>
          <w:kern w:val="0"/>
          <w:szCs w:val="24"/>
        </w:rPr>
        <w:t>基金租用证券公司交易单元进行其他证券投资的情况</w:t>
      </w:r>
      <w:bookmarkEnd w:id="95"/>
    </w:p>
    <w:p w:rsidR="001A59F9" w:rsidRPr="00FC1A5A" w:rsidRDefault="001A59F9" w:rsidP="00FC1A5A">
      <w:pPr>
        <w:autoSpaceDE w:val="0"/>
        <w:autoSpaceDN w:val="0"/>
        <w:adjustRightInd w:val="0"/>
        <w:spacing w:before="29" w:line="288" w:lineRule="auto"/>
        <w:ind w:left="15"/>
        <w:jc w:val="right"/>
        <w:rPr>
          <w:color w:val="000000"/>
          <w:sz w:val="24"/>
        </w:rPr>
      </w:pPr>
      <w:bookmarkStart w:id="96" w:name="_Toc249707408"/>
      <w:r w:rsidRPr="00FC1A5A">
        <w:rPr>
          <w:rFonts w:hint="eastAsia"/>
          <w:color w:val="000000"/>
          <w:sz w:val="24"/>
        </w:rPr>
        <w:t>金额单位：人民币元</w:t>
      </w:r>
      <w:bookmarkEnd w:id="9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1319"/>
        <w:gridCol w:w="1080"/>
        <w:gridCol w:w="1143"/>
        <w:gridCol w:w="1197"/>
        <w:gridCol w:w="1497"/>
        <w:gridCol w:w="1203"/>
      </w:tblGrid>
      <w:tr w:rsidR="009A36E4" w:rsidRPr="00465C9F" w:rsidTr="009D6BB6">
        <w:tc>
          <w:tcPr>
            <w:tcW w:w="1559" w:type="dxa"/>
            <w:vMerge w:val="restart"/>
            <w:vAlign w:val="center"/>
          </w:tcPr>
          <w:p w:rsidR="009A36E4" w:rsidRPr="00465C9F" w:rsidRDefault="009A36E4" w:rsidP="00A97873">
            <w:pPr>
              <w:spacing w:before="29" w:line="288" w:lineRule="auto"/>
              <w:ind w:left="17"/>
              <w:jc w:val="center"/>
              <w:rPr>
                <w:color w:val="000000"/>
                <w:szCs w:val="21"/>
              </w:rPr>
            </w:pPr>
            <w:bookmarkStart w:id="97" w:name="_Toc361324902"/>
            <w:r w:rsidRPr="00465C9F">
              <w:rPr>
                <w:rFonts w:hint="eastAsia"/>
                <w:color w:val="000000"/>
                <w:szCs w:val="21"/>
              </w:rPr>
              <w:t>券商名称</w:t>
            </w:r>
          </w:p>
        </w:tc>
        <w:tc>
          <w:tcPr>
            <w:tcW w:w="2399"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债券交易</w:t>
            </w:r>
          </w:p>
        </w:tc>
        <w:tc>
          <w:tcPr>
            <w:tcW w:w="2340"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回购交易</w:t>
            </w:r>
          </w:p>
        </w:tc>
        <w:tc>
          <w:tcPr>
            <w:tcW w:w="2700"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权证交易</w:t>
            </w:r>
          </w:p>
        </w:tc>
      </w:tr>
      <w:tr w:rsidR="009A36E4" w:rsidRPr="00465C9F" w:rsidTr="009D6BB6">
        <w:tc>
          <w:tcPr>
            <w:tcW w:w="1559" w:type="dxa"/>
            <w:vMerge/>
            <w:vAlign w:val="center"/>
          </w:tcPr>
          <w:p w:rsidR="009A36E4" w:rsidRPr="00465C9F" w:rsidRDefault="009A36E4" w:rsidP="00A97873">
            <w:pPr>
              <w:spacing w:before="29" w:line="288" w:lineRule="auto"/>
              <w:ind w:left="17"/>
              <w:jc w:val="center"/>
              <w:rPr>
                <w:color w:val="000000"/>
                <w:szCs w:val="21"/>
              </w:rPr>
            </w:pPr>
          </w:p>
        </w:tc>
        <w:tc>
          <w:tcPr>
            <w:tcW w:w="1319"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1080"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占当期债券成交总额的比例</w:t>
            </w:r>
          </w:p>
        </w:tc>
        <w:tc>
          <w:tcPr>
            <w:tcW w:w="1143"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1197"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占当期回购成交总额的比例</w:t>
            </w:r>
          </w:p>
        </w:tc>
        <w:tc>
          <w:tcPr>
            <w:tcW w:w="1497"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1203"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占当期权证成交总额的比例</w:t>
            </w:r>
          </w:p>
        </w:tc>
      </w:tr>
      <w:tr w:rsidR="00A9459B">
        <w:tc>
          <w:tcPr>
            <w:tcW w:w="1559" w:type="dxa"/>
            <w:vAlign w:val="center"/>
          </w:tcPr>
          <w:p w:rsidR="00A9459B" w:rsidRDefault="00FD6859">
            <w:pPr>
              <w:jc w:val="left"/>
            </w:pPr>
            <w:r>
              <w:rPr>
                <w:color w:val="000000"/>
                <w:szCs w:val="21"/>
              </w:rPr>
              <w:t>东方证券股份有限公司</w:t>
            </w:r>
          </w:p>
        </w:tc>
        <w:tc>
          <w:tcPr>
            <w:tcW w:w="1319" w:type="dxa"/>
            <w:vAlign w:val="center"/>
          </w:tcPr>
          <w:p w:rsidR="00A9459B" w:rsidRDefault="00FD6859">
            <w:pPr>
              <w:jc w:val="right"/>
            </w:pPr>
            <w:r>
              <w:rPr>
                <w:color w:val="000000"/>
                <w:szCs w:val="21"/>
              </w:rPr>
              <w:t>25,162,500.00</w:t>
            </w:r>
          </w:p>
        </w:tc>
        <w:tc>
          <w:tcPr>
            <w:tcW w:w="1080" w:type="dxa"/>
            <w:vAlign w:val="center"/>
          </w:tcPr>
          <w:p w:rsidR="00A9459B" w:rsidRDefault="00FD6859">
            <w:pPr>
              <w:jc w:val="right"/>
            </w:pPr>
            <w:r>
              <w:rPr>
                <w:color w:val="000000"/>
                <w:szCs w:val="21"/>
              </w:rPr>
              <w:t>6.91%</w:t>
            </w:r>
          </w:p>
        </w:tc>
        <w:tc>
          <w:tcPr>
            <w:tcW w:w="1143" w:type="dxa"/>
            <w:vAlign w:val="center"/>
          </w:tcPr>
          <w:p w:rsidR="00A9459B" w:rsidRDefault="00FD6859">
            <w:pPr>
              <w:jc w:val="right"/>
            </w:pPr>
            <w:r>
              <w:rPr>
                <w:color w:val="000000"/>
                <w:szCs w:val="21"/>
              </w:rPr>
              <w:t>140,000,000.00</w:t>
            </w:r>
          </w:p>
        </w:tc>
        <w:tc>
          <w:tcPr>
            <w:tcW w:w="1197" w:type="dxa"/>
            <w:vAlign w:val="center"/>
          </w:tcPr>
          <w:p w:rsidR="00A9459B" w:rsidRDefault="00FD6859">
            <w:pPr>
              <w:jc w:val="right"/>
            </w:pPr>
            <w:r>
              <w:rPr>
                <w:color w:val="000000"/>
                <w:szCs w:val="21"/>
              </w:rPr>
              <w:t>4.57%</w:t>
            </w:r>
          </w:p>
        </w:tc>
        <w:tc>
          <w:tcPr>
            <w:tcW w:w="1497" w:type="dxa"/>
            <w:vAlign w:val="center"/>
          </w:tcPr>
          <w:p w:rsidR="00A9459B" w:rsidRDefault="00FD6859">
            <w:pPr>
              <w:jc w:val="right"/>
            </w:pPr>
            <w:r>
              <w:rPr>
                <w:color w:val="000000"/>
                <w:szCs w:val="21"/>
              </w:rPr>
              <w:t>-</w:t>
            </w:r>
          </w:p>
        </w:tc>
        <w:tc>
          <w:tcPr>
            <w:tcW w:w="1203" w:type="dxa"/>
            <w:vAlign w:val="center"/>
          </w:tcPr>
          <w:p w:rsidR="00A9459B" w:rsidRDefault="00FD6859">
            <w:pPr>
              <w:jc w:val="right"/>
            </w:pPr>
            <w:r>
              <w:rPr>
                <w:color w:val="000000"/>
                <w:szCs w:val="21"/>
              </w:rPr>
              <w:t>-</w:t>
            </w:r>
          </w:p>
        </w:tc>
      </w:tr>
      <w:tr w:rsidR="00A9459B">
        <w:tc>
          <w:tcPr>
            <w:tcW w:w="1559" w:type="dxa"/>
            <w:vAlign w:val="center"/>
          </w:tcPr>
          <w:p w:rsidR="00A9459B" w:rsidRDefault="00FD6859">
            <w:pPr>
              <w:jc w:val="left"/>
            </w:pPr>
            <w:r>
              <w:rPr>
                <w:color w:val="000000"/>
                <w:szCs w:val="21"/>
              </w:rPr>
              <w:t>华泰证券股份有限公司</w:t>
            </w:r>
          </w:p>
        </w:tc>
        <w:tc>
          <w:tcPr>
            <w:tcW w:w="1319" w:type="dxa"/>
            <w:vAlign w:val="center"/>
          </w:tcPr>
          <w:p w:rsidR="00A9459B" w:rsidRDefault="00FD6859">
            <w:pPr>
              <w:jc w:val="right"/>
            </w:pPr>
            <w:r>
              <w:rPr>
                <w:color w:val="000000"/>
                <w:szCs w:val="21"/>
              </w:rPr>
              <w:t>-</w:t>
            </w:r>
          </w:p>
        </w:tc>
        <w:tc>
          <w:tcPr>
            <w:tcW w:w="1080" w:type="dxa"/>
            <w:vAlign w:val="center"/>
          </w:tcPr>
          <w:p w:rsidR="00A9459B" w:rsidRDefault="00FD6859">
            <w:pPr>
              <w:jc w:val="right"/>
            </w:pPr>
            <w:r>
              <w:rPr>
                <w:color w:val="000000"/>
                <w:szCs w:val="21"/>
              </w:rPr>
              <w:t>-</w:t>
            </w:r>
          </w:p>
        </w:tc>
        <w:tc>
          <w:tcPr>
            <w:tcW w:w="1143" w:type="dxa"/>
            <w:vAlign w:val="center"/>
          </w:tcPr>
          <w:p w:rsidR="00A9459B" w:rsidRDefault="00FD6859">
            <w:pPr>
              <w:jc w:val="right"/>
            </w:pPr>
            <w:r>
              <w:rPr>
                <w:color w:val="000000"/>
                <w:szCs w:val="21"/>
              </w:rPr>
              <w:t>67,000,000.00</w:t>
            </w:r>
          </w:p>
        </w:tc>
        <w:tc>
          <w:tcPr>
            <w:tcW w:w="1197" w:type="dxa"/>
            <w:vAlign w:val="center"/>
          </w:tcPr>
          <w:p w:rsidR="00A9459B" w:rsidRDefault="00FD6859">
            <w:pPr>
              <w:jc w:val="right"/>
            </w:pPr>
            <w:r>
              <w:rPr>
                <w:color w:val="000000"/>
                <w:szCs w:val="21"/>
              </w:rPr>
              <w:t>2.19%</w:t>
            </w:r>
          </w:p>
        </w:tc>
        <w:tc>
          <w:tcPr>
            <w:tcW w:w="1497" w:type="dxa"/>
            <w:vAlign w:val="center"/>
          </w:tcPr>
          <w:p w:rsidR="00A9459B" w:rsidRDefault="00FD6859">
            <w:pPr>
              <w:jc w:val="right"/>
            </w:pPr>
            <w:r>
              <w:rPr>
                <w:color w:val="000000"/>
                <w:szCs w:val="21"/>
              </w:rPr>
              <w:t>-</w:t>
            </w:r>
          </w:p>
        </w:tc>
        <w:tc>
          <w:tcPr>
            <w:tcW w:w="1203" w:type="dxa"/>
            <w:vAlign w:val="center"/>
          </w:tcPr>
          <w:p w:rsidR="00A9459B" w:rsidRDefault="00FD6859">
            <w:pPr>
              <w:jc w:val="right"/>
            </w:pPr>
            <w:r>
              <w:rPr>
                <w:color w:val="000000"/>
                <w:szCs w:val="21"/>
              </w:rPr>
              <w:t>-</w:t>
            </w:r>
          </w:p>
        </w:tc>
      </w:tr>
      <w:tr w:rsidR="00A9459B">
        <w:tc>
          <w:tcPr>
            <w:tcW w:w="1559" w:type="dxa"/>
            <w:vAlign w:val="center"/>
          </w:tcPr>
          <w:p w:rsidR="00A9459B" w:rsidRDefault="00FD6859">
            <w:pPr>
              <w:jc w:val="left"/>
            </w:pPr>
            <w:r>
              <w:rPr>
                <w:color w:val="000000"/>
                <w:szCs w:val="21"/>
              </w:rPr>
              <w:t>招商证券股份有限公司</w:t>
            </w:r>
          </w:p>
        </w:tc>
        <w:tc>
          <w:tcPr>
            <w:tcW w:w="1319" w:type="dxa"/>
            <w:vAlign w:val="center"/>
          </w:tcPr>
          <w:p w:rsidR="00A9459B" w:rsidRDefault="00FD6859">
            <w:pPr>
              <w:jc w:val="right"/>
            </w:pPr>
            <w:r>
              <w:rPr>
                <w:color w:val="000000"/>
                <w:szCs w:val="21"/>
              </w:rPr>
              <w:t>91,768,075.47</w:t>
            </w:r>
          </w:p>
        </w:tc>
        <w:tc>
          <w:tcPr>
            <w:tcW w:w="1080" w:type="dxa"/>
            <w:vAlign w:val="center"/>
          </w:tcPr>
          <w:p w:rsidR="00A9459B" w:rsidRDefault="00FD6859">
            <w:pPr>
              <w:jc w:val="right"/>
            </w:pPr>
            <w:r>
              <w:rPr>
                <w:color w:val="000000"/>
                <w:szCs w:val="21"/>
              </w:rPr>
              <w:t>25.21%</w:t>
            </w:r>
          </w:p>
        </w:tc>
        <w:tc>
          <w:tcPr>
            <w:tcW w:w="1143" w:type="dxa"/>
            <w:vAlign w:val="center"/>
          </w:tcPr>
          <w:p w:rsidR="00A9459B" w:rsidRDefault="00FD6859">
            <w:pPr>
              <w:jc w:val="right"/>
            </w:pPr>
            <w:r>
              <w:rPr>
                <w:color w:val="000000"/>
                <w:szCs w:val="21"/>
              </w:rPr>
              <w:t>772,000,000.00</w:t>
            </w:r>
          </w:p>
        </w:tc>
        <w:tc>
          <w:tcPr>
            <w:tcW w:w="1197" w:type="dxa"/>
            <w:vAlign w:val="center"/>
          </w:tcPr>
          <w:p w:rsidR="00A9459B" w:rsidRDefault="00FD6859">
            <w:pPr>
              <w:jc w:val="right"/>
            </w:pPr>
            <w:r>
              <w:rPr>
                <w:color w:val="000000"/>
                <w:szCs w:val="21"/>
              </w:rPr>
              <w:t>25.19%</w:t>
            </w:r>
          </w:p>
        </w:tc>
        <w:tc>
          <w:tcPr>
            <w:tcW w:w="1497" w:type="dxa"/>
            <w:vAlign w:val="center"/>
          </w:tcPr>
          <w:p w:rsidR="00A9459B" w:rsidRDefault="00FD6859">
            <w:pPr>
              <w:jc w:val="right"/>
            </w:pPr>
            <w:r>
              <w:rPr>
                <w:color w:val="000000"/>
                <w:szCs w:val="21"/>
              </w:rPr>
              <w:t>-</w:t>
            </w:r>
          </w:p>
        </w:tc>
        <w:tc>
          <w:tcPr>
            <w:tcW w:w="1203" w:type="dxa"/>
            <w:vAlign w:val="center"/>
          </w:tcPr>
          <w:p w:rsidR="00A9459B" w:rsidRDefault="00FD6859">
            <w:pPr>
              <w:jc w:val="right"/>
            </w:pPr>
            <w:r>
              <w:rPr>
                <w:color w:val="000000"/>
                <w:szCs w:val="21"/>
              </w:rPr>
              <w:t>-</w:t>
            </w:r>
          </w:p>
        </w:tc>
      </w:tr>
      <w:tr w:rsidR="00A9459B">
        <w:tc>
          <w:tcPr>
            <w:tcW w:w="1559" w:type="dxa"/>
            <w:vAlign w:val="center"/>
          </w:tcPr>
          <w:p w:rsidR="00A9459B" w:rsidRDefault="00FD6859">
            <w:pPr>
              <w:jc w:val="left"/>
            </w:pPr>
            <w:r>
              <w:rPr>
                <w:color w:val="000000"/>
                <w:szCs w:val="21"/>
              </w:rPr>
              <w:t>长江证券股份有限公司</w:t>
            </w:r>
          </w:p>
        </w:tc>
        <w:tc>
          <w:tcPr>
            <w:tcW w:w="1319" w:type="dxa"/>
            <w:vAlign w:val="center"/>
          </w:tcPr>
          <w:p w:rsidR="00A9459B" w:rsidRDefault="00FD6859">
            <w:pPr>
              <w:jc w:val="right"/>
            </w:pPr>
            <w:r>
              <w:rPr>
                <w:color w:val="000000"/>
                <w:szCs w:val="21"/>
              </w:rPr>
              <w:t>4,171,623.60</w:t>
            </w:r>
          </w:p>
        </w:tc>
        <w:tc>
          <w:tcPr>
            <w:tcW w:w="1080" w:type="dxa"/>
            <w:vAlign w:val="center"/>
          </w:tcPr>
          <w:p w:rsidR="00A9459B" w:rsidRDefault="00FD6859">
            <w:pPr>
              <w:jc w:val="right"/>
            </w:pPr>
            <w:r>
              <w:rPr>
                <w:color w:val="000000"/>
                <w:szCs w:val="21"/>
              </w:rPr>
              <w:t>1.15%</w:t>
            </w:r>
          </w:p>
        </w:tc>
        <w:tc>
          <w:tcPr>
            <w:tcW w:w="1143" w:type="dxa"/>
            <w:vAlign w:val="center"/>
          </w:tcPr>
          <w:p w:rsidR="00A9459B" w:rsidRDefault="00FD6859">
            <w:pPr>
              <w:jc w:val="right"/>
            </w:pPr>
            <w:r>
              <w:rPr>
                <w:color w:val="000000"/>
                <w:szCs w:val="21"/>
              </w:rPr>
              <w:t>303,000,000.00</w:t>
            </w:r>
          </w:p>
        </w:tc>
        <w:tc>
          <w:tcPr>
            <w:tcW w:w="1197" w:type="dxa"/>
            <w:vAlign w:val="center"/>
          </w:tcPr>
          <w:p w:rsidR="00A9459B" w:rsidRDefault="00FD6859">
            <w:pPr>
              <w:jc w:val="right"/>
            </w:pPr>
            <w:r>
              <w:rPr>
                <w:color w:val="000000"/>
                <w:szCs w:val="21"/>
              </w:rPr>
              <w:t>9.89%</w:t>
            </w:r>
          </w:p>
        </w:tc>
        <w:tc>
          <w:tcPr>
            <w:tcW w:w="1497" w:type="dxa"/>
            <w:vAlign w:val="center"/>
          </w:tcPr>
          <w:p w:rsidR="00A9459B" w:rsidRDefault="00FD6859">
            <w:pPr>
              <w:jc w:val="right"/>
            </w:pPr>
            <w:r>
              <w:rPr>
                <w:color w:val="000000"/>
                <w:szCs w:val="21"/>
              </w:rPr>
              <w:t>-</w:t>
            </w:r>
          </w:p>
        </w:tc>
        <w:tc>
          <w:tcPr>
            <w:tcW w:w="1203" w:type="dxa"/>
            <w:vAlign w:val="center"/>
          </w:tcPr>
          <w:p w:rsidR="00A9459B" w:rsidRDefault="00FD6859">
            <w:pPr>
              <w:jc w:val="right"/>
            </w:pPr>
            <w:r>
              <w:rPr>
                <w:color w:val="000000"/>
                <w:szCs w:val="21"/>
              </w:rPr>
              <w:t>-</w:t>
            </w:r>
          </w:p>
        </w:tc>
      </w:tr>
      <w:tr w:rsidR="00A9459B">
        <w:tc>
          <w:tcPr>
            <w:tcW w:w="1559" w:type="dxa"/>
            <w:vAlign w:val="center"/>
          </w:tcPr>
          <w:p w:rsidR="00A9459B" w:rsidRDefault="00FD6859">
            <w:pPr>
              <w:jc w:val="left"/>
            </w:pPr>
            <w:r>
              <w:rPr>
                <w:color w:val="000000"/>
                <w:szCs w:val="21"/>
              </w:rPr>
              <w:t>瑞银证券有限责任公司</w:t>
            </w:r>
          </w:p>
        </w:tc>
        <w:tc>
          <w:tcPr>
            <w:tcW w:w="1319" w:type="dxa"/>
            <w:vAlign w:val="center"/>
          </w:tcPr>
          <w:p w:rsidR="00A9459B" w:rsidRDefault="00FD6859">
            <w:pPr>
              <w:jc w:val="right"/>
            </w:pPr>
            <w:r>
              <w:rPr>
                <w:color w:val="000000"/>
                <w:szCs w:val="21"/>
              </w:rPr>
              <w:t>10,145,000.00</w:t>
            </w:r>
          </w:p>
        </w:tc>
        <w:tc>
          <w:tcPr>
            <w:tcW w:w="1080" w:type="dxa"/>
            <w:vAlign w:val="center"/>
          </w:tcPr>
          <w:p w:rsidR="00A9459B" w:rsidRDefault="00FD6859">
            <w:pPr>
              <w:jc w:val="right"/>
            </w:pPr>
            <w:r>
              <w:rPr>
                <w:color w:val="000000"/>
                <w:szCs w:val="21"/>
              </w:rPr>
              <w:t>2.79%</w:t>
            </w:r>
          </w:p>
        </w:tc>
        <w:tc>
          <w:tcPr>
            <w:tcW w:w="1143" w:type="dxa"/>
            <w:vAlign w:val="center"/>
          </w:tcPr>
          <w:p w:rsidR="00A9459B" w:rsidRDefault="00FD6859">
            <w:pPr>
              <w:jc w:val="right"/>
            </w:pPr>
            <w:r>
              <w:rPr>
                <w:color w:val="000000"/>
                <w:szCs w:val="21"/>
              </w:rPr>
              <w:t>61,000,000.00</w:t>
            </w:r>
          </w:p>
        </w:tc>
        <w:tc>
          <w:tcPr>
            <w:tcW w:w="1197" w:type="dxa"/>
            <w:vAlign w:val="center"/>
          </w:tcPr>
          <w:p w:rsidR="00A9459B" w:rsidRDefault="00FD6859">
            <w:pPr>
              <w:jc w:val="right"/>
            </w:pPr>
            <w:r>
              <w:rPr>
                <w:color w:val="000000"/>
                <w:szCs w:val="21"/>
              </w:rPr>
              <w:t>1.99%</w:t>
            </w:r>
          </w:p>
        </w:tc>
        <w:tc>
          <w:tcPr>
            <w:tcW w:w="1497" w:type="dxa"/>
            <w:vAlign w:val="center"/>
          </w:tcPr>
          <w:p w:rsidR="00A9459B" w:rsidRDefault="00FD6859">
            <w:pPr>
              <w:jc w:val="right"/>
            </w:pPr>
            <w:r>
              <w:rPr>
                <w:color w:val="000000"/>
                <w:szCs w:val="21"/>
              </w:rPr>
              <w:t>-</w:t>
            </w:r>
          </w:p>
        </w:tc>
        <w:tc>
          <w:tcPr>
            <w:tcW w:w="1203" w:type="dxa"/>
            <w:vAlign w:val="center"/>
          </w:tcPr>
          <w:p w:rsidR="00A9459B" w:rsidRDefault="00FD6859">
            <w:pPr>
              <w:jc w:val="right"/>
            </w:pPr>
            <w:r>
              <w:rPr>
                <w:color w:val="000000"/>
                <w:szCs w:val="21"/>
              </w:rPr>
              <w:t>-</w:t>
            </w:r>
          </w:p>
        </w:tc>
      </w:tr>
      <w:tr w:rsidR="00A9459B">
        <w:tc>
          <w:tcPr>
            <w:tcW w:w="1559" w:type="dxa"/>
            <w:vAlign w:val="center"/>
          </w:tcPr>
          <w:p w:rsidR="00A9459B" w:rsidRDefault="00FD6859">
            <w:pPr>
              <w:jc w:val="left"/>
            </w:pPr>
            <w:r>
              <w:rPr>
                <w:color w:val="000000"/>
                <w:szCs w:val="21"/>
              </w:rPr>
              <w:t>广发证券股份有限公司</w:t>
            </w:r>
          </w:p>
        </w:tc>
        <w:tc>
          <w:tcPr>
            <w:tcW w:w="1319" w:type="dxa"/>
            <w:vAlign w:val="center"/>
          </w:tcPr>
          <w:p w:rsidR="00A9459B" w:rsidRDefault="00FD6859">
            <w:pPr>
              <w:jc w:val="right"/>
            </w:pPr>
            <w:r>
              <w:rPr>
                <w:color w:val="000000"/>
                <w:szCs w:val="21"/>
              </w:rPr>
              <w:t>132,079,700.72</w:t>
            </w:r>
          </w:p>
        </w:tc>
        <w:tc>
          <w:tcPr>
            <w:tcW w:w="1080" w:type="dxa"/>
            <w:vAlign w:val="center"/>
          </w:tcPr>
          <w:p w:rsidR="00A9459B" w:rsidRDefault="00FD6859">
            <w:pPr>
              <w:jc w:val="right"/>
            </w:pPr>
            <w:r>
              <w:rPr>
                <w:color w:val="000000"/>
                <w:szCs w:val="21"/>
              </w:rPr>
              <w:t>36.28%</w:t>
            </w:r>
          </w:p>
        </w:tc>
        <w:tc>
          <w:tcPr>
            <w:tcW w:w="1143" w:type="dxa"/>
            <w:vAlign w:val="center"/>
          </w:tcPr>
          <w:p w:rsidR="00A9459B" w:rsidRDefault="00FD6859">
            <w:pPr>
              <w:jc w:val="right"/>
            </w:pPr>
            <w:r>
              <w:rPr>
                <w:color w:val="000000"/>
                <w:szCs w:val="21"/>
              </w:rPr>
              <w:t>1,413,600,000.00</w:t>
            </w:r>
          </w:p>
        </w:tc>
        <w:tc>
          <w:tcPr>
            <w:tcW w:w="1197" w:type="dxa"/>
            <w:vAlign w:val="center"/>
          </w:tcPr>
          <w:p w:rsidR="00A9459B" w:rsidRDefault="00FD6859">
            <w:pPr>
              <w:jc w:val="right"/>
            </w:pPr>
            <w:r>
              <w:rPr>
                <w:color w:val="000000"/>
                <w:szCs w:val="21"/>
              </w:rPr>
              <w:t>46.13%</w:t>
            </w:r>
          </w:p>
        </w:tc>
        <w:tc>
          <w:tcPr>
            <w:tcW w:w="1497" w:type="dxa"/>
            <w:vAlign w:val="center"/>
          </w:tcPr>
          <w:p w:rsidR="00A9459B" w:rsidRDefault="00FD6859">
            <w:pPr>
              <w:jc w:val="right"/>
            </w:pPr>
            <w:r>
              <w:rPr>
                <w:color w:val="000000"/>
                <w:szCs w:val="21"/>
              </w:rPr>
              <w:t>-</w:t>
            </w:r>
          </w:p>
        </w:tc>
        <w:tc>
          <w:tcPr>
            <w:tcW w:w="1203" w:type="dxa"/>
            <w:vAlign w:val="center"/>
          </w:tcPr>
          <w:p w:rsidR="00A9459B" w:rsidRDefault="00FD6859">
            <w:pPr>
              <w:jc w:val="right"/>
            </w:pPr>
            <w:r>
              <w:rPr>
                <w:color w:val="000000"/>
                <w:szCs w:val="21"/>
              </w:rPr>
              <w:t>-</w:t>
            </w:r>
          </w:p>
        </w:tc>
      </w:tr>
      <w:tr w:rsidR="00A9459B">
        <w:tc>
          <w:tcPr>
            <w:tcW w:w="1559" w:type="dxa"/>
            <w:vAlign w:val="center"/>
          </w:tcPr>
          <w:p w:rsidR="00A9459B" w:rsidRDefault="00FD6859">
            <w:pPr>
              <w:jc w:val="left"/>
            </w:pPr>
            <w:r>
              <w:rPr>
                <w:color w:val="000000"/>
                <w:szCs w:val="21"/>
              </w:rPr>
              <w:t>兴业证券股份有限公司</w:t>
            </w:r>
          </w:p>
        </w:tc>
        <w:tc>
          <w:tcPr>
            <w:tcW w:w="1319" w:type="dxa"/>
            <w:vAlign w:val="center"/>
          </w:tcPr>
          <w:p w:rsidR="00A9459B" w:rsidRDefault="00FD6859">
            <w:pPr>
              <w:jc w:val="right"/>
            </w:pPr>
            <w:r>
              <w:rPr>
                <w:color w:val="000000"/>
                <w:szCs w:val="21"/>
              </w:rPr>
              <w:t>13,605,976.40</w:t>
            </w:r>
          </w:p>
        </w:tc>
        <w:tc>
          <w:tcPr>
            <w:tcW w:w="1080" w:type="dxa"/>
            <w:vAlign w:val="center"/>
          </w:tcPr>
          <w:p w:rsidR="00A9459B" w:rsidRDefault="00FD6859">
            <w:pPr>
              <w:jc w:val="right"/>
            </w:pPr>
            <w:r>
              <w:rPr>
                <w:color w:val="000000"/>
                <w:szCs w:val="21"/>
              </w:rPr>
              <w:t>3.74%</w:t>
            </w:r>
          </w:p>
        </w:tc>
        <w:tc>
          <w:tcPr>
            <w:tcW w:w="1143" w:type="dxa"/>
            <w:vAlign w:val="center"/>
          </w:tcPr>
          <w:p w:rsidR="00A9459B" w:rsidRDefault="00FD6859">
            <w:pPr>
              <w:jc w:val="right"/>
            </w:pPr>
            <w:r>
              <w:rPr>
                <w:color w:val="000000"/>
                <w:szCs w:val="21"/>
              </w:rPr>
              <w:t>17,000,000.00</w:t>
            </w:r>
          </w:p>
        </w:tc>
        <w:tc>
          <w:tcPr>
            <w:tcW w:w="1197" w:type="dxa"/>
            <w:vAlign w:val="center"/>
          </w:tcPr>
          <w:p w:rsidR="00A9459B" w:rsidRDefault="00FD6859">
            <w:pPr>
              <w:jc w:val="right"/>
            </w:pPr>
            <w:r>
              <w:rPr>
                <w:color w:val="000000"/>
                <w:szCs w:val="21"/>
              </w:rPr>
              <w:t>0.55%</w:t>
            </w:r>
          </w:p>
        </w:tc>
        <w:tc>
          <w:tcPr>
            <w:tcW w:w="1497" w:type="dxa"/>
            <w:vAlign w:val="center"/>
          </w:tcPr>
          <w:p w:rsidR="00A9459B" w:rsidRDefault="00FD6859">
            <w:pPr>
              <w:jc w:val="right"/>
            </w:pPr>
            <w:r>
              <w:rPr>
                <w:color w:val="000000"/>
                <w:szCs w:val="21"/>
              </w:rPr>
              <w:t>-</w:t>
            </w:r>
          </w:p>
        </w:tc>
        <w:tc>
          <w:tcPr>
            <w:tcW w:w="1203" w:type="dxa"/>
            <w:vAlign w:val="center"/>
          </w:tcPr>
          <w:p w:rsidR="00A9459B" w:rsidRDefault="00FD6859">
            <w:pPr>
              <w:jc w:val="right"/>
            </w:pPr>
            <w:r>
              <w:rPr>
                <w:color w:val="000000"/>
                <w:szCs w:val="21"/>
              </w:rPr>
              <w:t>-</w:t>
            </w:r>
          </w:p>
        </w:tc>
      </w:tr>
      <w:tr w:rsidR="00A9459B">
        <w:tc>
          <w:tcPr>
            <w:tcW w:w="1559" w:type="dxa"/>
            <w:vAlign w:val="center"/>
          </w:tcPr>
          <w:p w:rsidR="00A9459B" w:rsidRDefault="00FD6859">
            <w:pPr>
              <w:jc w:val="left"/>
            </w:pPr>
            <w:r>
              <w:rPr>
                <w:color w:val="000000"/>
                <w:szCs w:val="21"/>
              </w:rPr>
              <w:t>民生证券股份有限公司</w:t>
            </w:r>
          </w:p>
        </w:tc>
        <w:tc>
          <w:tcPr>
            <w:tcW w:w="1319" w:type="dxa"/>
            <w:vAlign w:val="center"/>
          </w:tcPr>
          <w:p w:rsidR="00A9459B" w:rsidRDefault="00FD6859">
            <w:pPr>
              <w:jc w:val="right"/>
            </w:pPr>
            <w:r>
              <w:rPr>
                <w:color w:val="000000"/>
                <w:szCs w:val="21"/>
              </w:rPr>
              <w:t>35,362,422.50</w:t>
            </w:r>
          </w:p>
        </w:tc>
        <w:tc>
          <w:tcPr>
            <w:tcW w:w="1080" w:type="dxa"/>
            <w:vAlign w:val="center"/>
          </w:tcPr>
          <w:p w:rsidR="00A9459B" w:rsidRDefault="00FD6859">
            <w:pPr>
              <w:jc w:val="right"/>
            </w:pPr>
            <w:r>
              <w:rPr>
                <w:color w:val="000000"/>
                <w:szCs w:val="21"/>
              </w:rPr>
              <w:t>9.71%</w:t>
            </w:r>
          </w:p>
        </w:tc>
        <w:tc>
          <w:tcPr>
            <w:tcW w:w="1143" w:type="dxa"/>
            <w:vAlign w:val="center"/>
          </w:tcPr>
          <w:p w:rsidR="00A9459B" w:rsidRDefault="00FD6859">
            <w:pPr>
              <w:jc w:val="right"/>
            </w:pPr>
            <w:r>
              <w:rPr>
                <w:color w:val="000000"/>
                <w:szCs w:val="21"/>
              </w:rPr>
              <w:t>-</w:t>
            </w:r>
          </w:p>
        </w:tc>
        <w:tc>
          <w:tcPr>
            <w:tcW w:w="1197" w:type="dxa"/>
            <w:vAlign w:val="center"/>
          </w:tcPr>
          <w:p w:rsidR="00A9459B" w:rsidRDefault="00FD6859">
            <w:pPr>
              <w:jc w:val="right"/>
            </w:pPr>
            <w:r>
              <w:rPr>
                <w:color w:val="000000"/>
                <w:szCs w:val="21"/>
              </w:rPr>
              <w:t>-</w:t>
            </w:r>
          </w:p>
        </w:tc>
        <w:tc>
          <w:tcPr>
            <w:tcW w:w="1497" w:type="dxa"/>
            <w:vAlign w:val="center"/>
          </w:tcPr>
          <w:p w:rsidR="00A9459B" w:rsidRDefault="00FD6859">
            <w:pPr>
              <w:jc w:val="right"/>
            </w:pPr>
            <w:r>
              <w:rPr>
                <w:color w:val="000000"/>
                <w:szCs w:val="21"/>
              </w:rPr>
              <w:t>-</w:t>
            </w:r>
          </w:p>
        </w:tc>
        <w:tc>
          <w:tcPr>
            <w:tcW w:w="1203" w:type="dxa"/>
            <w:vAlign w:val="center"/>
          </w:tcPr>
          <w:p w:rsidR="00A9459B" w:rsidRDefault="00FD6859">
            <w:pPr>
              <w:jc w:val="right"/>
            </w:pPr>
            <w:r>
              <w:rPr>
                <w:color w:val="000000"/>
                <w:szCs w:val="21"/>
              </w:rPr>
              <w:t>-</w:t>
            </w:r>
          </w:p>
        </w:tc>
      </w:tr>
      <w:tr w:rsidR="00A9459B">
        <w:tc>
          <w:tcPr>
            <w:tcW w:w="1559" w:type="dxa"/>
            <w:vAlign w:val="center"/>
          </w:tcPr>
          <w:p w:rsidR="00A9459B" w:rsidRDefault="00FD6859">
            <w:pPr>
              <w:jc w:val="left"/>
            </w:pPr>
            <w:r>
              <w:rPr>
                <w:color w:val="000000"/>
                <w:szCs w:val="21"/>
              </w:rPr>
              <w:t>申银万国证券股份有限公司</w:t>
            </w:r>
          </w:p>
        </w:tc>
        <w:tc>
          <w:tcPr>
            <w:tcW w:w="1319" w:type="dxa"/>
            <w:vAlign w:val="center"/>
          </w:tcPr>
          <w:p w:rsidR="00A9459B" w:rsidRDefault="00FD6859">
            <w:pPr>
              <w:jc w:val="right"/>
            </w:pPr>
            <w:r>
              <w:rPr>
                <w:color w:val="000000"/>
                <w:szCs w:val="21"/>
              </w:rPr>
              <w:t>51,714,762.10</w:t>
            </w:r>
          </w:p>
        </w:tc>
        <w:tc>
          <w:tcPr>
            <w:tcW w:w="1080" w:type="dxa"/>
            <w:vAlign w:val="center"/>
          </w:tcPr>
          <w:p w:rsidR="00A9459B" w:rsidRDefault="00FD6859">
            <w:pPr>
              <w:jc w:val="right"/>
            </w:pPr>
            <w:r>
              <w:rPr>
                <w:color w:val="000000"/>
                <w:szCs w:val="21"/>
              </w:rPr>
              <w:t>14.21%</w:t>
            </w:r>
          </w:p>
        </w:tc>
        <w:tc>
          <w:tcPr>
            <w:tcW w:w="1143" w:type="dxa"/>
            <w:vAlign w:val="center"/>
          </w:tcPr>
          <w:p w:rsidR="00A9459B" w:rsidRDefault="00FD6859">
            <w:pPr>
              <w:jc w:val="right"/>
            </w:pPr>
            <w:r>
              <w:rPr>
                <w:color w:val="000000"/>
                <w:szCs w:val="21"/>
              </w:rPr>
              <w:t>291,000,000.00</w:t>
            </w:r>
          </w:p>
        </w:tc>
        <w:tc>
          <w:tcPr>
            <w:tcW w:w="1197" w:type="dxa"/>
            <w:vAlign w:val="center"/>
          </w:tcPr>
          <w:p w:rsidR="00A9459B" w:rsidRDefault="00FD6859">
            <w:pPr>
              <w:jc w:val="right"/>
            </w:pPr>
            <w:r>
              <w:rPr>
                <w:color w:val="000000"/>
                <w:szCs w:val="21"/>
              </w:rPr>
              <w:t>9.50%</w:t>
            </w:r>
          </w:p>
        </w:tc>
        <w:tc>
          <w:tcPr>
            <w:tcW w:w="1497" w:type="dxa"/>
            <w:vAlign w:val="center"/>
          </w:tcPr>
          <w:p w:rsidR="00A9459B" w:rsidRDefault="00FD6859">
            <w:pPr>
              <w:jc w:val="right"/>
            </w:pPr>
            <w:r>
              <w:rPr>
                <w:color w:val="000000"/>
                <w:szCs w:val="21"/>
              </w:rPr>
              <w:t>-</w:t>
            </w:r>
          </w:p>
        </w:tc>
        <w:tc>
          <w:tcPr>
            <w:tcW w:w="1203" w:type="dxa"/>
            <w:vAlign w:val="center"/>
          </w:tcPr>
          <w:p w:rsidR="00A9459B" w:rsidRDefault="00FD6859">
            <w:pPr>
              <w:jc w:val="right"/>
            </w:pPr>
            <w:r>
              <w:rPr>
                <w:color w:val="000000"/>
                <w:szCs w:val="21"/>
              </w:rPr>
              <w:t>-</w:t>
            </w:r>
          </w:p>
        </w:tc>
      </w:tr>
    </w:tbl>
    <w:p w:rsidR="00A9459B" w:rsidRDefault="00FD6859">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、报告期内，本基金新增加交易单元为海通证券股份有限公司；终止交易单元为方正证券股份有限公司、天源证券经纪有限公司、日信证券有限责任公司，其它交易单元未发生变化；</w:t>
      </w:r>
    </w:p>
    <w:p w:rsidR="00A9459B" w:rsidRDefault="00FD6859">
      <w:pPr>
        <w:tabs>
          <w:tab w:val="left" w:pos="426"/>
        </w:tabs>
        <w:spacing w:before="29" w:line="288" w:lineRule="auto"/>
        <w:jc w:val="left"/>
        <w:rPr>
          <w:kern w:val="0"/>
          <w:sz w:val="24"/>
        </w:rPr>
      </w:pPr>
      <w:r>
        <w:rPr>
          <w:kern w:val="0"/>
          <w:sz w:val="24"/>
        </w:rPr>
        <w:t xml:space="preserve">    2</w:t>
      </w:r>
      <w:r>
        <w:rPr>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9A36E4" w:rsidRDefault="009A36E4" w:rsidP="00273FD9">
      <w:pPr>
        <w:tabs>
          <w:tab w:val="left" w:pos="426"/>
        </w:tabs>
        <w:spacing w:before="29" w:line="288" w:lineRule="auto"/>
        <w:jc w:val="left"/>
        <w:rPr>
          <w:kern w:val="0"/>
          <w:sz w:val="24"/>
        </w:rPr>
      </w:pPr>
      <w:r w:rsidRPr="00273FD9">
        <w:rPr>
          <w:kern w:val="0"/>
          <w:sz w:val="24"/>
        </w:rPr>
        <w:t xml:space="preserve">    3</w:t>
      </w:r>
      <w:r w:rsidRPr="00273FD9">
        <w:rPr>
          <w:kern w:val="0"/>
          <w:sz w:val="24"/>
        </w:rPr>
        <w:t>、租用证券公司交易单元的程序：首先根据租用证券公司交易单元的选择标准进行综合评价，然后根据评价选择基金交易单元。研究部提交方案，并上报公司批准。</w:t>
      </w:r>
    </w:p>
    <w:p w:rsidR="00EA2417" w:rsidRPr="00273FD9" w:rsidRDefault="00EA2417" w:rsidP="00273FD9">
      <w:pPr>
        <w:tabs>
          <w:tab w:val="left" w:pos="426"/>
        </w:tabs>
        <w:spacing w:before="29" w:line="288" w:lineRule="auto"/>
        <w:jc w:val="left"/>
        <w:rPr>
          <w:kern w:val="0"/>
          <w:sz w:val="24"/>
        </w:rPr>
      </w:pPr>
    </w:p>
    <w:p w:rsidR="001A59F9" w:rsidRDefault="001A59F9" w:rsidP="00FD6859">
      <w:pPr>
        <w:pStyle w:val="1"/>
        <w:keepNext/>
        <w:keepLines/>
        <w:widowControl w:val="0"/>
        <w:spacing w:beforeLines="100" w:before="312" w:afterLines="100" w:after="312" w:line="288" w:lineRule="auto"/>
        <w:jc w:val="center"/>
        <w:rPr>
          <w:b/>
          <w:bCs/>
          <w:color w:val="000000"/>
          <w:szCs w:val="24"/>
        </w:rPr>
      </w:pPr>
      <w:r w:rsidRPr="00EA2417">
        <w:rPr>
          <w:rFonts w:hint="eastAsia"/>
          <w:b/>
          <w:bCs/>
          <w:color w:val="000000"/>
          <w:szCs w:val="24"/>
        </w:rPr>
        <w:t>§</w:t>
      </w:r>
      <w:r w:rsidRPr="00EA2417">
        <w:rPr>
          <w:b/>
          <w:bCs/>
          <w:color w:val="000000"/>
          <w:szCs w:val="24"/>
        </w:rPr>
        <w:t>12</w:t>
      </w:r>
      <w:r w:rsidR="009153A3" w:rsidRPr="00EA2417">
        <w:rPr>
          <w:rFonts w:hint="eastAsia"/>
          <w:b/>
          <w:bCs/>
          <w:color w:val="000000"/>
          <w:szCs w:val="24"/>
        </w:rPr>
        <w:t xml:space="preserve">  </w:t>
      </w:r>
      <w:r w:rsidRPr="00EA2417">
        <w:rPr>
          <w:rFonts w:hint="eastAsia"/>
          <w:b/>
          <w:bCs/>
          <w:color w:val="000000"/>
          <w:szCs w:val="24"/>
        </w:rPr>
        <w:t>影响投资者决策的其他重要信息</w:t>
      </w:r>
      <w:bookmarkEnd w:id="97"/>
    </w:p>
    <w:p w:rsidR="001A59F9" w:rsidRPr="00EA2417" w:rsidRDefault="001A59F9" w:rsidP="00EA2417">
      <w:pPr>
        <w:spacing w:before="29" w:line="288" w:lineRule="auto"/>
        <w:ind w:firstLineChars="200" w:firstLine="480"/>
        <w:rPr>
          <w:color w:val="000000"/>
          <w:sz w:val="24"/>
        </w:rPr>
      </w:pPr>
      <w:r w:rsidRPr="00EA2417">
        <w:rPr>
          <w:color w:val="000000"/>
          <w:sz w:val="24"/>
        </w:rPr>
        <w:t>依据中国证监会《关于进一步规范证券投资基金估值业务的指导意见》（证监会公告</w:t>
      </w:r>
      <w:r w:rsidRPr="00EA2417">
        <w:rPr>
          <w:color w:val="000000"/>
          <w:sz w:val="24"/>
        </w:rPr>
        <w:t>[2008]38</w:t>
      </w:r>
      <w:r w:rsidRPr="00EA2417">
        <w:rPr>
          <w:color w:val="000000"/>
          <w:sz w:val="24"/>
        </w:rPr>
        <w:t>号）的有关规定和《关于发布中基协（</w:t>
      </w:r>
      <w:r w:rsidRPr="00EA2417">
        <w:rPr>
          <w:color w:val="000000"/>
          <w:sz w:val="24"/>
        </w:rPr>
        <w:t>AMAC</w:t>
      </w:r>
      <w:r w:rsidRPr="00EA2417">
        <w:rPr>
          <w:color w:val="000000"/>
          <w:sz w:val="24"/>
        </w:rPr>
        <w:t>）基金行业股票估值指数的通知》的指导意见，经与基金托管人协商一致，本基金对其所持有的日发精机（证券代码：</w:t>
      </w:r>
      <w:r w:rsidRPr="00EA2417">
        <w:rPr>
          <w:color w:val="000000"/>
          <w:sz w:val="24"/>
        </w:rPr>
        <w:t>002520</w:t>
      </w:r>
      <w:r w:rsidRPr="00EA2417">
        <w:rPr>
          <w:color w:val="000000"/>
          <w:sz w:val="24"/>
        </w:rPr>
        <w:t>）股票自</w:t>
      </w:r>
      <w:r w:rsidRPr="00EA2417">
        <w:rPr>
          <w:color w:val="000000"/>
          <w:sz w:val="24"/>
        </w:rPr>
        <w:t>2014</w:t>
      </w:r>
      <w:r w:rsidRPr="00EA2417">
        <w:rPr>
          <w:color w:val="000000"/>
          <w:sz w:val="24"/>
        </w:rPr>
        <w:t>年</w:t>
      </w:r>
      <w:r w:rsidRPr="00EA2417">
        <w:rPr>
          <w:color w:val="000000"/>
          <w:sz w:val="24"/>
        </w:rPr>
        <w:t>4</w:t>
      </w:r>
      <w:r w:rsidRPr="00EA2417">
        <w:rPr>
          <w:color w:val="000000"/>
          <w:sz w:val="24"/>
        </w:rPr>
        <w:t>月</w:t>
      </w:r>
      <w:r w:rsidRPr="00EA2417">
        <w:rPr>
          <w:color w:val="000000"/>
          <w:sz w:val="24"/>
        </w:rPr>
        <w:t>25</w:t>
      </w:r>
      <w:r w:rsidRPr="00EA2417">
        <w:rPr>
          <w:color w:val="000000"/>
          <w:sz w:val="24"/>
        </w:rPr>
        <w:t>日起按照指数收益法进行估值，并已于</w:t>
      </w:r>
      <w:r w:rsidRPr="00EA2417">
        <w:rPr>
          <w:color w:val="000000"/>
          <w:sz w:val="24"/>
        </w:rPr>
        <w:t>2014</w:t>
      </w:r>
      <w:r w:rsidRPr="00EA2417">
        <w:rPr>
          <w:color w:val="000000"/>
          <w:sz w:val="24"/>
        </w:rPr>
        <w:t>年</w:t>
      </w:r>
      <w:r w:rsidRPr="00EA2417">
        <w:rPr>
          <w:color w:val="000000"/>
          <w:sz w:val="24"/>
        </w:rPr>
        <w:t>5</w:t>
      </w:r>
      <w:r w:rsidRPr="00EA2417">
        <w:rPr>
          <w:color w:val="000000"/>
          <w:sz w:val="24"/>
        </w:rPr>
        <w:t>月</w:t>
      </w:r>
      <w:r w:rsidRPr="00EA2417">
        <w:rPr>
          <w:color w:val="000000"/>
          <w:sz w:val="24"/>
        </w:rPr>
        <w:t>12</w:t>
      </w:r>
      <w:r w:rsidRPr="00EA2417">
        <w:rPr>
          <w:color w:val="000000"/>
          <w:sz w:val="24"/>
        </w:rPr>
        <w:t>日起恢复按市场价格进行估值；本基金对其所持有的先河环保（证券代码：</w:t>
      </w:r>
      <w:r w:rsidRPr="00EA2417">
        <w:rPr>
          <w:color w:val="000000"/>
          <w:sz w:val="24"/>
        </w:rPr>
        <w:t>300137</w:t>
      </w:r>
      <w:r w:rsidRPr="00EA2417">
        <w:rPr>
          <w:color w:val="000000"/>
          <w:sz w:val="24"/>
        </w:rPr>
        <w:t>）股票自</w:t>
      </w:r>
      <w:r w:rsidRPr="00EA2417">
        <w:rPr>
          <w:color w:val="000000"/>
          <w:sz w:val="24"/>
        </w:rPr>
        <w:t>2014</w:t>
      </w:r>
      <w:r w:rsidRPr="00EA2417">
        <w:rPr>
          <w:color w:val="000000"/>
          <w:sz w:val="24"/>
        </w:rPr>
        <w:t>年</w:t>
      </w:r>
      <w:r w:rsidRPr="00EA2417">
        <w:rPr>
          <w:color w:val="000000"/>
          <w:sz w:val="24"/>
        </w:rPr>
        <w:t>7</w:t>
      </w:r>
      <w:r w:rsidRPr="00EA2417">
        <w:rPr>
          <w:color w:val="000000"/>
          <w:sz w:val="24"/>
        </w:rPr>
        <w:t>月</w:t>
      </w:r>
      <w:r w:rsidRPr="00EA2417">
        <w:rPr>
          <w:color w:val="000000"/>
          <w:sz w:val="24"/>
        </w:rPr>
        <w:t>14</w:t>
      </w:r>
      <w:r w:rsidRPr="00EA2417">
        <w:rPr>
          <w:color w:val="000000"/>
          <w:sz w:val="24"/>
        </w:rPr>
        <w:t>日起按照指数收益法进行估值，并已于</w:t>
      </w:r>
      <w:r w:rsidRPr="00EA2417">
        <w:rPr>
          <w:color w:val="000000"/>
          <w:sz w:val="24"/>
        </w:rPr>
        <w:t>2014</w:t>
      </w:r>
      <w:r w:rsidRPr="00EA2417">
        <w:rPr>
          <w:color w:val="000000"/>
          <w:sz w:val="24"/>
        </w:rPr>
        <w:t>年</w:t>
      </w:r>
      <w:r w:rsidRPr="00EA2417">
        <w:rPr>
          <w:color w:val="000000"/>
          <w:sz w:val="24"/>
        </w:rPr>
        <w:t>8</w:t>
      </w:r>
      <w:r w:rsidRPr="00EA2417">
        <w:rPr>
          <w:color w:val="000000"/>
          <w:sz w:val="24"/>
        </w:rPr>
        <w:t>月</w:t>
      </w:r>
      <w:r w:rsidRPr="00EA2417">
        <w:rPr>
          <w:color w:val="000000"/>
          <w:sz w:val="24"/>
        </w:rPr>
        <w:t>18</w:t>
      </w:r>
      <w:r w:rsidRPr="00EA2417">
        <w:rPr>
          <w:color w:val="000000"/>
          <w:sz w:val="24"/>
        </w:rPr>
        <w:t>日起恢复按市场价格进行估值；本基金对其所持有的中航飞机（证券代码：</w:t>
      </w:r>
      <w:r w:rsidRPr="00EA2417">
        <w:rPr>
          <w:color w:val="000000"/>
          <w:sz w:val="24"/>
        </w:rPr>
        <w:t>000768</w:t>
      </w:r>
      <w:r w:rsidRPr="00EA2417">
        <w:rPr>
          <w:color w:val="000000"/>
          <w:sz w:val="24"/>
        </w:rPr>
        <w:t>）股票自</w:t>
      </w:r>
      <w:r w:rsidRPr="00EA2417">
        <w:rPr>
          <w:color w:val="000000"/>
          <w:sz w:val="24"/>
        </w:rPr>
        <w:t>2014</w:t>
      </w:r>
      <w:r w:rsidRPr="00EA2417">
        <w:rPr>
          <w:color w:val="000000"/>
          <w:sz w:val="24"/>
        </w:rPr>
        <w:t>年</w:t>
      </w:r>
      <w:r w:rsidRPr="00EA2417">
        <w:rPr>
          <w:color w:val="000000"/>
          <w:sz w:val="24"/>
        </w:rPr>
        <w:t>10</w:t>
      </w:r>
      <w:r w:rsidRPr="00EA2417">
        <w:rPr>
          <w:color w:val="000000"/>
          <w:sz w:val="24"/>
        </w:rPr>
        <w:t>月</w:t>
      </w:r>
      <w:r w:rsidRPr="00EA2417">
        <w:rPr>
          <w:color w:val="000000"/>
          <w:sz w:val="24"/>
        </w:rPr>
        <w:t>8</w:t>
      </w:r>
      <w:r w:rsidRPr="00EA2417">
        <w:rPr>
          <w:color w:val="000000"/>
          <w:sz w:val="24"/>
        </w:rPr>
        <w:t>日起按照指数收益法进行估值，并已于</w:t>
      </w:r>
      <w:r w:rsidRPr="00EA2417">
        <w:rPr>
          <w:color w:val="000000"/>
          <w:sz w:val="24"/>
        </w:rPr>
        <w:t>2014</w:t>
      </w:r>
      <w:r w:rsidRPr="00EA2417">
        <w:rPr>
          <w:color w:val="000000"/>
          <w:sz w:val="24"/>
        </w:rPr>
        <w:t>年</w:t>
      </w:r>
      <w:r w:rsidRPr="00EA2417">
        <w:rPr>
          <w:color w:val="000000"/>
          <w:sz w:val="24"/>
        </w:rPr>
        <w:t>10</w:t>
      </w:r>
      <w:r w:rsidRPr="00EA2417">
        <w:rPr>
          <w:color w:val="000000"/>
          <w:sz w:val="24"/>
        </w:rPr>
        <w:t>月</w:t>
      </w:r>
      <w:r w:rsidRPr="00EA2417">
        <w:rPr>
          <w:color w:val="000000"/>
          <w:sz w:val="24"/>
        </w:rPr>
        <w:t>17</w:t>
      </w:r>
      <w:r w:rsidRPr="00EA2417">
        <w:rPr>
          <w:color w:val="000000"/>
          <w:sz w:val="24"/>
        </w:rPr>
        <w:t>日起恢复按市场价格进行估值；本基金对其所持有的湖北能源（证券代码：</w:t>
      </w:r>
      <w:r w:rsidRPr="00EA2417">
        <w:rPr>
          <w:color w:val="000000"/>
          <w:sz w:val="24"/>
        </w:rPr>
        <w:t>000883</w:t>
      </w:r>
      <w:r w:rsidRPr="00EA2417">
        <w:rPr>
          <w:color w:val="000000"/>
          <w:sz w:val="24"/>
        </w:rPr>
        <w:t>）股票自</w:t>
      </w:r>
      <w:r w:rsidRPr="00EA2417">
        <w:rPr>
          <w:color w:val="000000"/>
          <w:sz w:val="24"/>
        </w:rPr>
        <w:t>2014</w:t>
      </w:r>
      <w:r w:rsidRPr="00EA2417">
        <w:rPr>
          <w:color w:val="000000"/>
          <w:sz w:val="24"/>
        </w:rPr>
        <w:t>年</w:t>
      </w:r>
      <w:r w:rsidRPr="00EA2417">
        <w:rPr>
          <w:color w:val="000000"/>
          <w:sz w:val="24"/>
        </w:rPr>
        <w:t>12</w:t>
      </w:r>
      <w:r w:rsidRPr="00EA2417">
        <w:rPr>
          <w:color w:val="000000"/>
          <w:sz w:val="24"/>
        </w:rPr>
        <w:t>月</w:t>
      </w:r>
      <w:r w:rsidRPr="00EA2417">
        <w:rPr>
          <w:color w:val="000000"/>
          <w:sz w:val="24"/>
        </w:rPr>
        <w:t>8</w:t>
      </w:r>
      <w:r w:rsidRPr="00EA2417">
        <w:rPr>
          <w:color w:val="000000"/>
          <w:sz w:val="24"/>
        </w:rPr>
        <w:t>日起按照指数收益法进行估值。</w:t>
      </w: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14702D" w:rsidRDefault="001A59F9" w:rsidP="0014702D">
      <w:pPr>
        <w:spacing w:before="29" w:line="288" w:lineRule="auto"/>
        <w:ind w:firstLineChars="200" w:firstLine="482"/>
        <w:jc w:val="right"/>
        <w:rPr>
          <w:b/>
          <w:color w:val="000000"/>
          <w:sz w:val="24"/>
        </w:rPr>
      </w:pPr>
      <w:r w:rsidRPr="0014702D">
        <w:rPr>
          <w:b/>
          <w:color w:val="000000"/>
          <w:sz w:val="24"/>
        </w:rPr>
        <w:t>交银施罗德基金管理有限公司</w:t>
      </w:r>
    </w:p>
    <w:p w:rsidR="001A59F9" w:rsidRPr="0014702D" w:rsidRDefault="00A77C51" w:rsidP="0014702D">
      <w:pPr>
        <w:spacing w:before="29" w:line="288" w:lineRule="auto"/>
        <w:ind w:firstLineChars="200" w:firstLine="482"/>
        <w:jc w:val="right"/>
        <w:rPr>
          <w:b/>
          <w:color w:val="000000"/>
          <w:sz w:val="24"/>
        </w:rPr>
      </w:pPr>
      <w:r w:rsidRPr="0014702D">
        <w:rPr>
          <w:b/>
          <w:color w:val="000000"/>
          <w:sz w:val="24"/>
        </w:rPr>
        <w:t>二〇一五年三月三十一日</w:t>
      </w:r>
    </w:p>
    <w:p w:rsidR="001A59F9" w:rsidRPr="0014702D" w:rsidRDefault="001A59F9" w:rsidP="00026C9C">
      <w:pPr>
        <w:spacing w:line="360" w:lineRule="auto"/>
        <w:rPr>
          <w:rFonts w:asciiTheme="minorEastAsia" w:eastAsiaTheme="minorEastAsia" w:hAnsiTheme="minorEastAsia"/>
          <w:b/>
          <w:szCs w:val="21"/>
        </w:rPr>
      </w:pPr>
    </w:p>
    <w:sectPr w:rsidR="001A59F9" w:rsidRPr="0014702D" w:rsidSect="00937AC9">
      <w:footerReference w:type="even" r:id="rId10"/>
      <w:footerReference w:type="default" r:id="rId11"/>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B59" w:rsidRDefault="00332B59">
      <w:r>
        <w:separator/>
      </w:r>
    </w:p>
  </w:endnote>
  <w:endnote w:type="continuationSeparator" w:id="0">
    <w:p w:rsidR="00332B59" w:rsidRDefault="0033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A9459B" w:rsidP="00C03B3A">
    <w:pPr>
      <w:pStyle w:val="a7"/>
      <w:framePr w:wrap="around" w:vAnchor="text" w:hAnchor="margin" w:xAlign="right" w:y="1"/>
      <w:rPr>
        <w:rStyle w:val="a8"/>
      </w:rPr>
    </w:pPr>
    <w:r>
      <w:rPr>
        <w:rStyle w:val="a8"/>
      </w:rPr>
      <w:fldChar w:fldCharType="begin"/>
    </w:r>
    <w:r w:rsidR="004D64B9">
      <w:rPr>
        <w:rStyle w:val="a8"/>
      </w:rPr>
      <w:instrText xml:space="preserve">PAGE  </w:instrText>
    </w:r>
    <w:r>
      <w:rPr>
        <w:rStyle w:val="a8"/>
      </w:rPr>
      <w:fldChar w:fldCharType="end"/>
    </w:r>
  </w:p>
  <w:p w:rsidR="004D64B9" w:rsidRDefault="004D64B9"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4D64B9" w:rsidP="00C03B3A">
    <w:pPr>
      <w:pStyle w:val="a7"/>
      <w:ind w:right="360"/>
      <w:jc w:val="center"/>
    </w:pPr>
    <w:r>
      <w:rPr>
        <w:rFonts w:hint="eastAsia"/>
        <w:kern w:val="0"/>
        <w:szCs w:val="21"/>
      </w:rPr>
      <w:t>第</w:t>
    </w:r>
    <w:r w:rsidR="009D3BF1">
      <w:rPr>
        <w:rFonts w:hint="eastAsia"/>
        <w:kern w:val="0"/>
        <w:szCs w:val="21"/>
      </w:rPr>
      <w:t xml:space="preserve"> </w:t>
    </w:r>
    <w:r w:rsidR="00A9459B">
      <w:rPr>
        <w:kern w:val="0"/>
        <w:szCs w:val="21"/>
      </w:rPr>
      <w:fldChar w:fldCharType="begin"/>
    </w:r>
    <w:r>
      <w:rPr>
        <w:kern w:val="0"/>
        <w:szCs w:val="21"/>
      </w:rPr>
      <w:instrText xml:space="preserve"> PAGE </w:instrText>
    </w:r>
    <w:r w:rsidR="00A9459B">
      <w:rPr>
        <w:kern w:val="0"/>
        <w:szCs w:val="21"/>
      </w:rPr>
      <w:fldChar w:fldCharType="separate"/>
    </w:r>
    <w:r w:rsidR="00CB09E3">
      <w:rPr>
        <w:noProof/>
        <w:kern w:val="0"/>
        <w:szCs w:val="21"/>
      </w:rPr>
      <w:t>33</w:t>
    </w:r>
    <w:r w:rsidR="00A9459B">
      <w:rPr>
        <w:kern w:val="0"/>
        <w:szCs w:val="21"/>
      </w:rPr>
      <w:fldChar w:fldCharType="end"/>
    </w:r>
    <w:r w:rsidR="009D3BF1">
      <w:rPr>
        <w:rFonts w:hint="eastAsia"/>
        <w:kern w:val="0"/>
        <w:szCs w:val="21"/>
      </w:rPr>
      <w:t xml:space="preserve"> </w:t>
    </w:r>
    <w:r>
      <w:rPr>
        <w:rFonts w:hint="eastAsia"/>
        <w:kern w:val="0"/>
        <w:szCs w:val="21"/>
      </w:rPr>
      <w:t>页</w:t>
    </w:r>
    <w:r w:rsidR="009D3BF1">
      <w:rPr>
        <w:rFonts w:hint="eastAsia"/>
        <w:kern w:val="0"/>
        <w:szCs w:val="21"/>
      </w:rPr>
      <w:t xml:space="preserve"> </w:t>
    </w:r>
    <w:r>
      <w:rPr>
        <w:rFonts w:hint="eastAsia"/>
        <w:kern w:val="0"/>
        <w:szCs w:val="21"/>
      </w:rPr>
      <w:t>共</w:t>
    </w:r>
    <w:r w:rsidR="009D3BF1">
      <w:rPr>
        <w:rFonts w:hint="eastAsia"/>
        <w:kern w:val="0"/>
        <w:szCs w:val="21"/>
      </w:rPr>
      <w:t xml:space="preserve"> </w:t>
    </w:r>
    <w:r w:rsidR="00A9459B">
      <w:rPr>
        <w:kern w:val="0"/>
        <w:szCs w:val="21"/>
      </w:rPr>
      <w:fldChar w:fldCharType="begin"/>
    </w:r>
    <w:r>
      <w:rPr>
        <w:kern w:val="0"/>
        <w:szCs w:val="21"/>
      </w:rPr>
      <w:instrText xml:space="preserve"> NUMPAGES </w:instrText>
    </w:r>
    <w:r w:rsidR="00A9459B">
      <w:rPr>
        <w:kern w:val="0"/>
        <w:szCs w:val="21"/>
      </w:rPr>
      <w:fldChar w:fldCharType="separate"/>
    </w:r>
    <w:r w:rsidR="00CB09E3">
      <w:rPr>
        <w:noProof/>
        <w:kern w:val="0"/>
        <w:szCs w:val="21"/>
      </w:rPr>
      <w:t>33</w:t>
    </w:r>
    <w:r w:rsidR="00A9459B">
      <w:rPr>
        <w:kern w:val="0"/>
        <w:szCs w:val="21"/>
      </w:rPr>
      <w:fldChar w:fldCharType="end"/>
    </w:r>
    <w:r w:rsidR="009D3BF1">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B59" w:rsidRDefault="00332B59">
      <w:r>
        <w:separator/>
      </w:r>
    </w:p>
  </w:footnote>
  <w:footnote w:type="continuationSeparator" w:id="0">
    <w:p w:rsidR="00332B59" w:rsidRDefault="00332B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Pr="00C2542B" w:rsidRDefault="004D64B9" w:rsidP="00C2542B">
    <w:pPr>
      <w:pStyle w:val="aa"/>
      <w:pBdr>
        <w:bottom w:val="single" w:sz="6" w:space="0" w:color="auto"/>
      </w:pBdr>
      <w:jc w:val="right"/>
    </w:pPr>
    <w:r w:rsidRPr="00DB2981">
      <w:rPr>
        <w:rFonts w:hint="eastAsia"/>
        <w:noProof/>
        <w:sz w:val="21"/>
        <w:szCs w:val="21"/>
      </w:rPr>
      <w:drawing>
        <wp:anchor distT="0" distB="0" distL="114300" distR="114300" simplePos="0" relativeHeight="251659264" behindDoc="0" locked="0" layoutInCell="1" allowOverlap="1">
          <wp:simplePos x="0" y="0"/>
          <wp:positionH relativeFrom="column">
            <wp:posOffset>-24130</wp:posOffset>
          </wp:positionH>
          <wp:positionV relativeFrom="paragraph">
            <wp:posOffset>-349885</wp:posOffset>
          </wp:positionV>
          <wp:extent cx="2085975" cy="4572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29793D9F"/>
    <w:multiLevelType w:val="multilevel"/>
    <w:tmpl w:val="0409001D"/>
    <w:numStyleLink w:val="3"/>
  </w:abstractNum>
  <w:abstractNum w:abstractNumId="4">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nsid w:val="64C22724"/>
    <w:multiLevelType w:val="multilevel"/>
    <w:tmpl w:val="0409001D"/>
    <w:numStyleLink w:val="5"/>
  </w:abstractNum>
  <w:abstractNum w:abstractNumId="9">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2644"/>
    <w:rsid w:val="00003577"/>
    <w:rsid w:val="0000403B"/>
    <w:rsid w:val="00004337"/>
    <w:rsid w:val="00005172"/>
    <w:rsid w:val="0000551D"/>
    <w:rsid w:val="00005911"/>
    <w:rsid w:val="00005AA2"/>
    <w:rsid w:val="000102A7"/>
    <w:rsid w:val="00010918"/>
    <w:rsid w:val="00010A83"/>
    <w:rsid w:val="00010A8E"/>
    <w:rsid w:val="00010AC3"/>
    <w:rsid w:val="00010C1F"/>
    <w:rsid w:val="00010F11"/>
    <w:rsid w:val="00011081"/>
    <w:rsid w:val="00011850"/>
    <w:rsid w:val="00011EB5"/>
    <w:rsid w:val="0001280C"/>
    <w:rsid w:val="00013CAE"/>
    <w:rsid w:val="000145E9"/>
    <w:rsid w:val="000162AF"/>
    <w:rsid w:val="00016A50"/>
    <w:rsid w:val="00017581"/>
    <w:rsid w:val="0001767C"/>
    <w:rsid w:val="00020583"/>
    <w:rsid w:val="00021813"/>
    <w:rsid w:val="00021DD4"/>
    <w:rsid w:val="000221FE"/>
    <w:rsid w:val="00023BE7"/>
    <w:rsid w:val="00024200"/>
    <w:rsid w:val="0002453B"/>
    <w:rsid w:val="00024C15"/>
    <w:rsid w:val="00024C62"/>
    <w:rsid w:val="00024CA0"/>
    <w:rsid w:val="00026C9C"/>
    <w:rsid w:val="000274FE"/>
    <w:rsid w:val="000276C9"/>
    <w:rsid w:val="0003228A"/>
    <w:rsid w:val="000322D5"/>
    <w:rsid w:val="0003271C"/>
    <w:rsid w:val="00032ADD"/>
    <w:rsid w:val="00032FE1"/>
    <w:rsid w:val="000331EA"/>
    <w:rsid w:val="00033EC1"/>
    <w:rsid w:val="00034BA5"/>
    <w:rsid w:val="000358FE"/>
    <w:rsid w:val="00036ED5"/>
    <w:rsid w:val="00037267"/>
    <w:rsid w:val="000378BC"/>
    <w:rsid w:val="00037CF2"/>
    <w:rsid w:val="00037FCF"/>
    <w:rsid w:val="000415E6"/>
    <w:rsid w:val="00041BC8"/>
    <w:rsid w:val="000421B8"/>
    <w:rsid w:val="000429DF"/>
    <w:rsid w:val="00042AAD"/>
    <w:rsid w:val="000430CA"/>
    <w:rsid w:val="0004381B"/>
    <w:rsid w:val="00043ABF"/>
    <w:rsid w:val="00044158"/>
    <w:rsid w:val="000445E4"/>
    <w:rsid w:val="00045D10"/>
    <w:rsid w:val="0004616F"/>
    <w:rsid w:val="000471B4"/>
    <w:rsid w:val="0004778D"/>
    <w:rsid w:val="00047D10"/>
    <w:rsid w:val="00050260"/>
    <w:rsid w:val="00050C4A"/>
    <w:rsid w:val="000510AB"/>
    <w:rsid w:val="000514E0"/>
    <w:rsid w:val="00051639"/>
    <w:rsid w:val="00053091"/>
    <w:rsid w:val="00053242"/>
    <w:rsid w:val="00053438"/>
    <w:rsid w:val="0005346A"/>
    <w:rsid w:val="000534CD"/>
    <w:rsid w:val="00053EED"/>
    <w:rsid w:val="0005401D"/>
    <w:rsid w:val="0005448A"/>
    <w:rsid w:val="00054499"/>
    <w:rsid w:val="00055AF1"/>
    <w:rsid w:val="00055D56"/>
    <w:rsid w:val="000573B5"/>
    <w:rsid w:val="00057A1D"/>
    <w:rsid w:val="00060597"/>
    <w:rsid w:val="00060744"/>
    <w:rsid w:val="00060A2C"/>
    <w:rsid w:val="00060CB4"/>
    <w:rsid w:val="00061167"/>
    <w:rsid w:val="00061582"/>
    <w:rsid w:val="00061E30"/>
    <w:rsid w:val="00062997"/>
    <w:rsid w:val="00063D34"/>
    <w:rsid w:val="0006475F"/>
    <w:rsid w:val="00064AE3"/>
    <w:rsid w:val="00064FC8"/>
    <w:rsid w:val="00065208"/>
    <w:rsid w:val="00066524"/>
    <w:rsid w:val="000671A3"/>
    <w:rsid w:val="00067A89"/>
    <w:rsid w:val="00070549"/>
    <w:rsid w:val="00070CD1"/>
    <w:rsid w:val="00070E4D"/>
    <w:rsid w:val="00071022"/>
    <w:rsid w:val="0007171B"/>
    <w:rsid w:val="000717A1"/>
    <w:rsid w:val="00072DE0"/>
    <w:rsid w:val="00072FC7"/>
    <w:rsid w:val="00073DB1"/>
    <w:rsid w:val="00073EA5"/>
    <w:rsid w:val="00073F87"/>
    <w:rsid w:val="00074AAD"/>
    <w:rsid w:val="00075473"/>
    <w:rsid w:val="00075D2A"/>
    <w:rsid w:val="00076397"/>
    <w:rsid w:val="000764CB"/>
    <w:rsid w:val="00076CC5"/>
    <w:rsid w:val="00077FE0"/>
    <w:rsid w:val="000801F4"/>
    <w:rsid w:val="00080423"/>
    <w:rsid w:val="00080BC0"/>
    <w:rsid w:val="0008141B"/>
    <w:rsid w:val="00081A3D"/>
    <w:rsid w:val="00081D05"/>
    <w:rsid w:val="0008226A"/>
    <w:rsid w:val="00082B63"/>
    <w:rsid w:val="00083BAF"/>
    <w:rsid w:val="0008407B"/>
    <w:rsid w:val="000847EE"/>
    <w:rsid w:val="00084ADE"/>
    <w:rsid w:val="0008506D"/>
    <w:rsid w:val="00085F3E"/>
    <w:rsid w:val="000861D6"/>
    <w:rsid w:val="0008624A"/>
    <w:rsid w:val="000863CA"/>
    <w:rsid w:val="00086622"/>
    <w:rsid w:val="000866EC"/>
    <w:rsid w:val="00087011"/>
    <w:rsid w:val="00087272"/>
    <w:rsid w:val="000874BC"/>
    <w:rsid w:val="00087CF7"/>
    <w:rsid w:val="00087D8D"/>
    <w:rsid w:val="0009000C"/>
    <w:rsid w:val="00090120"/>
    <w:rsid w:val="000908ED"/>
    <w:rsid w:val="0009091B"/>
    <w:rsid w:val="000917D5"/>
    <w:rsid w:val="000919B7"/>
    <w:rsid w:val="0009357E"/>
    <w:rsid w:val="00094876"/>
    <w:rsid w:val="000951F7"/>
    <w:rsid w:val="00095912"/>
    <w:rsid w:val="00095CE0"/>
    <w:rsid w:val="000961CE"/>
    <w:rsid w:val="00096563"/>
    <w:rsid w:val="00096566"/>
    <w:rsid w:val="000968C8"/>
    <w:rsid w:val="00096933"/>
    <w:rsid w:val="00096995"/>
    <w:rsid w:val="00096A1F"/>
    <w:rsid w:val="00096B18"/>
    <w:rsid w:val="00097230"/>
    <w:rsid w:val="00097DB0"/>
    <w:rsid w:val="000A1448"/>
    <w:rsid w:val="000A1B00"/>
    <w:rsid w:val="000A1BD6"/>
    <w:rsid w:val="000A1BFB"/>
    <w:rsid w:val="000A3022"/>
    <w:rsid w:val="000A335B"/>
    <w:rsid w:val="000A38DE"/>
    <w:rsid w:val="000A457E"/>
    <w:rsid w:val="000A4672"/>
    <w:rsid w:val="000A4FEF"/>
    <w:rsid w:val="000A53FD"/>
    <w:rsid w:val="000A549A"/>
    <w:rsid w:val="000A578A"/>
    <w:rsid w:val="000A72F2"/>
    <w:rsid w:val="000B0C56"/>
    <w:rsid w:val="000B2B57"/>
    <w:rsid w:val="000B2C8D"/>
    <w:rsid w:val="000B3435"/>
    <w:rsid w:val="000B36CC"/>
    <w:rsid w:val="000B3E43"/>
    <w:rsid w:val="000B417C"/>
    <w:rsid w:val="000B4365"/>
    <w:rsid w:val="000B5CC0"/>
    <w:rsid w:val="000C01F9"/>
    <w:rsid w:val="000C05AB"/>
    <w:rsid w:val="000C0871"/>
    <w:rsid w:val="000C0A18"/>
    <w:rsid w:val="000C0A9A"/>
    <w:rsid w:val="000C0CA5"/>
    <w:rsid w:val="000C0F55"/>
    <w:rsid w:val="000C127D"/>
    <w:rsid w:val="000C15BE"/>
    <w:rsid w:val="000C1723"/>
    <w:rsid w:val="000C1774"/>
    <w:rsid w:val="000C1B20"/>
    <w:rsid w:val="000C224F"/>
    <w:rsid w:val="000C3FD9"/>
    <w:rsid w:val="000C4107"/>
    <w:rsid w:val="000C45E7"/>
    <w:rsid w:val="000C45F5"/>
    <w:rsid w:val="000C58C9"/>
    <w:rsid w:val="000C5C31"/>
    <w:rsid w:val="000C5E98"/>
    <w:rsid w:val="000C698D"/>
    <w:rsid w:val="000C705C"/>
    <w:rsid w:val="000C7AE4"/>
    <w:rsid w:val="000D01F4"/>
    <w:rsid w:val="000D0B89"/>
    <w:rsid w:val="000D1519"/>
    <w:rsid w:val="000D1889"/>
    <w:rsid w:val="000D2B86"/>
    <w:rsid w:val="000D3145"/>
    <w:rsid w:val="000D36D1"/>
    <w:rsid w:val="000D4AAD"/>
    <w:rsid w:val="000D52B3"/>
    <w:rsid w:val="000D52DC"/>
    <w:rsid w:val="000D6054"/>
    <w:rsid w:val="000D619B"/>
    <w:rsid w:val="000D788B"/>
    <w:rsid w:val="000D7D7C"/>
    <w:rsid w:val="000E34ED"/>
    <w:rsid w:val="000E4456"/>
    <w:rsid w:val="000E4505"/>
    <w:rsid w:val="000E4B9B"/>
    <w:rsid w:val="000E6184"/>
    <w:rsid w:val="000E67FE"/>
    <w:rsid w:val="000E7B5C"/>
    <w:rsid w:val="000F0C0A"/>
    <w:rsid w:val="000F0FF2"/>
    <w:rsid w:val="000F175F"/>
    <w:rsid w:val="000F17D1"/>
    <w:rsid w:val="000F255E"/>
    <w:rsid w:val="000F285F"/>
    <w:rsid w:val="000F2C75"/>
    <w:rsid w:val="000F3506"/>
    <w:rsid w:val="000F5122"/>
    <w:rsid w:val="000F5396"/>
    <w:rsid w:val="000F5704"/>
    <w:rsid w:val="000F593E"/>
    <w:rsid w:val="000F60F3"/>
    <w:rsid w:val="000F60FF"/>
    <w:rsid w:val="000F635F"/>
    <w:rsid w:val="000F6A8A"/>
    <w:rsid w:val="000F6C61"/>
    <w:rsid w:val="000F6F95"/>
    <w:rsid w:val="000F754C"/>
    <w:rsid w:val="00100C12"/>
    <w:rsid w:val="001013A8"/>
    <w:rsid w:val="00101C35"/>
    <w:rsid w:val="00102046"/>
    <w:rsid w:val="001021AD"/>
    <w:rsid w:val="00102CC8"/>
    <w:rsid w:val="001030B5"/>
    <w:rsid w:val="0010352B"/>
    <w:rsid w:val="001046E2"/>
    <w:rsid w:val="001049B6"/>
    <w:rsid w:val="00104DE3"/>
    <w:rsid w:val="001051C6"/>
    <w:rsid w:val="0010577B"/>
    <w:rsid w:val="0010598A"/>
    <w:rsid w:val="00105C9C"/>
    <w:rsid w:val="001069ED"/>
    <w:rsid w:val="00106C1F"/>
    <w:rsid w:val="00106F69"/>
    <w:rsid w:val="001116BA"/>
    <w:rsid w:val="0011177A"/>
    <w:rsid w:val="0011179E"/>
    <w:rsid w:val="00111C71"/>
    <w:rsid w:val="001134F0"/>
    <w:rsid w:val="00113763"/>
    <w:rsid w:val="001141C0"/>
    <w:rsid w:val="00116E31"/>
    <w:rsid w:val="0012065E"/>
    <w:rsid w:val="00120825"/>
    <w:rsid w:val="00120EED"/>
    <w:rsid w:val="001212B4"/>
    <w:rsid w:val="0012304E"/>
    <w:rsid w:val="00123252"/>
    <w:rsid w:val="001239C8"/>
    <w:rsid w:val="00123A56"/>
    <w:rsid w:val="0012478C"/>
    <w:rsid w:val="001248EF"/>
    <w:rsid w:val="001252EA"/>
    <w:rsid w:val="00125565"/>
    <w:rsid w:val="001257C7"/>
    <w:rsid w:val="00126502"/>
    <w:rsid w:val="001268F9"/>
    <w:rsid w:val="00126AF2"/>
    <w:rsid w:val="00126DDF"/>
    <w:rsid w:val="001270BF"/>
    <w:rsid w:val="00127BAC"/>
    <w:rsid w:val="00127FF5"/>
    <w:rsid w:val="00131EC2"/>
    <w:rsid w:val="00132E82"/>
    <w:rsid w:val="0013374F"/>
    <w:rsid w:val="0013437B"/>
    <w:rsid w:val="00134789"/>
    <w:rsid w:val="00135467"/>
    <w:rsid w:val="001364D3"/>
    <w:rsid w:val="001366C4"/>
    <w:rsid w:val="0013686A"/>
    <w:rsid w:val="0013718B"/>
    <w:rsid w:val="00137BB5"/>
    <w:rsid w:val="00137BB9"/>
    <w:rsid w:val="00137D50"/>
    <w:rsid w:val="00140038"/>
    <w:rsid w:val="00140E52"/>
    <w:rsid w:val="00142280"/>
    <w:rsid w:val="0014241E"/>
    <w:rsid w:val="001424C6"/>
    <w:rsid w:val="00142A56"/>
    <w:rsid w:val="00142C11"/>
    <w:rsid w:val="001432A7"/>
    <w:rsid w:val="00143BE5"/>
    <w:rsid w:val="00144AAD"/>
    <w:rsid w:val="00144DF5"/>
    <w:rsid w:val="00145247"/>
    <w:rsid w:val="001455C7"/>
    <w:rsid w:val="00145A97"/>
    <w:rsid w:val="00146153"/>
    <w:rsid w:val="00146485"/>
    <w:rsid w:val="00146A28"/>
    <w:rsid w:val="0014702D"/>
    <w:rsid w:val="001470F0"/>
    <w:rsid w:val="00147492"/>
    <w:rsid w:val="00147D41"/>
    <w:rsid w:val="0015080E"/>
    <w:rsid w:val="00150AD6"/>
    <w:rsid w:val="0015173F"/>
    <w:rsid w:val="00151AAF"/>
    <w:rsid w:val="00151B23"/>
    <w:rsid w:val="00152B88"/>
    <w:rsid w:val="00152EE6"/>
    <w:rsid w:val="00153403"/>
    <w:rsid w:val="001535AE"/>
    <w:rsid w:val="00153B40"/>
    <w:rsid w:val="00153BCF"/>
    <w:rsid w:val="0015433E"/>
    <w:rsid w:val="00154ADA"/>
    <w:rsid w:val="00154B08"/>
    <w:rsid w:val="00154C47"/>
    <w:rsid w:val="0015519C"/>
    <w:rsid w:val="0015531A"/>
    <w:rsid w:val="00157418"/>
    <w:rsid w:val="00157B5A"/>
    <w:rsid w:val="00160039"/>
    <w:rsid w:val="0016050B"/>
    <w:rsid w:val="001622C3"/>
    <w:rsid w:val="00162C6F"/>
    <w:rsid w:val="0016380C"/>
    <w:rsid w:val="00163816"/>
    <w:rsid w:val="00163B27"/>
    <w:rsid w:val="0016425E"/>
    <w:rsid w:val="00164BF7"/>
    <w:rsid w:val="00165317"/>
    <w:rsid w:val="001657AB"/>
    <w:rsid w:val="001657E5"/>
    <w:rsid w:val="0016724C"/>
    <w:rsid w:val="0017073D"/>
    <w:rsid w:val="00170D38"/>
    <w:rsid w:val="00171484"/>
    <w:rsid w:val="00171BAD"/>
    <w:rsid w:val="00171F2C"/>
    <w:rsid w:val="00173AF1"/>
    <w:rsid w:val="001744B4"/>
    <w:rsid w:val="001751EF"/>
    <w:rsid w:val="001756A1"/>
    <w:rsid w:val="001761EE"/>
    <w:rsid w:val="00176E90"/>
    <w:rsid w:val="00176EAA"/>
    <w:rsid w:val="00177030"/>
    <w:rsid w:val="0017725A"/>
    <w:rsid w:val="00177405"/>
    <w:rsid w:val="0017761A"/>
    <w:rsid w:val="00177C4B"/>
    <w:rsid w:val="00177EE2"/>
    <w:rsid w:val="00177F6A"/>
    <w:rsid w:val="001819A8"/>
    <w:rsid w:val="00182A38"/>
    <w:rsid w:val="0018325A"/>
    <w:rsid w:val="00183D7A"/>
    <w:rsid w:val="00184CAE"/>
    <w:rsid w:val="00186199"/>
    <w:rsid w:val="00186F7A"/>
    <w:rsid w:val="0019036C"/>
    <w:rsid w:val="00190AE2"/>
    <w:rsid w:val="00190E27"/>
    <w:rsid w:val="001928F7"/>
    <w:rsid w:val="00193182"/>
    <w:rsid w:val="00193575"/>
    <w:rsid w:val="0019389D"/>
    <w:rsid w:val="00193B62"/>
    <w:rsid w:val="00193B93"/>
    <w:rsid w:val="00194537"/>
    <w:rsid w:val="0019563C"/>
    <w:rsid w:val="001956CA"/>
    <w:rsid w:val="00195781"/>
    <w:rsid w:val="00195B79"/>
    <w:rsid w:val="00197C86"/>
    <w:rsid w:val="001A088E"/>
    <w:rsid w:val="001A0F4A"/>
    <w:rsid w:val="001A1B13"/>
    <w:rsid w:val="001A1D38"/>
    <w:rsid w:val="001A20CE"/>
    <w:rsid w:val="001A21A9"/>
    <w:rsid w:val="001A2A8C"/>
    <w:rsid w:val="001A2A97"/>
    <w:rsid w:val="001A364F"/>
    <w:rsid w:val="001A383E"/>
    <w:rsid w:val="001A39B7"/>
    <w:rsid w:val="001A3AF4"/>
    <w:rsid w:val="001A42FA"/>
    <w:rsid w:val="001A4AEC"/>
    <w:rsid w:val="001A59D8"/>
    <w:rsid w:val="001A59F9"/>
    <w:rsid w:val="001A5FA6"/>
    <w:rsid w:val="001A668F"/>
    <w:rsid w:val="001A71CC"/>
    <w:rsid w:val="001A7F30"/>
    <w:rsid w:val="001B04D4"/>
    <w:rsid w:val="001B0A5D"/>
    <w:rsid w:val="001B179D"/>
    <w:rsid w:val="001B25CD"/>
    <w:rsid w:val="001B261A"/>
    <w:rsid w:val="001B2F0C"/>
    <w:rsid w:val="001B30CA"/>
    <w:rsid w:val="001B3513"/>
    <w:rsid w:val="001B353A"/>
    <w:rsid w:val="001B3A6B"/>
    <w:rsid w:val="001B3D3E"/>
    <w:rsid w:val="001B3F8B"/>
    <w:rsid w:val="001B50CD"/>
    <w:rsid w:val="001B52FE"/>
    <w:rsid w:val="001B7890"/>
    <w:rsid w:val="001C005A"/>
    <w:rsid w:val="001C00CF"/>
    <w:rsid w:val="001C0806"/>
    <w:rsid w:val="001C0A9E"/>
    <w:rsid w:val="001C2F9C"/>
    <w:rsid w:val="001C3399"/>
    <w:rsid w:val="001C37F6"/>
    <w:rsid w:val="001C4D9F"/>
    <w:rsid w:val="001C5289"/>
    <w:rsid w:val="001C5FC7"/>
    <w:rsid w:val="001C6288"/>
    <w:rsid w:val="001C67A1"/>
    <w:rsid w:val="001C7C6D"/>
    <w:rsid w:val="001D0538"/>
    <w:rsid w:val="001D0634"/>
    <w:rsid w:val="001D0B81"/>
    <w:rsid w:val="001D0F6A"/>
    <w:rsid w:val="001D1BBC"/>
    <w:rsid w:val="001D21BC"/>
    <w:rsid w:val="001D2E47"/>
    <w:rsid w:val="001D2FA5"/>
    <w:rsid w:val="001D35E0"/>
    <w:rsid w:val="001D38F2"/>
    <w:rsid w:val="001D5045"/>
    <w:rsid w:val="001D5494"/>
    <w:rsid w:val="001D5A44"/>
    <w:rsid w:val="001D5A62"/>
    <w:rsid w:val="001D5AFB"/>
    <w:rsid w:val="001D6213"/>
    <w:rsid w:val="001D71BA"/>
    <w:rsid w:val="001D724B"/>
    <w:rsid w:val="001E03BE"/>
    <w:rsid w:val="001E040B"/>
    <w:rsid w:val="001E0AAA"/>
    <w:rsid w:val="001E0F28"/>
    <w:rsid w:val="001E11D3"/>
    <w:rsid w:val="001E15F1"/>
    <w:rsid w:val="001E1C4F"/>
    <w:rsid w:val="001E212B"/>
    <w:rsid w:val="001E2683"/>
    <w:rsid w:val="001E287E"/>
    <w:rsid w:val="001E2A6A"/>
    <w:rsid w:val="001E3DC2"/>
    <w:rsid w:val="001E4E2C"/>
    <w:rsid w:val="001E56FF"/>
    <w:rsid w:val="001E5C6B"/>
    <w:rsid w:val="001E60E8"/>
    <w:rsid w:val="001E6EBF"/>
    <w:rsid w:val="001E7ADB"/>
    <w:rsid w:val="001F0307"/>
    <w:rsid w:val="001F03E1"/>
    <w:rsid w:val="001F03EC"/>
    <w:rsid w:val="001F221F"/>
    <w:rsid w:val="001F3653"/>
    <w:rsid w:val="001F3CC6"/>
    <w:rsid w:val="001F3EE3"/>
    <w:rsid w:val="001F3F50"/>
    <w:rsid w:val="001F4530"/>
    <w:rsid w:val="001F493C"/>
    <w:rsid w:val="001F4A92"/>
    <w:rsid w:val="001F5CE2"/>
    <w:rsid w:val="001F5DBA"/>
    <w:rsid w:val="001F5DE3"/>
    <w:rsid w:val="001F5F74"/>
    <w:rsid w:val="001F790F"/>
    <w:rsid w:val="002010DE"/>
    <w:rsid w:val="0020150C"/>
    <w:rsid w:val="00201958"/>
    <w:rsid w:val="00201962"/>
    <w:rsid w:val="00201B58"/>
    <w:rsid w:val="00202968"/>
    <w:rsid w:val="00202C32"/>
    <w:rsid w:val="00203973"/>
    <w:rsid w:val="00203AEF"/>
    <w:rsid w:val="00204CB6"/>
    <w:rsid w:val="00210CF1"/>
    <w:rsid w:val="00211520"/>
    <w:rsid w:val="00211615"/>
    <w:rsid w:val="00211A26"/>
    <w:rsid w:val="00212249"/>
    <w:rsid w:val="002125F7"/>
    <w:rsid w:val="00212901"/>
    <w:rsid w:val="00212DFE"/>
    <w:rsid w:val="0021360C"/>
    <w:rsid w:val="002136AC"/>
    <w:rsid w:val="0021397C"/>
    <w:rsid w:val="00214463"/>
    <w:rsid w:val="00214756"/>
    <w:rsid w:val="00215824"/>
    <w:rsid w:val="00215C8E"/>
    <w:rsid w:val="00215CF2"/>
    <w:rsid w:val="00215D9F"/>
    <w:rsid w:val="00216310"/>
    <w:rsid w:val="00216BCE"/>
    <w:rsid w:val="00217867"/>
    <w:rsid w:val="00220542"/>
    <w:rsid w:val="00220D7F"/>
    <w:rsid w:val="002210EB"/>
    <w:rsid w:val="00221174"/>
    <w:rsid w:val="00222B4E"/>
    <w:rsid w:val="00222DE3"/>
    <w:rsid w:val="002233F0"/>
    <w:rsid w:val="0022347C"/>
    <w:rsid w:val="0022498A"/>
    <w:rsid w:val="00225756"/>
    <w:rsid w:val="00225ADC"/>
    <w:rsid w:val="00225CEB"/>
    <w:rsid w:val="00225FC3"/>
    <w:rsid w:val="0022692D"/>
    <w:rsid w:val="00230FFD"/>
    <w:rsid w:val="002310FE"/>
    <w:rsid w:val="002318F3"/>
    <w:rsid w:val="002330CE"/>
    <w:rsid w:val="0023323F"/>
    <w:rsid w:val="002334A5"/>
    <w:rsid w:val="00234202"/>
    <w:rsid w:val="002359EB"/>
    <w:rsid w:val="002363AB"/>
    <w:rsid w:val="00236933"/>
    <w:rsid w:val="0023727B"/>
    <w:rsid w:val="00237579"/>
    <w:rsid w:val="00237675"/>
    <w:rsid w:val="00237C6D"/>
    <w:rsid w:val="002401E6"/>
    <w:rsid w:val="0024096B"/>
    <w:rsid w:val="0024112E"/>
    <w:rsid w:val="00241582"/>
    <w:rsid w:val="00241B45"/>
    <w:rsid w:val="00241E77"/>
    <w:rsid w:val="002424D7"/>
    <w:rsid w:val="0024260D"/>
    <w:rsid w:val="00242657"/>
    <w:rsid w:val="002428F6"/>
    <w:rsid w:val="00242F49"/>
    <w:rsid w:val="00242FA2"/>
    <w:rsid w:val="00243BD8"/>
    <w:rsid w:val="00244740"/>
    <w:rsid w:val="00245012"/>
    <w:rsid w:val="0024504E"/>
    <w:rsid w:val="00245761"/>
    <w:rsid w:val="00245C29"/>
    <w:rsid w:val="002462DE"/>
    <w:rsid w:val="0024651F"/>
    <w:rsid w:val="00246775"/>
    <w:rsid w:val="00247729"/>
    <w:rsid w:val="0025158D"/>
    <w:rsid w:val="00251C7E"/>
    <w:rsid w:val="00252697"/>
    <w:rsid w:val="0025281A"/>
    <w:rsid w:val="00253D3C"/>
    <w:rsid w:val="002544D7"/>
    <w:rsid w:val="002546CC"/>
    <w:rsid w:val="00255292"/>
    <w:rsid w:val="00255A23"/>
    <w:rsid w:val="00257578"/>
    <w:rsid w:val="00257FB4"/>
    <w:rsid w:val="00260200"/>
    <w:rsid w:val="00260B06"/>
    <w:rsid w:val="00261D93"/>
    <w:rsid w:val="00261E26"/>
    <w:rsid w:val="00262029"/>
    <w:rsid w:val="002637E8"/>
    <w:rsid w:val="00263BBD"/>
    <w:rsid w:val="00264709"/>
    <w:rsid w:val="002648D8"/>
    <w:rsid w:val="00264D54"/>
    <w:rsid w:val="00265AFB"/>
    <w:rsid w:val="00267133"/>
    <w:rsid w:val="00267EE3"/>
    <w:rsid w:val="00267F59"/>
    <w:rsid w:val="002700E9"/>
    <w:rsid w:val="00270CE9"/>
    <w:rsid w:val="0027189F"/>
    <w:rsid w:val="00271B5C"/>
    <w:rsid w:val="00271DCB"/>
    <w:rsid w:val="0027235A"/>
    <w:rsid w:val="00273F86"/>
    <w:rsid w:val="00273FD9"/>
    <w:rsid w:val="002741BE"/>
    <w:rsid w:val="002742D7"/>
    <w:rsid w:val="002752EA"/>
    <w:rsid w:val="00275EAD"/>
    <w:rsid w:val="00276B03"/>
    <w:rsid w:val="002773FB"/>
    <w:rsid w:val="002774F0"/>
    <w:rsid w:val="00277722"/>
    <w:rsid w:val="00280DB6"/>
    <w:rsid w:val="002813C5"/>
    <w:rsid w:val="00282C23"/>
    <w:rsid w:val="0028315D"/>
    <w:rsid w:val="00283687"/>
    <w:rsid w:val="00283885"/>
    <w:rsid w:val="002839A4"/>
    <w:rsid w:val="0028459B"/>
    <w:rsid w:val="00284C5F"/>
    <w:rsid w:val="0028507E"/>
    <w:rsid w:val="00286183"/>
    <w:rsid w:val="002862AE"/>
    <w:rsid w:val="002869EF"/>
    <w:rsid w:val="002873F0"/>
    <w:rsid w:val="00287762"/>
    <w:rsid w:val="00290793"/>
    <w:rsid w:val="00291097"/>
    <w:rsid w:val="002916E3"/>
    <w:rsid w:val="00291A70"/>
    <w:rsid w:val="00291F6F"/>
    <w:rsid w:val="002923B1"/>
    <w:rsid w:val="0029379A"/>
    <w:rsid w:val="00293C97"/>
    <w:rsid w:val="00294271"/>
    <w:rsid w:val="002942CB"/>
    <w:rsid w:val="00294431"/>
    <w:rsid w:val="00294D8F"/>
    <w:rsid w:val="00295D5A"/>
    <w:rsid w:val="00295E0F"/>
    <w:rsid w:val="002961CF"/>
    <w:rsid w:val="002964F9"/>
    <w:rsid w:val="0029690F"/>
    <w:rsid w:val="002969CC"/>
    <w:rsid w:val="0029732D"/>
    <w:rsid w:val="00297BC2"/>
    <w:rsid w:val="00297D85"/>
    <w:rsid w:val="002A07F4"/>
    <w:rsid w:val="002A090A"/>
    <w:rsid w:val="002A0B47"/>
    <w:rsid w:val="002A1381"/>
    <w:rsid w:val="002A1F14"/>
    <w:rsid w:val="002A2678"/>
    <w:rsid w:val="002A2901"/>
    <w:rsid w:val="002A2A5F"/>
    <w:rsid w:val="002A2E01"/>
    <w:rsid w:val="002A32E5"/>
    <w:rsid w:val="002A362E"/>
    <w:rsid w:val="002A398F"/>
    <w:rsid w:val="002A3DFD"/>
    <w:rsid w:val="002A46A7"/>
    <w:rsid w:val="002A5C6B"/>
    <w:rsid w:val="002A5D31"/>
    <w:rsid w:val="002A5EF1"/>
    <w:rsid w:val="002A6A99"/>
    <w:rsid w:val="002A714F"/>
    <w:rsid w:val="002A75D7"/>
    <w:rsid w:val="002B02AE"/>
    <w:rsid w:val="002B0556"/>
    <w:rsid w:val="002B09C0"/>
    <w:rsid w:val="002B1851"/>
    <w:rsid w:val="002B27FF"/>
    <w:rsid w:val="002B2F4E"/>
    <w:rsid w:val="002B465E"/>
    <w:rsid w:val="002B5C8E"/>
    <w:rsid w:val="002B6793"/>
    <w:rsid w:val="002B6F27"/>
    <w:rsid w:val="002B780B"/>
    <w:rsid w:val="002B7F59"/>
    <w:rsid w:val="002C1260"/>
    <w:rsid w:val="002C1726"/>
    <w:rsid w:val="002C21A6"/>
    <w:rsid w:val="002C26D5"/>
    <w:rsid w:val="002C3EAB"/>
    <w:rsid w:val="002C4E82"/>
    <w:rsid w:val="002C5777"/>
    <w:rsid w:val="002C5889"/>
    <w:rsid w:val="002C65FA"/>
    <w:rsid w:val="002C661D"/>
    <w:rsid w:val="002C6C89"/>
    <w:rsid w:val="002C758F"/>
    <w:rsid w:val="002C7C89"/>
    <w:rsid w:val="002D0054"/>
    <w:rsid w:val="002D174A"/>
    <w:rsid w:val="002D1A0F"/>
    <w:rsid w:val="002D22BF"/>
    <w:rsid w:val="002D237C"/>
    <w:rsid w:val="002D32E3"/>
    <w:rsid w:val="002D33F1"/>
    <w:rsid w:val="002D344B"/>
    <w:rsid w:val="002D353D"/>
    <w:rsid w:val="002D5076"/>
    <w:rsid w:val="002D52AD"/>
    <w:rsid w:val="002D58D8"/>
    <w:rsid w:val="002D5EB1"/>
    <w:rsid w:val="002E0394"/>
    <w:rsid w:val="002E0644"/>
    <w:rsid w:val="002E0FEB"/>
    <w:rsid w:val="002E171B"/>
    <w:rsid w:val="002E23A0"/>
    <w:rsid w:val="002E2E3E"/>
    <w:rsid w:val="002E319D"/>
    <w:rsid w:val="002E4AD5"/>
    <w:rsid w:val="002E4C2D"/>
    <w:rsid w:val="002E63B8"/>
    <w:rsid w:val="002F0F79"/>
    <w:rsid w:val="002F1C9E"/>
    <w:rsid w:val="002F1EB2"/>
    <w:rsid w:val="002F2359"/>
    <w:rsid w:val="002F25C3"/>
    <w:rsid w:val="002F280E"/>
    <w:rsid w:val="002F2CBB"/>
    <w:rsid w:val="002F3470"/>
    <w:rsid w:val="002F3709"/>
    <w:rsid w:val="002F3A6C"/>
    <w:rsid w:val="002F3F8C"/>
    <w:rsid w:val="002F4296"/>
    <w:rsid w:val="002F4B0F"/>
    <w:rsid w:val="002F5777"/>
    <w:rsid w:val="002F5C5A"/>
    <w:rsid w:val="002F60EA"/>
    <w:rsid w:val="002F6772"/>
    <w:rsid w:val="002F680E"/>
    <w:rsid w:val="002F6FFD"/>
    <w:rsid w:val="002F7DF4"/>
    <w:rsid w:val="00300454"/>
    <w:rsid w:val="00300871"/>
    <w:rsid w:val="00300951"/>
    <w:rsid w:val="00300E8A"/>
    <w:rsid w:val="003023C9"/>
    <w:rsid w:val="00302CA8"/>
    <w:rsid w:val="00302DE9"/>
    <w:rsid w:val="00304860"/>
    <w:rsid w:val="00304E23"/>
    <w:rsid w:val="00305084"/>
    <w:rsid w:val="00306408"/>
    <w:rsid w:val="00307249"/>
    <w:rsid w:val="0031007A"/>
    <w:rsid w:val="00310315"/>
    <w:rsid w:val="003104B9"/>
    <w:rsid w:val="00312122"/>
    <w:rsid w:val="00312C47"/>
    <w:rsid w:val="00312DAE"/>
    <w:rsid w:val="00313000"/>
    <w:rsid w:val="003132DB"/>
    <w:rsid w:val="00313336"/>
    <w:rsid w:val="003137CA"/>
    <w:rsid w:val="00313918"/>
    <w:rsid w:val="003153CB"/>
    <w:rsid w:val="0031604C"/>
    <w:rsid w:val="003166DE"/>
    <w:rsid w:val="003171A3"/>
    <w:rsid w:val="00317226"/>
    <w:rsid w:val="003201F9"/>
    <w:rsid w:val="003204E9"/>
    <w:rsid w:val="0032050A"/>
    <w:rsid w:val="00320AF3"/>
    <w:rsid w:val="00320B7B"/>
    <w:rsid w:val="0032160D"/>
    <w:rsid w:val="00321618"/>
    <w:rsid w:val="00321E8C"/>
    <w:rsid w:val="00321FDA"/>
    <w:rsid w:val="00322318"/>
    <w:rsid w:val="003224FE"/>
    <w:rsid w:val="00322A86"/>
    <w:rsid w:val="00323041"/>
    <w:rsid w:val="00323AE8"/>
    <w:rsid w:val="00323B32"/>
    <w:rsid w:val="00324548"/>
    <w:rsid w:val="003251F4"/>
    <w:rsid w:val="003253A7"/>
    <w:rsid w:val="00325408"/>
    <w:rsid w:val="00325504"/>
    <w:rsid w:val="00326927"/>
    <w:rsid w:val="00326CB3"/>
    <w:rsid w:val="00327090"/>
    <w:rsid w:val="003303E3"/>
    <w:rsid w:val="00330478"/>
    <w:rsid w:val="00330651"/>
    <w:rsid w:val="00331A88"/>
    <w:rsid w:val="003329EA"/>
    <w:rsid w:val="00332B59"/>
    <w:rsid w:val="00332C6E"/>
    <w:rsid w:val="00332D73"/>
    <w:rsid w:val="00332F24"/>
    <w:rsid w:val="003338BE"/>
    <w:rsid w:val="00333D8E"/>
    <w:rsid w:val="00336AA2"/>
    <w:rsid w:val="00337B1B"/>
    <w:rsid w:val="00337FC0"/>
    <w:rsid w:val="003405DA"/>
    <w:rsid w:val="003407A5"/>
    <w:rsid w:val="0034096C"/>
    <w:rsid w:val="003410A1"/>
    <w:rsid w:val="00341188"/>
    <w:rsid w:val="0034147B"/>
    <w:rsid w:val="003424CB"/>
    <w:rsid w:val="003439DB"/>
    <w:rsid w:val="003444EB"/>
    <w:rsid w:val="00344ED6"/>
    <w:rsid w:val="00344FBE"/>
    <w:rsid w:val="003465F9"/>
    <w:rsid w:val="00346759"/>
    <w:rsid w:val="00350238"/>
    <w:rsid w:val="003502AD"/>
    <w:rsid w:val="0035109C"/>
    <w:rsid w:val="00351752"/>
    <w:rsid w:val="00351F0A"/>
    <w:rsid w:val="00352648"/>
    <w:rsid w:val="00352EBB"/>
    <w:rsid w:val="00353AC6"/>
    <w:rsid w:val="003542B7"/>
    <w:rsid w:val="0035432B"/>
    <w:rsid w:val="00354765"/>
    <w:rsid w:val="00354E10"/>
    <w:rsid w:val="00355CDA"/>
    <w:rsid w:val="00357B15"/>
    <w:rsid w:val="00357BA8"/>
    <w:rsid w:val="00357BB3"/>
    <w:rsid w:val="003602EA"/>
    <w:rsid w:val="00360905"/>
    <w:rsid w:val="00360E5D"/>
    <w:rsid w:val="00360F81"/>
    <w:rsid w:val="00361E7E"/>
    <w:rsid w:val="003648F2"/>
    <w:rsid w:val="00364FA1"/>
    <w:rsid w:val="00365873"/>
    <w:rsid w:val="00366B02"/>
    <w:rsid w:val="003671F5"/>
    <w:rsid w:val="00370005"/>
    <w:rsid w:val="00370AA4"/>
    <w:rsid w:val="00370FB7"/>
    <w:rsid w:val="003711F2"/>
    <w:rsid w:val="003717FC"/>
    <w:rsid w:val="00371FF4"/>
    <w:rsid w:val="003723C2"/>
    <w:rsid w:val="0037269C"/>
    <w:rsid w:val="0037275D"/>
    <w:rsid w:val="00372797"/>
    <w:rsid w:val="00373C7E"/>
    <w:rsid w:val="0037470E"/>
    <w:rsid w:val="00375CC4"/>
    <w:rsid w:val="00376103"/>
    <w:rsid w:val="003767B3"/>
    <w:rsid w:val="00376B49"/>
    <w:rsid w:val="00376FC5"/>
    <w:rsid w:val="00377520"/>
    <w:rsid w:val="00380D36"/>
    <w:rsid w:val="00380F49"/>
    <w:rsid w:val="003822D3"/>
    <w:rsid w:val="003828F5"/>
    <w:rsid w:val="0038480C"/>
    <w:rsid w:val="00384DC9"/>
    <w:rsid w:val="003854F4"/>
    <w:rsid w:val="0038566E"/>
    <w:rsid w:val="00385AA6"/>
    <w:rsid w:val="00385C66"/>
    <w:rsid w:val="00386630"/>
    <w:rsid w:val="00386A6C"/>
    <w:rsid w:val="00387876"/>
    <w:rsid w:val="00390379"/>
    <w:rsid w:val="00390741"/>
    <w:rsid w:val="003909FB"/>
    <w:rsid w:val="00390B25"/>
    <w:rsid w:val="00390DD9"/>
    <w:rsid w:val="0039116E"/>
    <w:rsid w:val="0039279A"/>
    <w:rsid w:val="00392958"/>
    <w:rsid w:val="00392AE5"/>
    <w:rsid w:val="00395B3E"/>
    <w:rsid w:val="00395CAA"/>
    <w:rsid w:val="00396588"/>
    <w:rsid w:val="00396863"/>
    <w:rsid w:val="00396EA4"/>
    <w:rsid w:val="00397156"/>
    <w:rsid w:val="00397960"/>
    <w:rsid w:val="003A0663"/>
    <w:rsid w:val="003A0690"/>
    <w:rsid w:val="003A0FD0"/>
    <w:rsid w:val="003A1FE0"/>
    <w:rsid w:val="003A3B3B"/>
    <w:rsid w:val="003A3BC4"/>
    <w:rsid w:val="003A3F9D"/>
    <w:rsid w:val="003A458A"/>
    <w:rsid w:val="003A4FE2"/>
    <w:rsid w:val="003A551D"/>
    <w:rsid w:val="003A5B8B"/>
    <w:rsid w:val="003A7E6F"/>
    <w:rsid w:val="003B05F2"/>
    <w:rsid w:val="003B0D04"/>
    <w:rsid w:val="003B130C"/>
    <w:rsid w:val="003B208E"/>
    <w:rsid w:val="003B2F13"/>
    <w:rsid w:val="003B3353"/>
    <w:rsid w:val="003B405E"/>
    <w:rsid w:val="003B4712"/>
    <w:rsid w:val="003B47EB"/>
    <w:rsid w:val="003B48BA"/>
    <w:rsid w:val="003B5508"/>
    <w:rsid w:val="003B57D3"/>
    <w:rsid w:val="003B59CA"/>
    <w:rsid w:val="003B6067"/>
    <w:rsid w:val="003B6141"/>
    <w:rsid w:val="003B7CF8"/>
    <w:rsid w:val="003C0892"/>
    <w:rsid w:val="003C08E3"/>
    <w:rsid w:val="003C09B5"/>
    <w:rsid w:val="003C0F62"/>
    <w:rsid w:val="003C1176"/>
    <w:rsid w:val="003C1D9A"/>
    <w:rsid w:val="003C1F58"/>
    <w:rsid w:val="003C48B1"/>
    <w:rsid w:val="003C57A7"/>
    <w:rsid w:val="003C5AF2"/>
    <w:rsid w:val="003C5C2B"/>
    <w:rsid w:val="003C6943"/>
    <w:rsid w:val="003C6BD2"/>
    <w:rsid w:val="003C7294"/>
    <w:rsid w:val="003C792F"/>
    <w:rsid w:val="003C7ABD"/>
    <w:rsid w:val="003C7C3D"/>
    <w:rsid w:val="003D0669"/>
    <w:rsid w:val="003D08F8"/>
    <w:rsid w:val="003D124B"/>
    <w:rsid w:val="003D18F3"/>
    <w:rsid w:val="003D2CC1"/>
    <w:rsid w:val="003D4FFC"/>
    <w:rsid w:val="003D51ED"/>
    <w:rsid w:val="003D569B"/>
    <w:rsid w:val="003D637D"/>
    <w:rsid w:val="003D66E3"/>
    <w:rsid w:val="003D746C"/>
    <w:rsid w:val="003D78B5"/>
    <w:rsid w:val="003D7A7D"/>
    <w:rsid w:val="003E04AE"/>
    <w:rsid w:val="003E099F"/>
    <w:rsid w:val="003E17DE"/>
    <w:rsid w:val="003E19FF"/>
    <w:rsid w:val="003E1E98"/>
    <w:rsid w:val="003E244F"/>
    <w:rsid w:val="003E3705"/>
    <w:rsid w:val="003E37AE"/>
    <w:rsid w:val="003E4D87"/>
    <w:rsid w:val="003E5165"/>
    <w:rsid w:val="003E53AD"/>
    <w:rsid w:val="003E62A6"/>
    <w:rsid w:val="003E695F"/>
    <w:rsid w:val="003E6C9B"/>
    <w:rsid w:val="003E6D39"/>
    <w:rsid w:val="003E709C"/>
    <w:rsid w:val="003E712E"/>
    <w:rsid w:val="003E726D"/>
    <w:rsid w:val="003E73C3"/>
    <w:rsid w:val="003E7B89"/>
    <w:rsid w:val="003F0B30"/>
    <w:rsid w:val="003F0FA3"/>
    <w:rsid w:val="003F276B"/>
    <w:rsid w:val="003F3B08"/>
    <w:rsid w:val="003F4241"/>
    <w:rsid w:val="003F4597"/>
    <w:rsid w:val="003F4B8A"/>
    <w:rsid w:val="003F62BB"/>
    <w:rsid w:val="003F6580"/>
    <w:rsid w:val="003F6FEC"/>
    <w:rsid w:val="003F79D5"/>
    <w:rsid w:val="003F7C45"/>
    <w:rsid w:val="00400241"/>
    <w:rsid w:val="00401314"/>
    <w:rsid w:val="0040132C"/>
    <w:rsid w:val="0040141B"/>
    <w:rsid w:val="00401C86"/>
    <w:rsid w:val="0040231A"/>
    <w:rsid w:val="004036C3"/>
    <w:rsid w:val="00403F0C"/>
    <w:rsid w:val="004049BD"/>
    <w:rsid w:val="00404EB5"/>
    <w:rsid w:val="00405085"/>
    <w:rsid w:val="00405D28"/>
    <w:rsid w:val="004066FC"/>
    <w:rsid w:val="004067B4"/>
    <w:rsid w:val="00407481"/>
    <w:rsid w:val="0040762F"/>
    <w:rsid w:val="00407C10"/>
    <w:rsid w:val="00407E90"/>
    <w:rsid w:val="004113B4"/>
    <w:rsid w:val="00413323"/>
    <w:rsid w:val="00414503"/>
    <w:rsid w:val="00414827"/>
    <w:rsid w:val="004153B3"/>
    <w:rsid w:val="004156D3"/>
    <w:rsid w:val="00415772"/>
    <w:rsid w:val="004163FD"/>
    <w:rsid w:val="0041683D"/>
    <w:rsid w:val="00416AEB"/>
    <w:rsid w:val="00416C10"/>
    <w:rsid w:val="00417976"/>
    <w:rsid w:val="00417A0E"/>
    <w:rsid w:val="0042053A"/>
    <w:rsid w:val="004213D6"/>
    <w:rsid w:val="00421C75"/>
    <w:rsid w:val="00422440"/>
    <w:rsid w:val="00422916"/>
    <w:rsid w:val="00422F49"/>
    <w:rsid w:val="00423984"/>
    <w:rsid w:val="00423BA3"/>
    <w:rsid w:val="00424213"/>
    <w:rsid w:val="00424EF3"/>
    <w:rsid w:val="004267DB"/>
    <w:rsid w:val="004268BB"/>
    <w:rsid w:val="00426A4B"/>
    <w:rsid w:val="00427D2F"/>
    <w:rsid w:val="00430724"/>
    <w:rsid w:val="00431047"/>
    <w:rsid w:val="00431B86"/>
    <w:rsid w:val="00431E4A"/>
    <w:rsid w:val="00432B85"/>
    <w:rsid w:val="00433EED"/>
    <w:rsid w:val="004345BA"/>
    <w:rsid w:val="00435BF3"/>
    <w:rsid w:val="00436166"/>
    <w:rsid w:val="00437334"/>
    <w:rsid w:val="00437C96"/>
    <w:rsid w:val="00437F46"/>
    <w:rsid w:val="004408EC"/>
    <w:rsid w:val="004416A4"/>
    <w:rsid w:val="00441E6A"/>
    <w:rsid w:val="00442AEE"/>
    <w:rsid w:val="00443C8F"/>
    <w:rsid w:val="00444105"/>
    <w:rsid w:val="00444C60"/>
    <w:rsid w:val="00444E35"/>
    <w:rsid w:val="0044502D"/>
    <w:rsid w:val="00445F6B"/>
    <w:rsid w:val="00447CEF"/>
    <w:rsid w:val="00447E28"/>
    <w:rsid w:val="00450BA9"/>
    <w:rsid w:val="00451388"/>
    <w:rsid w:val="00452481"/>
    <w:rsid w:val="004528FA"/>
    <w:rsid w:val="00453DC8"/>
    <w:rsid w:val="00455165"/>
    <w:rsid w:val="00455821"/>
    <w:rsid w:val="00456CA2"/>
    <w:rsid w:val="00457804"/>
    <w:rsid w:val="00460304"/>
    <w:rsid w:val="00460AEF"/>
    <w:rsid w:val="00460C52"/>
    <w:rsid w:val="00460EF9"/>
    <w:rsid w:val="00461001"/>
    <w:rsid w:val="00461729"/>
    <w:rsid w:val="00462279"/>
    <w:rsid w:val="004627DD"/>
    <w:rsid w:val="00463035"/>
    <w:rsid w:val="0046389C"/>
    <w:rsid w:val="00463BF5"/>
    <w:rsid w:val="004646BF"/>
    <w:rsid w:val="00464744"/>
    <w:rsid w:val="00465368"/>
    <w:rsid w:val="00465C9F"/>
    <w:rsid w:val="004665E3"/>
    <w:rsid w:val="0046760F"/>
    <w:rsid w:val="0047237D"/>
    <w:rsid w:val="00472561"/>
    <w:rsid w:val="004731F1"/>
    <w:rsid w:val="00473EB5"/>
    <w:rsid w:val="0047456B"/>
    <w:rsid w:val="00475251"/>
    <w:rsid w:val="00475872"/>
    <w:rsid w:val="0047594E"/>
    <w:rsid w:val="00477400"/>
    <w:rsid w:val="00480BC8"/>
    <w:rsid w:val="00481265"/>
    <w:rsid w:val="004814BF"/>
    <w:rsid w:val="00482649"/>
    <w:rsid w:val="00483630"/>
    <w:rsid w:val="004836EA"/>
    <w:rsid w:val="00483F72"/>
    <w:rsid w:val="00485215"/>
    <w:rsid w:val="00485340"/>
    <w:rsid w:val="0048587E"/>
    <w:rsid w:val="00487C2B"/>
    <w:rsid w:val="004900FF"/>
    <w:rsid w:val="0049125B"/>
    <w:rsid w:val="00491C58"/>
    <w:rsid w:val="00491FAB"/>
    <w:rsid w:val="00492081"/>
    <w:rsid w:val="0049227D"/>
    <w:rsid w:val="004926D2"/>
    <w:rsid w:val="0049297D"/>
    <w:rsid w:val="004929F2"/>
    <w:rsid w:val="00492F5E"/>
    <w:rsid w:val="00495A03"/>
    <w:rsid w:val="00495D1C"/>
    <w:rsid w:val="00495E28"/>
    <w:rsid w:val="00497079"/>
    <w:rsid w:val="00497450"/>
    <w:rsid w:val="00497F49"/>
    <w:rsid w:val="004A08B2"/>
    <w:rsid w:val="004A16E8"/>
    <w:rsid w:val="004A1BBA"/>
    <w:rsid w:val="004A207B"/>
    <w:rsid w:val="004A23C2"/>
    <w:rsid w:val="004A2CB1"/>
    <w:rsid w:val="004A3336"/>
    <w:rsid w:val="004A3E3C"/>
    <w:rsid w:val="004A4069"/>
    <w:rsid w:val="004A484E"/>
    <w:rsid w:val="004A4FB6"/>
    <w:rsid w:val="004A6513"/>
    <w:rsid w:val="004B0E6D"/>
    <w:rsid w:val="004B16E8"/>
    <w:rsid w:val="004B25B0"/>
    <w:rsid w:val="004B2CA5"/>
    <w:rsid w:val="004B412E"/>
    <w:rsid w:val="004B51C9"/>
    <w:rsid w:val="004B5B92"/>
    <w:rsid w:val="004B6250"/>
    <w:rsid w:val="004B66F3"/>
    <w:rsid w:val="004B76B1"/>
    <w:rsid w:val="004B7800"/>
    <w:rsid w:val="004C0057"/>
    <w:rsid w:val="004C0541"/>
    <w:rsid w:val="004C0BBF"/>
    <w:rsid w:val="004C1D08"/>
    <w:rsid w:val="004C1D55"/>
    <w:rsid w:val="004C255E"/>
    <w:rsid w:val="004C2836"/>
    <w:rsid w:val="004C2C35"/>
    <w:rsid w:val="004C2C46"/>
    <w:rsid w:val="004C3626"/>
    <w:rsid w:val="004C38F5"/>
    <w:rsid w:val="004C405B"/>
    <w:rsid w:val="004C4550"/>
    <w:rsid w:val="004C51A0"/>
    <w:rsid w:val="004C54CA"/>
    <w:rsid w:val="004C62FD"/>
    <w:rsid w:val="004C7235"/>
    <w:rsid w:val="004C75C5"/>
    <w:rsid w:val="004C7955"/>
    <w:rsid w:val="004D0213"/>
    <w:rsid w:val="004D047F"/>
    <w:rsid w:val="004D0ECC"/>
    <w:rsid w:val="004D1529"/>
    <w:rsid w:val="004D1C3E"/>
    <w:rsid w:val="004D228E"/>
    <w:rsid w:val="004D23E7"/>
    <w:rsid w:val="004D29F1"/>
    <w:rsid w:val="004D29F3"/>
    <w:rsid w:val="004D3D96"/>
    <w:rsid w:val="004D40BB"/>
    <w:rsid w:val="004D45BD"/>
    <w:rsid w:val="004D5316"/>
    <w:rsid w:val="004D575C"/>
    <w:rsid w:val="004D64B9"/>
    <w:rsid w:val="004D650F"/>
    <w:rsid w:val="004D7269"/>
    <w:rsid w:val="004D74EE"/>
    <w:rsid w:val="004D7D74"/>
    <w:rsid w:val="004D7F01"/>
    <w:rsid w:val="004E08FC"/>
    <w:rsid w:val="004E0ADE"/>
    <w:rsid w:val="004E0B6E"/>
    <w:rsid w:val="004E0F59"/>
    <w:rsid w:val="004E2133"/>
    <w:rsid w:val="004E2BD2"/>
    <w:rsid w:val="004E395B"/>
    <w:rsid w:val="004E3CB2"/>
    <w:rsid w:val="004E5EDB"/>
    <w:rsid w:val="004E60FB"/>
    <w:rsid w:val="004E73A5"/>
    <w:rsid w:val="004E758A"/>
    <w:rsid w:val="004E7BA7"/>
    <w:rsid w:val="004F0ADD"/>
    <w:rsid w:val="004F1010"/>
    <w:rsid w:val="004F1C42"/>
    <w:rsid w:val="004F2340"/>
    <w:rsid w:val="004F23CE"/>
    <w:rsid w:val="004F2C5A"/>
    <w:rsid w:val="004F31EA"/>
    <w:rsid w:val="004F4601"/>
    <w:rsid w:val="004F69D2"/>
    <w:rsid w:val="004F6AA8"/>
    <w:rsid w:val="004F779C"/>
    <w:rsid w:val="004F7846"/>
    <w:rsid w:val="005000A6"/>
    <w:rsid w:val="005000D4"/>
    <w:rsid w:val="005004EE"/>
    <w:rsid w:val="005007AB"/>
    <w:rsid w:val="00500B1E"/>
    <w:rsid w:val="00500B24"/>
    <w:rsid w:val="00500C17"/>
    <w:rsid w:val="00501A91"/>
    <w:rsid w:val="00502416"/>
    <w:rsid w:val="0050264A"/>
    <w:rsid w:val="005027F4"/>
    <w:rsid w:val="00503085"/>
    <w:rsid w:val="005036C2"/>
    <w:rsid w:val="0050492E"/>
    <w:rsid w:val="005051C9"/>
    <w:rsid w:val="005060E7"/>
    <w:rsid w:val="00506389"/>
    <w:rsid w:val="00507000"/>
    <w:rsid w:val="00507FC5"/>
    <w:rsid w:val="00510A69"/>
    <w:rsid w:val="00510CAF"/>
    <w:rsid w:val="0051114C"/>
    <w:rsid w:val="00511597"/>
    <w:rsid w:val="00511915"/>
    <w:rsid w:val="005128C5"/>
    <w:rsid w:val="00512905"/>
    <w:rsid w:val="00512D8B"/>
    <w:rsid w:val="00512E85"/>
    <w:rsid w:val="0051346B"/>
    <w:rsid w:val="005136C7"/>
    <w:rsid w:val="005140E5"/>
    <w:rsid w:val="0051478B"/>
    <w:rsid w:val="00514C1C"/>
    <w:rsid w:val="0051524F"/>
    <w:rsid w:val="00515549"/>
    <w:rsid w:val="0051566A"/>
    <w:rsid w:val="00515D7B"/>
    <w:rsid w:val="00515DD8"/>
    <w:rsid w:val="0051658F"/>
    <w:rsid w:val="005166E9"/>
    <w:rsid w:val="00516B6F"/>
    <w:rsid w:val="00517917"/>
    <w:rsid w:val="0052009E"/>
    <w:rsid w:val="005200F7"/>
    <w:rsid w:val="00520AB5"/>
    <w:rsid w:val="00521568"/>
    <w:rsid w:val="00521596"/>
    <w:rsid w:val="00522066"/>
    <w:rsid w:val="005222FA"/>
    <w:rsid w:val="00522921"/>
    <w:rsid w:val="00524A64"/>
    <w:rsid w:val="00525740"/>
    <w:rsid w:val="00525E59"/>
    <w:rsid w:val="005278EE"/>
    <w:rsid w:val="00530A21"/>
    <w:rsid w:val="005310DD"/>
    <w:rsid w:val="00531851"/>
    <w:rsid w:val="005318CC"/>
    <w:rsid w:val="0053199E"/>
    <w:rsid w:val="00531D65"/>
    <w:rsid w:val="005334E4"/>
    <w:rsid w:val="005349B1"/>
    <w:rsid w:val="00535AA4"/>
    <w:rsid w:val="00535C00"/>
    <w:rsid w:val="00535DA3"/>
    <w:rsid w:val="005364A6"/>
    <w:rsid w:val="005364AE"/>
    <w:rsid w:val="0053652C"/>
    <w:rsid w:val="0053659B"/>
    <w:rsid w:val="005368A0"/>
    <w:rsid w:val="005374BC"/>
    <w:rsid w:val="00540257"/>
    <w:rsid w:val="0054097B"/>
    <w:rsid w:val="00540A78"/>
    <w:rsid w:val="005427DC"/>
    <w:rsid w:val="00543188"/>
    <w:rsid w:val="005432F0"/>
    <w:rsid w:val="00543367"/>
    <w:rsid w:val="0054384E"/>
    <w:rsid w:val="00543BFA"/>
    <w:rsid w:val="0054655E"/>
    <w:rsid w:val="00546601"/>
    <w:rsid w:val="00547D9C"/>
    <w:rsid w:val="00547DA1"/>
    <w:rsid w:val="005501BC"/>
    <w:rsid w:val="0055068D"/>
    <w:rsid w:val="00551BAB"/>
    <w:rsid w:val="00551C53"/>
    <w:rsid w:val="0055221B"/>
    <w:rsid w:val="005526DC"/>
    <w:rsid w:val="00552CFB"/>
    <w:rsid w:val="005531B6"/>
    <w:rsid w:val="005531DC"/>
    <w:rsid w:val="005535B7"/>
    <w:rsid w:val="00554CAC"/>
    <w:rsid w:val="0055513C"/>
    <w:rsid w:val="0055637C"/>
    <w:rsid w:val="00556B00"/>
    <w:rsid w:val="005573FE"/>
    <w:rsid w:val="0055753F"/>
    <w:rsid w:val="00557618"/>
    <w:rsid w:val="00557782"/>
    <w:rsid w:val="00560C94"/>
    <w:rsid w:val="00560FD5"/>
    <w:rsid w:val="005617A2"/>
    <w:rsid w:val="00561C0A"/>
    <w:rsid w:val="00562765"/>
    <w:rsid w:val="0056283B"/>
    <w:rsid w:val="0056291C"/>
    <w:rsid w:val="0056318B"/>
    <w:rsid w:val="00563E82"/>
    <w:rsid w:val="005646BB"/>
    <w:rsid w:val="005647F9"/>
    <w:rsid w:val="00564B19"/>
    <w:rsid w:val="00564C4B"/>
    <w:rsid w:val="00565A63"/>
    <w:rsid w:val="00566588"/>
    <w:rsid w:val="0056662E"/>
    <w:rsid w:val="00566A26"/>
    <w:rsid w:val="00566B1D"/>
    <w:rsid w:val="00566F6B"/>
    <w:rsid w:val="00567012"/>
    <w:rsid w:val="00567EA5"/>
    <w:rsid w:val="00570050"/>
    <w:rsid w:val="00570514"/>
    <w:rsid w:val="005717F5"/>
    <w:rsid w:val="00571A41"/>
    <w:rsid w:val="005721D0"/>
    <w:rsid w:val="0057275D"/>
    <w:rsid w:val="00572919"/>
    <w:rsid w:val="00573820"/>
    <w:rsid w:val="00574103"/>
    <w:rsid w:val="00575B68"/>
    <w:rsid w:val="00575DA6"/>
    <w:rsid w:val="00576FEE"/>
    <w:rsid w:val="0057733C"/>
    <w:rsid w:val="0057737F"/>
    <w:rsid w:val="00577C32"/>
    <w:rsid w:val="005800A9"/>
    <w:rsid w:val="00580488"/>
    <w:rsid w:val="0058074D"/>
    <w:rsid w:val="00580FD1"/>
    <w:rsid w:val="00582FAD"/>
    <w:rsid w:val="00583489"/>
    <w:rsid w:val="0058391F"/>
    <w:rsid w:val="00583A80"/>
    <w:rsid w:val="00583E3F"/>
    <w:rsid w:val="00584114"/>
    <w:rsid w:val="00584188"/>
    <w:rsid w:val="00584E33"/>
    <w:rsid w:val="00585100"/>
    <w:rsid w:val="00585AD4"/>
    <w:rsid w:val="00586819"/>
    <w:rsid w:val="00586E9A"/>
    <w:rsid w:val="00587419"/>
    <w:rsid w:val="00590FE4"/>
    <w:rsid w:val="00591D9C"/>
    <w:rsid w:val="0059282D"/>
    <w:rsid w:val="00592B3C"/>
    <w:rsid w:val="005932C1"/>
    <w:rsid w:val="00593440"/>
    <w:rsid w:val="005936BF"/>
    <w:rsid w:val="00593D1E"/>
    <w:rsid w:val="00593DE5"/>
    <w:rsid w:val="0059592B"/>
    <w:rsid w:val="00595AB2"/>
    <w:rsid w:val="005961DD"/>
    <w:rsid w:val="00596617"/>
    <w:rsid w:val="00596CC4"/>
    <w:rsid w:val="00597057"/>
    <w:rsid w:val="005973A6"/>
    <w:rsid w:val="00597AAB"/>
    <w:rsid w:val="00597D8B"/>
    <w:rsid w:val="005A0742"/>
    <w:rsid w:val="005A1C30"/>
    <w:rsid w:val="005A31C9"/>
    <w:rsid w:val="005A3295"/>
    <w:rsid w:val="005A43BE"/>
    <w:rsid w:val="005A46FF"/>
    <w:rsid w:val="005A49A4"/>
    <w:rsid w:val="005A4AFF"/>
    <w:rsid w:val="005A65F0"/>
    <w:rsid w:val="005A724A"/>
    <w:rsid w:val="005A7758"/>
    <w:rsid w:val="005B011E"/>
    <w:rsid w:val="005B028B"/>
    <w:rsid w:val="005B1208"/>
    <w:rsid w:val="005B17ED"/>
    <w:rsid w:val="005B254A"/>
    <w:rsid w:val="005B2E84"/>
    <w:rsid w:val="005B352F"/>
    <w:rsid w:val="005B3C9F"/>
    <w:rsid w:val="005B3E66"/>
    <w:rsid w:val="005B3FE8"/>
    <w:rsid w:val="005B4215"/>
    <w:rsid w:val="005B436C"/>
    <w:rsid w:val="005B47C5"/>
    <w:rsid w:val="005B4B4F"/>
    <w:rsid w:val="005B4F97"/>
    <w:rsid w:val="005B52A4"/>
    <w:rsid w:val="005B5731"/>
    <w:rsid w:val="005B5CA4"/>
    <w:rsid w:val="005B6E01"/>
    <w:rsid w:val="005B7476"/>
    <w:rsid w:val="005B75B3"/>
    <w:rsid w:val="005B7688"/>
    <w:rsid w:val="005B7849"/>
    <w:rsid w:val="005B7B0E"/>
    <w:rsid w:val="005C0DFA"/>
    <w:rsid w:val="005C0FF0"/>
    <w:rsid w:val="005C1282"/>
    <w:rsid w:val="005C1524"/>
    <w:rsid w:val="005C219B"/>
    <w:rsid w:val="005C3618"/>
    <w:rsid w:val="005C3AFB"/>
    <w:rsid w:val="005C492F"/>
    <w:rsid w:val="005C4B4C"/>
    <w:rsid w:val="005C5409"/>
    <w:rsid w:val="005C55D8"/>
    <w:rsid w:val="005C55EF"/>
    <w:rsid w:val="005C628C"/>
    <w:rsid w:val="005C6765"/>
    <w:rsid w:val="005C69AC"/>
    <w:rsid w:val="005C722E"/>
    <w:rsid w:val="005C7576"/>
    <w:rsid w:val="005C7759"/>
    <w:rsid w:val="005D01A4"/>
    <w:rsid w:val="005D072B"/>
    <w:rsid w:val="005D15AE"/>
    <w:rsid w:val="005D1A7B"/>
    <w:rsid w:val="005D1EDD"/>
    <w:rsid w:val="005D2E84"/>
    <w:rsid w:val="005D456F"/>
    <w:rsid w:val="005D45B3"/>
    <w:rsid w:val="005D4AB3"/>
    <w:rsid w:val="005D4CEB"/>
    <w:rsid w:val="005D5344"/>
    <w:rsid w:val="005D5D64"/>
    <w:rsid w:val="005D5DA8"/>
    <w:rsid w:val="005D5E86"/>
    <w:rsid w:val="005D61EB"/>
    <w:rsid w:val="005D6241"/>
    <w:rsid w:val="005D78D1"/>
    <w:rsid w:val="005E0AE0"/>
    <w:rsid w:val="005E4EB2"/>
    <w:rsid w:val="005F04E6"/>
    <w:rsid w:val="005F057B"/>
    <w:rsid w:val="005F17EC"/>
    <w:rsid w:val="005F1C2F"/>
    <w:rsid w:val="005F26A9"/>
    <w:rsid w:val="005F39D5"/>
    <w:rsid w:val="005F3AB5"/>
    <w:rsid w:val="005F3E05"/>
    <w:rsid w:val="005F43B9"/>
    <w:rsid w:val="005F5256"/>
    <w:rsid w:val="005F55D6"/>
    <w:rsid w:val="005F5CA9"/>
    <w:rsid w:val="005F5D03"/>
    <w:rsid w:val="005F68CB"/>
    <w:rsid w:val="005F6BDE"/>
    <w:rsid w:val="005F72CF"/>
    <w:rsid w:val="00600242"/>
    <w:rsid w:val="0060066A"/>
    <w:rsid w:val="0060235D"/>
    <w:rsid w:val="006033E3"/>
    <w:rsid w:val="0060413F"/>
    <w:rsid w:val="00605FC7"/>
    <w:rsid w:val="00606218"/>
    <w:rsid w:val="00606CA3"/>
    <w:rsid w:val="00606E91"/>
    <w:rsid w:val="00607018"/>
    <w:rsid w:val="006073BA"/>
    <w:rsid w:val="006077ED"/>
    <w:rsid w:val="00607823"/>
    <w:rsid w:val="00610412"/>
    <w:rsid w:val="00610954"/>
    <w:rsid w:val="00610A19"/>
    <w:rsid w:val="00610CBE"/>
    <w:rsid w:val="00610E1F"/>
    <w:rsid w:val="0061321C"/>
    <w:rsid w:val="00614CA1"/>
    <w:rsid w:val="00615C2C"/>
    <w:rsid w:val="0062038A"/>
    <w:rsid w:val="006203A8"/>
    <w:rsid w:val="00620E59"/>
    <w:rsid w:val="00621132"/>
    <w:rsid w:val="00622656"/>
    <w:rsid w:val="006234C2"/>
    <w:rsid w:val="0062386E"/>
    <w:rsid w:val="00623D9A"/>
    <w:rsid w:val="00623F01"/>
    <w:rsid w:val="006242FB"/>
    <w:rsid w:val="00624738"/>
    <w:rsid w:val="00626E2D"/>
    <w:rsid w:val="006272DE"/>
    <w:rsid w:val="00627D94"/>
    <w:rsid w:val="00630017"/>
    <w:rsid w:val="006304D3"/>
    <w:rsid w:val="00630AB9"/>
    <w:rsid w:val="00630B42"/>
    <w:rsid w:val="0063104D"/>
    <w:rsid w:val="006310FC"/>
    <w:rsid w:val="00631688"/>
    <w:rsid w:val="006320D8"/>
    <w:rsid w:val="006321F5"/>
    <w:rsid w:val="00632540"/>
    <w:rsid w:val="00632E88"/>
    <w:rsid w:val="0063454C"/>
    <w:rsid w:val="00634DBB"/>
    <w:rsid w:val="00637C26"/>
    <w:rsid w:val="00640732"/>
    <w:rsid w:val="00641BFC"/>
    <w:rsid w:val="00642072"/>
    <w:rsid w:val="00643BA5"/>
    <w:rsid w:val="006440ED"/>
    <w:rsid w:val="0064467C"/>
    <w:rsid w:val="00644AB5"/>
    <w:rsid w:val="00645213"/>
    <w:rsid w:val="00645293"/>
    <w:rsid w:val="00645980"/>
    <w:rsid w:val="006468CB"/>
    <w:rsid w:val="00650E05"/>
    <w:rsid w:val="00651A3C"/>
    <w:rsid w:val="00651B78"/>
    <w:rsid w:val="00652263"/>
    <w:rsid w:val="0065238F"/>
    <w:rsid w:val="006523FC"/>
    <w:rsid w:val="00652881"/>
    <w:rsid w:val="00652985"/>
    <w:rsid w:val="006533AE"/>
    <w:rsid w:val="0065374C"/>
    <w:rsid w:val="006542A8"/>
    <w:rsid w:val="006551AE"/>
    <w:rsid w:val="00655D85"/>
    <w:rsid w:val="00655F30"/>
    <w:rsid w:val="00657420"/>
    <w:rsid w:val="00657D9D"/>
    <w:rsid w:val="00661974"/>
    <w:rsid w:val="006623E2"/>
    <w:rsid w:val="006624E3"/>
    <w:rsid w:val="006640F9"/>
    <w:rsid w:val="00664551"/>
    <w:rsid w:val="00664685"/>
    <w:rsid w:val="00664B95"/>
    <w:rsid w:val="00665D5F"/>
    <w:rsid w:val="00666372"/>
    <w:rsid w:val="00666D50"/>
    <w:rsid w:val="006676A0"/>
    <w:rsid w:val="006704F3"/>
    <w:rsid w:val="00670857"/>
    <w:rsid w:val="00671124"/>
    <w:rsid w:val="0067271C"/>
    <w:rsid w:val="006727B0"/>
    <w:rsid w:val="00672869"/>
    <w:rsid w:val="00672F43"/>
    <w:rsid w:val="0067307E"/>
    <w:rsid w:val="006739C0"/>
    <w:rsid w:val="00673F6D"/>
    <w:rsid w:val="00674850"/>
    <w:rsid w:val="00675116"/>
    <w:rsid w:val="00675D03"/>
    <w:rsid w:val="00676016"/>
    <w:rsid w:val="00676EA7"/>
    <w:rsid w:val="00680CD4"/>
    <w:rsid w:val="00682AAC"/>
    <w:rsid w:val="00682EFD"/>
    <w:rsid w:val="006833F0"/>
    <w:rsid w:val="00683F61"/>
    <w:rsid w:val="00685E80"/>
    <w:rsid w:val="00686A36"/>
    <w:rsid w:val="0068776C"/>
    <w:rsid w:val="00687AD5"/>
    <w:rsid w:val="0069211A"/>
    <w:rsid w:val="00692B81"/>
    <w:rsid w:val="00692C4F"/>
    <w:rsid w:val="00692F83"/>
    <w:rsid w:val="0069389C"/>
    <w:rsid w:val="006949D2"/>
    <w:rsid w:val="00694C5F"/>
    <w:rsid w:val="00695027"/>
    <w:rsid w:val="00695251"/>
    <w:rsid w:val="006953EF"/>
    <w:rsid w:val="00695498"/>
    <w:rsid w:val="00695689"/>
    <w:rsid w:val="00695ADE"/>
    <w:rsid w:val="00695C0D"/>
    <w:rsid w:val="00695CAE"/>
    <w:rsid w:val="00696356"/>
    <w:rsid w:val="00696586"/>
    <w:rsid w:val="006968EA"/>
    <w:rsid w:val="0069776C"/>
    <w:rsid w:val="006A015D"/>
    <w:rsid w:val="006A1415"/>
    <w:rsid w:val="006A1645"/>
    <w:rsid w:val="006A2EA3"/>
    <w:rsid w:val="006A3CC1"/>
    <w:rsid w:val="006A4899"/>
    <w:rsid w:val="006A4B92"/>
    <w:rsid w:val="006A62E1"/>
    <w:rsid w:val="006A6566"/>
    <w:rsid w:val="006A72C6"/>
    <w:rsid w:val="006A7310"/>
    <w:rsid w:val="006A74F4"/>
    <w:rsid w:val="006A7E68"/>
    <w:rsid w:val="006B02DA"/>
    <w:rsid w:val="006B08FB"/>
    <w:rsid w:val="006B0E37"/>
    <w:rsid w:val="006B2065"/>
    <w:rsid w:val="006B275B"/>
    <w:rsid w:val="006B30BF"/>
    <w:rsid w:val="006B38C6"/>
    <w:rsid w:val="006B3940"/>
    <w:rsid w:val="006B45A6"/>
    <w:rsid w:val="006B6275"/>
    <w:rsid w:val="006B62F0"/>
    <w:rsid w:val="006B686C"/>
    <w:rsid w:val="006B6C6B"/>
    <w:rsid w:val="006B6F85"/>
    <w:rsid w:val="006B77AE"/>
    <w:rsid w:val="006B7D5F"/>
    <w:rsid w:val="006C013C"/>
    <w:rsid w:val="006C09B6"/>
    <w:rsid w:val="006C168D"/>
    <w:rsid w:val="006C2116"/>
    <w:rsid w:val="006C2BF5"/>
    <w:rsid w:val="006C4A40"/>
    <w:rsid w:val="006C4E56"/>
    <w:rsid w:val="006C61CD"/>
    <w:rsid w:val="006C642C"/>
    <w:rsid w:val="006C6491"/>
    <w:rsid w:val="006C6FC6"/>
    <w:rsid w:val="006C7BB9"/>
    <w:rsid w:val="006C7D50"/>
    <w:rsid w:val="006D141C"/>
    <w:rsid w:val="006D2425"/>
    <w:rsid w:val="006D2A81"/>
    <w:rsid w:val="006D2CF3"/>
    <w:rsid w:val="006D2D08"/>
    <w:rsid w:val="006D2F35"/>
    <w:rsid w:val="006D3228"/>
    <w:rsid w:val="006D349E"/>
    <w:rsid w:val="006D41EF"/>
    <w:rsid w:val="006D4A94"/>
    <w:rsid w:val="006D53AA"/>
    <w:rsid w:val="006D6993"/>
    <w:rsid w:val="006D6B92"/>
    <w:rsid w:val="006E0D09"/>
    <w:rsid w:val="006E241F"/>
    <w:rsid w:val="006E24EE"/>
    <w:rsid w:val="006E25BD"/>
    <w:rsid w:val="006E3379"/>
    <w:rsid w:val="006E33C9"/>
    <w:rsid w:val="006E34B7"/>
    <w:rsid w:val="006E36B8"/>
    <w:rsid w:val="006E3874"/>
    <w:rsid w:val="006E50C7"/>
    <w:rsid w:val="006E5585"/>
    <w:rsid w:val="006E5E32"/>
    <w:rsid w:val="006E6196"/>
    <w:rsid w:val="006E633A"/>
    <w:rsid w:val="006E6A14"/>
    <w:rsid w:val="006E6B16"/>
    <w:rsid w:val="006E6DE8"/>
    <w:rsid w:val="006E780C"/>
    <w:rsid w:val="006F0820"/>
    <w:rsid w:val="006F0B8C"/>
    <w:rsid w:val="006F0BA7"/>
    <w:rsid w:val="006F0F01"/>
    <w:rsid w:val="006F174D"/>
    <w:rsid w:val="006F1F41"/>
    <w:rsid w:val="006F32EF"/>
    <w:rsid w:val="006F3615"/>
    <w:rsid w:val="006F3C54"/>
    <w:rsid w:val="006F4CD8"/>
    <w:rsid w:val="006F53D9"/>
    <w:rsid w:val="006F5812"/>
    <w:rsid w:val="006F609A"/>
    <w:rsid w:val="006F69A3"/>
    <w:rsid w:val="007004DC"/>
    <w:rsid w:val="00700C00"/>
    <w:rsid w:val="00701093"/>
    <w:rsid w:val="00701155"/>
    <w:rsid w:val="007013D9"/>
    <w:rsid w:val="007022C4"/>
    <w:rsid w:val="007026E9"/>
    <w:rsid w:val="00703C8B"/>
    <w:rsid w:val="00703E8A"/>
    <w:rsid w:val="00704F60"/>
    <w:rsid w:val="007056F3"/>
    <w:rsid w:val="00705A28"/>
    <w:rsid w:val="00706EA3"/>
    <w:rsid w:val="007078BE"/>
    <w:rsid w:val="00707A3C"/>
    <w:rsid w:val="00707CDD"/>
    <w:rsid w:val="00707FDA"/>
    <w:rsid w:val="00710BF6"/>
    <w:rsid w:val="007113D5"/>
    <w:rsid w:val="00711522"/>
    <w:rsid w:val="007118A6"/>
    <w:rsid w:val="007124FE"/>
    <w:rsid w:val="00712533"/>
    <w:rsid w:val="00713186"/>
    <w:rsid w:val="00713757"/>
    <w:rsid w:val="00713758"/>
    <w:rsid w:val="007137D8"/>
    <w:rsid w:val="00714064"/>
    <w:rsid w:val="0071409E"/>
    <w:rsid w:val="00714192"/>
    <w:rsid w:val="00715E29"/>
    <w:rsid w:val="00717772"/>
    <w:rsid w:val="007200E5"/>
    <w:rsid w:val="00720C17"/>
    <w:rsid w:val="0072139B"/>
    <w:rsid w:val="00721AF1"/>
    <w:rsid w:val="0072280F"/>
    <w:rsid w:val="00722B5E"/>
    <w:rsid w:val="00722BC5"/>
    <w:rsid w:val="00722EBF"/>
    <w:rsid w:val="007235F5"/>
    <w:rsid w:val="007236F8"/>
    <w:rsid w:val="00723B2C"/>
    <w:rsid w:val="00723D38"/>
    <w:rsid w:val="007253CC"/>
    <w:rsid w:val="00726452"/>
    <w:rsid w:val="00726F5A"/>
    <w:rsid w:val="0072708F"/>
    <w:rsid w:val="007279F4"/>
    <w:rsid w:val="00730935"/>
    <w:rsid w:val="00730E81"/>
    <w:rsid w:val="00731000"/>
    <w:rsid w:val="00731204"/>
    <w:rsid w:val="007319BC"/>
    <w:rsid w:val="0073222B"/>
    <w:rsid w:val="00732582"/>
    <w:rsid w:val="00732D1D"/>
    <w:rsid w:val="007332C4"/>
    <w:rsid w:val="0073364B"/>
    <w:rsid w:val="00734381"/>
    <w:rsid w:val="00736034"/>
    <w:rsid w:val="0073681C"/>
    <w:rsid w:val="00736C4E"/>
    <w:rsid w:val="0073725B"/>
    <w:rsid w:val="0074033C"/>
    <w:rsid w:val="0074050E"/>
    <w:rsid w:val="00740B66"/>
    <w:rsid w:val="00741AF8"/>
    <w:rsid w:val="00741EBE"/>
    <w:rsid w:val="00742181"/>
    <w:rsid w:val="007424EC"/>
    <w:rsid w:val="00742EDA"/>
    <w:rsid w:val="00742F5D"/>
    <w:rsid w:val="007440FA"/>
    <w:rsid w:val="00744201"/>
    <w:rsid w:val="0074460E"/>
    <w:rsid w:val="00744A47"/>
    <w:rsid w:val="00744E53"/>
    <w:rsid w:val="00745B3E"/>
    <w:rsid w:val="00745FCE"/>
    <w:rsid w:val="00746130"/>
    <w:rsid w:val="007468E6"/>
    <w:rsid w:val="00746A40"/>
    <w:rsid w:val="00746E6A"/>
    <w:rsid w:val="00747598"/>
    <w:rsid w:val="00750358"/>
    <w:rsid w:val="007520A3"/>
    <w:rsid w:val="007526F5"/>
    <w:rsid w:val="00753C69"/>
    <w:rsid w:val="007540CB"/>
    <w:rsid w:val="00754717"/>
    <w:rsid w:val="00754836"/>
    <w:rsid w:val="00754FB9"/>
    <w:rsid w:val="00755CDF"/>
    <w:rsid w:val="00756AD3"/>
    <w:rsid w:val="00757042"/>
    <w:rsid w:val="007578C3"/>
    <w:rsid w:val="00757A4C"/>
    <w:rsid w:val="00760895"/>
    <w:rsid w:val="00761D02"/>
    <w:rsid w:val="00762ABF"/>
    <w:rsid w:val="00763FE6"/>
    <w:rsid w:val="00764A94"/>
    <w:rsid w:val="00764B26"/>
    <w:rsid w:val="00764DBA"/>
    <w:rsid w:val="00764EA6"/>
    <w:rsid w:val="007651A9"/>
    <w:rsid w:val="007651E5"/>
    <w:rsid w:val="0076524F"/>
    <w:rsid w:val="00765584"/>
    <w:rsid w:val="0076646B"/>
    <w:rsid w:val="007665B2"/>
    <w:rsid w:val="00766709"/>
    <w:rsid w:val="007670DC"/>
    <w:rsid w:val="00767356"/>
    <w:rsid w:val="00767EA9"/>
    <w:rsid w:val="007705D4"/>
    <w:rsid w:val="00770F2A"/>
    <w:rsid w:val="0077111A"/>
    <w:rsid w:val="0077213A"/>
    <w:rsid w:val="00772272"/>
    <w:rsid w:val="0077369F"/>
    <w:rsid w:val="0077463A"/>
    <w:rsid w:val="00774AB3"/>
    <w:rsid w:val="00774D0F"/>
    <w:rsid w:val="00774D7B"/>
    <w:rsid w:val="007756ED"/>
    <w:rsid w:val="0077589D"/>
    <w:rsid w:val="00776075"/>
    <w:rsid w:val="0077617F"/>
    <w:rsid w:val="00776A3D"/>
    <w:rsid w:val="0077707A"/>
    <w:rsid w:val="0077767E"/>
    <w:rsid w:val="007776BF"/>
    <w:rsid w:val="0078060F"/>
    <w:rsid w:val="00780820"/>
    <w:rsid w:val="007819A1"/>
    <w:rsid w:val="007831A4"/>
    <w:rsid w:val="00783BA5"/>
    <w:rsid w:val="00784F9E"/>
    <w:rsid w:val="0078533C"/>
    <w:rsid w:val="007857FB"/>
    <w:rsid w:val="007870FC"/>
    <w:rsid w:val="00787CD0"/>
    <w:rsid w:val="007905A2"/>
    <w:rsid w:val="00791053"/>
    <w:rsid w:val="00791261"/>
    <w:rsid w:val="0079155B"/>
    <w:rsid w:val="007918FE"/>
    <w:rsid w:val="00791A3A"/>
    <w:rsid w:val="0079262D"/>
    <w:rsid w:val="00792A53"/>
    <w:rsid w:val="00792D48"/>
    <w:rsid w:val="00794196"/>
    <w:rsid w:val="00794C47"/>
    <w:rsid w:val="00794FFF"/>
    <w:rsid w:val="00796D4D"/>
    <w:rsid w:val="007971B8"/>
    <w:rsid w:val="00797637"/>
    <w:rsid w:val="007A0018"/>
    <w:rsid w:val="007A020D"/>
    <w:rsid w:val="007A05A7"/>
    <w:rsid w:val="007A0ADE"/>
    <w:rsid w:val="007A1B35"/>
    <w:rsid w:val="007A3680"/>
    <w:rsid w:val="007A3BCD"/>
    <w:rsid w:val="007A50C4"/>
    <w:rsid w:val="007A5214"/>
    <w:rsid w:val="007A59B8"/>
    <w:rsid w:val="007A65AF"/>
    <w:rsid w:val="007A7682"/>
    <w:rsid w:val="007A7F42"/>
    <w:rsid w:val="007B0301"/>
    <w:rsid w:val="007B0C38"/>
    <w:rsid w:val="007B2862"/>
    <w:rsid w:val="007B2FD8"/>
    <w:rsid w:val="007B3968"/>
    <w:rsid w:val="007B45AF"/>
    <w:rsid w:val="007B4DD0"/>
    <w:rsid w:val="007B611E"/>
    <w:rsid w:val="007B662A"/>
    <w:rsid w:val="007B71DC"/>
    <w:rsid w:val="007B7743"/>
    <w:rsid w:val="007C04F4"/>
    <w:rsid w:val="007C0DDA"/>
    <w:rsid w:val="007C2139"/>
    <w:rsid w:val="007C27DE"/>
    <w:rsid w:val="007C299E"/>
    <w:rsid w:val="007C3A11"/>
    <w:rsid w:val="007C525F"/>
    <w:rsid w:val="007C5321"/>
    <w:rsid w:val="007C5981"/>
    <w:rsid w:val="007C5E8A"/>
    <w:rsid w:val="007C5F4B"/>
    <w:rsid w:val="007C6AAB"/>
    <w:rsid w:val="007C7B84"/>
    <w:rsid w:val="007D0C4D"/>
    <w:rsid w:val="007D125C"/>
    <w:rsid w:val="007D1336"/>
    <w:rsid w:val="007D167D"/>
    <w:rsid w:val="007D1FE9"/>
    <w:rsid w:val="007D28C9"/>
    <w:rsid w:val="007D326B"/>
    <w:rsid w:val="007D38F0"/>
    <w:rsid w:val="007D3CC8"/>
    <w:rsid w:val="007D430A"/>
    <w:rsid w:val="007D47FB"/>
    <w:rsid w:val="007D4DD3"/>
    <w:rsid w:val="007D576A"/>
    <w:rsid w:val="007D62F9"/>
    <w:rsid w:val="007D63A4"/>
    <w:rsid w:val="007D6542"/>
    <w:rsid w:val="007E0F5E"/>
    <w:rsid w:val="007E1AA2"/>
    <w:rsid w:val="007E1EB2"/>
    <w:rsid w:val="007E1F2C"/>
    <w:rsid w:val="007E279D"/>
    <w:rsid w:val="007E2D69"/>
    <w:rsid w:val="007E3B9A"/>
    <w:rsid w:val="007E3EEF"/>
    <w:rsid w:val="007E41CD"/>
    <w:rsid w:val="007E46E8"/>
    <w:rsid w:val="007E470F"/>
    <w:rsid w:val="007E4C1F"/>
    <w:rsid w:val="007E58AE"/>
    <w:rsid w:val="007F01DE"/>
    <w:rsid w:val="007F0759"/>
    <w:rsid w:val="007F0BCC"/>
    <w:rsid w:val="007F1154"/>
    <w:rsid w:val="007F156E"/>
    <w:rsid w:val="007F1CF3"/>
    <w:rsid w:val="007F25C0"/>
    <w:rsid w:val="007F30BB"/>
    <w:rsid w:val="007F35DC"/>
    <w:rsid w:val="007F3BC1"/>
    <w:rsid w:val="007F5F52"/>
    <w:rsid w:val="007F672A"/>
    <w:rsid w:val="007F6A1D"/>
    <w:rsid w:val="007F77C6"/>
    <w:rsid w:val="007F79D4"/>
    <w:rsid w:val="007F7EB4"/>
    <w:rsid w:val="008003A1"/>
    <w:rsid w:val="0080046C"/>
    <w:rsid w:val="008006B7"/>
    <w:rsid w:val="00800FDB"/>
    <w:rsid w:val="00802081"/>
    <w:rsid w:val="008020F6"/>
    <w:rsid w:val="0080298E"/>
    <w:rsid w:val="008033BA"/>
    <w:rsid w:val="00803833"/>
    <w:rsid w:val="00804316"/>
    <w:rsid w:val="008044EA"/>
    <w:rsid w:val="008044F8"/>
    <w:rsid w:val="00806461"/>
    <w:rsid w:val="008064C1"/>
    <w:rsid w:val="00807CD5"/>
    <w:rsid w:val="0081096D"/>
    <w:rsid w:val="00810EAD"/>
    <w:rsid w:val="00811833"/>
    <w:rsid w:val="00814BDE"/>
    <w:rsid w:val="00814DBC"/>
    <w:rsid w:val="008174D4"/>
    <w:rsid w:val="0082002E"/>
    <w:rsid w:val="0082083C"/>
    <w:rsid w:val="008209AC"/>
    <w:rsid w:val="00820C54"/>
    <w:rsid w:val="00820F37"/>
    <w:rsid w:val="00820FE6"/>
    <w:rsid w:val="00821A66"/>
    <w:rsid w:val="00822476"/>
    <w:rsid w:val="00822882"/>
    <w:rsid w:val="00822A1E"/>
    <w:rsid w:val="008238C7"/>
    <w:rsid w:val="008239AB"/>
    <w:rsid w:val="00825268"/>
    <w:rsid w:val="0082571C"/>
    <w:rsid w:val="00825B94"/>
    <w:rsid w:val="00825BB4"/>
    <w:rsid w:val="00825F68"/>
    <w:rsid w:val="0082600E"/>
    <w:rsid w:val="008273D2"/>
    <w:rsid w:val="00827B52"/>
    <w:rsid w:val="00830E92"/>
    <w:rsid w:val="00831DD0"/>
    <w:rsid w:val="008320ED"/>
    <w:rsid w:val="00832858"/>
    <w:rsid w:val="00832A0F"/>
    <w:rsid w:val="008353D5"/>
    <w:rsid w:val="00835408"/>
    <w:rsid w:val="008358A2"/>
    <w:rsid w:val="008359DA"/>
    <w:rsid w:val="00837CEF"/>
    <w:rsid w:val="00837E2F"/>
    <w:rsid w:val="00840035"/>
    <w:rsid w:val="00841F68"/>
    <w:rsid w:val="00842525"/>
    <w:rsid w:val="00842661"/>
    <w:rsid w:val="008428A9"/>
    <w:rsid w:val="00842925"/>
    <w:rsid w:val="00844112"/>
    <w:rsid w:val="008456C9"/>
    <w:rsid w:val="0084611D"/>
    <w:rsid w:val="00846177"/>
    <w:rsid w:val="0084654D"/>
    <w:rsid w:val="00846C9F"/>
    <w:rsid w:val="00847A83"/>
    <w:rsid w:val="00847BD6"/>
    <w:rsid w:val="00850137"/>
    <w:rsid w:val="00850C62"/>
    <w:rsid w:val="00852116"/>
    <w:rsid w:val="00852B48"/>
    <w:rsid w:val="0085474D"/>
    <w:rsid w:val="0085606B"/>
    <w:rsid w:val="00856481"/>
    <w:rsid w:val="008567A2"/>
    <w:rsid w:val="00856E6C"/>
    <w:rsid w:val="0085740D"/>
    <w:rsid w:val="00857DE1"/>
    <w:rsid w:val="00857EA7"/>
    <w:rsid w:val="0086066A"/>
    <w:rsid w:val="00860793"/>
    <w:rsid w:val="00860AC3"/>
    <w:rsid w:val="00863011"/>
    <w:rsid w:val="00863C5B"/>
    <w:rsid w:val="00863D2E"/>
    <w:rsid w:val="008641F2"/>
    <w:rsid w:val="00864E32"/>
    <w:rsid w:val="00865075"/>
    <w:rsid w:val="0086615F"/>
    <w:rsid w:val="0086748F"/>
    <w:rsid w:val="008725CB"/>
    <w:rsid w:val="00872757"/>
    <w:rsid w:val="00872BA6"/>
    <w:rsid w:val="00872CE4"/>
    <w:rsid w:val="00873AA4"/>
    <w:rsid w:val="00873CA8"/>
    <w:rsid w:val="00873F5D"/>
    <w:rsid w:val="008741AC"/>
    <w:rsid w:val="00875075"/>
    <w:rsid w:val="0087570C"/>
    <w:rsid w:val="008773BA"/>
    <w:rsid w:val="00877B62"/>
    <w:rsid w:val="00881015"/>
    <w:rsid w:val="008810B0"/>
    <w:rsid w:val="00881665"/>
    <w:rsid w:val="008819B6"/>
    <w:rsid w:val="00881AAC"/>
    <w:rsid w:val="008836B7"/>
    <w:rsid w:val="00883F7C"/>
    <w:rsid w:val="008841D3"/>
    <w:rsid w:val="00884987"/>
    <w:rsid w:val="00884A07"/>
    <w:rsid w:val="00884BE0"/>
    <w:rsid w:val="008867EA"/>
    <w:rsid w:val="008870EF"/>
    <w:rsid w:val="00887BF9"/>
    <w:rsid w:val="00887DE6"/>
    <w:rsid w:val="00890C01"/>
    <w:rsid w:val="0089214A"/>
    <w:rsid w:val="00892226"/>
    <w:rsid w:val="008922FA"/>
    <w:rsid w:val="008923CB"/>
    <w:rsid w:val="008927B8"/>
    <w:rsid w:val="00892D3E"/>
    <w:rsid w:val="008936DC"/>
    <w:rsid w:val="00893E53"/>
    <w:rsid w:val="008945EB"/>
    <w:rsid w:val="00894C2A"/>
    <w:rsid w:val="00895389"/>
    <w:rsid w:val="00895DFF"/>
    <w:rsid w:val="0089690B"/>
    <w:rsid w:val="00896A5F"/>
    <w:rsid w:val="0089728F"/>
    <w:rsid w:val="008976C0"/>
    <w:rsid w:val="00897708"/>
    <w:rsid w:val="00897D88"/>
    <w:rsid w:val="008A0029"/>
    <w:rsid w:val="008A0860"/>
    <w:rsid w:val="008A17AF"/>
    <w:rsid w:val="008A1ED9"/>
    <w:rsid w:val="008A2C65"/>
    <w:rsid w:val="008A2F16"/>
    <w:rsid w:val="008A36AE"/>
    <w:rsid w:val="008A3A74"/>
    <w:rsid w:val="008A48C3"/>
    <w:rsid w:val="008A49D2"/>
    <w:rsid w:val="008A4E18"/>
    <w:rsid w:val="008A520C"/>
    <w:rsid w:val="008A5493"/>
    <w:rsid w:val="008A596C"/>
    <w:rsid w:val="008A64C4"/>
    <w:rsid w:val="008A6BF7"/>
    <w:rsid w:val="008A6CC1"/>
    <w:rsid w:val="008A71CC"/>
    <w:rsid w:val="008A72FB"/>
    <w:rsid w:val="008A7F03"/>
    <w:rsid w:val="008B1823"/>
    <w:rsid w:val="008B1B4E"/>
    <w:rsid w:val="008B2975"/>
    <w:rsid w:val="008B2AA9"/>
    <w:rsid w:val="008B2BDF"/>
    <w:rsid w:val="008B2D72"/>
    <w:rsid w:val="008B4198"/>
    <w:rsid w:val="008B4C9F"/>
    <w:rsid w:val="008B586A"/>
    <w:rsid w:val="008B5CC9"/>
    <w:rsid w:val="008B5DEB"/>
    <w:rsid w:val="008B6651"/>
    <w:rsid w:val="008B6E16"/>
    <w:rsid w:val="008B7110"/>
    <w:rsid w:val="008B7A20"/>
    <w:rsid w:val="008C0DD5"/>
    <w:rsid w:val="008C0DF9"/>
    <w:rsid w:val="008C1ED0"/>
    <w:rsid w:val="008C2029"/>
    <w:rsid w:val="008C255B"/>
    <w:rsid w:val="008C267C"/>
    <w:rsid w:val="008C2E44"/>
    <w:rsid w:val="008C3427"/>
    <w:rsid w:val="008C3B7F"/>
    <w:rsid w:val="008C3BC2"/>
    <w:rsid w:val="008C4F76"/>
    <w:rsid w:val="008C55AD"/>
    <w:rsid w:val="008C61D6"/>
    <w:rsid w:val="008C649D"/>
    <w:rsid w:val="008C64F1"/>
    <w:rsid w:val="008C7C1A"/>
    <w:rsid w:val="008D0DC1"/>
    <w:rsid w:val="008D1BB0"/>
    <w:rsid w:val="008D20FF"/>
    <w:rsid w:val="008D22A4"/>
    <w:rsid w:val="008D2B9A"/>
    <w:rsid w:val="008D3DE6"/>
    <w:rsid w:val="008D4223"/>
    <w:rsid w:val="008D44CC"/>
    <w:rsid w:val="008D46E3"/>
    <w:rsid w:val="008D4CED"/>
    <w:rsid w:val="008D50F9"/>
    <w:rsid w:val="008D5CAF"/>
    <w:rsid w:val="008D6709"/>
    <w:rsid w:val="008D78D2"/>
    <w:rsid w:val="008E083A"/>
    <w:rsid w:val="008E0EE9"/>
    <w:rsid w:val="008E12AD"/>
    <w:rsid w:val="008E1883"/>
    <w:rsid w:val="008E1F62"/>
    <w:rsid w:val="008E2152"/>
    <w:rsid w:val="008E22FF"/>
    <w:rsid w:val="008E2450"/>
    <w:rsid w:val="008E29BE"/>
    <w:rsid w:val="008E2DCA"/>
    <w:rsid w:val="008E3F27"/>
    <w:rsid w:val="008E47EF"/>
    <w:rsid w:val="008E4E6E"/>
    <w:rsid w:val="008E5783"/>
    <w:rsid w:val="008E5DB7"/>
    <w:rsid w:val="008E61EB"/>
    <w:rsid w:val="008E7076"/>
    <w:rsid w:val="008E7896"/>
    <w:rsid w:val="008E79C7"/>
    <w:rsid w:val="008E7B6F"/>
    <w:rsid w:val="008E7C9D"/>
    <w:rsid w:val="008E7D8A"/>
    <w:rsid w:val="008F14C7"/>
    <w:rsid w:val="008F1D02"/>
    <w:rsid w:val="008F1E9E"/>
    <w:rsid w:val="008F2165"/>
    <w:rsid w:val="008F2356"/>
    <w:rsid w:val="008F2477"/>
    <w:rsid w:val="008F3879"/>
    <w:rsid w:val="008F4445"/>
    <w:rsid w:val="008F5442"/>
    <w:rsid w:val="008F60A3"/>
    <w:rsid w:val="008F653E"/>
    <w:rsid w:val="008F7769"/>
    <w:rsid w:val="009004FE"/>
    <w:rsid w:val="00901014"/>
    <w:rsid w:val="009010F0"/>
    <w:rsid w:val="00901162"/>
    <w:rsid w:val="00901247"/>
    <w:rsid w:val="0090132D"/>
    <w:rsid w:val="00901B53"/>
    <w:rsid w:val="0090223A"/>
    <w:rsid w:val="009028E2"/>
    <w:rsid w:val="00902D6A"/>
    <w:rsid w:val="009039FE"/>
    <w:rsid w:val="00903E9A"/>
    <w:rsid w:val="009048A5"/>
    <w:rsid w:val="00905404"/>
    <w:rsid w:val="00906478"/>
    <w:rsid w:val="00906753"/>
    <w:rsid w:val="00907264"/>
    <w:rsid w:val="0090765F"/>
    <w:rsid w:val="00907748"/>
    <w:rsid w:val="009079E4"/>
    <w:rsid w:val="00907B32"/>
    <w:rsid w:val="00911305"/>
    <w:rsid w:val="00912590"/>
    <w:rsid w:val="0091312A"/>
    <w:rsid w:val="00913200"/>
    <w:rsid w:val="009136A4"/>
    <w:rsid w:val="00913EC2"/>
    <w:rsid w:val="00914EAB"/>
    <w:rsid w:val="009152D8"/>
    <w:rsid w:val="009153A3"/>
    <w:rsid w:val="00915A1D"/>
    <w:rsid w:val="0091716F"/>
    <w:rsid w:val="009173E8"/>
    <w:rsid w:val="00917994"/>
    <w:rsid w:val="00922567"/>
    <w:rsid w:val="009228DB"/>
    <w:rsid w:val="00922D37"/>
    <w:rsid w:val="00922D49"/>
    <w:rsid w:val="009236B9"/>
    <w:rsid w:val="00924183"/>
    <w:rsid w:val="00925E37"/>
    <w:rsid w:val="00925EDD"/>
    <w:rsid w:val="00925F20"/>
    <w:rsid w:val="00926B3B"/>
    <w:rsid w:val="00927899"/>
    <w:rsid w:val="00927D0E"/>
    <w:rsid w:val="009309DA"/>
    <w:rsid w:val="00931040"/>
    <w:rsid w:val="00931663"/>
    <w:rsid w:val="00931B45"/>
    <w:rsid w:val="00931D22"/>
    <w:rsid w:val="00932CC7"/>
    <w:rsid w:val="0093355C"/>
    <w:rsid w:val="009338F3"/>
    <w:rsid w:val="00935306"/>
    <w:rsid w:val="0093640D"/>
    <w:rsid w:val="00936688"/>
    <w:rsid w:val="0093675C"/>
    <w:rsid w:val="00937683"/>
    <w:rsid w:val="00937AC9"/>
    <w:rsid w:val="00937CFA"/>
    <w:rsid w:val="00940291"/>
    <w:rsid w:val="009406B3"/>
    <w:rsid w:val="009414BB"/>
    <w:rsid w:val="00942286"/>
    <w:rsid w:val="00943748"/>
    <w:rsid w:val="00943CEE"/>
    <w:rsid w:val="009443C5"/>
    <w:rsid w:val="009444F4"/>
    <w:rsid w:val="00944674"/>
    <w:rsid w:val="00944F2F"/>
    <w:rsid w:val="00945B95"/>
    <w:rsid w:val="00945CC4"/>
    <w:rsid w:val="00945CF5"/>
    <w:rsid w:val="00946437"/>
    <w:rsid w:val="0094691C"/>
    <w:rsid w:val="00947229"/>
    <w:rsid w:val="00947C95"/>
    <w:rsid w:val="00947EED"/>
    <w:rsid w:val="009500A1"/>
    <w:rsid w:val="0095037E"/>
    <w:rsid w:val="00951D97"/>
    <w:rsid w:val="00952230"/>
    <w:rsid w:val="00952266"/>
    <w:rsid w:val="00952A9B"/>
    <w:rsid w:val="00952AAD"/>
    <w:rsid w:val="00953B2B"/>
    <w:rsid w:val="00954567"/>
    <w:rsid w:val="009547B3"/>
    <w:rsid w:val="00954A89"/>
    <w:rsid w:val="00955CB7"/>
    <w:rsid w:val="00956671"/>
    <w:rsid w:val="00957466"/>
    <w:rsid w:val="009576F7"/>
    <w:rsid w:val="00960722"/>
    <w:rsid w:val="00961313"/>
    <w:rsid w:val="0096133D"/>
    <w:rsid w:val="00961356"/>
    <w:rsid w:val="00962401"/>
    <w:rsid w:val="00962510"/>
    <w:rsid w:val="0096260B"/>
    <w:rsid w:val="0096275C"/>
    <w:rsid w:val="009627FF"/>
    <w:rsid w:val="00962A27"/>
    <w:rsid w:val="00962B9D"/>
    <w:rsid w:val="00962EDC"/>
    <w:rsid w:val="00963ACF"/>
    <w:rsid w:val="00963D03"/>
    <w:rsid w:val="00964E3D"/>
    <w:rsid w:val="009664D5"/>
    <w:rsid w:val="0096663A"/>
    <w:rsid w:val="009670C1"/>
    <w:rsid w:val="009671B0"/>
    <w:rsid w:val="00967657"/>
    <w:rsid w:val="00970C69"/>
    <w:rsid w:val="00971F1C"/>
    <w:rsid w:val="0097211D"/>
    <w:rsid w:val="009724F9"/>
    <w:rsid w:val="0097263C"/>
    <w:rsid w:val="00972DF9"/>
    <w:rsid w:val="00972E10"/>
    <w:rsid w:val="009738AD"/>
    <w:rsid w:val="00974694"/>
    <w:rsid w:val="009746CA"/>
    <w:rsid w:val="00974E7C"/>
    <w:rsid w:val="00975B7B"/>
    <w:rsid w:val="00976DCD"/>
    <w:rsid w:val="00977134"/>
    <w:rsid w:val="009778D3"/>
    <w:rsid w:val="00977B69"/>
    <w:rsid w:val="00980013"/>
    <w:rsid w:val="00980E65"/>
    <w:rsid w:val="0098122D"/>
    <w:rsid w:val="00981963"/>
    <w:rsid w:val="00982FD1"/>
    <w:rsid w:val="009831B9"/>
    <w:rsid w:val="00983C82"/>
    <w:rsid w:val="009844D6"/>
    <w:rsid w:val="00984520"/>
    <w:rsid w:val="0098545C"/>
    <w:rsid w:val="00985506"/>
    <w:rsid w:val="009862F1"/>
    <w:rsid w:val="009871EA"/>
    <w:rsid w:val="00987220"/>
    <w:rsid w:val="00991675"/>
    <w:rsid w:val="00992BA2"/>
    <w:rsid w:val="00992F83"/>
    <w:rsid w:val="0099344F"/>
    <w:rsid w:val="009939A9"/>
    <w:rsid w:val="00993A3C"/>
    <w:rsid w:val="0099449B"/>
    <w:rsid w:val="0099508A"/>
    <w:rsid w:val="00995E53"/>
    <w:rsid w:val="00996BAA"/>
    <w:rsid w:val="00996D7F"/>
    <w:rsid w:val="009974EB"/>
    <w:rsid w:val="009978D5"/>
    <w:rsid w:val="00997A12"/>
    <w:rsid w:val="009A0EB3"/>
    <w:rsid w:val="009A1126"/>
    <w:rsid w:val="009A1232"/>
    <w:rsid w:val="009A36E4"/>
    <w:rsid w:val="009A3C12"/>
    <w:rsid w:val="009A4B06"/>
    <w:rsid w:val="009A5564"/>
    <w:rsid w:val="009A7469"/>
    <w:rsid w:val="009B07EE"/>
    <w:rsid w:val="009B1584"/>
    <w:rsid w:val="009B1B32"/>
    <w:rsid w:val="009B21CA"/>
    <w:rsid w:val="009B2648"/>
    <w:rsid w:val="009B39B1"/>
    <w:rsid w:val="009B424E"/>
    <w:rsid w:val="009B4317"/>
    <w:rsid w:val="009B4EBB"/>
    <w:rsid w:val="009B529C"/>
    <w:rsid w:val="009B5359"/>
    <w:rsid w:val="009B5860"/>
    <w:rsid w:val="009B5C45"/>
    <w:rsid w:val="009B5FD9"/>
    <w:rsid w:val="009B6133"/>
    <w:rsid w:val="009B7332"/>
    <w:rsid w:val="009B7420"/>
    <w:rsid w:val="009B7B46"/>
    <w:rsid w:val="009B7C6D"/>
    <w:rsid w:val="009C0294"/>
    <w:rsid w:val="009C03E5"/>
    <w:rsid w:val="009C08B6"/>
    <w:rsid w:val="009C0920"/>
    <w:rsid w:val="009C1266"/>
    <w:rsid w:val="009C12C3"/>
    <w:rsid w:val="009C196C"/>
    <w:rsid w:val="009C1B5C"/>
    <w:rsid w:val="009C232B"/>
    <w:rsid w:val="009C36E6"/>
    <w:rsid w:val="009C3730"/>
    <w:rsid w:val="009C37BD"/>
    <w:rsid w:val="009C3888"/>
    <w:rsid w:val="009C3AAC"/>
    <w:rsid w:val="009C43E5"/>
    <w:rsid w:val="009C44A1"/>
    <w:rsid w:val="009C4D19"/>
    <w:rsid w:val="009C5F6C"/>
    <w:rsid w:val="009C5FDB"/>
    <w:rsid w:val="009C6919"/>
    <w:rsid w:val="009C693E"/>
    <w:rsid w:val="009C6B2C"/>
    <w:rsid w:val="009C6ED6"/>
    <w:rsid w:val="009C70CB"/>
    <w:rsid w:val="009C7623"/>
    <w:rsid w:val="009C7DB2"/>
    <w:rsid w:val="009D0411"/>
    <w:rsid w:val="009D14EB"/>
    <w:rsid w:val="009D1B18"/>
    <w:rsid w:val="009D1E70"/>
    <w:rsid w:val="009D1EA4"/>
    <w:rsid w:val="009D27AA"/>
    <w:rsid w:val="009D2BFD"/>
    <w:rsid w:val="009D2FF8"/>
    <w:rsid w:val="009D2FFA"/>
    <w:rsid w:val="009D3BF1"/>
    <w:rsid w:val="009D3F20"/>
    <w:rsid w:val="009D428F"/>
    <w:rsid w:val="009D4991"/>
    <w:rsid w:val="009D515C"/>
    <w:rsid w:val="009D597B"/>
    <w:rsid w:val="009D5BB5"/>
    <w:rsid w:val="009D683D"/>
    <w:rsid w:val="009D696D"/>
    <w:rsid w:val="009D6993"/>
    <w:rsid w:val="009D6BB6"/>
    <w:rsid w:val="009D6ED2"/>
    <w:rsid w:val="009E08B3"/>
    <w:rsid w:val="009E0A6A"/>
    <w:rsid w:val="009E0D0F"/>
    <w:rsid w:val="009E0F1A"/>
    <w:rsid w:val="009E140D"/>
    <w:rsid w:val="009E1A86"/>
    <w:rsid w:val="009E43DD"/>
    <w:rsid w:val="009E4465"/>
    <w:rsid w:val="009E5318"/>
    <w:rsid w:val="009E6401"/>
    <w:rsid w:val="009E6C54"/>
    <w:rsid w:val="009E773E"/>
    <w:rsid w:val="009F04C8"/>
    <w:rsid w:val="009F0812"/>
    <w:rsid w:val="009F0E02"/>
    <w:rsid w:val="009F248B"/>
    <w:rsid w:val="009F2A25"/>
    <w:rsid w:val="009F3A1A"/>
    <w:rsid w:val="009F4C7D"/>
    <w:rsid w:val="009F5235"/>
    <w:rsid w:val="009F531A"/>
    <w:rsid w:val="009F6344"/>
    <w:rsid w:val="009F6550"/>
    <w:rsid w:val="009F6927"/>
    <w:rsid w:val="009F6B65"/>
    <w:rsid w:val="009F786E"/>
    <w:rsid w:val="00A00680"/>
    <w:rsid w:val="00A00902"/>
    <w:rsid w:val="00A0098B"/>
    <w:rsid w:val="00A0191A"/>
    <w:rsid w:val="00A0223F"/>
    <w:rsid w:val="00A0294E"/>
    <w:rsid w:val="00A039FF"/>
    <w:rsid w:val="00A04524"/>
    <w:rsid w:val="00A05ACE"/>
    <w:rsid w:val="00A05EAF"/>
    <w:rsid w:val="00A076E9"/>
    <w:rsid w:val="00A114B9"/>
    <w:rsid w:val="00A1158C"/>
    <w:rsid w:val="00A12107"/>
    <w:rsid w:val="00A13A65"/>
    <w:rsid w:val="00A14589"/>
    <w:rsid w:val="00A14AE3"/>
    <w:rsid w:val="00A15FEA"/>
    <w:rsid w:val="00A16675"/>
    <w:rsid w:val="00A17957"/>
    <w:rsid w:val="00A20404"/>
    <w:rsid w:val="00A20DFB"/>
    <w:rsid w:val="00A21955"/>
    <w:rsid w:val="00A22283"/>
    <w:rsid w:val="00A225D8"/>
    <w:rsid w:val="00A22CD6"/>
    <w:rsid w:val="00A234EC"/>
    <w:rsid w:val="00A24128"/>
    <w:rsid w:val="00A2417A"/>
    <w:rsid w:val="00A25642"/>
    <w:rsid w:val="00A2631B"/>
    <w:rsid w:val="00A26668"/>
    <w:rsid w:val="00A2681F"/>
    <w:rsid w:val="00A27804"/>
    <w:rsid w:val="00A27EED"/>
    <w:rsid w:val="00A3276D"/>
    <w:rsid w:val="00A3283D"/>
    <w:rsid w:val="00A334D1"/>
    <w:rsid w:val="00A34257"/>
    <w:rsid w:val="00A3655D"/>
    <w:rsid w:val="00A3663D"/>
    <w:rsid w:val="00A36822"/>
    <w:rsid w:val="00A36AB5"/>
    <w:rsid w:val="00A37170"/>
    <w:rsid w:val="00A374FD"/>
    <w:rsid w:val="00A3754B"/>
    <w:rsid w:val="00A378AC"/>
    <w:rsid w:val="00A402DD"/>
    <w:rsid w:val="00A4069E"/>
    <w:rsid w:val="00A40BBF"/>
    <w:rsid w:val="00A411D1"/>
    <w:rsid w:val="00A41A09"/>
    <w:rsid w:val="00A42E88"/>
    <w:rsid w:val="00A43389"/>
    <w:rsid w:val="00A434A7"/>
    <w:rsid w:val="00A43E71"/>
    <w:rsid w:val="00A44C11"/>
    <w:rsid w:val="00A4526F"/>
    <w:rsid w:val="00A45753"/>
    <w:rsid w:val="00A457B8"/>
    <w:rsid w:val="00A45D82"/>
    <w:rsid w:val="00A47B15"/>
    <w:rsid w:val="00A500C1"/>
    <w:rsid w:val="00A5094A"/>
    <w:rsid w:val="00A5103D"/>
    <w:rsid w:val="00A51708"/>
    <w:rsid w:val="00A52F84"/>
    <w:rsid w:val="00A533CC"/>
    <w:rsid w:val="00A54284"/>
    <w:rsid w:val="00A5465A"/>
    <w:rsid w:val="00A54FB5"/>
    <w:rsid w:val="00A560F7"/>
    <w:rsid w:val="00A56B05"/>
    <w:rsid w:val="00A56C06"/>
    <w:rsid w:val="00A56E50"/>
    <w:rsid w:val="00A5726C"/>
    <w:rsid w:val="00A57672"/>
    <w:rsid w:val="00A57678"/>
    <w:rsid w:val="00A57972"/>
    <w:rsid w:val="00A57982"/>
    <w:rsid w:val="00A579F5"/>
    <w:rsid w:val="00A57F83"/>
    <w:rsid w:val="00A60E2F"/>
    <w:rsid w:val="00A627AD"/>
    <w:rsid w:val="00A6320B"/>
    <w:rsid w:val="00A63246"/>
    <w:rsid w:val="00A63284"/>
    <w:rsid w:val="00A63458"/>
    <w:rsid w:val="00A6372D"/>
    <w:rsid w:val="00A6401C"/>
    <w:rsid w:val="00A64CB8"/>
    <w:rsid w:val="00A66065"/>
    <w:rsid w:val="00A66291"/>
    <w:rsid w:val="00A66BDE"/>
    <w:rsid w:val="00A66C69"/>
    <w:rsid w:val="00A67018"/>
    <w:rsid w:val="00A671D2"/>
    <w:rsid w:val="00A67289"/>
    <w:rsid w:val="00A672F3"/>
    <w:rsid w:val="00A673DC"/>
    <w:rsid w:val="00A67F9C"/>
    <w:rsid w:val="00A7076E"/>
    <w:rsid w:val="00A709BE"/>
    <w:rsid w:val="00A70D85"/>
    <w:rsid w:val="00A7162E"/>
    <w:rsid w:val="00A7179D"/>
    <w:rsid w:val="00A72D71"/>
    <w:rsid w:val="00A72EF3"/>
    <w:rsid w:val="00A73112"/>
    <w:rsid w:val="00A73617"/>
    <w:rsid w:val="00A747D2"/>
    <w:rsid w:val="00A75123"/>
    <w:rsid w:val="00A75705"/>
    <w:rsid w:val="00A75F35"/>
    <w:rsid w:val="00A765A9"/>
    <w:rsid w:val="00A765BC"/>
    <w:rsid w:val="00A76E17"/>
    <w:rsid w:val="00A77B30"/>
    <w:rsid w:val="00A77C51"/>
    <w:rsid w:val="00A77C69"/>
    <w:rsid w:val="00A8063F"/>
    <w:rsid w:val="00A812B1"/>
    <w:rsid w:val="00A81E7C"/>
    <w:rsid w:val="00A82AB9"/>
    <w:rsid w:val="00A82C61"/>
    <w:rsid w:val="00A8301B"/>
    <w:rsid w:val="00A83049"/>
    <w:rsid w:val="00A8368D"/>
    <w:rsid w:val="00A83945"/>
    <w:rsid w:val="00A83953"/>
    <w:rsid w:val="00A83CD7"/>
    <w:rsid w:val="00A8400B"/>
    <w:rsid w:val="00A8416A"/>
    <w:rsid w:val="00A846DA"/>
    <w:rsid w:val="00A84956"/>
    <w:rsid w:val="00A853D8"/>
    <w:rsid w:val="00A85BBE"/>
    <w:rsid w:val="00A8661E"/>
    <w:rsid w:val="00A8695A"/>
    <w:rsid w:val="00A86ACF"/>
    <w:rsid w:val="00A8708E"/>
    <w:rsid w:val="00A903B6"/>
    <w:rsid w:val="00A9054B"/>
    <w:rsid w:val="00A90F4F"/>
    <w:rsid w:val="00A92579"/>
    <w:rsid w:val="00A936F9"/>
    <w:rsid w:val="00A9384E"/>
    <w:rsid w:val="00A943D0"/>
    <w:rsid w:val="00A9459B"/>
    <w:rsid w:val="00A947AA"/>
    <w:rsid w:val="00A94888"/>
    <w:rsid w:val="00A9681C"/>
    <w:rsid w:val="00A96867"/>
    <w:rsid w:val="00A96B3D"/>
    <w:rsid w:val="00A97873"/>
    <w:rsid w:val="00A978B4"/>
    <w:rsid w:val="00AA0214"/>
    <w:rsid w:val="00AA16A6"/>
    <w:rsid w:val="00AA18AB"/>
    <w:rsid w:val="00AA1B53"/>
    <w:rsid w:val="00AA1DEA"/>
    <w:rsid w:val="00AA256D"/>
    <w:rsid w:val="00AA2737"/>
    <w:rsid w:val="00AA2B76"/>
    <w:rsid w:val="00AA311D"/>
    <w:rsid w:val="00AA3556"/>
    <w:rsid w:val="00AA35FD"/>
    <w:rsid w:val="00AA3DB7"/>
    <w:rsid w:val="00AA41D3"/>
    <w:rsid w:val="00AA54E3"/>
    <w:rsid w:val="00AA5B93"/>
    <w:rsid w:val="00AB0039"/>
    <w:rsid w:val="00AB067C"/>
    <w:rsid w:val="00AB0828"/>
    <w:rsid w:val="00AB0D96"/>
    <w:rsid w:val="00AB15A3"/>
    <w:rsid w:val="00AB177A"/>
    <w:rsid w:val="00AB216D"/>
    <w:rsid w:val="00AB3012"/>
    <w:rsid w:val="00AB311F"/>
    <w:rsid w:val="00AB321C"/>
    <w:rsid w:val="00AB37D2"/>
    <w:rsid w:val="00AB3A48"/>
    <w:rsid w:val="00AB473F"/>
    <w:rsid w:val="00AB4C91"/>
    <w:rsid w:val="00AB4E3B"/>
    <w:rsid w:val="00AB5381"/>
    <w:rsid w:val="00AB54C1"/>
    <w:rsid w:val="00AB688F"/>
    <w:rsid w:val="00AB75EA"/>
    <w:rsid w:val="00AB7AA2"/>
    <w:rsid w:val="00AC0A22"/>
    <w:rsid w:val="00AC1249"/>
    <w:rsid w:val="00AC1515"/>
    <w:rsid w:val="00AC2234"/>
    <w:rsid w:val="00AC22D8"/>
    <w:rsid w:val="00AC34AE"/>
    <w:rsid w:val="00AC3FF3"/>
    <w:rsid w:val="00AC4BC1"/>
    <w:rsid w:val="00AC5715"/>
    <w:rsid w:val="00AD04BD"/>
    <w:rsid w:val="00AD0765"/>
    <w:rsid w:val="00AD0F00"/>
    <w:rsid w:val="00AD16A3"/>
    <w:rsid w:val="00AD1D73"/>
    <w:rsid w:val="00AD3C7F"/>
    <w:rsid w:val="00AD55A8"/>
    <w:rsid w:val="00AD58D5"/>
    <w:rsid w:val="00AD5CA4"/>
    <w:rsid w:val="00AD6A91"/>
    <w:rsid w:val="00AD7214"/>
    <w:rsid w:val="00AE04DB"/>
    <w:rsid w:val="00AE1066"/>
    <w:rsid w:val="00AE14DD"/>
    <w:rsid w:val="00AE2FA5"/>
    <w:rsid w:val="00AE3486"/>
    <w:rsid w:val="00AE3A4F"/>
    <w:rsid w:val="00AE4513"/>
    <w:rsid w:val="00AE4518"/>
    <w:rsid w:val="00AE5D7F"/>
    <w:rsid w:val="00AE79F0"/>
    <w:rsid w:val="00AF05D4"/>
    <w:rsid w:val="00AF07B0"/>
    <w:rsid w:val="00AF109C"/>
    <w:rsid w:val="00AF1701"/>
    <w:rsid w:val="00AF1752"/>
    <w:rsid w:val="00AF2919"/>
    <w:rsid w:val="00AF31CF"/>
    <w:rsid w:val="00AF42FC"/>
    <w:rsid w:val="00AF4AC5"/>
    <w:rsid w:val="00AF4C2C"/>
    <w:rsid w:val="00AF597D"/>
    <w:rsid w:val="00AF6EC1"/>
    <w:rsid w:val="00AF784D"/>
    <w:rsid w:val="00AF78DD"/>
    <w:rsid w:val="00AF7BCD"/>
    <w:rsid w:val="00AF7CE9"/>
    <w:rsid w:val="00B00331"/>
    <w:rsid w:val="00B0062E"/>
    <w:rsid w:val="00B0117E"/>
    <w:rsid w:val="00B014A1"/>
    <w:rsid w:val="00B01A80"/>
    <w:rsid w:val="00B046AF"/>
    <w:rsid w:val="00B05374"/>
    <w:rsid w:val="00B06036"/>
    <w:rsid w:val="00B061F1"/>
    <w:rsid w:val="00B06615"/>
    <w:rsid w:val="00B07C27"/>
    <w:rsid w:val="00B07FB2"/>
    <w:rsid w:val="00B10017"/>
    <w:rsid w:val="00B1004A"/>
    <w:rsid w:val="00B101CE"/>
    <w:rsid w:val="00B10531"/>
    <w:rsid w:val="00B10C40"/>
    <w:rsid w:val="00B10DE1"/>
    <w:rsid w:val="00B10FF8"/>
    <w:rsid w:val="00B11E02"/>
    <w:rsid w:val="00B12F0D"/>
    <w:rsid w:val="00B12FCF"/>
    <w:rsid w:val="00B13A85"/>
    <w:rsid w:val="00B13BC7"/>
    <w:rsid w:val="00B13CD4"/>
    <w:rsid w:val="00B153D8"/>
    <w:rsid w:val="00B154DE"/>
    <w:rsid w:val="00B157AB"/>
    <w:rsid w:val="00B15814"/>
    <w:rsid w:val="00B17B14"/>
    <w:rsid w:val="00B203C4"/>
    <w:rsid w:val="00B20863"/>
    <w:rsid w:val="00B20BEC"/>
    <w:rsid w:val="00B20CDD"/>
    <w:rsid w:val="00B22683"/>
    <w:rsid w:val="00B22BC9"/>
    <w:rsid w:val="00B22E81"/>
    <w:rsid w:val="00B232FE"/>
    <w:rsid w:val="00B23423"/>
    <w:rsid w:val="00B23996"/>
    <w:rsid w:val="00B23A8A"/>
    <w:rsid w:val="00B23CB2"/>
    <w:rsid w:val="00B23FA6"/>
    <w:rsid w:val="00B240CC"/>
    <w:rsid w:val="00B24E14"/>
    <w:rsid w:val="00B2561A"/>
    <w:rsid w:val="00B256C1"/>
    <w:rsid w:val="00B25A64"/>
    <w:rsid w:val="00B25B94"/>
    <w:rsid w:val="00B271F2"/>
    <w:rsid w:val="00B30B9E"/>
    <w:rsid w:val="00B31884"/>
    <w:rsid w:val="00B31D19"/>
    <w:rsid w:val="00B32AB3"/>
    <w:rsid w:val="00B32DAE"/>
    <w:rsid w:val="00B33825"/>
    <w:rsid w:val="00B34BB2"/>
    <w:rsid w:val="00B34E7C"/>
    <w:rsid w:val="00B35AF6"/>
    <w:rsid w:val="00B36228"/>
    <w:rsid w:val="00B366A3"/>
    <w:rsid w:val="00B368EA"/>
    <w:rsid w:val="00B37EEF"/>
    <w:rsid w:val="00B418AD"/>
    <w:rsid w:val="00B41E3D"/>
    <w:rsid w:val="00B42F1A"/>
    <w:rsid w:val="00B43790"/>
    <w:rsid w:val="00B43829"/>
    <w:rsid w:val="00B443D9"/>
    <w:rsid w:val="00B44531"/>
    <w:rsid w:val="00B4640F"/>
    <w:rsid w:val="00B46521"/>
    <w:rsid w:val="00B46587"/>
    <w:rsid w:val="00B47AD2"/>
    <w:rsid w:val="00B47CF7"/>
    <w:rsid w:val="00B502B0"/>
    <w:rsid w:val="00B50408"/>
    <w:rsid w:val="00B50686"/>
    <w:rsid w:val="00B50C50"/>
    <w:rsid w:val="00B513C0"/>
    <w:rsid w:val="00B535AF"/>
    <w:rsid w:val="00B53708"/>
    <w:rsid w:val="00B53DCB"/>
    <w:rsid w:val="00B5428F"/>
    <w:rsid w:val="00B54370"/>
    <w:rsid w:val="00B54460"/>
    <w:rsid w:val="00B54C9B"/>
    <w:rsid w:val="00B54DEA"/>
    <w:rsid w:val="00B55185"/>
    <w:rsid w:val="00B55C03"/>
    <w:rsid w:val="00B55F0B"/>
    <w:rsid w:val="00B56670"/>
    <w:rsid w:val="00B56A70"/>
    <w:rsid w:val="00B60638"/>
    <w:rsid w:val="00B606F8"/>
    <w:rsid w:val="00B61923"/>
    <w:rsid w:val="00B621D6"/>
    <w:rsid w:val="00B63AF2"/>
    <w:rsid w:val="00B64054"/>
    <w:rsid w:val="00B65747"/>
    <w:rsid w:val="00B65D6F"/>
    <w:rsid w:val="00B65FAD"/>
    <w:rsid w:val="00B66174"/>
    <w:rsid w:val="00B67021"/>
    <w:rsid w:val="00B673C9"/>
    <w:rsid w:val="00B67B37"/>
    <w:rsid w:val="00B67C23"/>
    <w:rsid w:val="00B7079B"/>
    <w:rsid w:val="00B70DC7"/>
    <w:rsid w:val="00B721A4"/>
    <w:rsid w:val="00B72B5B"/>
    <w:rsid w:val="00B72EFF"/>
    <w:rsid w:val="00B73832"/>
    <w:rsid w:val="00B73B26"/>
    <w:rsid w:val="00B73CA9"/>
    <w:rsid w:val="00B750C2"/>
    <w:rsid w:val="00B756CB"/>
    <w:rsid w:val="00B75735"/>
    <w:rsid w:val="00B77142"/>
    <w:rsid w:val="00B80879"/>
    <w:rsid w:val="00B80A2C"/>
    <w:rsid w:val="00B80D3B"/>
    <w:rsid w:val="00B8135C"/>
    <w:rsid w:val="00B814BB"/>
    <w:rsid w:val="00B81730"/>
    <w:rsid w:val="00B81C0E"/>
    <w:rsid w:val="00B81F60"/>
    <w:rsid w:val="00B82123"/>
    <w:rsid w:val="00B823D4"/>
    <w:rsid w:val="00B8314A"/>
    <w:rsid w:val="00B83E61"/>
    <w:rsid w:val="00B841AC"/>
    <w:rsid w:val="00B85869"/>
    <w:rsid w:val="00B85873"/>
    <w:rsid w:val="00B85E95"/>
    <w:rsid w:val="00B865B0"/>
    <w:rsid w:val="00B865DC"/>
    <w:rsid w:val="00B870E8"/>
    <w:rsid w:val="00B875E3"/>
    <w:rsid w:val="00B87C29"/>
    <w:rsid w:val="00B90780"/>
    <w:rsid w:val="00B90968"/>
    <w:rsid w:val="00B90BC6"/>
    <w:rsid w:val="00B91BC2"/>
    <w:rsid w:val="00B9240D"/>
    <w:rsid w:val="00B9358B"/>
    <w:rsid w:val="00B94960"/>
    <w:rsid w:val="00B94AF7"/>
    <w:rsid w:val="00B96F6E"/>
    <w:rsid w:val="00BA0185"/>
    <w:rsid w:val="00BA22A8"/>
    <w:rsid w:val="00BA309F"/>
    <w:rsid w:val="00BA3E48"/>
    <w:rsid w:val="00BA4905"/>
    <w:rsid w:val="00BA4BD3"/>
    <w:rsid w:val="00BA535D"/>
    <w:rsid w:val="00BA6E49"/>
    <w:rsid w:val="00BB0187"/>
    <w:rsid w:val="00BB06E7"/>
    <w:rsid w:val="00BB0E56"/>
    <w:rsid w:val="00BB1EB3"/>
    <w:rsid w:val="00BB2147"/>
    <w:rsid w:val="00BB2678"/>
    <w:rsid w:val="00BB3077"/>
    <w:rsid w:val="00BB33A8"/>
    <w:rsid w:val="00BB3927"/>
    <w:rsid w:val="00BB3D8C"/>
    <w:rsid w:val="00BB4B39"/>
    <w:rsid w:val="00BB53AF"/>
    <w:rsid w:val="00BB5883"/>
    <w:rsid w:val="00BB5C26"/>
    <w:rsid w:val="00BB6A40"/>
    <w:rsid w:val="00BC013A"/>
    <w:rsid w:val="00BC162A"/>
    <w:rsid w:val="00BC2060"/>
    <w:rsid w:val="00BC2343"/>
    <w:rsid w:val="00BC5824"/>
    <w:rsid w:val="00BC584D"/>
    <w:rsid w:val="00BC5CD5"/>
    <w:rsid w:val="00BC702F"/>
    <w:rsid w:val="00BD0ECF"/>
    <w:rsid w:val="00BD1BD7"/>
    <w:rsid w:val="00BD30C8"/>
    <w:rsid w:val="00BD38F4"/>
    <w:rsid w:val="00BD3EB4"/>
    <w:rsid w:val="00BD4C5B"/>
    <w:rsid w:val="00BD50EA"/>
    <w:rsid w:val="00BD5359"/>
    <w:rsid w:val="00BD54DB"/>
    <w:rsid w:val="00BD5C65"/>
    <w:rsid w:val="00BD7BCC"/>
    <w:rsid w:val="00BE0717"/>
    <w:rsid w:val="00BE16E9"/>
    <w:rsid w:val="00BE2730"/>
    <w:rsid w:val="00BE280A"/>
    <w:rsid w:val="00BE2A17"/>
    <w:rsid w:val="00BE31BE"/>
    <w:rsid w:val="00BE3A1D"/>
    <w:rsid w:val="00BE3B33"/>
    <w:rsid w:val="00BE3B92"/>
    <w:rsid w:val="00BE41BF"/>
    <w:rsid w:val="00BE487E"/>
    <w:rsid w:val="00BE4E5D"/>
    <w:rsid w:val="00BE6018"/>
    <w:rsid w:val="00BE7086"/>
    <w:rsid w:val="00BE7278"/>
    <w:rsid w:val="00BE7735"/>
    <w:rsid w:val="00BF1F57"/>
    <w:rsid w:val="00BF20FD"/>
    <w:rsid w:val="00BF2239"/>
    <w:rsid w:val="00BF22C6"/>
    <w:rsid w:val="00BF34C2"/>
    <w:rsid w:val="00BF3804"/>
    <w:rsid w:val="00BF3B4E"/>
    <w:rsid w:val="00BF4040"/>
    <w:rsid w:val="00BF4086"/>
    <w:rsid w:val="00BF426C"/>
    <w:rsid w:val="00BF4594"/>
    <w:rsid w:val="00BF4BF3"/>
    <w:rsid w:val="00BF5370"/>
    <w:rsid w:val="00BF577F"/>
    <w:rsid w:val="00BF58D0"/>
    <w:rsid w:val="00BF6027"/>
    <w:rsid w:val="00BF6702"/>
    <w:rsid w:val="00BF6D7A"/>
    <w:rsid w:val="00BF7853"/>
    <w:rsid w:val="00BF787C"/>
    <w:rsid w:val="00BF7952"/>
    <w:rsid w:val="00BF7D0C"/>
    <w:rsid w:val="00BF7D6A"/>
    <w:rsid w:val="00C0021D"/>
    <w:rsid w:val="00C00300"/>
    <w:rsid w:val="00C00A6C"/>
    <w:rsid w:val="00C00B19"/>
    <w:rsid w:val="00C00B8B"/>
    <w:rsid w:val="00C013E1"/>
    <w:rsid w:val="00C01611"/>
    <w:rsid w:val="00C016E9"/>
    <w:rsid w:val="00C02BDB"/>
    <w:rsid w:val="00C02D59"/>
    <w:rsid w:val="00C02FE3"/>
    <w:rsid w:val="00C030B6"/>
    <w:rsid w:val="00C03284"/>
    <w:rsid w:val="00C03B3A"/>
    <w:rsid w:val="00C03CD4"/>
    <w:rsid w:val="00C04694"/>
    <w:rsid w:val="00C050C4"/>
    <w:rsid w:val="00C050D7"/>
    <w:rsid w:val="00C05AAA"/>
    <w:rsid w:val="00C05B5F"/>
    <w:rsid w:val="00C06125"/>
    <w:rsid w:val="00C065C2"/>
    <w:rsid w:val="00C0703A"/>
    <w:rsid w:val="00C10086"/>
    <w:rsid w:val="00C104CC"/>
    <w:rsid w:val="00C106B3"/>
    <w:rsid w:val="00C11521"/>
    <w:rsid w:val="00C13912"/>
    <w:rsid w:val="00C14156"/>
    <w:rsid w:val="00C142AD"/>
    <w:rsid w:val="00C142C1"/>
    <w:rsid w:val="00C14A30"/>
    <w:rsid w:val="00C152FE"/>
    <w:rsid w:val="00C15D1B"/>
    <w:rsid w:val="00C16013"/>
    <w:rsid w:val="00C16739"/>
    <w:rsid w:val="00C168DD"/>
    <w:rsid w:val="00C172F3"/>
    <w:rsid w:val="00C176CC"/>
    <w:rsid w:val="00C21031"/>
    <w:rsid w:val="00C221B9"/>
    <w:rsid w:val="00C225EA"/>
    <w:rsid w:val="00C22CCE"/>
    <w:rsid w:val="00C23035"/>
    <w:rsid w:val="00C232BC"/>
    <w:rsid w:val="00C234F0"/>
    <w:rsid w:val="00C23BA2"/>
    <w:rsid w:val="00C23BEA"/>
    <w:rsid w:val="00C2485F"/>
    <w:rsid w:val="00C248B1"/>
    <w:rsid w:val="00C24B63"/>
    <w:rsid w:val="00C2542B"/>
    <w:rsid w:val="00C25C1B"/>
    <w:rsid w:val="00C262A0"/>
    <w:rsid w:val="00C26A4E"/>
    <w:rsid w:val="00C2755C"/>
    <w:rsid w:val="00C27E4C"/>
    <w:rsid w:val="00C303F3"/>
    <w:rsid w:val="00C31195"/>
    <w:rsid w:val="00C31774"/>
    <w:rsid w:val="00C3180E"/>
    <w:rsid w:val="00C32AF2"/>
    <w:rsid w:val="00C33051"/>
    <w:rsid w:val="00C33204"/>
    <w:rsid w:val="00C338EB"/>
    <w:rsid w:val="00C33F75"/>
    <w:rsid w:val="00C34389"/>
    <w:rsid w:val="00C3465D"/>
    <w:rsid w:val="00C347D5"/>
    <w:rsid w:val="00C371C9"/>
    <w:rsid w:val="00C379E9"/>
    <w:rsid w:val="00C379FD"/>
    <w:rsid w:val="00C37A8A"/>
    <w:rsid w:val="00C403CD"/>
    <w:rsid w:val="00C411C4"/>
    <w:rsid w:val="00C42041"/>
    <w:rsid w:val="00C434C4"/>
    <w:rsid w:val="00C43934"/>
    <w:rsid w:val="00C439FB"/>
    <w:rsid w:val="00C43AA8"/>
    <w:rsid w:val="00C43F23"/>
    <w:rsid w:val="00C441A4"/>
    <w:rsid w:val="00C444F3"/>
    <w:rsid w:val="00C463C9"/>
    <w:rsid w:val="00C466CF"/>
    <w:rsid w:val="00C47648"/>
    <w:rsid w:val="00C47852"/>
    <w:rsid w:val="00C50011"/>
    <w:rsid w:val="00C510DB"/>
    <w:rsid w:val="00C51C77"/>
    <w:rsid w:val="00C5220D"/>
    <w:rsid w:val="00C5254B"/>
    <w:rsid w:val="00C526A2"/>
    <w:rsid w:val="00C54F7F"/>
    <w:rsid w:val="00C55D39"/>
    <w:rsid w:val="00C55FBF"/>
    <w:rsid w:val="00C5718C"/>
    <w:rsid w:val="00C57E68"/>
    <w:rsid w:val="00C601C9"/>
    <w:rsid w:val="00C6200C"/>
    <w:rsid w:val="00C6212F"/>
    <w:rsid w:val="00C623C6"/>
    <w:rsid w:val="00C62AB0"/>
    <w:rsid w:val="00C62F35"/>
    <w:rsid w:val="00C631D3"/>
    <w:rsid w:val="00C645E6"/>
    <w:rsid w:val="00C6464F"/>
    <w:rsid w:val="00C64813"/>
    <w:rsid w:val="00C64D82"/>
    <w:rsid w:val="00C64FBC"/>
    <w:rsid w:val="00C657A6"/>
    <w:rsid w:val="00C65A83"/>
    <w:rsid w:val="00C66A00"/>
    <w:rsid w:val="00C66CBE"/>
    <w:rsid w:val="00C67118"/>
    <w:rsid w:val="00C67276"/>
    <w:rsid w:val="00C67760"/>
    <w:rsid w:val="00C67DDD"/>
    <w:rsid w:val="00C70139"/>
    <w:rsid w:val="00C70A09"/>
    <w:rsid w:val="00C7191D"/>
    <w:rsid w:val="00C72C6F"/>
    <w:rsid w:val="00C73183"/>
    <w:rsid w:val="00C7350B"/>
    <w:rsid w:val="00C73F2D"/>
    <w:rsid w:val="00C74453"/>
    <w:rsid w:val="00C7473A"/>
    <w:rsid w:val="00C75AB0"/>
    <w:rsid w:val="00C7606F"/>
    <w:rsid w:val="00C76166"/>
    <w:rsid w:val="00C76B7B"/>
    <w:rsid w:val="00C76BBD"/>
    <w:rsid w:val="00C76DE2"/>
    <w:rsid w:val="00C772BA"/>
    <w:rsid w:val="00C802D1"/>
    <w:rsid w:val="00C8036C"/>
    <w:rsid w:val="00C80CD8"/>
    <w:rsid w:val="00C80F23"/>
    <w:rsid w:val="00C81151"/>
    <w:rsid w:val="00C82255"/>
    <w:rsid w:val="00C82CC6"/>
    <w:rsid w:val="00C839CB"/>
    <w:rsid w:val="00C840DF"/>
    <w:rsid w:val="00C84593"/>
    <w:rsid w:val="00C850A3"/>
    <w:rsid w:val="00C85C32"/>
    <w:rsid w:val="00C85F45"/>
    <w:rsid w:val="00C86C8C"/>
    <w:rsid w:val="00C87568"/>
    <w:rsid w:val="00C87CA8"/>
    <w:rsid w:val="00C87FD0"/>
    <w:rsid w:val="00C90628"/>
    <w:rsid w:val="00C90DB6"/>
    <w:rsid w:val="00C915A6"/>
    <w:rsid w:val="00C92603"/>
    <w:rsid w:val="00C92652"/>
    <w:rsid w:val="00C9394F"/>
    <w:rsid w:val="00C93B1A"/>
    <w:rsid w:val="00C9444E"/>
    <w:rsid w:val="00C96F5F"/>
    <w:rsid w:val="00C97055"/>
    <w:rsid w:val="00CA194C"/>
    <w:rsid w:val="00CA2596"/>
    <w:rsid w:val="00CA2670"/>
    <w:rsid w:val="00CA2B4F"/>
    <w:rsid w:val="00CA30C3"/>
    <w:rsid w:val="00CA5927"/>
    <w:rsid w:val="00CA635E"/>
    <w:rsid w:val="00CA6BB0"/>
    <w:rsid w:val="00CA70CE"/>
    <w:rsid w:val="00CA74B3"/>
    <w:rsid w:val="00CA79EC"/>
    <w:rsid w:val="00CB002C"/>
    <w:rsid w:val="00CB09E3"/>
    <w:rsid w:val="00CB1E4B"/>
    <w:rsid w:val="00CB24BA"/>
    <w:rsid w:val="00CB259F"/>
    <w:rsid w:val="00CB39C2"/>
    <w:rsid w:val="00CB3E38"/>
    <w:rsid w:val="00CB4C8C"/>
    <w:rsid w:val="00CB4E90"/>
    <w:rsid w:val="00CB5850"/>
    <w:rsid w:val="00CB5C99"/>
    <w:rsid w:val="00CB5DBA"/>
    <w:rsid w:val="00CB633B"/>
    <w:rsid w:val="00CB6782"/>
    <w:rsid w:val="00CB6E3E"/>
    <w:rsid w:val="00CC080A"/>
    <w:rsid w:val="00CC0D0F"/>
    <w:rsid w:val="00CC1275"/>
    <w:rsid w:val="00CC12EE"/>
    <w:rsid w:val="00CC3341"/>
    <w:rsid w:val="00CC3767"/>
    <w:rsid w:val="00CC5767"/>
    <w:rsid w:val="00CC5D2F"/>
    <w:rsid w:val="00CC68CC"/>
    <w:rsid w:val="00CC701E"/>
    <w:rsid w:val="00CC7735"/>
    <w:rsid w:val="00CD0310"/>
    <w:rsid w:val="00CD2E48"/>
    <w:rsid w:val="00CD4491"/>
    <w:rsid w:val="00CD4826"/>
    <w:rsid w:val="00CD4E19"/>
    <w:rsid w:val="00CD6219"/>
    <w:rsid w:val="00CD700F"/>
    <w:rsid w:val="00CD7319"/>
    <w:rsid w:val="00CE027B"/>
    <w:rsid w:val="00CE148E"/>
    <w:rsid w:val="00CE208D"/>
    <w:rsid w:val="00CE2453"/>
    <w:rsid w:val="00CE28F0"/>
    <w:rsid w:val="00CE356D"/>
    <w:rsid w:val="00CE3FA4"/>
    <w:rsid w:val="00CE44F8"/>
    <w:rsid w:val="00CE4942"/>
    <w:rsid w:val="00CE5277"/>
    <w:rsid w:val="00CE57E9"/>
    <w:rsid w:val="00CE5B4D"/>
    <w:rsid w:val="00CE614C"/>
    <w:rsid w:val="00CE6358"/>
    <w:rsid w:val="00CE6686"/>
    <w:rsid w:val="00CE6E97"/>
    <w:rsid w:val="00CE7868"/>
    <w:rsid w:val="00CE796C"/>
    <w:rsid w:val="00CF1B70"/>
    <w:rsid w:val="00CF1DD1"/>
    <w:rsid w:val="00CF2161"/>
    <w:rsid w:val="00CF2307"/>
    <w:rsid w:val="00CF26AE"/>
    <w:rsid w:val="00CF2D54"/>
    <w:rsid w:val="00CF311F"/>
    <w:rsid w:val="00CF5047"/>
    <w:rsid w:val="00CF6911"/>
    <w:rsid w:val="00D000DA"/>
    <w:rsid w:val="00D002E7"/>
    <w:rsid w:val="00D01344"/>
    <w:rsid w:val="00D01B90"/>
    <w:rsid w:val="00D024CD"/>
    <w:rsid w:val="00D034DA"/>
    <w:rsid w:val="00D03538"/>
    <w:rsid w:val="00D03790"/>
    <w:rsid w:val="00D0421D"/>
    <w:rsid w:val="00D046FD"/>
    <w:rsid w:val="00D047F7"/>
    <w:rsid w:val="00D049B8"/>
    <w:rsid w:val="00D04C8A"/>
    <w:rsid w:val="00D0516C"/>
    <w:rsid w:val="00D05B56"/>
    <w:rsid w:val="00D05C2F"/>
    <w:rsid w:val="00D05EE7"/>
    <w:rsid w:val="00D068D0"/>
    <w:rsid w:val="00D06FE0"/>
    <w:rsid w:val="00D07211"/>
    <w:rsid w:val="00D07307"/>
    <w:rsid w:val="00D076A9"/>
    <w:rsid w:val="00D07754"/>
    <w:rsid w:val="00D078D1"/>
    <w:rsid w:val="00D1113D"/>
    <w:rsid w:val="00D1293B"/>
    <w:rsid w:val="00D129A8"/>
    <w:rsid w:val="00D12FB9"/>
    <w:rsid w:val="00D135F2"/>
    <w:rsid w:val="00D13D00"/>
    <w:rsid w:val="00D147C0"/>
    <w:rsid w:val="00D15696"/>
    <w:rsid w:val="00D15C51"/>
    <w:rsid w:val="00D16C68"/>
    <w:rsid w:val="00D200BD"/>
    <w:rsid w:val="00D201AA"/>
    <w:rsid w:val="00D204A7"/>
    <w:rsid w:val="00D20AA5"/>
    <w:rsid w:val="00D22399"/>
    <w:rsid w:val="00D2559A"/>
    <w:rsid w:val="00D2662C"/>
    <w:rsid w:val="00D27FA3"/>
    <w:rsid w:val="00D308D7"/>
    <w:rsid w:val="00D3176C"/>
    <w:rsid w:val="00D31B3F"/>
    <w:rsid w:val="00D33751"/>
    <w:rsid w:val="00D34738"/>
    <w:rsid w:val="00D3486B"/>
    <w:rsid w:val="00D34C2B"/>
    <w:rsid w:val="00D35947"/>
    <w:rsid w:val="00D35D4A"/>
    <w:rsid w:val="00D36F6E"/>
    <w:rsid w:val="00D372B0"/>
    <w:rsid w:val="00D37343"/>
    <w:rsid w:val="00D415F5"/>
    <w:rsid w:val="00D41960"/>
    <w:rsid w:val="00D4205E"/>
    <w:rsid w:val="00D47399"/>
    <w:rsid w:val="00D47475"/>
    <w:rsid w:val="00D478E1"/>
    <w:rsid w:val="00D47BB2"/>
    <w:rsid w:val="00D47D04"/>
    <w:rsid w:val="00D5056A"/>
    <w:rsid w:val="00D508DC"/>
    <w:rsid w:val="00D510A0"/>
    <w:rsid w:val="00D527EE"/>
    <w:rsid w:val="00D529C4"/>
    <w:rsid w:val="00D53929"/>
    <w:rsid w:val="00D539D0"/>
    <w:rsid w:val="00D540DC"/>
    <w:rsid w:val="00D543C0"/>
    <w:rsid w:val="00D55616"/>
    <w:rsid w:val="00D5574C"/>
    <w:rsid w:val="00D55DAC"/>
    <w:rsid w:val="00D6153F"/>
    <w:rsid w:val="00D61982"/>
    <w:rsid w:val="00D61EA9"/>
    <w:rsid w:val="00D61EFF"/>
    <w:rsid w:val="00D62655"/>
    <w:rsid w:val="00D6267A"/>
    <w:rsid w:val="00D62998"/>
    <w:rsid w:val="00D62999"/>
    <w:rsid w:val="00D647DE"/>
    <w:rsid w:val="00D6501F"/>
    <w:rsid w:val="00D65347"/>
    <w:rsid w:val="00D67D12"/>
    <w:rsid w:val="00D705FF"/>
    <w:rsid w:val="00D70B0C"/>
    <w:rsid w:val="00D7145C"/>
    <w:rsid w:val="00D73A88"/>
    <w:rsid w:val="00D744BC"/>
    <w:rsid w:val="00D7489E"/>
    <w:rsid w:val="00D7585A"/>
    <w:rsid w:val="00D77337"/>
    <w:rsid w:val="00D77C53"/>
    <w:rsid w:val="00D77E96"/>
    <w:rsid w:val="00D80618"/>
    <w:rsid w:val="00D807DF"/>
    <w:rsid w:val="00D80862"/>
    <w:rsid w:val="00D82339"/>
    <w:rsid w:val="00D82494"/>
    <w:rsid w:val="00D82FF2"/>
    <w:rsid w:val="00D83774"/>
    <w:rsid w:val="00D83C27"/>
    <w:rsid w:val="00D84A4B"/>
    <w:rsid w:val="00D85686"/>
    <w:rsid w:val="00D877B1"/>
    <w:rsid w:val="00D90A81"/>
    <w:rsid w:val="00D90B7D"/>
    <w:rsid w:val="00D90DCE"/>
    <w:rsid w:val="00D91873"/>
    <w:rsid w:val="00D92168"/>
    <w:rsid w:val="00D9231C"/>
    <w:rsid w:val="00D9264D"/>
    <w:rsid w:val="00D9292C"/>
    <w:rsid w:val="00D92A5E"/>
    <w:rsid w:val="00D935BD"/>
    <w:rsid w:val="00D93F1F"/>
    <w:rsid w:val="00D940B5"/>
    <w:rsid w:val="00D9582D"/>
    <w:rsid w:val="00D95CB0"/>
    <w:rsid w:val="00D9640C"/>
    <w:rsid w:val="00D9654F"/>
    <w:rsid w:val="00D966FE"/>
    <w:rsid w:val="00D97417"/>
    <w:rsid w:val="00D977C0"/>
    <w:rsid w:val="00D97E14"/>
    <w:rsid w:val="00DA00A3"/>
    <w:rsid w:val="00DA13F3"/>
    <w:rsid w:val="00DA199F"/>
    <w:rsid w:val="00DA21E1"/>
    <w:rsid w:val="00DA2DE3"/>
    <w:rsid w:val="00DA3633"/>
    <w:rsid w:val="00DA3B22"/>
    <w:rsid w:val="00DA400B"/>
    <w:rsid w:val="00DA44D6"/>
    <w:rsid w:val="00DA53DE"/>
    <w:rsid w:val="00DA6443"/>
    <w:rsid w:val="00DA64BA"/>
    <w:rsid w:val="00DA6B5E"/>
    <w:rsid w:val="00DA6D55"/>
    <w:rsid w:val="00DA70F5"/>
    <w:rsid w:val="00DA7146"/>
    <w:rsid w:val="00DA716A"/>
    <w:rsid w:val="00DA775D"/>
    <w:rsid w:val="00DA7B82"/>
    <w:rsid w:val="00DB0434"/>
    <w:rsid w:val="00DB1F4F"/>
    <w:rsid w:val="00DB289C"/>
    <w:rsid w:val="00DB2981"/>
    <w:rsid w:val="00DB2B47"/>
    <w:rsid w:val="00DB2CD0"/>
    <w:rsid w:val="00DB347D"/>
    <w:rsid w:val="00DB37EE"/>
    <w:rsid w:val="00DB401F"/>
    <w:rsid w:val="00DB4450"/>
    <w:rsid w:val="00DB4544"/>
    <w:rsid w:val="00DB4EE7"/>
    <w:rsid w:val="00DB521D"/>
    <w:rsid w:val="00DB5971"/>
    <w:rsid w:val="00DB5D51"/>
    <w:rsid w:val="00DB5F53"/>
    <w:rsid w:val="00DB7B69"/>
    <w:rsid w:val="00DC0A2F"/>
    <w:rsid w:val="00DC0DBE"/>
    <w:rsid w:val="00DC0DBF"/>
    <w:rsid w:val="00DC234A"/>
    <w:rsid w:val="00DC2AA0"/>
    <w:rsid w:val="00DC41E4"/>
    <w:rsid w:val="00DC42D9"/>
    <w:rsid w:val="00DC43D0"/>
    <w:rsid w:val="00DC496E"/>
    <w:rsid w:val="00DC5116"/>
    <w:rsid w:val="00DC7C77"/>
    <w:rsid w:val="00DC7FD5"/>
    <w:rsid w:val="00DD02FF"/>
    <w:rsid w:val="00DD24F9"/>
    <w:rsid w:val="00DD26EC"/>
    <w:rsid w:val="00DD2DFB"/>
    <w:rsid w:val="00DD3604"/>
    <w:rsid w:val="00DD39F4"/>
    <w:rsid w:val="00DD3F4D"/>
    <w:rsid w:val="00DD481D"/>
    <w:rsid w:val="00DD5580"/>
    <w:rsid w:val="00DD6F2E"/>
    <w:rsid w:val="00DD72E1"/>
    <w:rsid w:val="00DD7EA2"/>
    <w:rsid w:val="00DD7FA4"/>
    <w:rsid w:val="00DE00F2"/>
    <w:rsid w:val="00DE117F"/>
    <w:rsid w:val="00DE2D17"/>
    <w:rsid w:val="00DE31FD"/>
    <w:rsid w:val="00DE353C"/>
    <w:rsid w:val="00DE401C"/>
    <w:rsid w:val="00DE6E2F"/>
    <w:rsid w:val="00DE6F47"/>
    <w:rsid w:val="00DE7D13"/>
    <w:rsid w:val="00DF1EAE"/>
    <w:rsid w:val="00DF279F"/>
    <w:rsid w:val="00DF2A18"/>
    <w:rsid w:val="00DF3816"/>
    <w:rsid w:val="00DF3818"/>
    <w:rsid w:val="00DF3F94"/>
    <w:rsid w:val="00DF4369"/>
    <w:rsid w:val="00DF49AE"/>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999"/>
    <w:rsid w:val="00E0399E"/>
    <w:rsid w:val="00E042A1"/>
    <w:rsid w:val="00E056A4"/>
    <w:rsid w:val="00E05CF4"/>
    <w:rsid w:val="00E05E82"/>
    <w:rsid w:val="00E07425"/>
    <w:rsid w:val="00E074BE"/>
    <w:rsid w:val="00E1043E"/>
    <w:rsid w:val="00E104FA"/>
    <w:rsid w:val="00E1082A"/>
    <w:rsid w:val="00E10956"/>
    <w:rsid w:val="00E110B5"/>
    <w:rsid w:val="00E11166"/>
    <w:rsid w:val="00E1223C"/>
    <w:rsid w:val="00E12818"/>
    <w:rsid w:val="00E12D39"/>
    <w:rsid w:val="00E13182"/>
    <w:rsid w:val="00E14523"/>
    <w:rsid w:val="00E14972"/>
    <w:rsid w:val="00E14CB9"/>
    <w:rsid w:val="00E151F2"/>
    <w:rsid w:val="00E15383"/>
    <w:rsid w:val="00E15A4E"/>
    <w:rsid w:val="00E15C82"/>
    <w:rsid w:val="00E1738C"/>
    <w:rsid w:val="00E201C0"/>
    <w:rsid w:val="00E20951"/>
    <w:rsid w:val="00E20B2A"/>
    <w:rsid w:val="00E20BB0"/>
    <w:rsid w:val="00E21484"/>
    <w:rsid w:val="00E21ABD"/>
    <w:rsid w:val="00E22775"/>
    <w:rsid w:val="00E22D28"/>
    <w:rsid w:val="00E22F81"/>
    <w:rsid w:val="00E22F87"/>
    <w:rsid w:val="00E230E3"/>
    <w:rsid w:val="00E23C97"/>
    <w:rsid w:val="00E24727"/>
    <w:rsid w:val="00E265A7"/>
    <w:rsid w:val="00E26B61"/>
    <w:rsid w:val="00E27B80"/>
    <w:rsid w:val="00E27FCE"/>
    <w:rsid w:val="00E30E85"/>
    <w:rsid w:val="00E30EDF"/>
    <w:rsid w:val="00E31B43"/>
    <w:rsid w:val="00E31FBA"/>
    <w:rsid w:val="00E32E11"/>
    <w:rsid w:val="00E33513"/>
    <w:rsid w:val="00E33A4F"/>
    <w:rsid w:val="00E33F3E"/>
    <w:rsid w:val="00E341E5"/>
    <w:rsid w:val="00E34315"/>
    <w:rsid w:val="00E35D4B"/>
    <w:rsid w:val="00E35FBC"/>
    <w:rsid w:val="00E36AAE"/>
    <w:rsid w:val="00E3707C"/>
    <w:rsid w:val="00E37198"/>
    <w:rsid w:val="00E3774C"/>
    <w:rsid w:val="00E37F7D"/>
    <w:rsid w:val="00E40620"/>
    <w:rsid w:val="00E41313"/>
    <w:rsid w:val="00E41773"/>
    <w:rsid w:val="00E41ACD"/>
    <w:rsid w:val="00E42C09"/>
    <w:rsid w:val="00E42FE6"/>
    <w:rsid w:val="00E44E78"/>
    <w:rsid w:val="00E460B6"/>
    <w:rsid w:val="00E464D9"/>
    <w:rsid w:val="00E46BD2"/>
    <w:rsid w:val="00E473D4"/>
    <w:rsid w:val="00E474CF"/>
    <w:rsid w:val="00E50BE8"/>
    <w:rsid w:val="00E513F6"/>
    <w:rsid w:val="00E51EC6"/>
    <w:rsid w:val="00E52F3B"/>
    <w:rsid w:val="00E52F80"/>
    <w:rsid w:val="00E536E1"/>
    <w:rsid w:val="00E53D94"/>
    <w:rsid w:val="00E53DEA"/>
    <w:rsid w:val="00E53EAF"/>
    <w:rsid w:val="00E5424B"/>
    <w:rsid w:val="00E544BA"/>
    <w:rsid w:val="00E55B64"/>
    <w:rsid w:val="00E60BE8"/>
    <w:rsid w:val="00E6117A"/>
    <w:rsid w:val="00E616DB"/>
    <w:rsid w:val="00E62442"/>
    <w:rsid w:val="00E627A4"/>
    <w:rsid w:val="00E630ED"/>
    <w:rsid w:val="00E63239"/>
    <w:rsid w:val="00E63CFB"/>
    <w:rsid w:val="00E6437C"/>
    <w:rsid w:val="00E64B66"/>
    <w:rsid w:val="00E65237"/>
    <w:rsid w:val="00E67862"/>
    <w:rsid w:val="00E70ACF"/>
    <w:rsid w:val="00E70D46"/>
    <w:rsid w:val="00E712A9"/>
    <w:rsid w:val="00E713BC"/>
    <w:rsid w:val="00E71F31"/>
    <w:rsid w:val="00E7239C"/>
    <w:rsid w:val="00E72444"/>
    <w:rsid w:val="00E73DEB"/>
    <w:rsid w:val="00E7410F"/>
    <w:rsid w:val="00E74EC5"/>
    <w:rsid w:val="00E75790"/>
    <w:rsid w:val="00E75ED1"/>
    <w:rsid w:val="00E76B86"/>
    <w:rsid w:val="00E77D79"/>
    <w:rsid w:val="00E809F3"/>
    <w:rsid w:val="00E80C21"/>
    <w:rsid w:val="00E80EFF"/>
    <w:rsid w:val="00E8131A"/>
    <w:rsid w:val="00E8167C"/>
    <w:rsid w:val="00E81CA2"/>
    <w:rsid w:val="00E820BD"/>
    <w:rsid w:val="00E8227B"/>
    <w:rsid w:val="00E826BC"/>
    <w:rsid w:val="00E8342F"/>
    <w:rsid w:val="00E84210"/>
    <w:rsid w:val="00E844CD"/>
    <w:rsid w:val="00E847A7"/>
    <w:rsid w:val="00E84FE5"/>
    <w:rsid w:val="00E86682"/>
    <w:rsid w:val="00E86A35"/>
    <w:rsid w:val="00E86A48"/>
    <w:rsid w:val="00E86E79"/>
    <w:rsid w:val="00E90075"/>
    <w:rsid w:val="00E906B4"/>
    <w:rsid w:val="00E9095B"/>
    <w:rsid w:val="00E9145E"/>
    <w:rsid w:val="00E9152D"/>
    <w:rsid w:val="00E918B3"/>
    <w:rsid w:val="00E91B24"/>
    <w:rsid w:val="00E91DEC"/>
    <w:rsid w:val="00E926B8"/>
    <w:rsid w:val="00E927BF"/>
    <w:rsid w:val="00E936DA"/>
    <w:rsid w:val="00E9399B"/>
    <w:rsid w:val="00E939A7"/>
    <w:rsid w:val="00E94008"/>
    <w:rsid w:val="00E94762"/>
    <w:rsid w:val="00E94B75"/>
    <w:rsid w:val="00E956BA"/>
    <w:rsid w:val="00E959E6"/>
    <w:rsid w:val="00E96B52"/>
    <w:rsid w:val="00E97D31"/>
    <w:rsid w:val="00EA0018"/>
    <w:rsid w:val="00EA08BE"/>
    <w:rsid w:val="00EA0A85"/>
    <w:rsid w:val="00EA14B0"/>
    <w:rsid w:val="00EA2244"/>
    <w:rsid w:val="00EA2417"/>
    <w:rsid w:val="00EA2EC5"/>
    <w:rsid w:val="00EA4DDC"/>
    <w:rsid w:val="00EA6FA7"/>
    <w:rsid w:val="00EB067F"/>
    <w:rsid w:val="00EB07BA"/>
    <w:rsid w:val="00EB17BE"/>
    <w:rsid w:val="00EB18B8"/>
    <w:rsid w:val="00EB1A1B"/>
    <w:rsid w:val="00EB1F02"/>
    <w:rsid w:val="00EB2E64"/>
    <w:rsid w:val="00EB3290"/>
    <w:rsid w:val="00EB3D4B"/>
    <w:rsid w:val="00EB5BC5"/>
    <w:rsid w:val="00EB6097"/>
    <w:rsid w:val="00EB6212"/>
    <w:rsid w:val="00EB6BB5"/>
    <w:rsid w:val="00EB6E30"/>
    <w:rsid w:val="00EB7618"/>
    <w:rsid w:val="00EB7B51"/>
    <w:rsid w:val="00EB7F93"/>
    <w:rsid w:val="00EC086C"/>
    <w:rsid w:val="00EC100B"/>
    <w:rsid w:val="00EC1720"/>
    <w:rsid w:val="00EC2DB7"/>
    <w:rsid w:val="00EC337D"/>
    <w:rsid w:val="00EC42D0"/>
    <w:rsid w:val="00EC4784"/>
    <w:rsid w:val="00EC599D"/>
    <w:rsid w:val="00EC638F"/>
    <w:rsid w:val="00EC6F34"/>
    <w:rsid w:val="00EC7927"/>
    <w:rsid w:val="00ED095E"/>
    <w:rsid w:val="00ED0CB9"/>
    <w:rsid w:val="00ED1319"/>
    <w:rsid w:val="00ED1A0B"/>
    <w:rsid w:val="00ED27DD"/>
    <w:rsid w:val="00ED4046"/>
    <w:rsid w:val="00ED5162"/>
    <w:rsid w:val="00ED53EF"/>
    <w:rsid w:val="00ED5669"/>
    <w:rsid w:val="00ED5DF2"/>
    <w:rsid w:val="00ED697C"/>
    <w:rsid w:val="00EE06CA"/>
    <w:rsid w:val="00EE1CF9"/>
    <w:rsid w:val="00EE2F83"/>
    <w:rsid w:val="00EE3319"/>
    <w:rsid w:val="00EE43AD"/>
    <w:rsid w:val="00EE4874"/>
    <w:rsid w:val="00EE48D6"/>
    <w:rsid w:val="00EE4A6E"/>
    <w:rsid w:val="00EE4BAB"/>
    <w:rsid w:val="00EE6D39"/>
    <w:rsid w:val="00EE7922"/>
    <w:rsid w:val="00EE79A6"/>
    <w:rsid w:val="00EF11DF"/>
    <w:rsid w:val="00EF130D"/>
    <w:rsid w:val="00EF30E0"/>
    <w:rsid w:val="00EF3943"/>
    <w:rsid w:val="00EF3D05"/>
    <w:rsid w:val="00EF42CF"/>
    <w:rsid w:val="00EF5403"/>
    <w:rsid w:val="00EF567D"/>
    <w:rsid w:val="00EF5F11"/>
    <w:rsid w:val="00EF6111"/>
    <w:rsid w:val="00EF6D0C"/>
    <w:rsid w:val="00EF79F2"/>
    <w:rsid w:val="00F005A0"/>
    <w:rsid w:val="00F017B1"/>
    <w:rsid w:val="00F01835"/>
    <w:rsid w:val="00F01DE9"/>
    <w:rsid w:val="00F0229D"/>
    <w:rsid w:val="00F02B1B"/>
    <w:rsid w:val="00F032BB"/>
    <w:rsid w:val="00F032C8"/>
    <w:rsid w:val="00F03567"/>
    <w:rsid w:val="00F03DD3"/>
    <w:rsid w:val="00F044C6"/>
    <w:rsid w:val="00F047A3"/>
    <w:rsid w:val="00F04BBE"/>
    <w:rsid w:val="00F05828"/>
    <w:rsid w:val="00F06616"/>
    <w:rsid w:val="00F07001"/>
    <w:rsid w:val="00F07263"/>
    <w:rsid w:val="00F07485"/>
    <w:rsid w:val="00F10BC6"/>
    <w:rsid w:val="00F10C5B"/>
    <w:rsid w:val="00F11352"/>
    <w:rsid w:val="00F11AD0"/>
    <w:rsid w:val="00F12238"/>
    <w:rsid w:val="00F12313"/>
    <w:rsid w:val="00F13D34"/>
    <w:rsid w:val="00F14602"/>
    <w:rsid w:val="00F1498D"/>
    <w:rsid w:val="00F14DDF"/>
    <w:rsid w:val="00F152AD"/>
    <w:rsid w:val="00F15BA3"/>
    <w:rsid w:val="00F15BB3"/>
    <w:rsid w:val="00F165B7"/>
    <w:rsid w:val="00F20C9C"/>
    <w:rsid w:val="00F20F8D"/>
    <w:rsid w:val="00F21827"/>
    <w:rsid w:val="00F21A00"/>
    <w:rsid w:val="00F2285F"/>
    <w:rsid w:val="00F23155"/>
    <w:rsid w:val="00F23EE4"/>
    <w:rsid w:val="00F24236"/>
    <w:rsid w:val="00F24E0E"/>
    <w:rsid w:val="00F25707"/>
    <w:rsid w:val="00F26693"/>
    <w:rsid w:val="00F26A13"/>
    <w:rsid w:val="00F26ADF"/>
    <w:rsid w:val="00F27B5F"/>
    <w:rsid w:val="00F27D3B"/>
    <w:rsid w:val="00F300C1"/>
    <w:rsid w:val="00F306ED"/>
    <w:rsid w:val="00F31261"/>
    <w:rsid w:val="00F31697"/>
    <w:rsid w:val="00F31BB3"/>
    <w:rsid w:val="00F31C67"/>
    <w:rsid w:val="00F31E27"/>
    <w:rsid w:val="00F323C3"/>
    <w:rsid w:val="00F32A15"/>
    <w:rsid w:val="00F32A89"/>
    <w:rsid w:val="00F32EE6"/>
    <w:rsid w:val="00F32F3C"/>
    <w:rsid w:val="00F339EC"/>
    <w:rsid w:val="00F33A65"/>
    <w:rsid w:val="00F33E17"/>
    <w:rsid w:val="00F3443B"/>
    <w:rsid w:val="00F34FDD"/>
    <w:rsid w:val="00F35279"/>
    <w:rsid w:val="00F35923"/>
    <w:rsid w:val="00F35F1A"/>
    <w:rsid w:val="00F36130"/>
    <w:rsid w:val="00F3644F"/>
    <w:rsid w:val="00F36B71"/>
    <w:rsid w:val="00F373AE"/>
    <w:rsid w:val="00F4032F"/>
    <w:rsid w:val="00F40360"/>
    <w:rsid w:val="00F40444"/>
    <w:rsid w:val="00F40A4C"/>
    <w:rsid w:val="00F40CE6"/>
    <w:rsid w:val="00F40F15"/>
    <w:rsid w:val="00F410E7"/>
    <w:rsid w:val="00F41B59"/>
    <w:rsid w:val="00F42099"/>
    <w:rsid w:val="00F423BD"/>
    <w:rsid w:val="00F431C5"/>
    <w:rsid w:val="00F432FF"/>
    <w:rsid w:val="00F456D2"/>
    <w:rsid w:val="00F45B08"/>
    <w:rsid w:val="00F46431"/>
    <w:rsid w:val="00F469AD"/>
    <w:rsid w:val="00F4715C"/>
    <w:rsid w:val="00F47C9F"/>
    <w:rsid w:val="00F50CE8"/>
    <w:rsid w:val="00F51256"/>
    <w:rsid w:val="00F51361"/>
    <w:rsid w:val="00F52330"/>
    <w:rsid w:val="00F52407"/>
    <w:rsid w:val="00F535B5"/>
    <w:rsid w:val="00F53C7C"/>
    <w:rsid w:val="00F541F0"/>
    <w:rsid w:val="00F54603"/>
    <w:rsid w:val="00F54772"/>
    <w:rsid w:val="00F54869"/>
    <w:rsid w:val="00F556B2"/>
    <w:rsid w:val="00F55FD4"/>
    <w:rsid w:val="00F565E8"/>
    <w:rsid w:val="00F56CB4"/>
    <w:rsid w:val="00F5754B"/>
    <w:rsid w:val="00F576DE"/>
    <w:rsid w:val="00F57747"/>
    <w:rsid w:val="00F57898"/>
    <w:rsid w:val="00F578BC"/>
    <w:rsid w:val="00F601EF"/>
    <w:rsid w:val="00F606E4"/>
    <w:rsid w:val="00F62584"/>
    <w:rsid w:val="00F633F1"/>
    <w:rsid w:val="00F63BF7"/>
    <w:rsid w:val="00F6453E"/>
    <w:rsid w:val="00F64FAD"/>
    <w:rsid w:val="00F65215"/>
    <w:rsid w:val="00F65617"/>
    <w:rsid w:val="00F65A88"/>
    <w:rsid w:val="00F66494"/>
    <w:rsid w:val="00F710BE"/>
    <w:rsid w:val="00F712C1"/>
    <w:rsid w:val="00F71D7B"/>
    <w:rsid w:val="00F72016"/>
    <w:rsid w:val="00F72D3F"/>
    <w:rsid w:val="00F72DAD"/>
    <w:rsid w:val="00F72FAE"/>
    <w:rsid w:val="00F736D2"/>
    <w:rsid w:val="00F73953"/>
    <w:rsid w:val="00F74F0A"/>
    <w:rsid w:val="00F7564C"/>
    <w:rsid w:val="00F76220"/>
    <w:rsid w:val="00F769BE"/>
    <w:rsid w:val="00F7735C"/>
    <w:rsid w:val="00F77BD5"/>
    <w:rsid w:val="00F8164A"/>
    <w:rsid w:val="00F8216D"/>
    <w:rsid w:val="00F82E6B"/>
    <w:rsid w:val="00F83662"/>
    <w:rsid w:val="00F838C0"/>
    <w:rsid w:val="00F85F83"/>
    <w:rsid w:val="00F86F3C"/>
    <w:rsid w:val="00F91246"/>
    <w:rsid w:val="00F912FD"/>
    <w:rsid w:val="00F91593"/>
    <w:rsid w:val="00F91D43"/>
    <w:rsid w:val="00F9254F"/>
    <w:rsid w:val="00F9367F"/>
    <w:rsid w:val="00F94DDB"/>
    <w:rsid w:val="00F95411"/>
    <w:rsid w:val="00F95642"/>
    <w:rsid w:val="00F95E55"/>
    <w:rsid w:val="00F96339"/>
    <w:rsid w:val="00F97859"/>
    <w:rsid w:val="00F97973"/>
    <w:rsid w:val="00F97B71"/>
    <w:rsid w:val="00FA06A3"/>
    <w:rsid w:val="00FA2CFC"/>
    <w:rsid w:val="00FA2DDA"/>
    <w:rsid w:val="00FA34CA"/>
    <w:rsid w:val="00FA3E3E"/>
    <w:rsid w:val="00FA4A55"/>
    <w:rsid w:val="00FA4D4F"/>
    <w:rsid w:val="00FA54E8"/>
    <w:rsid w:val="00FA5A36"/>
    <w:rsid w:val="00FA5FE8"/>
    <w:rsid w:val="00FA668B"/>
    <w:rsid w:val="00FA67CF"/>
    <w:rsid w:val="00FA6C3E"/>
    <w:rsid w:val="00FA6CFA"/>
    <w:rsid w:val="00FB0D68"/>
    <w:rsid w:val="00FB232C"/>
    <w:rsid w:val="00FB2D17"/>
    <w:rsid w:val="00FB2F69"/>
    <w:rsid w:val="00FB368B"/>
    <w:rsid w:val="00FB3A3A"/>
    <w:rsid w:val="00FB4217"/>
    <w:rsid w:val="00FB4379"/>
    <w:rsid w:val="00FB45FF"/>
    <w:rsid w:val="00FB5D97"/>
    <w:rsid w:val="00FB61EA"/>
    <w:rsid w:val="00FB6C7A"/>
    <w:rsid w:val="00FB732E"/>
    <w:rsid w:val="00FB79F7"/>
    <w:rsid w:val="00FC09E7"/>
    <w:rsid w:val="00FC1A5A"/>
    <w:rsid w:val="00FC1CA5"/>
    <w:rsid w:val="00FC1D8E"/>
    <w:rsid w:val="00FC2733"/>
    <w:rsid w:val="00FC2979"/>
    <w:rsid w:val="00FC45CB"/>
    <w:rsid w:val="00FC6D6C"/>
    <w:rsid w:val="00FD1C3C"/>
    <w:rsid w:val="00FD24F6"/>
    <w:rsid w:val="00FD2D6C"/>
    <w:rsid w:val="00FD2DB1"/>
    <w:rsid w:val="00FD3669"/>
    <w:rsid w:val="00FD38A8"/>
    <w:rsid w:val="00FD3AB2"/>
    <w:rsid w:val="00FD634B"/>
    <w:rsid w:val="00FD6854"/>
    <w:rsid w:val="00FD6859"/>
    <w:rsid w:val="00FD6AC8"/>
    <w:rsid w:val="00FD772D"/>
    <w:rsid w:val="00FE02F8"/>
    <w:rsid w:val="00FE0A6C"/>
    <w:rsid w:val="00FE1727"/>
    <w:rsid w:val="00FE2F58"/>
    <w:rsid w:val="00FE362F"/>
    <w:rsid w:val="00FE3638"/>
    <w:rsid w:val="00FE3A67"/>
    <w:rsid w:val="00FE3EA1"/>
    <w:rsid w:val="00FE4818"/>
    <w:rsid w:val="00FE4CA4"/>
    <w:rsid w:val="00FE5AE4"/>
    <w:rsid w:val="00FE5D80"/>
    <w:rsid w:val="00FE637F"/>
    <w:rsid w:val="00FE64EE"/>
    <w:rsid w:val="00FE668D"/>
    <w:rsid w:val="00FE73F7"/>
    <w:rsid w:val="00FE745E"/>
    <w:rsid w:val="00FE7865"/>
    <w:rsid w:val="00FF00DE"/>
    <w:rsid w:val="00FF0BB0"/>
    <w:rsid w:val="00FF0E34"/>
    <w:rsid w:val="00FF1342"/>
    <w:rsid w:val="00FF14FA"/>
    <w:rsid w:val="00FF1513"/>
    <w:rsid w:val="00FF1577"/>
    <w:rsid w:val="00FF2145"/>
    <w:rsid w:val="00FF2178"/>
    <w:rsid w:val="00FF2470"/>
    <w:rsid w:val="00FF3334"/>
    <w:rsid w:val="00FF3DF9"/>
    <w:rsid w:val="00FF59BE"/>
    <w:rsid w:val="00FF6ADB"/>
    <w:rsid w:val="00FF6C36"/>
    <w:rsid w:val="00FF70D6"/>
    <w:rsid w:val="00FF7B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B755C8F-6030-4EA0-ACEB-9CF3F636B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uiPriority w:val="99"/>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rsid w:val="00BE2A17"/>
    <w:pPr>
      <w:tabs>
        <w:tab w:val="right" w:leader="dot" w:pos="9072"/>
      </w:tabs>
    </w:pPr>
  </w:style>
  <w:style w:type="paragraph" w:styleId="32">
    <w:name w:val="toc 3"/>
    <w:basedOn w:val="a"/>
    <w:next w:val="a"/>
    <w:autoRedefine/>
    <w:uiPriority w:val="39"/>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6B62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316343669">
      <w:bodyDiv w:val="1"/>
      <w:marLeft w:val="0"/>
      <w:marRight w:val="0"/>
      <w:marTop w:val="0"/>
      <w:marBottom w:val="0"/>
      <w:divBdr>
        <w:top w:val="none" w:sz="0" w:space="0" w:color="auto"/>
        <w:left w:val="none" w:sz="0" w:space="0" w:color="auto"/>
        <w:bottom w:val="none" w:sz="0" w:space="0" w:color="auto"/>
        <w:right w:val="none" w:sz="0" w:space="0" w:color="auto"/>
      </w:divBdr>
    </w:div>
    <w:div w:id="362171279">
      <w:bodyDiv w:val="1"/>
      <w:marLeft w:val="0"/>
      <w:marRight w:val="0"/>
      <w:marTop w:val="0"/>
      <w:marBottom w:val="0"/>
      <w:divBdr>
        <w:top w:val="none" w:sz="0" w:space="0" w:color="auto"/>
        <w:left w:val="none" w:sz="0" w:space="0" w:color="auto"/>
        <w:bottom w:val="none" w:sz="0" w:space="0" w:color="auto"/>
        <w:right w:val="none" w:sz="0" w:space="0" w:color="auto"/>
      </w:divBdr>
    </w:div>
    <w:div w:id="643511383">
      <w:bodyDiv w:val="1"/>
      <w:marLeft w:val="0"/>
      <w:marRight w:val="0"/>
      <w:marTop w:val="0"/>
      <w:marBottom w:val="0"/>
      <w:divBdr>
        <w:top w:val="none" w:sz="0" w:space="0" w:color="auto"/>
        <w:left w:val="none" w:sz="0" w:space="0" w:color="auto"/>
        <w:bottom w:val="none" w:sz="0" w:space="0" w:color="auto"/>
        <w:right w:val="none" w:sz="0" w:space="0" w:color="auto"/>
      </w:divBdr>
    </w:div>
    <w:div w:id="861240251">
      <w:bodyDiv w:val="1"/>
      <w:marLeft w:val="0"/>
      <w:marRight w:val="0"/>
      <w:marTop w:val="0"/>
      <w:marBottom w:val="0"/>
      <w:divBdr>
        <w:top w:val="none" w:sz="0" w:space="0" w:color="auto"/>
        <w:left w:val="none" w:sz="0" w:space="0" w:color="auto"/>
        <w:bottom w:val="none" w:sz="0" w:space="0" w:color="auto"/>
        <w:right w:val="none" w:sz="0" w:space="0" w:color="auto"/>
      </w:divBdr>
    </w:div>
    <w:div w:id="1551767477">
      <w:bodyDiv w:val="1"/>
      <w:marLeft w:val="0"/>
      <w:marRight w:val="0"/>
      <w:marTop w:val="0"/>
      <w:marBottom w:val="0"/>
      <w:divBdr>
        <w:top w:val="none" w:sz="0" w:space="0" w:color="auto"/>
        <w:left w:val="none" w:sz="0" w:space="0" w:color="auto"/>
        <w:bottom w:val="none" w:sz="0" w:space="0" w:color="auto"/>
        <w:right w:val="none" w:sz="0" w:space="0" w:color="auto"/>
      </w:divBdr>
      <w:divsChild>
        <w:div w:id="1983386177">
          <w:marLeft w:val="0"/>
          <w:marRight w:val="0"/>
          <w:marTop w:val="0"/>
          <w:marBottom w:val="0"/>
          <w:divBdr>
            <w:top w:val="none" w:sz="0" w:space="0" w:color="auto"/>
            <w:left w:val="none" w:sz="0" w:space="0" w:color="auto"/>
            <w:bottom w:val="none" w:sz="0" w:space="0" w:color="auto"/>
            <w:right w:val="none" w:sz="0" w:space="0" w:color="auto"/>
          </w:divBdr>
        </w:div>
      </w:divsChild>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583</TotalTime>
  <Pages>33</Pages>
  <Words>3811</Words>
  <Characters>21726</Characters>
  <Application>Microsoft Office Word</Application>
  <DocSecurity>0</DocSecurity>
  <Lines>181</Lines>
  <Paragraphs>50</Paragraphs>
  <ScaleCrop>false</ScaleCrop>
  <Company/>
  <LinksUpToDate>false</LinksUpToDate>
  <CharactersWithSpaces>25487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孙文婷</cp:lastModifiedBy>
  <cp:revision>554</cp:revision>
  <cp:lastPrinted>2007-07-19T00:46:00Z</cp:lastPrinted>
  <dcterms:created xsi:type="dcterms:W3CDTF">2013-10-15T01:57:00Z</dcterms:created>
  <dcterms:modified xsi:type="dcterms:W3CDTF">2015-03-27T13:25:00Z</dcterms:modified>
</cp:coreProperties>
</file>