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proofErr w:type="gramStart"/>
      <w:r w:rsidRPr="00922D37">
        <w:rPr>
          <w:b/>
          <w:sz w:val="36"/>
          <w:szCs w:val="36"/>
        </w:rPr>
        <w:t>交银施罗</w:t>
      </w:r>
      <w:proofErr w:type="gramEnd"/>
      <w:r w:rsidRPr="00922D37">
        <w:rPr>
          <w:b/>
          <w:sz w:val="36"/>
          <w:szCs w:val="36"/>
        </w:rPr>
        <w:t>德丰盈收益债券型证券投资基金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2014</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中信银行股份有限公司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8"/>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73361C">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中信银行股份有限公司</w:t>
      </w:r>
      <w:r w:rsidR="00D91873">
        <w:rPr>
          <w:color w:val="000000"/>
          <w:sz w:val="24"/>
        </w:rPr>
        <w:t>(</w:t>
      </w:r>
      <w:r w:rsidR="00D91873">
        <w:rPr>
          <w:rFonts w:hint="eastAsia"/>
          <w:color w:val="000000"/>
          <w:sz w:val="24"/>
        </w:rPr>
        <w:t>以下简称“</w:t>
      </w:r>
      <w:r w:rsidR="00D91873">
        <w:rPr>
          <w:color w:val="000000"/>
          <w:sz w:val="24"/>
        </w:rPr>
        <w:t>中信银行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proofErr w:type="gramStart"/>
      <w:r w:rsidR="009414BB" w:rsidRPr="00FF0E34">
        <w:rPr>
          <w:rFonts w:hint="eastAsia"/>
          <w:color w:val="000000"/>
          <w:sz w:val="24"/>
        </w:rPr>
        <w:t>作</w:t>
      </w:r>
      <w:r w:rsidRPr="00FF0E34">
        <w:rPr>
          <w:rFonts w:hint="eastAsia"/>
          <w:color w:val="000000"/>
          <w:sz w:val="24"/>
        </w:rPr>
        <w:t>出</w:t>
      </w:r>
      <w:proofErr w:type="gramEnd"/>
      <w:r w:rsidRPr="00FF0E34">
        <w:rPr>
          <w:rFonts w:hint="eastAsia"/>
          <w:color w:val="000000"/>
          <w:sz w:val="24"/>
        </w:rPr>
        <w:t>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8</w:t>
      </w:r>
      <w:r w:rsidRPr="00FF0E34">
        <w:rPr>
          <w:color w:val="000000"/>
          <w:sz w:val="24"/>
        </w:rPr>
        <w:t>月</w:t>
      </w:r>
      <w:r w:rsidRPr="00FF0E34">
        <w:rPr>
          <w:color w:val="000000"/>
          <w:sz w:val="24"/>
        </w:rPr>
        <w:t>11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73361C">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vAlign w:val="center"/>
          </w:tcPr>
          <w:p w:rsidR="001A59F9" w:rsidRPr="00AF05D4" w:rsidRDefault="001A59F9" w:rsidP="00AF05D4">
            <w:pPr>
              <w:spacing w:before="29" w:line="288" w:lineRule="auto"/>
              <w:jc w:val="center"/>
              <w:rPr>
                <w:sz w:val="24"/>
              </w:rPr>
            </w:pPr>
            <w:r w:rsidRPr="00AF05D4">
              <w:rPr>
                <w:sz w:val="24"/>
              </w:rPr>
              <w:t>交银丰盈收益债券</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vAlign w:val="center"/>
          </w:tcPr>
          <w:p w:rsidR="001A59F9" w:rsidRPr="00AF05D4" w:rsidRDefault="001A59F9" w:rsidP="00AF05D4">
            <w:pPr>
              <w:spacing w:before="29" w:line="288" w:lineRule="auto"/>
              <w:jc w:val="center"/>
              <w:rPr>
                <w:sz w:val="24"/>
              </w:rPr>
            </w:pPr>
            <w:r w:rsidRPr="00AF05D4">
              <w:rPr>
                <w:sz w:val="24"/>
              </w:rPr>
              <w:t>519740</w:t>
            </w:r>
          </w:p>
        </w:tc>
      </w:tr>
      <w:tr w:rsidR="001E7625" w:rsidRPr="00C51C77" w:rsidTr="008B4BC0">
        <w:tc>
          <w:tcPr>
            <w:tcW w:w="3119" w:type="dxa"/>
            <w:vAlign w:val="center"/>
          </w:tcPr>
          <w:p w:rsidR="001E7625" w:rsidRPr="00475872" w:rsidRDefault="001E7625" w:rsidP="00475872">
            <w:pPr>
              <w:spacing w:before="29" w:line="288" w:lineRule="auto"/>
              <w:rPr>
                <w:sz w:val="24"/>
              </w:rPr>
            </w:pPr>
            <w:r w:rsidRPr="00475872">
              <w:rPr>
                <w:rFonts w:hint="eastAsia"/>
                <w:sz w:val="24"/>
              </w:rPr>
              <w:t>交易代码</w:t>
            </w:r>
          </w:p>
        </w:tc>
        <w:tc>
          <w:tcPr>
            <w:tcW w:w="5879" w:type="dxa"/>
            <w:vAlign w:val="center"/>
          </w:tcPr>
          <w:p w:rsidR="001E7625" w:rsidRPr="00AF05D4" w:rsidRDefault="001E7625" w:rsidP="00AF05D4">
            <w:pPr>
              <w:spacing w:before="29" w:line="288" w:lineRule="auto"/>
              <w:jc w:val="center"/>
              <w:rPr>
                <w:sz w:val="24"/>
              </w:rPr>
            </w:pPr>
            <w:r w:rsidRPr="00AF05D4">
              <w:rPr>
                <w:rFonts w:hint="eastAsia"/>
                <w:sz w:val="24"/>
              </w:rPr>
              <w:t xml:space="preserve"> 519740</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vAlign w:val="center"/>
          </w:tcPr>
          <w:p w:rsidR="0040762F" w:rsidRPr="00AF05D4" w:rsidRDefault="0040762F" w:rsidP="00AF05D4">
            <w:pPr>
              <w:spacing w:before="29" w:line="288" w:lineRule="auto"/>
              <w:jc w:val="center"/>
              <w:rPr>
                <w:sz w:val="24"/>
              </w:rPr>
            </w:pPr>
            <w:r w:rsidRPr="00AF05D4">
              <w:rPr>
                <w:sz w:val="24"/>
              </w:rPr>
              <w:t>契约型，本基金在基金合同生效之日起三年（含三年）的期间内封闭式运作（按照基金合同的约定提前转换基金运作方式的除外），封闭期结束后转为开放式运作</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vAlign w:val="center"/>
          </w:tcPr>
          <w:p w:rsidR="0040762F" w:rsidRPr="00AF05D4" w:rsidRDefault="0040762F" w:rsidP="00AF05D4">
            <w:pPr>
              <w:spacing w:before="29" w:line="288" w:lineRule="auto"/>
              <w:jc w:val="center"/>
              <w:rPr>
                <w:sz w:val="24"/>
              </w:rPr>
            </w:pPr>
            <w:r w:rsidRPr="00AF05D4">
              <w:rPr>
                <w:sz w:val="24"/>
              </w:rPr>
              <w:t>2014</w:t>
            </w:r>
            <w:r w:rsidRPr="00AF05D4">
              <w:rPr>
                <w:sz w:val="24"/>
              </w:rPr>
              <w:t>年</w:t>
            </w:r>
            <w:r w:rsidRPr="00AF05D4">
              <w:rPr>
                <w:sz w:val="24"/>
              </w:rPr>
              <w:t>8</w:t>
            </w:r>
            <w:r w:rsidRPr="00AF05D4">
              <w:rPr>
                <w:sz w:val="24"/>
              </w:rPr>
              <w:t>月</w:t>
            </w:r>
            <w:r w:rsidRPr="00AF05D4">
              <w:rPr>
                <w:sz w:val="24"/>
              </w:rPr>
              <w:t>11</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vAlign w:val="center"/>
          </w:tcPr>
          <w:p w:rsidR="0040762F" w:rsidRPr="00AF05D4" w:rsidRDefault="0040762F" w:rsidP="00AF05D4">
            <w:pPr>
              <w:spacing w:before="29" w:line="288" w:lineRule="auto"/>
              <w:jc w:val="center"/>
              <w:rPr>
                <w:sz w:val="24"/>
              </w:rPr>
            </w:pPr>
            <w:r w:rsidRPr="00AF05D4">
              <w:rPr>
                <w:sz w:val="24"/>
              </w:rPr>
              <w:t>中信银行股份有限公司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vAlign w:val="center"/>
          </w:tcPr>
          <w:p w:rsidR="0040762F" w:rsidRPr="00AF05D4" w:rsidRDefault="0040762F" w:rsidP="00AF05D4">
            <w:pPr>
              <w:spacing w:before="29" w:line="288" w:lineRule="auto"/>
              <w:jc w:val="center"/>
              <w:rPr>
                <w:sz w:val="24"/>
              </w:rPr>
            </w:pPr>
            <w:r w:rsidRPr="00AF05D4">
              <w:rPr>
                <w:sz w:val="24"/>
              </w:rPr>
              <w:t>510,658,140.93</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追求在有效控制风险的前提下，力争为基金资产获得稳健的投资收益和超额回报。</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w:t>
            </w:r>
            <w:proofErr w:type="gramStart"/>
            <w:r w:rsidRPr="00A57672">
              <w:rPr>
                <w:sz w:val="24"/>
              </w:rPr>
              <w:t>考量</w:t>
            </w:r>
            <w:proofErr w:type="gramEnd"/>
            <w:r w:rsidRPr="00A57672">
              <w:rPr>
                <w:sz w:val="24"/>
              </w:rPr>
              <w:t>信用债券的信用评级，以及各类债券的流动性、供求关系和收益率水平等，自下而上精选个</w:t>
            </w:r>
            <w:proofErr w:type="gramStart"/>
            <w:r w:rsidRPr="00A57672">
              <w:rPr>
                <w:sz w:val="24"/>
              </w:rPr>
              <w:t>券</w:t>
            </w:r>
            <w:proofErr w:type="gramEnd"/>
            <w:r w:rsidRPr="00A57672">
              <w:rPr>
                <w:sz w:val="24"/>
              </w:rPr>
              <w:t>。</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三年期银行定期存款税后收益率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本基金是一只债券型基金，其风险与预期收益高于货币市场基金，低于混合型基金和股票型基金，属于证券投资基金中中等风险的品种。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中信银行股份有限公司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lastRenderedPageBreak/>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方韡</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010-89936330</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fangwei@citicbank.com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95558</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010-65550832</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624E59">
            <w:pPr>
              <w:tabs>
                <w:tab w:val="left" w:pos="1740"/>
              </w:tabs>
              <w:spacing w:before="29" w:line="288" w:lineRule="auto"/>
              <w:jc w:val="left"/>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73361C">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6748"/>
      </w:tblGrid>
      <w:tr w:rsidR="00397BD3" w:rsidRPr="00931B45" w:rsidTr="00397BD3">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6748"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r w:rsidRPr="00931B45">
              <w:rPr>
                <w:b/>
                <w:szCs w:val="21"/>
              </w:rPr>
              <w:t>8</w:t>
            </w:r>
            <w:r w:rsidRPr="00931B45">
              <w:rPr>
                <w:b/>
                <w:szCs w:val="21"/>
              </w:rPr>
              <w:t>月</w:t>
            </w:r>
            <w:r w:rsidRPr="00931B45">
              <w:rPr>
                <w:b/>
                <w:szCs w:val="21"/>
              </w:rPr>
              <w:t>11</w:t>
            </w:r>
            <w:r w:rsidRPr="00931B45">
              <w:rPr>
                <w:b/>
                <w:szCs w:val="21"/>
              </w:rPr>
              <w:t>日（基金合同生效日）至</w:t>
            </w:r>
            <w:r w:rsidRPr="00931B45">
              <w:rPr>
                <w:b/>
                <w:szCs w:val="21"/>
              </w:rPr>
              <w:t>2014</w:t>
            </w:r>
            <w:r w:rsidRPr="00931B45">
              <w:rPr>
                <w:b/>
                <w:szCs w:val="21"/>
              </w:rPr>
              <w:t>年</w:t>
            </w:r>
            <w:r w:rsidRPr="00931B45">
              <w:rPr>
                <w:b/>
                <w:szCs w:val="21"/>
              </w:rPr>
              <w:t>12</w:t>
            </w:r>
            <w:r w:rsidRPr="00931B45">
              <w:rPr>
                <w:b/>
                <w:szCs w:val="21"/>
              </w:rPr>
              <w:t>月</w:t>
            </w:r>
            <w:r w:rsidRPr="00931B45">
              <w:rPr>
                <w:b/>
                <w:szCs w:val="21"/>
              </w:rPr>
              <w:t>31</w:t>
            </w:r>
            <w:r w:rsidRPr="00931B45">
              <w:rPr>
                <w:b/>
                <w:szCs w:val="21"/>
              </w:rPr>
              <w:t>日</w:t>
            </w:r>
          </w:p>
        </w:tc>
      </w:tr>
      <w:tr w:rsidR="00397BD3" w:rsidRPr="00931B45" w:rsidTr="00397BD3">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6748" w:type="dxa"/>
            <w:vAlign w:val="center"/>
          </w:tcPr>
          <w:p w:rsidR="00501A91" w:rsidRPr="00931B45" w:rsidRDefault="00501A91" w:rsidP="00D415F5">
            <w:pPr>
              <w:spacing w:before="29" w:line="288" w:lineRule="auto"/>
              <w:jc w:val="right"/>
              <w:rPr>
                <w:szCs w:val="21"/>
              </w:rPr>
            </w:pPr>
            <w:r w:rsidRPr="00931B45">
              <w:rPr>
                <w:szCs w:val="21"/>
              </w:rPr>
              <w:t>11,918,856.10</w:t>
            </w:r>
          </w:p>
        </w:tc>
      </w:tr>
      <w:tr w:rsidR="00397BD3" w:rsidRPr="00931B45" w:rsidTr="00397BD3">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6748" w:type="dxa"/>
            <w:vAlign w:val="center"/>
          </w:tcPr>
          <w:p w:rsidR="00501A91" w:rsidRPr="00931B45" w:rsidRDefault="00501A91" w:rsidP="00D415F5">
            <w:pPr>
              <w:spacing w:before="29" w:line="288" w:lineRule="auto"/>
              <w:jc w:val="right"/>
              <w:rPr>
                <w:szCs w:val="21"/>
              </w:rPr>
            </w:pPr>
            <w:r w:rsidRPr="00931B45">
              <w:rPr>
                <w:szCs w:val="21"/>
              </w:rPr>
              <w:t>11,007,067.79</w:t>
            </w:r>
          </w:p>
        </w:tc>
      </w:tr>
      <w:tr w:rsidR="00397BD3" w:rsidRPr="00931B45" w:rsidTr="00397BD3">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6748" w:type="dxa"/>
            <w:vAlign w:val="center"/>
          </w:tcPr>
          <w:p w:rsidR="00501A91" w:rsidRPr="00931B45" w:rsidRDefault="00501A91" w:rsidP="00D415F5">
            <w:pPr>
              <w:spacing w:before="29" w:line="288" w:lineRule="auto"/>
              <w:jc w:val="right"/>
              <w:rPr>
                <w:szCs w:val="21"/>
              </w:rPr>
            </w:pPr>
            <w:r w:rsidRPr="00931B45">
              <w:rPr>
                <w:szCs w:val="21"/>
              </w:rPr>
              <w:t>0.0218</w:t>
            </w:r>
          </w:p>
        </w:tc>
      </w:tr>
      <w:tr w:rsidR="00397BD3" w:rsidRPr="00931B45" w:rsidTr="00397BD3">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6748" w:type="dxa"/>
            <w:vAlign w:val="center"/>
          </w:tcPr>
          <w:p w:rsidR="00501A91" w:rsidRPr="00931B45" w:rsidRDefault="00501A91" w:rsidP="00D415F5">
            <w:pPr>
              <w:spacing w:before="29" w:line="288" w:lineRule="auto"/>
              <w:jc w:val="right"/>
              <w:rPr>
                <w:szCs w:val="21"/>
              </w:rPr>
            </w:pPr>
            <w:r w:rsidRPr="00931B45">
              <w:rPr>
                <w:szCs w:val="21"/>
              </w:rPr>
              <w:t>2.20%</w:t>
            </w:r>
          </w:p>
        </w:tc>
      </w:tr>
      <w:tr w:rsidR="00397BD3" w:rsidRPr="00931B45" w:rsidTr="00397BD3">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6748"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r>
      <w:tr w:rsidR="00397BD3" w:rsidRPr="00931B45" w:rsidTr="00397BD3">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6748" w:type="dxa"/>
            <w:vAlign w:val="center"/>
          </w:tcPr>
          <w:p w:rsidR="00501A91" w:rsidRPr="00931B45" w:rsidRDefault="00501A91" w:rsidP="00D415F5">
            <w:pPr>
              <w:spacing w:before="29" w:line="288" w:lineRule="auto"/>
              <w:jc w:val="right"/>
              <w:rPr>
                <w:szCs w:val="21"/>
              </w:rPr>
            </w:pPr>
            <w:r w:rsidRPr="00931B45">
              <w:rPr>
                <w:szCs w:val="21"/>
              </w:rPr>
              <w:t>0.022</w:t>
            </w:r>
          </w:p>
        </w:tc>
      </w:tr>
      <w:tr w:rsidR="00397BD3" w:rsidRPr="00931B45" w:rsidTr="00397BD3">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6748" w:type="dxa"/>
            <w:vAlign w:val="center"/>
          </w:tcPr>
          <w:p w:rsidR="00501A91" w:rsidRPr="00931B45" w:rsidRDefault="00501A91" w:rsidP="00D415F5">
            <w:pPr>
              <w:spacing w:before="29" w:line="288" w:lineRule="auto"/>
              <w:jc w:val="right"/>
              <w:rPr>
                <w:szCs w:val="21"/>
              </w:rPr>
            </w:pPr>
            <w:r w:rsidRPr="00931B45">
              <w:rPr>
                <w:szCs w:val="21"/>
              </w:rPr>
              <w:t>521,665,208.72</w:t>
            </w:r>
          </w:p>
        </w:tc>
      </w:tr>
      <w:tr w:rsidR="00397BD3" w:rsidRPr="00931B45" w:rsidTr="00397BD3">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6748" w:type="dxa"/>
            <w:vAlign w:val="center"/>
          </w:tcPr>
          <w:p w:rsidR="00501A91" w:rsidRPr="00931B45" w:rsidRDefault="00501A91" w:rsidP="00D415F5">
            <w:pPr>
              <w:spacing w:before="29" w:line="288" w:lineRule="auto"/>
              <w:jc w:val="right"/>
              <w:rPr>
                <w:szCs w:val="21"/>
              </w:rPr>
            </w:pPr>
            <w:r w:rsidRPr="00931B45">
              <w:rPr>
                <w:szCs w:val="21"/>
              </w:rPr>
              <w:t>1.022</w:t>
            </w:r>
          </w:p>
        </w:tc>
      </w:tr>
    </w:tbl>
    <w:p w:rsidR="004D0C72" w:rsidRDefault="00397BD3">
      <w:pPr>
        <w:tabs>
          <w:tab w:val="left" w:pos="426"/>
        </w:tabs>
        <w:spacing w:before="29" w:line="288" w:lineRule="auto"/>
        <w:jc w:val="left"/>
        <w:rPr>
          <w:kern w:val="0"/>
          <w:sz w:val="24"/>
        </w:rPr>
      </w:pPr>
      <w:r>
        <w:rPr>
          <w:kern w:val="0"/>
          <w:sz w:val="24"/>
        </w:rPr>
        <w:t>注：</w:t>
      </w:r>
      <w:r>
        <w:rPr>
          <w:kern w:val="0"/>
          <w:sz w:val="24"/>
        </w:rPr>
        <w:t>1</w:t>
      </w:r>
      <w:r>
        <w:rPr>
          <w:kern w:val="0"/>
          <w:sz w:val="24"/>
        </w:rPr>
        <w:t>、上述基金业绩指标不包括持有人认购或交易基金的各项费用，计入费用后的实际收益水平要低于所列数字；</w:t>
      </w:r>
      <w:r>
        <w:rPr>
          <w:kern w:val="0"/>
          <w:sz w:val="24"/>
        </w:rPr>
        <w:t xml:space="preserve"> </w:t>
      </w:r>
    </w:p>
    <w:p w:rsidR="004D0C72" w:rsidRDefault="00397BD3">
      <w:pPr>
        <w:tabs>
          <w:tab w:val="left" w:pos="426"/>
        </w:tabs>
        <w:spacing w:before="29" w:line="288" w:lineRule="auto"/>
        <w:jc w:val="left"/>
        <w:rPr>
          <w:kern w:val="0"/>
          <w:sz w:val="24"/>
        </w:rPr>
      </w:pPr>
      <w:r>
        <w:rPr>
          <w:kern w:val="0"/>
          <w:sz w:val="24"/>
        </w:rPr>
        <w:t xml:space="preserve">    2</w:t>
      </w:r>
      <w:r>
        <w:rPr>
          <w:kern w:val="0"/>
          <w:sz w:val="24"/>
        </w:rPr>
        <w:t>、本期已实现收益指基金本期利息收入、投资收益、其他收入（不含公允价值变动收益）扣除相关费用后的余额，本期利润为本期已实现收益加上本期公允价值变动收益。</w:t>
      </w:r>
    </w:p>
    <w:p w:rsidR="001A59F9" w:rsidRPr="0060235D" w:rsidRDefault="001A59F9" w:rsidP="00B74F07">
      <w:pPr>
        <w:tabs>
          <w:tab w:val="left" w:pos="426"/>
        </w:tabs>
        <w:spacing w:before="29" w:line="288" w:lineRule="auto"/>
        <w:jc w:val="left"/>
        <w:rPr>
          <w:kern w:val="0"/>
          <w:sz w:val="24"/>
        </w:rPr>
      </w:pPr>
      <w:r w:rsidRPr="0060235D">
        <w:rPr>
          <w:kern w:val="0"/>
          <w:sz w:val="24"/>
        </w:rPr>
        <w:t xml:space="preserve">    3</w:t>
      </w:r>
      <w:r w:rsidRPr="0060235D">
        <w:rPr>
          <w:kern w:val="0"/>
          <w:sz w:val="24"/>
        </w:rPr>
        <w:t>、本基金合同生效日为</w:t>
      </w:r>
      <w:r w:rsidRPr="0060235D">
        <w:rPr>
          <w:kern w:val="0"/>
          <w:sz w:val="24"/>
        </w:rPr>
        <w:t>2014</w:t>
      </w:r>
      <w:r w:rsidRPr="0060235D">
        <w:rPr>
          <w:kern w:val="0"/>
          <w:sz w:val="24"/>
        </w:rPr>
        <w:t>年</w:t>
      </w:r>
      <w:r w:rsidRPr="0060235D">
        <w:rPr>
          <w:kern w:val="0"/>
          <w:sz w:val="24"/>
        </w:rPr>
        <w:t>8</w:t>
      </w:r>
      <w:r w:rsidRPr="0060235D">
        <w:rPr>
          <w:kern w:val="0"/>
          <w:sz w:val="24"/>
        </w:rPr>
        <w:t>月</w:t>
      </w:r>
      <w:r w:rsidRPr="0060235D">
        <w:rPr>
          <w:kern w:val="0"/>
          <w:sz w:val="24"/>
        </w:rPr>
        <w:t>11</w:t>
      </w:r>
      <w:r w:rsidRPr="0060235D">
        <w:rPr>
          <w:kern w:val="0"/>
          <w:sz w:val="24"/>
        </w:rPr>
        <w:t>日，基金合同生效日至本报告期期末，本基金运作时间未满一年。</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4D0C72">
        <w:tc>
          <w:tcPr>
            <w:tcW w:w="1286" w:type="dxa"/>
            <w:vAlign w:val="center"/>
          </w:tcPr>
          <w:p w:rsidR="004D0C72" w:rsidRDefault="00397BD3">
            <w:pPr>
              <w:jc w:val="left"/>
            </w:pPr>
            <w:r>
              <w:rPr>
                <w:color w:val="000000"/>
                <w:sz w:val="24"/>
              </w:rPr>
              <w:t>过去三个月</w:t>
            </w:r>
          </w:p>
        </w:tc>
        <w:tc>
          <w:tcPr>
            <w:tcW w:w="1286" w:type="dxa"/>
            <w:vAlign w:val="center"/>
          </w:tcPr>
          <w:p w:rsidR="004D0C72" w:rsidRDefault="00397BD3">
            <w:pPr>
              <w:jc w:val="center"/>
            </w:pPr>
            <w:r>
              <w:rPr>
                <w:color w:val="000000"/>
                <w:sz w:val="24"/>
              </w:rPr>
              <w:t>0.89%</w:t>
            </w:r>
          </w:p>
        </w:tc>
        <w:tc>
          <w:tcPr>
            <w:tcW w:w="1286" w:type="dxa"/>
            <w:vAlign w:val="center"/>
          </w:tcPr>
          <w:p w:rsidR="004D0C72" w:rsidRDefault="00397BD3">
            <w:pPr>
              <w:jc w:val="center"/>
            </w:pPr>
            <w:r>
              <w:rPr>
                <w:color w:val="000000"/>
                <w:sz w:val="24"/>
              </w:rPr>
              <w:t>0.29%</w:t>
            </w:r>
          </w:p>
        </w:tc>
        <w:tc>
          <w:tcPr>
            <w:tcW w:w="1285" w:type="dxa"/>
            <w:vAlign w:val="center"/>
          </w:tcPr>
          <w:p w:rsidR="004D0C72" w:rsidRDefault="00397BD3">
            <w:pPr>
              <w:jc w:val="center"/>
            </w:pPr>
            <w:r>
              <w:rPr>
                <w:color w:val="000000"/>
                <w:sz w:val="24"/>
              </w:rPr>
              <w:t>1.06%</w:t>
            </w:r>
          </w:p>
        </w:tc>
        <w:tc>
          <w:tcPr>
            <w:tcW w:w="1285" w:type="dxa"/>
            <w:vAlign w:val="center"/>
          </w:tcPr>
          <w:p w:rsidR="004D0C72" w:rsidRDefault="00397BD3">
            <w:pPr>
              <w:jc w:val="center"/>
            </w:pPr>
            <w:r>
              <w:rPr>
                <w:color w:val="000000"/>
                <w:sz w:val="24"/>
              </w:rPr>
              <w:t>0.01%</w:t>
            </w:r>
          </w:p>
        </w:tc>
        <w:tc>
          <w:tcPr>
            <w:tcW w:w="1285" w:type="dxa"/>
            <w:vAlign w:val="center"/>
          </w:tcPr>
          <w:p w:rsidR="004D0C72" w:rsidRDefault="00397BD3">
            <w:pPr>
              <w:jc w:val="center"/>
            </w:pPr>
            <w:r>
              <w:rPr>
                <w:color w:val="000000"/>
                <w:sz w:val="24"/>
              </w:rPr>
              <w:t>-0.17%</w:t>
            </w:r>
          </w:p>
        </w:tc>
        <w:tc>
          <w:tcPr>
            <w:tcW w:w="1285" w:type="dxa"/>
            <w:vAlign w:val="center"/>
          </w:tcPr>
          <w:p w:rsidR="004D0C72" w:rsidRDefault="00397BD3">
            <w:pPr>
              <w:jc w:val="center"/>
            </w:pPr>
            <w:r>
              <w:rPr>
                <w:color w:val="000000"/>
                <w:sz w:val="24"/>
              </w:rPr>
              <w:t>0.28%</w:t>
            </w:r>
          </w:p>
        </w:tc>
      </w:tr>
      <w:tr w:rsidR="004D0C72">
        <w:tc>
          <w:tcPr>
            <w:tcW w:w="1286" w:type="dxa"/>
            <w:vAlign w:val="center"/>
          </w:tcPr>
          <w:p w:rsidR="004D0C72" w:rsidRDefault="00397BD3">
            <w:pPr>
              <w:jc w:val="left"/>
            </w:pPr>
            <w:r>
              <w:rPr>
                <w:color w:val="000000"/>
                <w:sz w:val="24"/>
              </w:rPr>
              <w:t>自基金合同生效起至今</w:t>
            </w:r>
          </w:p>
        </w:tc>
        <w:tc>
          <w:tcPr>
            <w:tcW w:w="1286" w:type="dxa"/>
            <w:vAlign w:val="center"/>
          </w:tcPr>
          <w:p w:rsidR="004D0C72" w:rsidRDefault="00397BD3">
            <w:pPr>
              <w:jc w:val="center"/>
            </w:pPr>
            <w:r>
              <w:rPr>
                <w:color w:val="000000"/>
                <w:sz w:val="24"/>
              </w:rPr>
              <w:t>2.20%</w:t>
            </w:r>
          </w:p>
        </w:tc>
        <w:tc>
          <w:tcPr>
            <w:tcW w:w="1286" w:type="dxa"/>
            <w:vAlign w:val="center"/>
          </w:tcPr>
          <w:p w:rsidR="004D0C72" w:rsidRDefault="00397BD3">
            <w:pPr>
              <w:jc w:val="center"/>
            </w:pPr>
            <w:r>
              <w:rPr>
                <w:color w:val="000000"/>
                <w:sz w:val="24"/>
              </w:rPr>
              <w:t>0.23%</w:t>
            </w:r>
          </w:p>
        </w:tc>
        <w:tc>
          <w:tcPr>
            <w:tcW w:w="1285" w:type="dxa"/>
            <w:vAlign w:val="center"/>
          </w:tcPr>
          <w:p w:rsidR="004D0C72" w:rsidRDefault="00397BD3">
            <w:pPr>
              <w:jc w:val="center"/>
            </w:pPr>
            <w:r>
              <w:rPr>
                <w:color w:val="000000"/>
                <w:sz w:val="24"/>
              </w:rPr>
              <w:t>1.66%</w:t>
            </w:r>
          </w:p>
        </w:tc>
        <w:tc>
          <w:tcPr>
            <w:tcW w:w="1285" w:type="dxa"/>
            <w:vAlign w:val="center"/>
          </w:tcPr>
          <w:p w:rsidR="004D0C72" w:rsidRDefault="00397BD3">
            <w:pPr>
              <w:jc w:val="center"/>
            </w:pPr>
            <w:r>
              <w:rPr>
                <w:color w:val="000000"/>
                <w:sz w:val="24"/>
              </w:rPr>
              <w:t>0.01%</w:t>
            </w:r>
          </w:p>
        </w:tc>
        <w:tc>
          <w:tcPr>
            <w:tcW w:w="1285" w:type="dxa"/>
            <w:vAlign w:val="center"/>
          </w:tcPr>
          <w:p w:rsidR="004D0C72" w:rsidRDefault="00397BD3">
            <w:pPr>
              <w:jc w:val="center"/>
            </w:pPr>
            <w:r>
              <w:rPr>
                <w:color w:val="000000"/>
                <w:sz w:val="24"/>
              </w:rPr>
              <w:t>0.54%</w:t>
            </w:r>
          </w:p>
        </w:tc>
        <w:tc>
          <w:tcPr>
            <w:tcW w:w="1285" w:type="dxa"/>
            <w:vAlign w:val="center"/>
          </w:tcPr>
          <w:p w:rsidR="004D0C72" w:rsidRDefault="00397BD3">
            <w:pPr>
              <w:jc w:val="center"/>
            </w:pPr>
            <w:r>
              <w:rPr>
                <w:color w:val="000000"/>
                <w:sz w:val="24"/>
              </w:rPr>
              <w:t>0.22%</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注：本基金的业绩比较基准为三年期银行定期存款税后收益率。</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w:t>
      </w:r>
      <w:proofErr w:type="gramStart"/>
      <w:r w:rsidRPr="00650E05">
        <w:rPr>
          <w:kern w:val="0"/>
          <w:sz w:val="24"/>
        </w:rPr>
        <w:t>基金基金</w:t>
      </w:r>
      <w:proofErr w:type="gramEnd"/>
      <w:r w:rsidRPr="00650E05">
        <w:rPr>
          <w:kern w:val="0"/>
          <w:sz w:val="24"/>
        </w:rPr>
        <w:t>合同生效日为</w:t>
      </w:r>
      <w:r w:rsidRPr="00650E05">
        <w:rPr>
          <w:kern w:val="0"/>
          <w:sz w:val="24"/>
        </w:rPr>
        <w:t>2014</w:t>
      </w:r>
      <w:r w:rsidRPr="00650E05">
        <w:rPr>
          <w:kern w:val="0"/>
          <w:sz w:val="24"/>
        </w:rPr>
        <w:t>年</w:t>
      </w:r>
      <w:r w:rsidRPr="00650E05">
        <w:rPr>
          <w:kern w:val="0"/>
          <w:sz w:val="24"/>
        </w:rPr>
        <w:t>8</w:t>
      </w:r>
      <w:r w:rsidRPr="00650E05">
        <w:rPr>
          <w:kern w:val="0"/>
          <w:sz w:val="24"/>
        </w:rPr>
        <w:t>月</w:t>
      </w:r>
      <w:r w:rsidRPr="00650E05">
        <w:rPr>
          <w:kern w:val="0"/>
          <w:sz w:val="24"/>
        </w:rPr>
        <w:t>11</w:t>
      </w:r>
      <w:r w:rsidRPr="00650E05">
        <w:rPr>
          <w:kern w:val="0"/>
          <w:sz w:val="24"/>
        </w:rPr>
        <w:t>日，基金合同生效日至报告期期末，本基金运作时间未满一年。本基金建仓期为自基金合同生效日起的</w:t>
      </w:r>
      <w:r w:rsidRPr="00650E05">
        <w:rPr>
          <w:kern w:val="0"/>
          <w:sz w:val="24"/>
        </w:rPr>
        <w:t>6</w:t>
      </w:r>
      <w:r w:rsidRPr="00650E05">
        <w:rPr>
          <w:kern w:val="0"/>
          <w:sz w:val="24"/>
        </w:rPr>
        <w:t>个月。截至</w:t>
      </w:r>
      <w:r w:rsidRPr="00650E05">
        <w:rPr>
          <w:kern w:val="0"/>
          <w:sz w:val="24"/>
        </w:rPr>
        <w:t>2014</w:t>
      </w:r>
      <w:r w:rsidRPr="00650E05">
        <w:rPr>
          <w:kern w:val="0"/>
          <w:sz w:val="24"/>
        </w:rPr>
        <w:t>年</w:t>
      </w:r>
      <w:r w:rsidRPr="00650E05">
        <w:rPr>
          <w:kern w:val="0"/>
          <w:sz w:val="24"/>
        </w:rPr>
        <w:t>12</w:t>
      </w:r>
      <w:r w:rsidRPr="00650E05">
        <w:rPr>
          <w:kern w:val="0"/>
          <w:sz w:val="24"/>
        </w:rPr>
        <w:t>月</w:t>
      </w:r>
      <w:r w:rsidRPr="00650E05">
        <w:rPr>
          <w:kern w:val="0"/>
          <w:sz w:val="24"/>
        </w:rPr>
        <w:t>31</w:t>
      </w:r>
      <w:r w:rsidRPr="00650E05">
        <w:rPr>
          <w:kern w:val="0"/>
          <w:sz w:val="24"/>
        </w:rPr>
        <w:t>日，本基金尚处于建仓期。</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2014</w:t>
      </w:r>
      <w:r w:rsidRPr="00B05374">
        <w:rPr>
          <w:kern w:val="0"/>
          <w:sz w:val="24"/>
        </w:rPr>
        <w:t>年</w:t>
      </w:r>
      <w:r w:rsidRPr="00B05374">
        <w:rPr>
          <w:kern w:val="0"/>
          <w:sz w:val="24"/>
        </w:rPr>
        <w:t>8</w:t>
      </w:r>
      <w:r w:rsidRPr="00B05374">
        <w:rPr>
          <w:kern w:val="0"/>
          <w:sz w:val="24"/>
        </w:rPr>
        <w:t>月</w:t>
      </w:r>
      <w:r w:rsidRPr="00B05374">
        <w:rPr>
          <w:kern w:val="0"/>
          <w:sz w:val="24"/>
        </w:rPr>
        <w:t>11</w:t>
      </w:r>
      <w:r w:rsidRPr="00B05374">
        <w:rPr>
          <w:kern w:val="0"/>
          <w:sz w:val="24"/>
        </w:rPr>
        <w:t>日至</w:t>
      </w:r>
      <w:r w:rsidRPr="00B05374">
        <w:rPr>
          <w:kern w:val="0"/>
          <w:sz w:val="24"/>
        </w:rPr>
        <w:t>2014</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4D0C72">
        <w:tc>
          <w:tcPr>
            <w:tcW w:w="1499" w:type="dxa"/>
            <w:vAlign w:val="center"/>
          </w:tcPr>
          <w:p w:rsidR="004D0C72" w:rsidRDefault="00397BD3">
            <w:pPr>
              <w:jc w:val="center"/>
            </w:pPr>
            <w:r>
              <w:rPr>
                <w:color w:val="000000"/>
                <w:sz w:val="24"/>
              </w:rPr>
              <w:t>2014</w:t>
            </w:r>
            <w:r>
              <w:rPr>
                <w:color w:val="000000"/>
                <w:sz w:val="24"/>
              </w:rPr>
              <w:t>年</w:t>
            </w:r>
          </w:p>
        </w:tc>
        <w:tc>
          <w:tcPr>
            <w:tcW w:w="1336" w:type="dxa"/>
            <w:vAlign w:val="center"/>
          </w:tcPr>
          <w:p w:rsidR="004D0C72" w:rsidRDefault="00397BD3">
            <w:pPr>
              <w:jc w:val="right"/>
            </w:pPr>
            <w:r>
              <w:rPr>
                <w:color w:val="000000"/>
                <w:sz w:val="24"/>
              </w:rPr>
              <w:t>-</w:t>
            </w:r>
          </w:p>
        </w:tc>
        <w:tc>
          <w:tcPr>
            <w:tcW w:w="1663" w:type="dxa"/>
            <w:vAlign w:val="center"/>
          </w:tcPr>
          <w:p w:rsidR="004D0C72" w:rsidRDefault="00397BD3">
            <w:pPr>
              <w:jc w:val="right"/>
            </w:pPr>
            <w:r>
              <w:rPr>
                <w:color w:val="000000"/>
                <w:sz w:val="24"/>
              </w:rPr>
              <w:t>-</w:t>
            </w:r>
          </w:p>
        </w:tc>
        <w:tc>
          <w:tcPr>
            <w:tcW w:w="1739" w:type="dxa"/>
            <w:vAlign w:val="center"/>
          </w:tcPr>
          <w:p w:rsidR="004D0C72" w:rsidRDefault="00397BD3">
            <w:pPr>
              <w:jc w:val="right"/>
            </w:pPr>
            <w:r>
              <w:rPr>
                <w:color w:val="000000"/>
                <w:sz w:val="24"/>
              </w:rPr>
              <w:t>-</w:t>
            </w:r>
          </w:p>
        </w:tc>
        <w:tc>
          <w:tcPr>
            <w:tcW w:w="1701" w:type="dxa"/>
            <w:vAlign w:val="center"/>
          </w:tcPr>
          <w:p w:rsidR="004D0C72" w:rsidRDefault="00397BD3">
            <w:pPr>
              <w:jc w:val="right"/>
            </w:pPr>
            <w:r>
              <w:rPr>
                <w:color w:val="000000"/>
                <w:sz w:val="24"/>
              </w:rPr>
              <w:t>-</w:t>
            </w:r>
          </w:p>
        </w:tc>
        <w:tc>
          <w:tcPr>
            <w:tcW w:w="1060" w:type="dxa"/>
            <w:vAlign w:val="center"/>
          </w:tcPr>
          <w:p w:rsidR="004D0C72" w:rsidRDefault="00397BD3" w:rsidP="00624E59">
            <w:pPr>
              <w:jc w:val="righ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624E59">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73361C">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4D0C72" w:rsidRDefault="00397BD3">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proofErr w:type="gramStart"/>
            <w:r w:rsidRPr="00792D48">
              <w:rPr>
                <w:rFonts w:hint="eastAsia"/>
                <w:color w:val="000000"/>
                <w:sz w:val="24"/>
              </w:rPr>
              <w:t>任本基金</w:t>
            </w:r>
            <w:proofErr w:type="gramEnd"/>
            <w:r w:rsidRPr="00792D48">
              <w:rPr>
                <w:rFonts w:hint="eastAsia"/>
                <w:color w:val="000000"/>
                <w:sz w:val="24"/>
              </w:rPr>
              <w:t>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4D0C72">
        <w:tc>
          <w:tcPr>
            <w:tcW w:w="1499" w:type="dxa"/>
            <w:vAlign w:val="center"/>
          </w:tcPr>
          <w:p w:rsidR="004D0C72" w:rsidRDefault="00397BD3">
            <w:pPr>
              <w:jc w:val="center"/>
            </w:pPr>
            <w:proofErr w:type="gramStart"/>
            <w:r>
              <w:rPr>
                <w:color w:val="000000"/>
                <w:sz w:val="24"/>
              </w:rPr>
              <w:t>赵凌琦</w:t>
            </w:r>
            <w:proofErr w:type="gramEnd"/>
          </w:p>
        </w:tc>
        <w:tc>
          <w:tcPr>
            <w:tcW w:w="1499" w:type="dxa"/>
            <w:vAlign w:val="center"/>
          </w:tcPr>
          <w:p w:rsidR="004D0C72" w:rsidRDefault="00397BD3">
            <w:pPr>
              <w:jc w:val="center"/>
            </w:pPr>
            <w:r>
              <w:rPr>
                <w:color w:val="000000"/>
                <w:sz w:val="24"/>
              </w:rPr>
              <w:t>本基金、交银理财</w:t>
            </w:r>
            <w:r>
              <w:rPr>
                <w:color w:val="000000"/>
                <w:sz w:val="24"/>
              </w:rPr>
              <w:t>60</w:t>
            </w:r>
            <w:r>
              <w:rPr>
                <w:color w:val="000000"/>
                <w:sz w:val="24"/>
              </w:rPr>
              <w:t>天债券、交银双轮动债券、交银定期支付月月丰债券、交银强化回报债券的基金经理，公司固定收益部副总经理</w:t>
            </w:r>
          </w:p>
        </w:tc>
        <w:tc>
          <w:tcPr>
            <w:tcW w:w="1500" w:type="dxa"/>
            <w:vAlign w:val="center"/>
          </w:tcPr>
          <w:p w:rsidR="004D0C72" w:rsidRDefault="00397BD3">
            <w:pPr>
              <w:jc w:val="center"/>
            </w:pPr>
            <w:r>
              <w:rPr>
                <w:color w:val="000000"/>
                <w:sz w:val="24"/>
              </w:rPr>
              <w:t>2014-08-11</w:t>
            </w:r>
          </w:p>
        </w:tc>
        <w:tc>
          <w:tcPr>
            <w:tcW w:w="1500" w:type="dxa"/>
            <w:vAlign w:val="center"/>
          </w:tcPr>
          <w:p w:rsidR="004D0C72" w:rsidRDefault="00397BD3">
            <w:pPr>
              <w:jc w:val="center"/>
            </w:pPr>
            <w:r>
              <w:rPr>
                <w:color w:val="000000"/>
                <w:sz w:val="24"/>
              </w:rPr>
              <w:t>-</w:t>
            </w:r>
          </w:p>
        </w:tc>
        <w:tc>
          <w:tcPr>
            <w:tcW w:w="1090" w:type="dxa"/>
            <w:vAlign w:val="center"/>
          </w:tcPr>
          <w:p w:rsidR="004D0C72" w:rsidRDefault="00397BD3">
            <w:pPr>
              <w:jc w:val="center"/>
            </w:pPr>
            <w:r>
              <w:rPr>
                <w:color w:val="000000"/>
                <w:sz w:val="24"/>
              </w:rPr>
              <w:t>1</w:t>
            </w:r>
            <w:r>
              <w:rPr>
                <w:color w:val="000000"/>
                <w:sz w:val="24"/>
              </w:rPr>
              <w:t>年</w:t>
            </w:r>
          </w:p>
        </w:tc>
        <w:tc>
          <w:tcPr>
            <w:tcW w:w="1910" w:type="dxa"/>
            <w:vAlign w:val="center"/>
          </w:tcPr>
          <w:p w:rsidR="004D0C72" w:rsidRDefault="00397BD3">
            <w:r>
              <w:rPr>
                <w:color w:val="000000"/>
                <w:sz w:val="24"/>
              </w:rPr>
              <w:t>赵凌琦女士，</w:t>
            </w:r>
            <w:r>
              <w:rPr>
                <w:color w:val="000000"/>
                <w:sz w:val="24"/>
              </w:rPr>
              <w:t>10</w:t>
            </w:r>
            <w:r>
              <w:rPr>
                <w:color w:val="000000"/>
                <w:sz w:val="24"/>
              </w:rPr>
              <w:t>年金融投资经验，财政部财政科研所经济学硕士。历任中国航空集团财务公司投资经理，中国人</w:t>
            </w:r>
            <w:proofErr w:type="gramStart"/>
            <w:r>
              <w:rPr>
                <w:color w:val="000000"/>
                <w:sz w:val="24"/>
              </w:rPr>
              <w:t>寿资产</w:t>
            </w:r>
            <w:proofErr w:type="gramEnd"/>
            <w:r>
              <w:rPr>
                <w:color w:val="000000"/>
                <w:sz w:val="24"/>
              </w:rPr>
              <w:t>管理有限公司投资经理。</w:t>
            </w:r>
            <w:r>
              <w:rPr>
                <w:color w:val="000000"/>
                <w:sz w:val="24"/>
              </w:rPr>
              <w:t>2013</w:t>
            </w:r>
            <w:r>
              <w:rPr>
                <w:color w:val="000000"/>
                <w:sz w:val="24"/>
              </w:rPr>
              <w:t>年加入交银施罗德基金管理有限公司。</w:t>
            </w:r>
          </w:p>
        </w:tc>
      </w:tr>
      <w:tr w:rsidR="004D0C72">
        <w:tc>
          <w:tcPr>
            <w:tcW w:w="1499" w:type="dxa"/>
            <w:vAlign w:val="center"/>
          </w:tcPr>
          <w:p w:rsidR="004D0C72" w:rsidRDefault="00397BD3">
            <w:pPr>
              <w:jc w:val="center"/>
            </w:pPr>
            <w:r>
              <w:rPr>
                <w:color w:val="000000"/>
                <w:sz w:val="24"/>
              </w:rPr>
              <w:t>吕一楠</w:t>
            </w:r>
          </w:p>
        </w:tc>
        <w:tc>
          <w:tcPr>
            <w:tcW w:w="1499" w:type="dxa"/>
            <w:vAlign w:val="center"/>
          </w:tcPr>
          <w:p w:rsidR="004D0C72" w:rsidRDefault="00397BD3">
            <w:pPr>
              <w:jc w:val="center"/>
            </w:pPr>
            <w:r>
              <w:rPr>
                <w:color w:val="000000"/>
                <w:sz w:val="24"/>
              </w:rPr>
              <w:t>本基金、交银理财</w:t>
            </w:r>
            <w:r>
              <w:rPr>
                <w:color w:val="000000"/>
                <w:sz w:val="24"/>
              </w:rPr>
              <w:t>60</w:t>
            </w:r>
            <w:r>
              <w:rPr>
                <w:color w:val="000000"/>
                <w:sz w:val="24"/>
              </w:rPr>
              <w:t>天债券、交银双轮动债券、交银定期支付月月丰债券、交银强化回报债券的基金经理助理</w:t>
            </w:r>
          </w:p>
        </w:tc>
        <w:tc>
          <w:tcPr>
            <w:tcW w:w="1500" w:type="dxa"/>
            <w:vAlign w:val="center"/>
          </w:tcPr>
          <w:p w:rsidR="004D0C72" w:rsidRDefault="00397BD3">
            <w:pPr>
              <w:jc w:val="center"/>
            </w:pPr>
            <w:r>
              <w:rPr>
                <w:color w:val="000000"/>
                <w:sz w:val="24"/>
              </w:rPr>
              <w:t>2014-08-18</w:t>
            </w:r>
          </w:p>
        </w:tc>
        <w:tc>
          <w:tcPr>
            <w:tcW w:w="1500" w:type="dxa"/>
            <w:vAlign w:val="center"/>
          </w:tcPr>
          <w:p w:rsidR="004D0C72" w:rsidRDefault="00397BD3">
            <w:pPr>
              <w:jc w:val="center"/>
            </w:pPr>
            <w:r>
              <w:rPr>
                <w:color w:val="000000"/>
                <w:sz w:val="24"/>
              </w:rPr>
              <w:t>-</w:t>
            </w:r>
          </w:p>
        </w:tc>
        <w:tc>
          <w:tcPr>
            <w:tcW w:w="1090" w:type="dxa"/>
            <w:vAlign w:val="center"/>
          </w:tcPr>
          <w:p w:rsidR="004D0C72" w:rsidRDefault="00397BD3">
            <w:pPr>
              <w:jc w:val="center"/>
            </w:pPr>
            <w:r>
              <w:rPr>
                <w:color w:val="000000"/>
                <w:sz w:val="24"/>
              </w:rPr>
              <w:t>4</w:t>
            </w:r>
            <w:r>
              <w:rPr>
                <w:color w:val="000000"/>
                <w:sz w:val="24"/>
              </w:rPr>
              <w:t>年</w:t>
            </w:r>
          </w:p>
        </w:tc>
        <w:tc>
          <w:tcPr>
            <w:tcW w:w="1910" w:type="dxa"/>
            <w:vAlign w:val="center"/>
          </w:tcPr>
          <w:p w:rsidR="004D0C72" w:rsidRDefault="00397BD3">
            <w:r>
              <w:rPr>
                <w:color w:val="000000"/>
                <w:sz w:val="24"/>
              </w:rPr>
              <w:t>吕一楠先生，澳洲新南威尔士大学统计学硕士和精算学硕士。历任大新保险服务有限公司（香港）投资分析师，中国人寿养老保险公司投资管理中心组合经理。</w:t>
            </w:r>
            <w:r>
              <w:rPr>
                <w:color w:val="000000"/>
                <w:sz w:val="24"/>
              </w:rPr>
              <w:t>2013</w:t>
            </w:r>
            <w:r>
              <w:rPr>
                <w:color w:val="000000"/>
                <w:sz w:val="24"/>
              </w:rPr>
              <w:t>年</w:t>
            </w:r>
            <w:r>
              <w:rPr>
                <w:color w:val="000000"/>
                <w:sz w:val="24"/>
              </w:rPr>
              <w:t>7</w:t>
            </w:r>
            <w:r>
              <w:rPr>
                <w:color w:val="000000"/>
                <w:sz w:val="24"/>
              </w:rPr>
              <w:t>月加入交银施罗德基金管理有限公司。</w:t>
            </w:r>
          </w:p>
        </w:tc>
      </w:tr>
    </w:tbl>
    <w:p w:rsidR="004D0C72" w:rsidRDefault="00397BD3">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w:t>
      </w:r>
      <w:r>
        <w:rPr>
          <w:kern w:val="0"/>
          <w:sz w:val="24"/>
        </w:rPr>
        <w:t>(</w:t>
      </w:r>
      <w:r>
        <w:rPr>
          <w:kern w:val="0"/>
          <w:sz w:val="24"/>
        </w:rPr>
        <w:t>如适用</w:t>
      </w:r>
      <w:r>
        <w:rPr>
          <w:kern w:val="0"/>
          <w:sz w:val="24"/>
        </w:rPr>
        <w:t>)</w:t>
      </w:r>
      <w:r>
        <w:rPr>
          <w:kern w:val="0"/>
          <w:sz w:val="24"/>
        </w:rPr>
        <w:t>之日为准</w:t>
      </w:r>
      <w:r w:rsidR="00A83459">
        <w:rPr>
          <w:rFonts w:hint="eastAsia"/>
          <w:kern w:val="0"/>
          <w:sz w:val="24"/>
        </w:rPr>
        <w:t>。</w:t>
      </w:r>
    </w:p>
    <w:p w:rsidR="004D0C72" w:rsidRDefault="00397BD3" w:rsidP="00B74F07">
      <w:pPr>
        <w:tabs>
          <w:tab w:val="left" w:pos="426"/>
        </w:tabs>
        <w:spacing w:before="29" w:line="288" w:lineRule="auto"/>
        <w:ind w:firstLineChars="177" w:firstLine="425"/>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sidR="00A83459">
        <w:rPr>
          <w:rFonts w:hint="eastAsia"/>
          <w:kern w:val="0"/>
          <w:sz w:val="24"/>
        </w:rPr>
        <w:t>。</w:t>
      </w:r>
      <w:r>
        <w:rPr>
          <w:kern w:val="0"/>
          <w:sz w:val="24"/>
        </w:rPr>
        <w:t xml:space="preserve"> </w:t>
      </w:r>
    </w:p>
    <w:p w:rsidR="001A59F9" w:rsidRPr="00C016E9" w:rsidRDefault="001A59F9" w:rsidP="00B74F07">
      <w:pPr>
        <w:tabs>
          <w:tab w:val="left" w:pos="426"/>
        </w:tabs>
        <w:spacing w:before="29" w:line="288" w:lineRule="auto"/>
        <w:ind w:firstLineChars="177" w:firstLine="425"/>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4D0C72" w:rsidRDefault="00397BD3">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3F5CF4" w:rsidRPr="0013437B" w:rsidRDefault="003F5CF4" w:rsidP="003F5CF4">
      <w:pPr>
        <w:spacing w:before="29" w:line="288" w:lineRule="auto"/>
        <w:ind w:firstLineChars="200" w:firstLine="480"/>
        <w:rPr>
          <w:color w:val="000000"/>
          <w:sz w:val="24"/>
        </w:rPr>
      </w:pPr>
      <w:r w:rsidRPr="0013437B">
        <w:rPr>
          <w:color w:val="000000"/>
          <w:sz w:val="24"/>
        </w:rPr>
        <w:t>本报告期内，本基金整体运作合</w:t>
      </w:r>
      <w:proofErr w:type="gramStart"/>
      <w:r w:rsidRPr="0013437B">
        <w:rPr>
          <w:color w:val="000000"/>
          <w:sz w:val="24"/>
        </w:rPr>
        <w:t>规</w:t>
      </w:r>
      <w:proofErr w:type="gramEnd"/>
      <w:r w:rsidRPr="0013437B">
        <w:rPr>
          <w:color w:val="000000"/>
          <w:sz w:val="24"/>
        </w:rPr>
        <w:t>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4D0C72" w:rsidRDefault="00397BD3">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4D0C72" w:rsidRDefault="00397BD3">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4D0C72" w:rsidRDefault="00397BD3">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4D0C72" w:rsidRDefault="00397BD3">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4D0C72" w:rsidRDefault="00397BD3">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4D0C72" w:rsidRDefault="00397BD3">
      <w:pPr>
        <w:spacing w:before="29" w:line="288" w:lineRule="auto"/>
        <w:ind w:firstLineChars="200" w:firstLine="480"/>
        <w:rPr>
          <w:color w:val="000000"/>
          <w:sz w:val="24"/>
        </w:rPr>
      </w:pPr>
      <w:r>
        <w:rPr>
          <w:color w:val="000000"/>
          <w:sz w:val="24"/>
        </w:rPr>
        <w:t>2014</w:t>
      </w:r>
      <w:r>
        <w:rPr>
          <w:color w:val="000000"/>
          <w:sz w:val="24"/>
        </w:rPr>
        <w:t>年债券市场上演了一幕波澜壮阔的牛市行情，在逐步摆脱</w:t>
      </w:r>
      <w:r>
        <w:rPr>
          <w:color w:val="000000"/>
          <w:sz w:val="24"/>
        </w:rPr>
        <w:t>2013</w:t>
      </w:r>
      <w:r>
        <w:rPr>
          <w:color w:val="000000"/>
          <w:sz w:val="24"/>
        </w:rPr>
        <w:t>年的非基本</w:t>
      </w:r>
      <w:proofErr w:type="gramStart"/>
      <w:r>
        <w:rPr>
          <w:color w:val="000000"/>
          <w:sz w:val="24"/>
        </w:rPr>
        <w:t>面冲击</w:t>
      </w:r>
      <w:proofErr w:type="gramEnd"/>
      <w:r>
        <w:rPr>
          <w:color w:val="000000"/>
          <w:sz w:val="24"/>
        </w:rPr>
        <w:t>之后，债券市场重</w:t>
      </w:r>
      <w:proofErr w:type="gramStart"/>
      <w:r>
        <w:rPr>
          <w:color w:val="000000"/>
          <w:sz w:val="24"/>
        </w:rPr>
        <w:t>回基本</w:t>
      </w:r>
      <w:proofErr w:type="gramEnd"/>
      <w:r>
        <w:rPr>
          <w:color w:val="000000"/>
          <w:sz w:val="24"/>
        </w:rPr>
        <w:t>面驱动。由于经济处于寻底过程，宏观政策更强调托底，各种</w:t>
      </w:r>
      <w:proofErr w:type="gramStart"/>
      <w:r>
        <w:rPr>
          <w:color w:val="000000"/>
          <w:sz w:val="24"/>
        </w:rPr>
        <w:t>稳经济</w:t>
      </w:r>
      <w:proofErr w:type="gramEnd"/>
      <w:r>
        <w:rPr>
          <w:color w:val="000000"/>
          <w:sz w:val="24"/>
        </w:rPr>
        <w:t>政策相对平缓，避免了以往</w:t>
      </w:r>
      <w:r>
        <w:rPr>
          <w:color w:val="000000"/>
          <w:sz w:val="24"/>
        </w:rPr>
        <w:t>“</w:t>
      </w:r>
      <w:r>
        <w:rPr>
          <w:color w:val="000000"/>
          <w:sz w:val="24"/>
        </w:rPr>
        <w:t>强刺激</w:t>
      </w:r>
      <w:r>
        <w:rPr>
          <w:color w:val="000000"/>
          <w:sz w:val="24"/>
        </w:rPr>
        <w:t>——</w:t>
      </w:r>
      <w:r>
        <w:rPr>
          <w:color w:val="000000"/>
          <w:sz w:val="24"/>
        </w:rPr>
        <w:t>债券跌</w:t>
      </w:r>
      <w:r>
        <w:rPr>
          <w:color w:val="000000"/>
          <w:sz w:val="24"/>
        </w:rPr>
        <w:t>”</w:t>
      </w:r>
      <w:r>
        <w:rPr>
          <w:color w:val="000000"/>
          <w:sz w:val="24"/>
        </w:rPr>
        <w:t>的旧有路径，并且</w:t>
      </w:r>
      <w:r>
        <w:rPr>
          <w:color w:val="000000"/>
          <w:sz w:val="24"/>
        </w:rPr>
        <w:t>2014</w:t>
      </w:r>
      <w:r>
        <w:rPr>
          <w:color w:val="000000"/>
          <w:sz w:val="24"/>
        </w:rPr>
        <w:t>年以来银行理财规模扩张很快，对债券需求大增，从投资者结构而言也造就了牛市行情的纵深发展。纵观全年的债市走势，除了</w:t>
      </w:r>
      <w:r>
        <w:rPr>
          <w:color w:val="000000"/>
          <w:sz w:val="24"/>
        </w:rPr>
        <w:t>7</w:t>
      </w:r>
      <w:r>
        <w:rPr>
          <w:color w:val="000000"/>
          <w:sz w:val="24"/>
        </w:rPr>
        <w:t>、</w:t>
      </w:r>
      <w:r>
        <w:rPr>
          <w:color w:val="000000"/>
          <w:sz w:val="24"/>
        </w:rPr>
        <w:t>8</w:t>
      </w:r>
      <w:r>
        <w:rPr>
          <w:color w:val="000000"/>
          <w:sz w:val="24"/>
        </w:rPr>
        <w:t>月份因为经济数据昙花一现的反弹引发债市回调以外，全年基本上以长阳贯穿始终。另外，</w:t>
      </w:r>
      <w:r>
        <w:rPr>
          <w:color w:val="000000"/>
          <w:sz w:val="24"/>
        </w:rPr>
        <w:t>12</w:t>
      </w:r>
      <w:r>
        <w:rPr>
          <w:color w:val="000000"/>
          <w:sz w:val="24"/>
        </w:rPr>
        <w:t>月份由于政策风险引发的黑天鹅露出端倪，再次引发市场震荡调整。</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本基金从建仓以来迅速抓住债市回暖的主升浪，很好地享受了此轮牛市行情的投资行情，建仓在高位，为投资者锁定了稳定的投资收益。</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1.022</w:t>
      </w:r>
      <w:r w:rsidRPr="0013437B">
        <w:rPr>
          <w:color w:val="000000"/>
          <w:sz w:val="24"/>
        </w:rPr>
        <w:t>元，本报告期份额净值增长率为</w:t>
      </w:r>
      <w:r w:rsidRPr="0013437B">
        <w:rPr>
          <w:color w:val="000000"/>
          <w:sz w:val="24"/>
        </w:rPr>
        <w:t>2.20%</w:t>
      </w:r>
      <w:r w:rsidRPr="0013437B">
        <w:rPr>
          <w:color w:val="000000"/>
          <w:sz w:val="24"/>
        </w:rPr>
        <w:t>，同期业绩比较基准增长率为</w:t>
      </w:r>
      <w:r w:rsidRPr="0013437B">
        <w:rPr>
          <w:color w:val="000000"/>
          <w:sz w:val="24"/>
        </w:rPr>
        <w:t>1.66%</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1A59F9" w:rsidRPr="0013437B" w:rsidRDefault="001A59F9" w:rsidP="0013437B">
      <w:pPr>
        <w:spacing w:before="29" w:line="288" w:lineRule="auto"/>
        <w:ind w:firstLineChars="200" w:firstLine="480"/>
        <w:rPr>
          <w:color w:val="000000"/>
          <w:sz w:val="24"/>
        </w:rPr>
      </w:pPr>
      <w:r w:rsidRPr="0013437B">
        <w:rPr>
          <w:color w:val="000000"/>
          <w:sz w:val="24"/>
        </w:rPr>
        <w:t>展望</w:t>
      </w:r>
      <w:r w:rsidRPr="0013437B">
        <w:rPr>
          <w:color w:val="000000"/>
          <w:sz w:val="24"/>
        </w:rPr>
        <w:t>2015</w:t>
      </w:r>
      <w:r w:rsidRPr="0013437B">
        <w:rPr>
          <w:color w:val="000000"/>
          <w:sz w:val="24"/>
        </w:rPr>
        <w:t>年，由于国内经济运行情况不断走弱，反映出内</w:t>
      </w:r>
      <w:proofErr w:type="gramStart"/>
      <w:r w:rsidRPr="0013437B">
        <w:rPr>
          <w:color w:val="000000"/>
          <w:sz w:val="24"/>
        </w:rPr>
        <w:t>生增长</w:t>
      </w:r>
      <w:proofErr w:type="gramEnd"/>
      <w:r w:rsidRPr="0013437B">
        <w:rPr>
          <w:color w:val="000000"/>
          <w:sz w:val="24"/>
        </w:rPr>
        <w:t>动力的不足和外围环境改善的有限。定向宽松货币政策预计效果有限，货币市场利率持续走低与实体资金成本居高不下的矛盾亟待破解，预计</w:t>
      </w:r>
      <w:r w:rsidRPr="0013437B">
        <w:rPr>
          <w:color w:val="000000"/>
          <w:sz w:val="24"/>
        </w:rPr>
        <w:t>2015</w:t>
      </w:r>
      <w:r w:rsidRPr="0013437B">
        <w:rPr>
          <w:color w:val="000000"/>
          <w:sz w:val="24"/>
        </w:rPr>
        <w:t>年央行宽松的政策思路会在中短期内继续保持，经济下债务上的背景下，不排除将有更大刺激政策出台的可能性。而这些刺激政策有望继续利好债市。由于本基金是封闭式杠杆债基，继续享受持有收益。在操作上，为应对未来中证登交易所质押</w:t>
      </w:r>
      <w:proofErr w:type="gramStart"/>
      <w:r w:rsidRPr="0013437B">
        <w:rPr>
          <w:color w:val="000000"/>
          <w:sz w:val="24"/>
        </w:rPr>
        <w:t>券</w:t>
      </w:r>
      <w:proofErr w:type="gramEnd"/>
      <w:r w:rsidRPr="0013437B">
        <w:rPr>
          <w:color w:val="000000"/>
          <w:sz w:val="24"/>
        </w:rPr>
        <w:t>强制出库规定，在交易所持仓</w:t>
      </w:r>
      <w:proofErr w:type="gramStart"/>
      <w:r w:rsidRPr="0013437B">
        <w:rPr>
          <w:color w:val="000000"/>
          <w:sz w:val="24"/>
        </w:rPr>
        <w:t>券</w:t>
      </w:r>
      <w:proofErr w:type="gramEnd"/>
      <w:r w:rsidRPr="0013437B">
        <w:rPr>
          <w:color w:val="000000"/>
          <w:sz w:val="24"/>
        </w:rPr>
        <w:t>布局上会提前做一定的微调。</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4D0C72" w:rsidRDefault="00397BD3">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4D0C72" w:rsidRDefault="00397BD3">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根据相关法律法规和基金合同的规定，本基金对本年度应分配的可供分配利润进行了收益分配，具体情况参见</w:t>
      </w:r>
      <w:r w:rsidR="00397BD3" w:rsidRPr="00D42B94">
        <w:rPr>
          <w:rFonts w:hint="eastAsia"/>
          <w:color w:val="000000"/>
          <w:sz w:val="24"/>
        </w:rPr>
        <w:t>年度报告正文</w:t>
      </w:r>
      <w:r w:rsidRPr="0013437B">
        <w:rPr>
          <w:color w:val="000000"/>
          <w:sz w:val="24"/>
        </w:rPr>
        <w:t>7.4.8.2</w:t>
      </w:r>
      <w:r w:rsidRPr="0013437B">
        <w:rPr>
          <w:color w:val="000000"/>
          <w:sz w:val="24"/>
        </w:rPr>
        <w:t>资产负债表日后事项。</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73361C">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自</w:t>
      </w:r>
      <w:r w:rsidRPr="0013437B">
        <w:rPr>
          <w:color w:val="000000"/>
          <w:sz w:val="24"/>
        </w:rPr>
        <w:t>2014</w:t>
      </w:r>
      <w:r w:rsidRPr="0013437B">
        <w:rPr>
          <w:color w:val="000000"/>
          <w:sz w:val="24"/>
        </w:rPr>
        <w:t>年</w:t>
      </w:r>
      <w:r w:rsidRPr="0013437B">
        <w:rPr>
          <w:color w:val="000000"/>
          <w:sz w:val="24"/>
        </w:rPr>
        <w:t>8</w:t>
      </w:r>
      <w:r w:rsidRPr="0013437B">
        <w:rPr>
          <w:color w:val="000000"/>
          <w:sz w:val="24"/>
        </w:rPr>
        <w:t>月</w:t>
      </w:r>
      <w:r w:rsidRPr="0013437B">
        <w:rPr>
          <w:color w:val="000000"/>
          <w:sz w:val="24"/>
        </w:rPr>
        <w:t>11</w:t>
      </w:r>
      <w:r w:rsidRPr="0013437B">
        <w:rPr>
          <w:color w:val="000000"/>
          <w:sz w:val="24"/>
        </w:rPr>
        <w:t>日交银施罗德丰盈收益债券型证券投资基金（以下简称</w:t>
      </w:r>
      <w:r w:rsidRPr="0013437B">
        <w:rPr>
          <w:color w:val="000000"/>
          <w:sz w:val="24"/>
        </w:rPr>
        <w:t>“</w:t>
      </w:r>
      <w:r w:rsidRPr="0013437B">
        <w:rPr>
          <w:color w:val="000000"/>
          <w:sz w:val="24"/>
        </w:rPr>
        <w:t>本基金</w:t>
      </w:r>
      <w:r w:rsidRPr="0013437B">
        <w:rPr>
          <w:color w:val="000000"/>
          <w:sz w:val="24"/>
        </w:rPr>
        <w:t>”</w:t>
      </w:r>
      <w:r w:rsidRPr="0013437B">
        <w:rPr>
          <w:color w:val="000000"/>
          <w:sz w:val="24"/>
        </w:rPr>
        <w:t>）成立以来，作为本基金的托管人，中信银行严格遵守了《证券投资基金法》及其他有关法律法规、基金合同和托管协议的规定，尽职尽责地履行了托管人应尽的义务，不存在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1A59F9" w:rsidRPr="0013437B" w:rsidRDefault="001A59F9" w:rsidP="0013437B">
      <w:pPr>
        <w:spacing w:before="29" w:line="288" w:lineRule="auto"/>
        <w:ind w:firstLineChars="200" w:firstLine="480"/>
        <w:rPr>
          <w:color w:val="000000"/>
          <w:sz w:val="24"/>
        </w:rPr>
      </w:pPr>
      <w:r w:rsidRPr="0013437B">
        <w:rPr>
          <w:color w:val="000000"/>
          <w:sz w:val="24"/>
        </w:rPr>
        <w:t>报告期内，本托管人按照国家有关法律法规、基金合同和托管协议要求，对基金管理人</w:t>
      </w:r>
      <w:r w:rsidRPr="0013437B">
        <w:rPr>
          <w:color w:val="000000"/>
          <w:sz w:val="24"/>
        </w:rPr>
        <w:t>——</w:t>
      </w:r>
      <w:r w:rsidRPr="0013437B">
        <w:rPr>
          <w:color w:val="000000"/>
          <w:sz w:val="24"/>
        </w:rPr>
        <w:t>交银施罗德基金管理有限公司在本基金投资运作方面进行了监督，对基金资产净值计算、基金份额申购赎回价格的计算、基金费用开支等方面进行了认真的复核，未发现基金管理人有损害基金份额持有人利益的行为。本报告期，本基金未进行利润分配，经本托管人复核，符合合同相关要求，不存在损害持有人利益的情况。</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由本基金管理人</w:t>
      </w:r>
      <w:r w:rsidRPr="0013437B">
        <w:rPr>
          <w:color w:val="000000"/>
          <w:sz w:val="24"/>
        </w:rPr>
        <w:t>——</w:t>
      </w:r>
      <w:r w:rsidRPr="0013437B">
        <w:rPr>
          <w:color w:val="000000"/>
          <w:sz w:val="24"/>
        </w:rPr>
        <w:t>交银施罗德基金管理有限公司编制，并经本托管人复核审查的本年度报告中的财务指标、净值表现、收益分配、财务会计报告、投资组合报告等内容真实、准确和完整。</w:t>
      </w:r>
    </w:p>
    <w:p w:rsidR="009E773E" w:rsidRPr="0013437B" w:rsidRDefault="009E773E" w:rsidP="0013437B">
      <w:pPr>
        <w:spacing w:before="29" w:line="288" w:lineRule="auto"/>
        <w:ind w:firstLineChars="200" w:firstLine="480"/>
        <w:rPr>
          <w:color w:val="000000"/>
          <w:sz w:val="24"/>
        </w:rPr>
      </w:pPr>
    </w:p>
    <w:p w:rsidR="001A59F9" w:rsidRDefault="001A59F9" w:rsidP="0073361C">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交银施罗德丰盈收益债券型证券投资基金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Pr="003C6BFD">
        <w:rPr>
          <w:color w:val="000000"/>
          <w:sz w:val="24"/>
        </w:rPr>
        <w:t>8</w:t>
      </w:r>
      <w:r w:rsidRPr="003C6BFD">
        <w:rPr>
          <w:color w:val="000000"/>
          <w:sz w:val="24"/>
        </w:rPr>
        <w:t>月</w:t>
      </w:r>
      <w:r w:rsidRPr="003C6BFD">
        <w:rPr>
          <w:color w:val="000000"/>
          <w:sz w:val="24"/>
        </w:rPr>
        <w:t>11</w:t>
      </w:r>
      <w:r w:rsidRPr="003C6BFD">
        <w:rPr>
          <w:color w:val="000000"/>
          <w:sz w:val="24"/>
        </w:rPr>
        <w:t>日（基金合同生效日）至</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proofErr w:type="gramStart"/>
      <w:r w:rsidR="00D0469A">
        <w:rPr>
          <w:rFonts w:hint="eastAsia"/>
          <w:color w:val="000000"/>
          <w:sz w:val="24"/>
        </w:rPr>
        <w:t>止</w:t>
      </w:r>
      <w:proofErr w:type="gramEnd"/>
      <w:r w:rsidR="00D0469A">
        <w:rPr>
          <w:rFonts w:hint="eastAsia"/>
          <w:color w:val="000000"/>
          <w:sz w:val="24"/>
        </w:rPr>
        <w:t>期间</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21523</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73361C">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交银施罗德丰盈收益债券型证券投资基金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4603"/>
      </w:tblGrid>
      <w:tr w:rsidR="00397BD3" w:rsidRPr="00C51C77" w:rsidTr="00397BD3">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4603"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397BD3" w:rsidRPr="00C51C77" w:rsidTr="00397BD3">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4603" w:type="dxa"/>
            <w:vAlign w:val="center"/>
          </w:tcPr>
          <w:p w:rsidR="00E959E6" w:rsidRPr="001C5FC7" w:rsidRDefault="00E959E6" w:rsidP="001C5FC7">
            <w:pPr>
              <w:spacing w:before="29" w:line="288" w:lineRule="auto"/>
              <w:jc w:val="right"/>
              <w:rPr>
                <w:color w:val="000000"/>
                <w:sz w:val="24"/>
              </w:rPr>
            </w:pPr>
          </w:p>
        </w:tc>
      </w:tr>
      <w:tr w:rsidR="00397BD3" w:rsidRPr="00C51C77" w:rsidTr="00397BD3">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4603" w:type="dxa"/>
            <w:vAlign w:val="center"/>
          </w:tcPr>
          <w:p w:rsidR="00E959E6" w:rsidRPr="001C5FC7" w:rsidRDefault="00E959E6" w:rsidP="001C5FC7">
            <w:pPr>
              <w:spacing w:before="29" w:line="288" w:lineRule="auto"/>
              <w:jc w:val="right"/>
              <w:rPr>
                <w:color w:val="000000"/>
                <w:sz w:val="24"/>
              </w:rPr>
            </w:pPr>
            <w:r w:rsidRPr="001C5FC7">
              <w:rPr>
                <w:color w:val="000000"/>
                <w:sz w:val="24"/>
              </w:rPr>
              <w:t>183,524.70</w:t>
            </w:r>
          </w:p>
        </w:tc>
      </w:tr>
      <w:tr w:rsidR="00397BD3" w:rsidRPr="00C51C77" w:rsidTr="00397BD3">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4603" w:type="dxa"/>
            <w:vAlign w:val="center"/>
          </w:tcPr>
          <w:p w:rsidR="00E959E6" w:rsidRPr="001C5FC7" w:rsidRDefault="00E959E6" w:rsidP="001C5FC7">
            <w:pPr>
              <w:spacing w:before="29" w:line="288" w:lineRule="auto"/>
              <w:jc w:val="right"/>
              <w:rPr>
                <w:color w:val="000000"/>
                <w:sz w:val="24"/>
              </w:rPr>
            </w:pPr>
            <w:r w:rsidRPr="001C5FC7">
              <w:rPr>
                <w:color w:val="000000"/>
                <w:sz w:val="24"/>
              </w:rPr>
              <w:t>15,999,989.03</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63,992.15</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982,505,271.59</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982,505,271.59</w:t>
            </w:r>
          </w:p>
        </w:tc>
      </w:tr>
      <w:tr w:rsidR="00397BD3" w:rsidRPr="00C51C77" w:rsidTr="00397BD3">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28,055,919.45</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1,026,808,696.92</w:t>
            </w:r>
          </w:p>
        </w:tc>
      </w:tr>
      <w:tr w:rsidR="00397BD3" w:rsidRPr="00C51C77" w:rsidTr="00397BD3">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4603"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397BD3" w:rsidRPr="00C51C77" w:rsidTr="00397BD3">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504,338,668.49</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42,770.00</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w:t>
            </w:r>
            <w:proofErr w:type="gramStart"/>
            <w:r w:rsidRPr="003F4597">
              <w:rPr>
                <w:rFonts w:hint="eastAsia"/>
                <w:color w:val="000000"/>
                <w:sz w:val="24"/>
              </w:rPr>
              <w:t>赎回款</w:t>
            </w:r>
            <w:proofErr w:type="gramEnd"/>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356,623.18</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66,866.84</w:t>
            </w:r>
          </w:p>
        </w:tc>
      </w:tr>
      <w:tr w:rsidR="00397BD3" w:rsidRPr="00C51C77" w:rsidTr="00397BD3">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13,119.80</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125,439.89</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200,000.00</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505,143,488.20</w:t>
            </w:r>
          </w:p>
        </w:tc>
      </w:tr>
      <w:tr w:rsidR="00397BD3" w:rsidRPr="00C51C77" w:rsidTr="00397BD3">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510,658,140.93</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11,007,067.79</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521,665,208.72</w:t>
            </w:r>
          </w:p>
        </w:tc>
      </w:tr>
      <w:tr w:rsidR="00397BD3" w:rsidRPr="00C51C77" w:rsidTr="00397BD3">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1,026,808,696.92</w:t>
            </w:r>
          </w:p>
        </w:tc>
      </w:tr>
    </w:tbl>
    <w:p w:rsidR="004D0C72" w:rsidRDefault="003F2293">
      <w:pPr>
        <w:tabs>
          <w:tab w:val="left" w:pos="426"/>
        </w:tabs>
        <w:spacing w:line="360" w:lineRule="auto"/>
        <w:jc w:val="left"/>
        <w:rPr>
          <w:kern w:val="0"/>
          <w:sz w:val="24"/>
        </w:rPr>
      </w:pPr>
      <w:r>
        <w:rPr>
          <w:rFonts w:hint="eastAsia"/>
          <w:kern w:val="0"/>
          <w:sz w:val="24"/>
        </w:rPr>
        <w:t>注：</w:t>
      </w:r>
      <w:r w:rsidR="00397BD3">
        <w:rPr>
          <w:kern w:val="0"/>
          <w:sz w:val="24"/>
        </w:rPr>
        <w:t>1</w:t>
      </w:r>
      <w:r w:rsidR="00397BD3">
        <w:rPr>
          <w:kern w:val="0"/>
          <w:sz w:val="24"/>
        </w:rPr>
        <w:t>、报告截止日</w:t>
      </w:r>
      <w:r w:rsidR="00397BD3">
        <w:rPr>
          <w:kern w:val="0"/>
          <w:sz w:val="24"/>
        </w:rPr>
        <w:t>2014</w:t>
      </w:r>
      <w:r w:rsidR="00397BD3">
        <w:rPr>
          <w:kern w:val="0"/>
          <w:sz w:val="24"/>
        </w:rPr>
        <w:t>年</w:t>
      </w:r>
      <w:r w:rsidR="00397BD3">
        <w:rPr>
          <w:kern w:val="0"/>
          <w:sz w:val="24"/>
        </w:rPr>
        <w:t>12</w:t>
      </w:r>
      <w:r w:rsidR="00397BD3">
        <w:rPr>
          <w:kern w:val="0"/>
          <w:sz w:val="24"/>
        </w:rPr>
        <w:t>月</w:t>
      </w:r>
      <w:r w:rsidR="00397BD3">
        <w:rPr>
          <w:kern w:val="0"/>
          <w:sz w:val="24"/>
        </w:rPr>
        <w:t>31</w:t>
      </w:r>
      <w:r w:rsidR="00397BD3">
        <w:rPr>
          <w:kern w:val="0"/>
          <w:sz w:val="24"/>
        </w:rPr>
        <w:t>日，</w:t>
      </w:r>
      <w:r w:rsidR="00397BD3">
        <w:rPr>
          <w:kern w:val="0"/>
          <w:sz w:val="24"/>
        </w:rPr>
        <w:t>A</w:t>
      </w:r>
      <w:r w:rsidR="00397BD3">
        <w:rPr>
          <w:kern w:val="0"/>
          <w:sz w:val="24"/>
        </w:rPr>
        <w:t>类基金份额净值</w:t>
      </w:r>
      <w:r w:rsidR="00397BD3">
        <w:rPr>
          <w:kern w:val="0"/>
          <w:sz w:val="24"/>
        </w:rPr>
        <w:t>1.022</w:t>
      </w:r>
      <w:r w:rsidR="00397BD3">
        <w:rPr>
          <w:kern w:val="0"/>
          <w:sz w:val="24"/>
        </w:rPr>
        <w:t>元，</w:t>
      </w:r>
      <w:r w:rsidR="00397BD3">
        <w:rPr>
          <w:kern w:val="0"/>
          <w:sz w:val="24"/>
        </w:rPr>
        <w:t>A</w:t>
      </w:r>
      <w:r w:rsidR="00397BD3">
        <w:rPr>
          <w:kern w:val="0"/>
          <w:sz w:val="24"/>
        </w:rPr>
        <w:t>类基金份额总额</w:t>
      </w:r>
      <w:r w:rsidR="00397BD3">
        <w:rPr>
          <w:kern w:val="0"/>
          <w:sz w:val="24"/>
        </w:rPr>
        <w:t>510,658,140.93</w:t>
      </w:r>
      <w:r w:rsidR="00397BD3">
        <w:rPr>
          <w:kern w:val="0"/>
          <w:sz w:val="24"/>
        </w:rPr>
        <w:t>份。</w:t>
      </w:r>
    </w:p>
    <w:p w:rsidR="003F2293" w:rsidRDefault="001A59F9" w:rsidP="003F2293">
      <w:pPr>
        <w:tabs>
          <w:tab w:val="left" w:pos="426"/>
        </w:tabs>
        <w:spacing w:line="360" w:lineRule="auto"/>
        <w:ind w:firstLineChars="177" w:firstLine="425"/>
        <w:jc w:val="left"/>
        <w:rPr>
          <w:kern w:val="0"/>
          <w:sz w:val="24"/>
        </w:rPr>
      </w:pPr>
      <w:r w:rsidRPr="00AA0214">
        <w:rPr>
          <w:kern w:val="0"/>
          <w:sz w:val="24"/>
        </w:rPr>
        <w:t>2</w:t>
      </w:r>
      <w:r w:rsidRPr="00AA0214">
        <w:rPr>
          <w:kern w:val="0"/>
          <w:sz w:val="24"/>
        </w:rPr>
        <w:t>、本财务报表的实际编制期间为</w:t>
      </w:r>
      <w:r w:rsidRPr="00AA0214">
        <w:rPr>
          <w:kern w:val="0"/>
          <w:sz w:val="24"/>
        </w:rPr>
        <w:t>2014</w:t>
      </w:r>
      <w:r w:rsidRPr="00AA0214">
        <w:rPr>
          <w:kern w:val="0"/>
          <w:sz w:val="24"/>
        </w:rPr>
        <w:t>年</w:t>
      </w:r>
      <w:r w:rsidRPr="00AA0214">
        <w:rPr>
          <w:kern w:val="0"/>
          <w:sz w:val="24"/>
        </w:rPr>
        <w:t>8</w:t>
      </w:r>
      <w:r w:rsidRPr="00AA0214">
        <w:rPr>
          <w:kern w:val="0"/>
          <w:sz w:val="24"/>
        </w:rPr>
        <w:t>月</w:t>
      </w:r>
      <w:r w:rsidRPr="00AA0214">
        <w:rPr>
          <w:kern w:val="0"/>
          <w:sz w:val="24"/>
        </w:rPr>
        <w:t>11</w:t>
      </w:r>
      <w:r w:rsidRPr="00AA0214">
        <w:rPr>
          <w:kern w:val="0"/>
          <w:sz w:val="24"/>
        </w:rPr>
        <w:t>日</w:t>
      </w:r>
      <w:r w:rsidRPr="00AA0214">
        <w:rPr>
          <w:kern w:val="0"/>
          <w:sz w:val="24"/>
        </w:rPr>
        <w:t>(</w:t>
      </w:r>
      <w:r w:rsidRPr="00AA0214">
        <w:rPr>
          <w:kern w:val="0"/>
          <w:sz w:val="24"/>
        </w:rPr>
        <w:t>基金合同生效日</w:t>
      </w:r>
      <w:r w:rsidRPr="00AA0214">
        <w:rPr>
          <w:kern w:val="0"/>
          <w:sz w:val="24"/>
        </w:rPr>
        <w:t>)</w:t>
      </w:r>
      <w:r w:rsidRPr="00AA0214">
        <w:rPr>
          <w:kern w:val="0"/>
          <w:sz w:val="24"/>
        </w:rPr>
        <w:t>至</w:t>
      </w:r>
      <w:r w:rsidRPr="00AA0214">
        <w:rPr>
          <w:kern w:val="0"/>
          <w:sz w:val="24"/>
        </w:rPr>
        <w:t>2014</w:t>
      </w:r>
      <w:r w:rsidRPr="00AA0214">
        <w:rPr>
          <w:kern w:val="0"/>
          <w:sz w:val="24"/>
        </w:rPr>
        <w:t>年</w:t>
      </w:r>
      <w:r w:rsidRPr="00AA0214">
        <w:rPr>
          <w:kern w:val="0"/>
          <w:sz w:val="24"/>
        </w:rPr>
        <w:t>12</w:t>
      </w:r>
      <w:r w:rsidRPr="00AA0214">
        <w:rPr>
          <w:kern w:val="0"/>
          <w:sz w:val="24"/>
        </w:rPr>
        <w:t>月</w:t>
      </w:r>
      <w:r w:rsidRPr="00AA0214">
        <w:rPr>
          <w:kern w:val="0"/>
          <w:sz w:val="24"/>
        </w:rPr>
        <w:t>31</w:t>
      </w:r>
      <w:r w:rsidRPr="00AA0214">
        <w:rPr>
          <w:kern w:val="0"/>
          <w:sz w:val="24"/>
        </w:rPr>
        <w:t>日。</w:t>
      </w:r>
    </w:p>
    <w:p w:rsidR="00AA0214" w:rsidRPr="003F2293" w:rsidRDefault="003F2293" w:rsidP="003F2293">
      <w:pPr>
        <w:tabs>
          <w:tab w:val="left" w:pos="426"/>
        </w:tabs>
        <w:spacing w:line="360" w:lineRule="auto"/>
        <w:ind w:firstLineChars="177" w:firstLine="425"/>
        <w:jc w:val="left"/>
        <w:rPr>
          <w:kern w:val="0"/>
          <w:sz w:val="24"/>
        </w:rPr>
      </w:pPr>
      <w:r>
        <w:rPr>
          <w:rFonts w:hint="eastAsia"/>
          <w:kern w:val="0"/>
          <w:sz w:val="24"/>
        </w:rPr>
        <w:t>3</w:t>
      </w:r>
      <w:r w:rsidR="00AA0214"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交银施罗德丰盈收益债券型证券投资基金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8</w:t>
      </w:r>
      <w:r w:rsidR="00F64FAD" w:rsidRPr="00DA21E1">
        <w:rPr>
          <w:color w:val="000000"/>
          <w:sz w:val="24"/>
        </w:rPr>
        <w:t>月</w:t>
      </w:r>
      <w:r w:rsidR="00F64FAD" w:rsidRPr="00DA21E1">
        <w:rPr>
          <w:color w:val="000000"/>
          <w:sz w:val="24"/>
        </w:rPr>
        <w:t>11</w:t>
      </w:r>
      <w:r w:rsidR="00F64FAD" w:rsidRPr="00DA21E1">
        <w:rPr>
          <w:color w:val="000000"/>
          <w:sz w:val="24"/>
        </w:rPr>
        <w:t>日（基金合同生效日）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4603"/>
      </w:tblGrid>
      <w:tr w:rsidR="00397BD3" w:rsidRPr="00C51C77" w:rsidTr="00397BD3">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4603"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8</w:t>
            </w:r>
            <w:r w:rsidRPr="00DA21E1">
              <w:rPr>
                <w:rFonts w:ascii="Times New Roman" w:hAnsi="Times New Roman"/>
                <w:b/>
                <w:color w:val="000000"/>
              </w:rPr>
              <w:t>月</w:t>
            </w:r>
            <w:r w:rsidRPr="00DA21E1">
              <w:rPr>
                <w:rFonts w:ascii="Times New Roman" w:hAnsi="Times New Roman"/>
                <w:b/>
                <w:color w:val="000000"/>
              </w:rPr>
              <w:t>11</w:t>
            </w:r>
            <w:r w:rsidRPr="00DA21E1">
              <w:rPr>
                <w:rFonts w:ascii="Times New Roman" w:hAnsi="Times New Roman"/>
                <w:b/>
                <w:color w:val="000000"/>
              </w:rPr>
              <w:t>日（基金合同生效日）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397BD3" w:rsidRPr="00C51C77" w:rsidTr="00397BD3">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4603"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18,378,171.24</w:t>
            </w:r>
          </w:p>
        </w:tc>
      </w:tr>
      <w:tr w:rsidR="00397BD3" w:rsidRPr="00C51C77" w:rsidTr="00397BD3">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17,933,761.45</w:t>
            </w:r>
          </w:p>
        </w:tc>
      </w:tr>
      <w:tr w:rsidR="00397BD3" w:rsidRPr="00C51C77" w:rsidTr="00397BD3">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175,732.50</w:t>
            </w:r>
          </w:p>
        </w:tc>
      </w:tr>
      <w:tr w:rsidR="00397BD3" w:rsidRPr="00C51C77" w:rsidTr="00397BD3">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17,121,435.76</w:t>
            </w:r>
          </w:p>
        </w:tc>
      </w:tr>
      <w:tr w:rsidR="00397BD3" w:rsidRPr="00C51C77" w:rsidTr="00397BD3">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636,593.19</w:t>
            </w:r>
          </w:p>
        </w:tc>
      </w:tr>
      <w:tr w:rsidR="00397BD3" w:rsidRPr="00C51C77" w:rsidTr="00397BD3">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1,356,198.10</w:t>
            </w:r>
          </w:p>
        </w:tc>
      </w:tr>
      <w:tr w:rsidR="00397BD3" w:rsidRPr="00C51C77" w:rsidTr="00397BD3">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1,356,198.10</w:t>
            </w:r>
          </w:p>
        </w:tc>
      </w:tr>
      <w:tr w:rsidR="00397BD3" w:rsidRPr="00C51C77" w:rsidTr="00397BD3">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397BD3" w:rsidRPr="00C51C77" w:rsidTr="00397BD3">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-911,788.31</w:t>
            </w:r>
          </w:p>
        </w:tc>
      </w:tr>
      <w:tr w:rsidR="00397BD3" w:rsidRPr="00C51C77" w:rsidTr="00397BD3">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061E30" w:rsidRDefault="00707FDA" w:rsidP="001C5FC7">
            <w:pPr>
              <w:spacing w:before="29" w:line="288" w:lineRule="auto"/>
              <w:jc w:val="right"/>
              <w:rPr>
                <w:b/>
                <w:color w:val="000000"/>
                <w:sz w:val="24"/>
              </w:rPr>
            </w:pPr>
            <w:r w:rsidRPr="00061E30">
              <w:rPr>
                <w:b/>
                <w:color w:val="000000"/>
                <w:sz w:val="24"/>
              </w:rPr>
              <w:t>7,371,103.45</w:t>
            </w:r>
          </w:p>
        </w:tc>
      </w:tr>
      <w:tr w:rsidR="00397BD3" w:rsidRPr="00C51C77" w:rsidTr="00397BD3">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1,625,035.11</w:t>
            </w:r>
          </w:p>
        </w:tc>
      </w:tr>
      <w:tr w:rsidR="00397BD3" w:rsidRPr="00C51C77" w:rsidTr="00397BD3">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304,694.10</w:t>
            </w:r>
          </w:p>
        </w:tc>
      </w:tr>
      <w:tr w:rsidR="00397BD3" w:rsidRPr="00C51C77" w:rsidTr="00397BD3">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10,110.76</w:t>
            </w:r>
          </w:p>
        </w:tc>
      </w:tr>
      <w:tr w:rsidR="00397BD3" w:rsidRPr="00C51C77" w:rsidTr="00397BD3">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5,221,024.90</w:t>
            </w:r>
          </w:p>
        </w:tc>
      </w:tr>
      <w:tr w:rsidR="00397BD3" w:rsidRPr="00C51C77" w:rsidTr="00397BD3">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5,221,024.90</w:t>
            </w:r>
          </w:p>
        </w:tc>
      </w:tr>
      <w:tr w:rsidR="00397BD3" w:rsidRPr="00C51C77" w:rsidTr="00397BD3">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210,238.58</w:t>
            </w:r>
          </w:p>
        </w:tc>
      </w:tr>
      <w:tr w:rsidR="00397BD3" w:rsidRPr="00C51C77" w:rsidTr="00397BD3">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11,007,067.79</w:t>
            </w:r>
          </w:p>
        </w:tc>
      </w:tr>
      <w:tr w:rsidR="00397BD3" w:rsidRPr="00C51C77" w:rsidTr="00397BD3">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397BD3" w:rsidRPr="00C51C77" w:rsidTr="00397BD3">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11,007,067.79</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交银施罗德丰盈收益债券型证券投资基金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8</w:t>
      </w:r>
      <w:r w:rsidR="00F64FAD" w:rsidRPr="004C51A0">
        <w:rPr>
          <w:color w:val="000000"/>
          <w:sz w:val="24"/>
        </w:rPr>
        <w:t>月</w:t>
      </w:r>
      <w:r w:rsidR="00F64FAD" w:rsidRPr="004C51A0">
        <w:rPr>
          <w:color w:val="000000"/>
          <w:sz w:val="24"/>
        </w:rPr>
        <w:t>11</w:t>
      </w:r>
      <w:r w:rsidR="00F64FAD" w:rsidRPr="004C51A0">
        <w:rPr>
          <w:color w:val="000000"/>
          <w:sz w:val="24"/>
        </w:rPr>
        <w:t>日（基金合同生效日）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8</w:t>
            </w:r>
            <w:r w:rsidRPr="00D34C2B">
              <w:rPr>
                <w:rFonts w:ascii="Times New Roman" w:hAnsi="Times New Roman"/>
                <w:b/>
                <w:color w:val="000000"/>
                <w:kern w:val="2"/>
              </w:rPr>
              <w:t>月</w:t>
            </w:r>
            <w:r w:rsidRPr="00D34C2B">
              <w:rPr>
                <w:rFonts w:ascii="Times New Roman" w:hAnsi="Times New Roman"/>
                <w:b/>
                <w:color w:val="000000"/>
                <w:kern w:val="2"/>
              </w:rPr>
              <w:t>11</w:t>
            </w:r>
            <w:r w:rsidRPr="00D34C2B">
              <w:rPr>
                <w:rFonts w:ascii="Times New Roman" w:hAnsi="Times New Roman"/>
                <w:b/>
                <w:color w:val="000000"/>
                <w:kern w:val="2"/>
              </w:rPr>
              <w:t>日（基金合同生效日）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510,658,140.93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510,658,140.93</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11,007,067.79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11,007,067.79</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w:t>
            </w:r>
            <w:proofErr w:type="gramStart"/>
            <w:r w:rsidRPr="00D34C2B">
              <w:rPr>
                <w:rFonts w:hint="eastAsia"/>
                <w:color w:val="000000"/>
                <w:sz w:val="24"/>
              </w:rPr>
              <w:t>赎回款</w:t>
            </w:r>
            <w:proofErr w:type="gramEnd"/>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510,658,140.93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11,007,067.79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521,665,208.72</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4D0C72" w:rsidRDefault="00397BD3">
      <w:pPr>
        <w:spacing w:before="29" w:line="288" w:lineRule="auto"/>
        <w:ind w:firstLineChars="200" w:firstLine="480"/>
        <w:rPr>
          <w:color w:val="000000"/>
          <w:sz w:val="24"/>
        </w:rPr>
      </w:pPr>
      <w:r>
        <w:rPr>
          <w:color w:val="000000"/>
          <w:sz w:val="24"/>
        </w:rPr>
        <w:t>交银施罗德丰盈收益债券型证券投资基金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[2014]721</w:t>
      </w:r>
      <w:r>
        <w:rPr>
          <w:color w:val="000000"/>
          <w:sz w:val="24"/>
        </w:rPr>
        <w:t>号《关于核准交银施罗德丰盈收益债券型证券投资基金募集的批复》核准，由交银施罗德基金管理有限公司依照《中华人民共和国证券投资基金法》和《交银施罗德丰盈收益债券型证券投资基金基金合同》负责公开募集。本基金为契约型封闭式，存续期限不定，首次设立募集不包括认购资金利息共募集人民币</w:t>
      </w:r>
      <w:r>
        <w:rPr>
          <w:color w:val="000000"/>
          <w:sz w:val="24"/>
        </w:rPr>
        <w:t>510,569,610.35</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w:t>
      </w:r>
      <w:proofErr w:type="gramStart"/>
      <w:r>
        <w:rPr>
          <w:color w:val="000000"/>
          <w:sz w:val="24"/>
        </w:rPr>
        <w:t>中天验字</w:t>
      </w:r>
      <w:proofErr w:type="gramEnd"/>
      <w:r>
        <w:rPr>
          <w:color w:val="000000"/>
          <w:sz w:val="24"/>
        </w:rPr>
        <w:t>(2014)</w:t>
      </w:r>
      <w:r>
        <w:rPr>
          <w:color w:val="000000"/>
          <w:sz w:val="24"/>
        </w:rPr>
        <w:t>第</w:t>
      </w:r>
      <w:r>
        <w:rPr>
          <w:color w:val="000000"/>
          <w:sz w:val="24"/>
        </w:rPr>
        <w:t>451</w:t>
      </w:r>
      <w:r>
        <w:rPr>
          <w:color w:val="000000"/>
          <w:sz w:val="24"/>
        </w:rPr>
        <w:t>号验资报告予以验证。经向中国证监会备案，《交银施罗德丰盈收益债券型证券投资基金基金合同》于</w:t>
      </w:r>
      <w:r>
        <w:rPr>
          <w:color w:val="000000"/>
          <w:sz w:val="24"/>
        </w:rPr>
        <w:t>2014</w:t>
      </w:r>
      <w:r>
        <w:rPr>
          <w:color w:val="000000"/>
          <w:sz w:val="24"/>
        </w:rPr>
        <w:t>年</w:t>
      </w:r>
      <w:r>
        <w:rPr>
          <w:color w:val="000000"/>
          <w:sz w:val="24"/>
        </w:rPr>
        <w:t>8</w:t>
      </w:r>
      <w:r>
        <w:rPr>
          <w:color w:val="000000"/>
          <w:sz w:val="24"/>
        </w:rPr>
        <w:t>月</w:t>
      </w:r>
      <w:r>
        <w:rPr>
          <w:color w:val="000000"/>
          <w:sz w:val="24"/>
        </w:rPr>
        <w:t>11</w:t>
      </w:r>
      <w:r>
        <w:rPr>
          <w:color w:val="000000"/>
          <w:sz w:val="24"/>
        </w:rPr>
        <w:t>日正式生效，基金合同生效日的基金份额总额为</w:t>
      </w:r>
      <w:r>
        <w:rPr>
          <w:color w:val="000000"/>
          <w:sz w:val="24"/>
        </w:rPr>
        <w:t>510,658,140.93</w:t>
      </w:r>
      <w:r>
        <w:rPr>
          <w:color w:val="000000"/>
          <w:sz w:val="24"/>
        </w:rPr>
        <w:t>份基金份额，其中认购资金利息折合</w:t>
      </w:r>
      <w:r>
        <w:rPr>
          <w:color w:val="000000"/>
          <w:sz w:val="24"/>
        </w:rPr>
        <w:t>88,530.58</w:t>
      </w:r>
      <w:r>
        <w:rPr>
          <w:color w:val="000000"/>
          <w:sz w:val="24"/>
        </w:rPr>
        <w:t>份基金份额。本基金的基金管理人为交银施罗德基金管理有限公司，基金托管人为中信银行股份有限公司。</w:t>
      </w:r>
    </w:p>
    <w:p w:rsidR="004D0C72" w:rsidRDefault="00397BD3">
      <w:pPr>
        <w:spacing w:before="29" w:line="288" w:lineRule="auto"/>
        <w:ind w:firstLineChars="200" w:firstLine="480"/>
        <w:rPr>
          <w:color w:val="000000"/>
          <w:sz w:val="24"/>
        </w:rPr>
      </w:pPr>
      <w:r>
        <w:rPr>
          <w:color w:val="000000"/>
          <w:sz w:val="24"/>
        </w:rPr>
        <w:t>根据《交银施罗德丰盈收益债券型证券投资基金基金合同》和《交银施罗德丰盈收益债券型证券投资基金招募说明书》，本基金根据认购</w:t>
      </w:r>
      <w:r>
        <w:rPr>
          <w:color w:val="000000"/>
          <w:sz w:val="24"/>
        </w:rPr>
        <w:t>/</w:t>
      </w:r>
      <w:r>
        <w:rPr>
          <w:color w:val="000000"/>
          <w:sz w:val="24"/>
        </w:rPr>
        <w:t>申购费用、赎回费用、销售服务费收取方式的不同，将基金份额分为不同的类别。在投资人认购</w:t>
      </w:r>
      <w:r>
        <w:rPr>
          <w:color w:val="000000"/>
          <w:sz w:val="24"/>
        </w:rPr>
        <w:t>/</w:t>
      </w:r>
      <w:r>
        <w:rPr>
          <w:color w:val="000000"/>
          <w:sz w:val="24"/>
        </w:rPr>
        <w:t>申购时收取前端认购</w:t>
      </w:r>
      <w:r>
        <w:rPr>
          <w:color w:val="000000"/>
          <w:sz w:val="24"/>
        </w:rPr>
        <w:t>/</w:t>
      </w:r>
      <w:r>
        <w:rPr>
          <w:color w:val="000000"/>
          <w:sz w:val="24"/>
        </w:rPr>
        <w:t>申购费用、赎回时收取赎回费用的，称为</w:t>
      </w:r>
      <w:r>
        <w:rPr>
          <w:color w:val="000000"/>
          <w:sz w:val="24"/>
        </w:rPr>
        <w:t>A</w:t>
      </w:r>
      <w:r>
        <w:rPr>
          <w:color w:val="000000"/>
          <w:sz w:val="24"/>
        </w:rPr>
        <w:t>类基金份额，在投资人申购时不收取申购费用、赎回时收取后端申购费用和赎回费用的，称为</w:t>
      </w:r>
      <w:r>
        <w:rPr>
          <w:color w:val="000000"/>
          <w:sz w:val="24"/>
        </w:rPr>
        <w:t>B</w:t>
      </w:r>
      <w:r>
        <w:rPr>
          <w:color w:val="000000"/>
          <w:sz w:val="24"/>
        </w:rPr>
        <w:t>类基金份额，在投资人申购、赎回时不收取申购费用、赎回费用，而是从本类别基金资产中计</w:t>
      </w:r>
      <w:proofErr w:type="gramStart"/>
      <w:r>
        <w:rPr>
          <w:color w:val="000000"/>
          <w:sz w:val="24"/>
        </w:rPr>
        <w:t>提销售</w:t>
      </w:r>
      <w:proofErr w:type="gramEnd"/>
      <w:r>
        <w:rPr>
          <w:color w:val="000000"/>
          <w:sz w:val="24"/>
        </w:rPr>
        <w:t>服务费的，称为</w:t>
      </w:r>
      <w:r>
        <w:rPr>
          <w:color w:val="000000"/>
          <w:sz w:val="24"/>
        </w:rPr>
        <w:t>C</w:t>
      </w:r>
      <w:r>
        <w:rPr>
          <w:color w:val="000000"/>
          <w:sz w:val="24"/>
        </w:rPr>
        <w:t>类基金份额。本基金募集期内仅开通</w:t>
      </w:r>
      <w:r>
        <w:rPr>
          <w:color w:val="000000"/>
          <w:sz w:val="24"/>
        </w:rPr>
        <w:t>A</w:t>
      </w:r>
      <w:r>
        <w:rPr>
          <w:color w:val="000000"/>
          <w:sz w:val="24"/>
        </w:rPr>
        <w:t>类基金份额的认购；在基金合同生效之日起三年</w:t>
      </w:r>
      <w:r>
        <w:rPr>
          <w:color w:val="000000"/>
          <w:sz w:val="24"/>
        </w:rPr>
        <w:t>(</w:t>
      </w:r>
      <w:r>
        <w:rPr>
          <w:color w:val="000000"/>
          <w:sz w:val="24"/>
        </w:rPr>
        <w:t>含三年</w:t>
      </w:r>
      <w:r>
        <w:rPr>
          <w:color w:val="000000"/>
          <w:sz w:val="24"/>
        </w:rPr>
        <w:t>)</w:t>
      </w:r>
      <w:r>
        <w:rPr>
          <w:color w:val="000000"/>
          <w:sz w:val="24"/>
        </w:rPr>
        <w:t>的期间内封闭式运作，封闭期结束后转为开放式运作，并增开</w:t>
      </w:r>
      <w:r>
        <w:rPr>
          <w:color w:val="000000"/>
          <w:sz w:val="24"/>
        </w:rPr>
        <w:t>B</w:t>
      </w:r>
      <w:r>
        <w:rPr>
          <w:color w:val="000000"/>
          <w:sz w:val="24"/>
        </w:rPr>
        <w:t>类和</w:t>
      </w:r>
      <w:r>
        <w:rPr>
          <w:color w:val="000000"/>
          <w:sz w:val="24"/>
        </w:rPr>
        <w:t>C</w:t>
      </w:r>
      <w:r>
        <w:rPr>
          <w:color w:val="000000"/>
          <w:sz w:val="24"/>
        </w:rPr>
        <w:t>类基金份额的申购。</w:t>
      </w:r>
    </w:p>
    <w:p w:rsidR="004D0C72" w:rsidRDefault="00397BD3">
      <w:pPr>
        <w:spacing w:before="29" w:line="288" w:lineRule="auto"/>
        <w:ind w:firstLineChars="200" w:firstLine="480"/>
        <w:rPr>
          <w:color w:val="000000"/>
          <w:sz w:val="24"/>
        </w:rPr>
      </w:pPr>
      <w:r>
        <w:rPr>
          <w:color w:val="000000"/>
          <w:sz w:val="24"/>
        </w:rPr>
        <w:t>根据《中华人民共和国证券投资基金法》和《交银施罗德丰盈收益债券型证券投资基金基金合同》的有关规定，本基金的投资范围为具有良好流动性的金融工具，包括国内依法发行交易的国债、金融债、央行票据、地方政府债、企业债、公司债、分离交易可转债的纯债、次级债、资产支持证券、短期融资</w:t>
      </w:r>
      <w:proofErr w:type="gramStart"/>
      <w:r>
        <w:rPr>
          <w:color w:val="000000"/>
          <w:sz w:val="24"/>
        </w:rPr>
        <w:t>券</w:t>
      </w:r>
      <w:proofErr w:type="gramEnd"/>
      <w:r>
        <w:rPr>
          <w:color w:val="000000"/>
          <w:sz w:val="24"/>
        </w:rPr>
        <w:t>、中期票据、债券回购、银行存款、货币市场工具等固定收益类资产和法律法规允许投资的其他金融工具。其中，封闭期内，本基金所投企业债和公司债信用评级需在</w:t>
      </w:r>
      <w:r>
        <w:rPr>
          <w:color w:val="000000"/>
          <w:sz w:val="24"/>
        </w:rPr>
        <w:t>AA</w:t>
      </w:r>
      <w:r>
        <w:rPr>
          <w:color w:val="000000"/>
          <w:sz w:val="24"/>
        </w:rPr>
        <w:t>级</w:t>
      </w:r>
      <w:r>
        <w:rPr>
          <w:color w:val="000000"/>
          <w:sz w:val="24"/>
        </w:rPr>
        <w:t>(</w:t>
      </w:r>
      <w:r>
        <w:rPr>
          <w:color w:val="000000"/>
          <w:sz w:val="24"/>
        </w:rPr>
        <w:t>含</w:t>
      </w:r>
      <w:r>
        <w:rPr>
          <w:color w:val="000000"/>
          <w:sz w:val="24"/>
        </w:rPr>
        <w:t>)</w:t>
      </w:r>
      <w:r>
        <w:rPr>
          <w:color w:val="000000"/>
          <w:sz w:val="24"/>
        </w:rPr>
        <w:t>以上。本基金不直接在二级市场买入股票、权证等权益类资产，也不参与一级市场新股申购和新股增发。同时本基金不参与可转换债券投资</w:t>
      </w:r>
      <w:r>
        <w:rPr>
          <w:color w:val="000000"/>
          <w:sz w:val="24"/>
        </w:rPr>
        <w:t>(</w:t>
      </w:r>
      <w:r>
        <w:rPr>
          <w:color w:val="000000"/>
          <w:sz w:val="24"/>
        </w:rPr>
        <w:t>分离交易可转债的</w:t>
      </w:r>
      <w:proofErr w:type="gramStart"/>
      <w:r>
        <w:rPr>
          <w:color w:val="000000"/>
          <w:sz w:val="24"/>
        </w:rPr>
        <w:t>纯债部分</w:t>
      </w:r>
      <w:proofErr w:type="gramEnd"/>
      <w:r>
        <w:rPr>
          <w:color w:val="000000"/>
          <w:sz w:val="24"/>
        </w:rPr>
        <w:t>除外</w:t>
      </w:r>
      <w:r>
        <w:rPr>
          <w:color w:val="000000"/>
          <w:sz w:val="24"/>
        </w:rPr>
        <w:t>)</w:t>
      </w:r>
      <w:r>
        <w:rPr>
          <w:color w:val="000000"/>
          <w:sz w:val="24"/>
        </w:rPr>
        <w:t>。如法律法规或监管机构以后允许基金投资其他品种，基金管理人在履行适当程序后，可以将其纳入投资范围。基金的投资组合比例为：本基金投资于债券资产的比例不低于基金资产的</w:t>
      </w:r>
      <w:r>
        <w:rPr>
          <w:color w:val="000000"/>
          <w:sz w:val="24"/>
        </w:rPr>
        <w:t>80%</w:t>
      </w:r>
      <w:r>
        <w:rPr>
          <w:color w:val="000000"/>
          <w:sz w:val="24"/>
        </w:rPr>
        <w:t>，但在封闭期结束</w:t>
      </w:r>
      <w:proofErr w:type="gramStart"/>
      <w:r>
        <w:rPr>
          <w:color w:val="000000"/>
          <w:sz w:val="24"/>
        </w:rPr>
        <w:t>转开放</w:t>
      </w:r>
      <w:proofErr w:type="gramEnd"/>
      <w:r>
        <w:rPr>
          <w:color w:val="000000"/>
          <w:sz w:val="24"/>
        </w:rPr>
        <w:t>的前后三个月内，基金投资不受上述债券资产投资比例限制。本基金在开放期内，现金或到期日在一年以内的政府债券的比例合计不低于基金资产净值的</w:t>
      </w:r>
      <w:r>
        <w:rPr>
          <w:color w:val="000000"/>
          <w:sz w:val="24"/>
        </w:rPr>
        <w:t>5%</w:t>
      </w:r>
      <w:r>
        <w:rPr>
          <w:color w:val="000000"/>
          <w:sz w:val="24"/>
        </w:rPr>
        <w:t>。本基金的业绩比较基准为三年期银行定期存款税后收益率。</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》、中国证券投资基金业协会颁布的《证券投资基金会计核算业务指引》、《交银施罗德丰盈收益债券型证券投资基金基金合同》和在财务报表附注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w:t>
      </w:r>
      <w:r w:rsidRPr="002F6772">
        <w:rPr>
          <w:color w:val="000000"/>
          <w:sz w:val="24"/>
        </w:rPr>
        <w:t>8</w:t>
      </w:r>
      <w:r w:rsidRPr="002F6772">
        <w:rPr>
          <w:color w:val="000000"/>
          <w:sz w:val="24"/>
        </w:rPr>
        <w:t>月</w:t>
      </w:r>
      <w:r w:rsidRPr="002F6772">
        <w:rPr>
          <w:color w:val="000000"/>
          <w:sz w:val="24"/>
        </w:rPr>
        <w:t>11</w:t>
      </w:r>
      <w:r w:rsidRPr="002F6772">
        <w:rPr>
          <w:color w:val="000000"/>
          <w:sz w:val="24"/>
        </w:rPr>
        <w:t>日</w:t>
      </w:r>
      <w:r w:rsidRPr="002F6772">
        <w:rPr>
          <w:color w:val="000000"/>
          <w:sz w:val="24"/>
        </w:rPr>
        <w:t>(</w:t>
      </w:r>
      <w:r w:rsidRPr="002F6772">
        <w:rPr>
          <w:color w:val="000000"/>
          <w:sz w:val="24"/>
        </w:rPr>
        <w:t>基金合同生效日</w:t>
      </w:r>
      <w:r w:rsidRPr="002F6772">
        <w:rPr>
          <w:color w:val="000000"/>
          <w:sz w:val="24"/>
        </w:rPr>
        <w:t>)</w:t>
      </w:r>
      <w:r w:rsidRPr="002F6772">
        <w:rPr>
          <w:color w:val="000000"/>
          <w:sz w:val="24"/>
        </w:rPr>
        <w:t>至</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w:t>
      </w:r>
      <w:proofErr w:type="gramStart"/>
      <w:r w:rsidRPr="002F6772">
        <w:rPr>
          <w:color w:val="000000"/>
          <w:sz w:val="24"/>
        </w:rPr>
        <w:t>止</w:t>
      </w:r>
      <w:proofErr w:type="gramEnd"/>
      <w:r w:rsidRPr="002F6772">
        <w:rPr>
          <w:color w:val="000000"/>
          <w:sz w:val="24"/>
        </w:rPr>
        <w:t>期间财务报表符合企业会计准则的要求，真实、完整地反映了本基金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w:t>
      </w:r>
      <w:r w:rsidRPr="002F6772">
        <w:rPr>
          <w:color w:val="000000"/>
          <w:sz w:val="24"/>
        </w:rPr>
        <w:t>8</w:t>
      </w:r>
      <w:r w:rsidRPr="002F6772">
        <w:rPr>
          <w:color w:val="000000"/>
          <w:sz w:val="24"/>
        </w:rPr>
        <w:t>月</w:t>
      </w:r>
      <w:r w:rsidRPr="002F6772">
        <w:rPr>
          <w:color w:val="000000"/>
          <w:sz w:val="24"/>
        </w:rPr>
        <w:t>11</w:t>
      </w:r>
      <w:r w:rsidRPr="002F6772">
        <w:rPr>
          <w:color w:val="000000"/>
          <w:sz w:val="24"/>
        </w:rPr>
        <w:t>日</w:t>
      </w:r>
      <w:r w:rsidRPr="002F6772">
        <w:rPr>
          <w:color w:val="000000"/>
          <w:sz w:val="24"/>
        </w:rPr>
        <w:t>(</w:t>
      </w:r>
      <w:r w:rsidRPr="002F6772">
        <w:rPr>
          <w:color w:val="000000"/>
          <w:sz w:val="24"/>
        </w:rPr>
        <w:t>基金合同生效日</w:t>
      </w:r>
      <w:r w:rsidRPr="002F6772">
        <w:rPr>
          <w:color w:val="000000"/>
          <w:sz w:val="24"/>
        </w:rPr>
        <w:t>)</w:t>
      </w:r>
      <w:r w:rsidRPr="002F6772">
        <w:rPr>
          <w:color w:val="000000"/>
          <w:sz w:val="24"/>
        </w:rPr>
        <w:t>至</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w:t>
      </w:r>
      <w:proofErr w:type="gramStart"/>
      <w:r w:rsidRPr="002F6772">
        <w:rPr>
          <w:color w:val="000000"/>
          <w:sz w:val="24"/>
        </w:rPr>
        <w:t>止</w:t>
      </w:r>
      <w:proofErr w:type="gramEnd"/>
      <w:r w:rsidRPr="002F6772">
        <w:rPr>
          <w:color w:val="000000"/>
          <w:sz w:val="24"/>
        </w:rPr>
        <w:t>期间的经营成果和基金净值变动情况等有关信息。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重要会计政策和会计估计</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7.4.4.1</w:t>
      </w:r>
      <w:r w:rsidRPr="00245C29">
        <w:rPr>
          <w:rFonts w:ascii="Times New Roman" w:hAnsi="Times New Roman"/>
          <w:kern w:val="0"/>
          <w:szCs w:val="24"/>
        </w:rPr>
        <w:t>会计年度</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本基金会计年度为公历</w:t>
      </w:r>
      <w:r w:rsidRPr="002F6772">
        <w:rPr>
          <w:color w:val="000000"/>
          <w:sz w:val="24"/>
        </w:rPr>
        <w:t>1</w:t>
      </w:r>
      <w:r w:rsidRPr="002F6772">
        <w:rPr>
          <w:color w:val="000000"/>
          <w:sz w:val="24"/>
        </w:rPr>
        <w:t>月</w:t>
      </w:r>
      <w:r w:rsidRPr="002F6772">
        <w:rPr>
          <w:color w:val="000000"/>
          <w:sz w:val="24"/>
        </w:rPr>
        <w:t>1</w:t>
      </w:r>
      <w:r w:rsidRPr="002F6772">
        <w:rPr>
          <w:color w:val="000000"/>
          <w:sz w:val="24"/>
        </w:rPr>
        <w:t>日起至</w:t>
      </w:r>
      <w:r w:rsidRPr="002F6772">
        <w:rPr>
          <w:color w:val="000000"/>
          <w:sz w:val="24"/>
        </w:rPr>
        <w:t>12</w:t>
      </w:r>
      <w:r w:rsidRPr="002F6772">
        <w:rPr>
          <w:color w:val="000000"/>
          <w:sz w:val="24"/>
        </w:rPr>
        <w:t>月</w:t>
      </w:r>
      <w:r w:rsidRPr="002F6772">
        <w:rPr>
          <w:color w:val="000000"/>
          <w:sz w:val="24"/>
        </w:rPr>
        <w:t>31</w:t>
      </w:r>
      <w:r w:rsidRPr="002F6772">
        <w:rPr>
          <w:color w:val="000000"/>
          <w:sz w:val="24"/>
        </w:rPr>
        <w:t>日止。本期财务报表的实际编制期间为</w:t>
      </w:r>
      <w:r w:rsidRPr="002F6772">
        <w:rPr>
          <w:color w:val="000000"/>
          <w:sz w:val="24"/>
        </w:rPr>
        <w:t>2014</w:t>
      </w:r>
      <w:r w:rsidRPr="002F6772">
        <w:rPr>
          <w:color w:val="000000"/>
          <w:sz w:val="24"/>
        </w:rPr>
        <w:t>年</w:t>
      </w:r>
      <w:r w:rsidRPr="002F6772">
        <w:rPr>
          <w:color w:val="000000"/>
          <w:sz w:val="24"/>
        </w:rPr>
        <w:t>8</w:t>
      </w:r>
      <w:r w:rsidRPr="002F6772">
        <w:rPr>
          <w:color w:val="000000"/>
          <w:sz w:val="24"/>
        </w:rPr>
        <w:t>月</w:t>
      </w:r>
      <w:r w:rsidRPr="002F6772">
        <w:rPr>
          <w:color w:val="000000"/>
          <w:sz w:val="24"/>
        </w:rPr>
        <w:t>11</w:t>
      </w:r>
      <w:r w:rsidRPr="002F6772">
        <w:rPr>
          <w:color w:val="000000"/>
          <w:sz w:val="24"/>
        </w:rPr>
        <w:t>日</w:t>
      </w:r>
      <w:r w:rsidRPr="002F6772">
        <w:rPr>
          <w:color w:val="000000"/>
          <w:sz w:val="24"/>
        </w:rPr>
        <w:t>(</w:t>
      </w:r>
      <w:r w:rsidRPr="002F6772">
        <w:rPr>
          <w:color w:val="000000"/>
          <w:sz w:val="24"/>
        </w:rPr>
        <w:t>基金合同生效日</w:t>
      </w:r>
      <w:r w:rsidRPr="002F6772">
        <w:rPr>
          <w:color w:val="000000"/>
          <w:sz w:val="24"/>
        </w:rPr>
        <w:t>)</w:t>
      </w:r>
      <w:r w:rsidRPr="002F6772">
        <w:rPr>
          <w:color w:val="000000"/>
          <w:sz w:val="24"/>
        </w:rPr>
        <w:t>至</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w:t>
      </w:r>
    </w:p>
    <w:p w:rsidR="001A59F9" w:rsidRPr="008F1D02"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7.4.4.2 </w:t>
      </w:r>
      <w:r w:rsidRPr="00245C29">
        <w:rPr>
          <w:rFonts w:ascii="Times New Roman" w:hAnsi="Times New Roman"/>
          <w:kern w:val="0"/>
          <w:szCs w:val="24"/>
        </w:rPr>
        <w:t>记账本位币</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本基金的记账本位币为人民币。</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7.4.4.3 </w:t>
      </w:r>
      <w:r w:rsidRPr="00245C29">
        <w:rPr>
          <w:rFonts w:ascii="Times New Roman" w:hAnsi="Times New Roman"/>
          <w:kern w:val="0"/>
          <w:szCs w:val="24"/>
        </w:rPr>
        <w:t>金融资产和金融负债的分类</w:t>
      </w:r>
    </w:p>
    <w:p w:rsidR="004D0C72" w:rsidRDefault="00397BD3">
      <w:pPr>
        <w:spacing w:before="29" w:line="288" w:lineRule="auto"/>
        <w:ind w:firstLineChars="200" w:firstLine="480"/>
        <w:rPr>
          <w:color w:val="000000"/>
          <w:sz w:val="24"/>
        </w:rPr>
      </w:pPr>
      <w:r>
        <w:rPr>
          <w:color w:val="000000"/>
          <w:sz w:val="24"/>
        </w:rPr>
        <w:t>(1)</w:t>
      </w:r>
      <w:r>
        <w:rPr>
          <w:color w:val="000000"/>
          <w:sz w:val="24"/>
        </w:rPr>
        <w:t>金融资产的分类</w:t>
      </w:r>
    </w:p>
    <w:p w:rsidR="004D0C72" w:rsidRDefault="00397BD3">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4D0C72" w:rsidRDefault="00397BD3">
      <w:pPr>
        <w:spacing w:before="29" w:line="288" w:lineRule="auto"/>
        <w:ind w:firstLineChars="200" w:firstLine="480"/>
        <w:rPr>
          <w:color w:val="000000"/>
          <w:sz w:val="24"/>
        </w:rPr>
      </w:pPr>
      <w:r>
        <w:rPr>
          <w:color w:val="000000"/>
          <w:sz w:val="24"/>
        </w:rPr>
        <w:t>本基金以交易目的持有的债券投资、资产支持证券投资和衍生工具</w:t>
      </w:r>
      <w:r>
        <w:rPr>
          <w:color w:val="000000"/>
          <w:sz w:val="24"/>
        </w:rPr>
        <w:t>(</w:t>
      </w:r>
      <w:r>
        <w:rPr>
          <w:color w:val="000000"/>
          <w:sz w:val="24"/>
        </w:rPr>
        <w:t>主要为权证投资</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4D0C72" w:rsidRDefault="00397BD3">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4D0C72" w:rsidRDefault="00397BD3">
      <w:pPr>
        <w:spacing w:before="29" w:line="288" w:lineRule="auto"/>
        <w:ind w:firstLineChars="200" w:firstLine="480"/>
        <w:rPr>
          <w:color w:val="000000"/>
          <w:sz w:val="24"/>
        </w:rPr>
      </w:pPr>
      <w:r>
        <w:rPr>
          <w:color w:val="000000"/>
          <w:sz w:val="24"/>
        </w:rPr>
        <w:t>(2)</w:t>
      </w:r>
      <w:r>
        <w:rPr>
          <w:color w:val="000000"/>
          <w:sz w:val="24"/>
        </w:rPr>
        <w:t>金融负债的分类</w:t>
      </w:r>
    </w:p>
    <w:p w:rsidR="001A59F9" w:rsidRPr="002F6772" w:rsidRDefault="001A59F9" w:rsidP="002F6772">
      <w:pPr>
        <w:spacing w:before="29" w:line="288" w:lineRule="auto"/>
        <w:ind w:firstLineChars="200" w:firstLine="480"/>
        <w:rPr>
          <w:color w:val="000000"/>
          <w:sz w:val="24"/>
        </w:rPr>
      </w:pPr>
      <w:r w:rsidRPr="002F6772">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7.4.4.4 </w:t>
      </w:r>
      <w:r w:rsidRPr="00245C29">
        <w:rPr>
          <w:rFonts w:ascii="Times New Roman" w:hAnsi="Times New Roman"/>
          <w:kern w:val="0"/>
          <w:szCs w:val="24"/>
        </w:rPr>
        <w:t>金融资产和金融负债的初始确认、后续计量和终止确认</w:t>
      </w:r>
    </w:p>
    <w:p w:rsidR="004D0C72" w:rsidRDefault="00397BD3">
      <w:pPr>
        <w:spacing w:before="29" w:line="288" w:lineRule="auto"/>
        <w:ind w:firstLineChars="200" w:firstLine="480"/>
        <w:rPr>
          <w:color w:val="000000"/>
          <w:sz w:val="24"/>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4D0C72" w:rsidRDefault="00397BD3">
      <w:pPr>
        <w:spacing w:before="29" w:line="288" w:lineRule="auto"/>
        <w:ind w:firstLineChars="200" w:firstLine="480"/>
        <w:rPr>
          <w:color w:val="000000"/>
          <w:sz w:val="24"/>
        </w:rPr>
      </w:pPr>
      <w:r>
        <w:rPr>
          <w:color w:val="000000"/>
          <w:sz w:val="24"/>
        </w:rPr>
        <w:t>对于以公允价值计量且其变动计入当期损益的金融资产，按照公允价值进行后续计量；对于应收款项和其他金融负债采用实际利率法，以摊</w:t>
      </w:r>
      <w:proofErr w:type="gramStart"/>
      <w:r>
        <w:rPr>
          <w:color w:val="000000"/>
          <w:sz w:val="24"/>
        </w:rPr>
        <w:t>余成本</w:t>
      </w:r>
      <w:proofErr w:type="gramEnd"/>
      <w:r>
        <w:rPr>
          <w:color w:val="000000"/>
          <w:sz w:val="24"/>
        </w:rPr>
        <w:t>进行后续计量。</w:t>
      </w:r>
    </w:p>
    <w:p w:rsidR="004D0C72" w:rsidRDefault="00397BD3">
      <w:pPr>
        <w:spacing w:before="29" w:line="288" w:lineRule="auto"/>
        <w:ind w:firstLineChars="200" w:firstLine="480"/>
        <w:rPr>
          <w:color w:val="000000"/>
          <w:sz w:val="24"/>
        </w:rPr>
      </w:pPr>
      <w:r>
        <w:rPr>
          <w:color w:val="000000"/>
          <w:sz w:val="24"/>
        </w:rPr>
        <w:t>以公允价值计量且其变动计入当期损益的金融资产的公允价值变动作为公允价值变动损益计入当期损益；在资产持有期间所取得的利息或现金股利以及处置时产生的处置损益计入当期损益。</w:t>
      </w:r>
    </w:p>
    <w:p w:rsidR="004D0C72" w:rsidRDefault="00397BD3">
      <w:pPr>
        <w:spacing w:before="29" w:line="288" w:lineRule="auto"/>
        <w:ind w:firstLineChars="200" w:firstLine="480"/>
        <w:rPr>
          <w:color w:val="000000"/>
          <w:sz w:val="24"/>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4D0C72" w:rsidRDefault="00397BD3">
      <w:pPr>
        <w:spacing w:before="29" w:line="288" w:lineRule="auto"/>
        <w:ind w:firstLineChars="200" w:firstLine="480"/>
        <w:rPr>
          <w:color w:val="000000"/>
          <w:sz w:val="24"/>
        </w:rPr>
      </w:pPr>
      <w:r>
        <w:rPr>
          <w:color w:val="000000"/>
          <w:sz w:val="24"/>
        </w:rPr>
        <w:t>金融资产终止确认时，其账面价值与收到的对价的差额，计入当期损益。</w:t>
      </w:r>
    </w:p>
    <w:p w:rsidR="001A59F9" w:rsidRPr="002F6772" w:rsidRDefault="001A59F9" w:rsidP="002F6772">
      <w:pPr>
        <w:spacing w:before="29" w:line="288" w:lineRule="auto"/>
        <w:ind w:firstLineChars="200" w:firstLine="480"/>
        <w:rPr>
          <w:color w:val="000000"/>
          <w:sz w:val="24"/>
        </w:rPr>
      </w:pPr>
      <w:r w:rsidRPr="002F6772">
        <w:rPr>
          <w:color w:val="000000"/>
          <w:sz w:val="24"/>
        </w:rPr>
        <w:t>当金融负债的现时义务全部或部分已经解除时，终止确认该金融负债或义务已解除的部分。终止确认部分的账面价值与支付的对价之间的差额，计入当期损益。</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7.4.4.5 </w:t>
      </w:r>
      <w:r w:rsidRPr="00245C29">
        <w:rPr>
          <w:rFonts w:ascii="Times New Roman" w:hAnsi="Times New Roman"/>
          <w:kern w:val="0"/>
          <w:szCs w:val="24"/>
        </w:rPr>
        <w:t>金融资产和金融负债的估值原则</w:t>
      </w:r>
    </w:p>
    <w:p w:rsidR="004D0C72" w:rsidRDefault="00397BD3">
      <w:pPr>
        <w:spacing w:before="29" w:line="288" w:lineRule="auto"/>
        <w:ind w:firstLineChars="200" w:firstLine="480"/>
        <w:rPr>
          <w:color w:val="000000"/>
          <w:sz w:val="24"/>
        </w:rPr>
      </w:pPr>
      <w:r>
        <w:rPr>
          <w:color w:val="000000"/>
          <w:sz w:val="24"/>
        </w:rPr>
        <w:t>本基金持有的债券投资、资产支持证券投资和衍生工具</w:t>
      </w:r>
      <w:r>
        <w:rPr>
          <w:color w:val="000000"/>
          <w:sz w:val="24"/>
        </w:rPr>
        <w:t>(</w:t>
      </w:r>
      <w:r>
        <w:rPr>
          <w:color w:val="000000"/>
          <w:sz w:val="24"/>
        </w:rPr>
        <w:t>主要为权证投资</w:t>
      </w:r>
      <w:r>
        <w:rPr>
          <w:color w:val="000000"/>
          <w:sz w:val="24"/>
        </w:rPr>
        <w:t>)</w:t>
      </w:r>
      <w:r>
        <w:rPr>
          <w:color w:val="000000"/>
          <w:sz w:val="24"/>
        </w:rPr>
        <w:t>按如下原则确定公允价值并进行估值：</w:t>
      </w:r>
    </w:p>
    <w:p w:rsidR="004D0C72" w:rsidRDefault="00397BD3">
      <w:pPr>
        <w:spacing w:before="29" w:line="288" w:lineRule="auto"/>
        <w:ind w:firstLineChars="200" w:firstLine="480"/>
        <w:rPr>
          <w:color w:val="000000"/>
          <w:sz w:val="24"/>
        </w:rPr>
      </w:pPr>
      <w:r>
        <w:rPr>
          <w:color w:val="000000"/>
          <w:sz w:val="24"/>
        </w:rPr>
        <w:t>(1)</w:t>
      </w:r>
      <w:r>
        <w:rPr>
          <w:color w:val="000000"/>
          <w:sz w:val="24"/>
        </w:rPr>
        <w:t>存在活跃市场的金融工具按其估值日的市场交易价格确定公允价值；估值日无交易，但最近交易日后经济环境未发生重大变化且证券发行机构未发生影响证券价格的重大事件的，按最近交易日的市场交易价格确定公允价值。</w:t>
      </w:r>
    </w:p>
    <w:p w:rsidR="004D0C72" w:rsidRDefault="00397BD3">
      <w:pPr>
        <w:spacing w:before="29" w:line="288" w:lineRule="auto"/>
        <w:ind w:firstLineChars="200" w:firstLine="480"/>
        <w:rPr>
          <w:color w:val="000000"/>
          <w:sz w:val="24"/>
        </w:rPr>
      </w:pPr>
      <w:r>
        <w:rPr>
          <w:color w:val="000000"/>
          <w:sz w:val="24"/>
        </w:rPr>
        <w:t>(2)</w:t>
      </w:r>
      <w:r>
        <w:rPr>
          <w:color w:val="000000"/>
          <w:sz w:val="24"/>
        </w:rPr>
        <w:t>存在活跃市场的金融工具，如估值日无交易且最近交易日后经济环境发生了重大变化，参考类似投资品种的现行市价及重大变化等因素，调整最近交易市价以确定公允价值。</w:t>
      </w:r>
    </w:p>
    <w:p w:rsidR="001A59F9" w:rsidRPr="002F6772" w:rsidRDefault="001A59F9" w:rsidP="002F6772">
      <w:pPr>
        <w:spacing w:before="29" w:line="288" w:lineRule="auto"/>
        <w:ind w:firstLineChars="200" w:firstLine="480"/>
        <w:rPr>
          <w:color w:val="000000"/>
          <w:sz w:val="24"/>
        </w:rPr>
      </w:pPr>
      <w:r w:rsidRPr="002F6772">
        <w:rPr>
          <w:color w:val="000000"/>
          <w:sz w:val="24"/>
        </w:rPr>
        <w:t>(3)</w:t>
      </w:r>
      <w:r w:rsidRPr="002F6772">
        <w:rPr>
          <w:color w:val="000000"/>
          <w:sz w:val="24"/>
        </w:rPr>
        <w:t>当金融工具不存在活跃市场，采用市场参与者普遍认同且被以往市场实际交易价格验证具有可靠性的估值技术确定公允价值。估值技术包括参考熟悉情况并自愿交易的各方最近进行的市场交易中使用的价格、参照实质上相同的其他金融工具的当前公允价值、现金流量折现法和期权定价模型等。采用估值技术时，尽可能最大程度使用市场参数，减少使用与本基金特定相关的参数。</w:t>
      </w:r>
    </w:p>
    <w:p w:rsidR="001A59F9" w:rsidRPr="00C51C77" w:rsidRDefault="001A59F9" w:rsidP="00016A5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7.4.4.6 </w:t>
      </w:r>
      <w:r w:rsidRPr="00245C29">
        <w:rPr>
          <w:rFonts w:ascii="Times New Roman" w:hAnsi="Times New Roman"/>
          <w:kern w:val="0"/>
          <w:szCs w:val="24"/>
        </w:rPr>
        <w:t>金融资产和金融负债的</w:t>
      </w:r>
      <w:proofErr w:type="gramStart"/>
      <w:r w:rsidRPr="00245C29">
        <w:rPr>
          <w:rFonts w:ascii="Times New Roman" w:hAnsi="Times New Roman"/>
          <w:kern w:val="0"/>
          <w:szCs w:val="24"/>
        </w:rPr>
        <w:t>抵销</w:t>
      </w:r>
      <w:proofErr w:type="gramEnd"/>
    </w:p>
    <w:p w:rsidR="001A59F9" w:rsidRPr="002F6772" w:rsidRDefault="001A59F9" w:rsidP="002F6772">
      <w:pPr>
        <w:spacing w:before="29" w:line="288" w:lineRule="auto"/>
        <w:ind w:firstLineChars="200" w:firstLine="480"/>
        <w:rPr>
          <w:color w:val="000000"/>
          <w:sz w:val="24"/>
        </w:rPr>
      </w:pPr>
      <w:r w:rsidRPr="002F6772">
        <w:rPr>
          <w:color w:val="000000"/>
          <w:sz w:val="24"/>
        </w:rPr>
        <w:t>本基金持有的资产和承担的负债基本为金融资产和金融负债。当本基金</w:t>
      </w:r>
      <w:r w:rsidRPr="002F6772">
        <w:rPr>
          <w:color w:val="000000"/>
          <w:sz w:val="24"/>
        </w:rPr>
        <w:t xml:space="preserve">1) </w:t>
      </w:r>
      <w:r w:rsidRPr="002F6772">
        <w:rPr>
          <w:color w:val="000000"/>
          <w:sz w:val="24"/>
        </w:rPr>
        <w:t>具有</w:t>
      </w:r>
      <w:proofErr w:type="gramStart"/>
      <w:r w:rsidRPr="002F6772">
        <w:rPr>
          <w:color w:val="000000"/>
          <w:sz w:val="24"/>
        </w:rPr>
        <w:t>抵销</w:t>
      </w:r>
      <w:proofErr w:type="gramEnd"/>
      <w:r w:rsidRPr="002F6772">
        <w:rPr>
          <w:color w:val="000000"/>
          <w:sz w:val="24"/>
        </w:rPr>
        <w:t>已确认金额的法定权利且该种法定权利现在是可执行的；且</w:t>
      </w:r>
      <w:r w:rsidRPr="002F6772">
        <w:rPr>
          <w:color w:val="000000"/>
          <w:sz w:val="24"/>
        </w:rPr>
        <w:t xml:space="preserve">2) </w:t>
      </w:r>
      <w:r w:rsidRPr="002F6772">
        <w:rPr>
          <w:color w:val="000000"/>
          <w:sz w:val="24"/>
        </w:rPr>
        <w:t>交易双方准备按净额结算时，金融资产与金融负债按</w:t>
      </w:r>
      <w:proofErr w:type="gramStart"/>
      <w:r w:rsidRPr="002F6772">
        <w:rPr>
          <w:color w:val="000000"/>
          <w:sz w:val="24"/>
        </w:rPr>
        <w:t>抵销</w:t>
      </w:r>
      <w:proofErr w:type="gramEnd"/>
      <w:r w:rsidRPr="002F6772">
        <w:rPr>
          <w:color w:val="000000"/>
          <w:sz w:val="24"/>
        </w:rPr>
        <w:t>后的净额在资产负债表中列示。</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7.4.4.7 </w:t>
      </w:r>
      <w:r w:rsidRPr="00245C29">
        <w:rPr>
          <w:rFonts w:ascii="Times New Roman" w:hAnsi="Times New Roman"/>
          <w:kern w:val="0"/>
          <w:szCs w:val="24"/>
        </w:rPr>
        <w:t>实收基金</w:t>
      </w:r>
    </w:p>
    <w:p w:rsidR="001A59F9" w:rsidRPr="002F6772" w:rsidRDefault="001A59F9" w:rsidP="002F6772">
      <w:pPr>
        <w:spacing w:before="29" w:line="288" w:lineRule="auto"/>
        <w:ind w:firstLineChars="200" w:firstLine="480"/>
        <w:rPr>
          <w:color w:val="000000"/>
          <w:sz w:val="24"/>
        </w:rPr>
      </w:pPr>
      <w:r w:rsidRPr="002F6772">
        <w:rPr>
          <w:color w:val="000000"/>
          <w:sz w:val="24"/>
        </w:rPr>
        <w:t>封闭期内实收基金为对外发行基金份额所募集的总金额。每份基金份额面值为</w:t>
      </w:r>
      <w:r w:rsidRPr="002F6772">
        <w:rPr>
          <w:color w:val="000000"/>
          <w:sz w:val="24"/>
        </w:rPr>
        <w:t>1.00</w:t>
      </w:r>
      <w:r w:rsidRPr="002F6772">
        <w:rPr>
          <w:color w:val="000000"/>
          <w:sz w:val="24"/>
        </w:rPr>
        <w:t>元。</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7.4.4.8 </w:t>
      </w:r>
      <w:proofErr w:type="gramStart"/>
      <w:r w:rsidRPr="00245C29">
        <w:rPr>
          <w:rFonts w:ascii="Times New Roman" w:hAnsi="Times New Roman"/>
          <w:kern w:val="0"/>
          <w:szCs w:val="24"/>
        </w:rPr>
        <w:t>损益平</w:t>
      </w:r>
      <w:proofErr w:type="gramEnd"/>
      <w:r w:rsidRPr="00245C29">
        <w:rPr>
          <w:rFonts w:ascii="Times New Roman" w:hAnsi="Times New Roman"/>
          <w:kern w:val="0"/>
          <w:szCs w:val="24"/>
        </w:rPr>
        <w:t>准金</w:t>
      </w:r>
    </w:p>
    <w:p w:rsidR="001A59F9" w:rsidRPr="002F6772" w:rsidRDefault="001A59F9" w:rsidP="002F6772">
      <w:pPr>
        <w:spacing w:before="29" w:line="288" w:lineRule="auto"/>
        <w:ind w:firstLineChars="200" w:firstLine="480"/>
        <w:rPr>
          <w:color w:val="000000"/>
          <w:sz w:val="24"/>
        </w:rPr>
      </w:pPr>
      <w:r w:rsidRPr="002F6772">
        <w:rPr>
          <w:color w:val="000000"/>
          <w:sz w:val="24"/>
        </w:rPr>
        <w:t>封闭期内不适用。</w:t>
      </w:r>
    </w:p>
    <w:p w:rsidR="001A59F9" w:rsidRPr="00C51C77" w:rsidRDefault="001A59F9" w:rsidP="002F6772">
      <w:pPr>
        <w:spacing w:before="29" w:line="288"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7.4.4.9 </w:t>
      </w:r>
      <w:r w:rsidRPr="00245C29">
        <w:rPr>
          <w:rFonts w:ascii="Times New Roman" w:hAnsi="Times New Roman"/>
          <w:kern w:val="0"/>
          <w:szCs w:val="24"/>
        </w:rPr>
        <w:t>收入</w:t>
      </w:r>
      <w:r w:rsidRPr="00245C29">
        <w:rPr>
          <w:rFonts w:ascii="Times New Roman" w:hAnsi="Times New Roman"/>
          <w:kern w:val="0"/>
          <w:szCs w:val="24"/>
        </w:rPr>
        <w:t>/(</w:t>
      </w:r>
      <w:r w:rsidRPr="00245C29">
        <w:rPr>
          <w:rFonts w:ascii="Times New Roman" w:hAnsi="Times New Roman"/>
          <w:kern w:val="0"/>
          <w:szCs w:val="24"/>
        </w:rPr>
        <w:t>损失</w:t>
      </w:r>
      <w:r w:rsidRPr="00245C29">
        <w:rPr>
          <w:rFonts w:ascii="Times New Roman" w:hAnsi="Times New Roman"/>
          <w:kern w:val="0"/>
          <w:szCs w:val="24"/>
        </w:rPr>
        <w:t>)</w:t>
      </w:r>
      <w:r w:rsidRPr="00245C29">
        <w:rPr>
          <w:rFonts w:ascii="Times New Roman" w:hAnsi="Times New Roman"/>
          <w:kern w:val="0"/>
          <w:szCs w:val="24"/>
        </w:rPr>
        <w:t>的确认和计量</w:t>
      </w:r>
    </w:p>
    <w:p w:rsidR="004D0C72" w:rsidRDefault="00397BD3">
      <w:pPr>
        <w:spacing w:before="29" w:line="288" w:lineRule="auto"/>
        <w:ind w:firstLineChars="200" w:firstLine="480"/>
        <w:rPr>
          <w:color w:val="000000"/>
          <w:sz w:val="24"/>
        </w:rPr>
      </w:pPr>
      <w:r>
        <w:rPr>
          <w:color w:val="000000"/>
          <w:sz w:val="24"/>
        </w:rPr>
        <w:t>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4D0C72" w:rsidRDefault="00397BD3">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处置时，处置价格与初始确认金额之间的差额确认为投资收益，其中包括从公允价值变动损益结转的公允价值累计变动额。</w:t>
      </w:r>
    </w:p>
    <w:p w:rsidR="001A59F9" w:rsidRPr="002F6772" w:rsidRDefault="001A59F9" w:rsidP="002F6772">
      <w:pPr>
        <w:spacing w:before="29" w:line="288" w:lineRule="auto"/>
        <w:ind w:firstLineChars="200" w:firstLine="480"/>
        <w:rPr>
          <w:color w:val="000000"/>
          <w:sz w:val="24"/>
        </w:rPr>
      </w:pPr>
      <w:r w:rsidRPr="002F6772">
        <w:rPr>
          <w:color w:val="000000"/>
          <w:sz w:val="24"/>
        </w:rPr>
        <w:t>应收款项在持有期间确认的利息收入按实际利率法计算，实际利率法与直线法差异较小的则按直线法计算。</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7.4.4.10 </w:t>
      </w:r>
      <w:r w:rsidRPr="00245C29">
        <w:rPr>
          <w:rFonts w:ascii="Times New Roman" w:hAnsi="Times New Roman"/>
          <w:kern w:val="0"/>
          <w:szCs w:val="24"/>
        </w:rPr>
        <w:t>费用的确认和计量</w:t>
      </w:r>
    </w:p>
    <w:p w:rsidR="004D0C72" w:rsidRDefault="00397BD3">
      <w:pPr>
        <w:spacing w:before="29" w:line="288" w:lineRule="auto"/>
        <w:ind w:firstLineChars="200" w:firstLine="480"/>
        <w:rPr>
          <w:color w:val="000000"/>
          <w:sz w:val="24"/>
        </w:rPr>
      </w:pPr>
      <w:r>
        <w:rPr>
          <w:color w:val="000000"/>
          <w:sz w:val="24"/>
        </w:rPr>
        <w:t>本基金的管理人报酬、托管费和销售服务费在费用涵盖期间按基金合同约定的费率和计算方法逐日确认。</w:t>
      </w:r>
    </w:p>
    <w:p w:rsidR="001A59F9" w:rsidRPr="002F6772" w:rsidRDefault="001A59F9" w:rsidP="002F6772">
      <w:pPr>
        <w:spacing w:before="29" w:line="288" w:lineRule="auto"/>
        <w:ind w:firstLineChars="200" w:firstLine="480"/>
        <w:rPr>
          <w:color w:val="000000"/>
          <w:sz w:val="24"/>
        </w:rPr>
      </w:pPr>
      <w:r w:rsidRPr="002F6772">
        <w:rPr>
          <w:color w:val="000000"/>
          <w:sz w:val="24"/>
        </w:rPr>
        <w:t>其他金融负债在持有期间确认的利息支出按实际利率法计算，实际利率法与直线法差异较小的则按直线法计算。</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7.4.4.11 </w:t>
      </w:r>
      <w:r w:rsidRPr="00245C29">
        <w:rPr>
          <w:rFonts w:ascii="Times New Roman" w:hAnsi="Times New Roman"/>
          <w:kern w:val="0"/>
          <w:szCs w:val="24"/>
        </w:rPr>
        <w:t>基金的收益分配政策</w:t>
      </w:r>
    </w:p>
    <w:p w:rsidR="004D0C72" w:rsidRDefault="00397BD3">
      <w:pPr>
        <w:spacing w:before="29" w:line="288" w:lineRule="auto"/>
        <w:ind w:firstLineChars="200" w:firstLine="480"/>
        <w:rPr>
          <w:color w:val="000000"/>
          <w:sz w:val="24"/>
        </w:rPr>
      </w:pPr>
      <w:r>
        <w:rPr>
          <w:color w:val="000000"/>
          <w:sz w:val="24"/>
        </w:rPr>
        <w:t>本基金每一类别的基金份额享有同等分配权。本基金在封闭期内的收益分配方式为现金分红。若期末未分配利润中的未实现部分</w:t>
      </w:r>
      <w:r>
        <w:rPr>
          <w:color w:val="000000"/>
          <w:sz w:val="24"/>
        </w:rPr>
        <w:t>(</w:t>
      </w:r>
      <w:r>
        <w:rPr>
          <w:color w:val="000000"/>
          <w:sz w:val="24"/>
        </w:rPr>
        <w:t>包括基金经营活动产生的未实现损益以及基金份额交易产生的未实现</w:t>
      </w:r>
      <w:proofErr w:type="gramStart"/>
      <w:r>
        <w:rPr>
          <w:color w:val="000000"/>
          <w:sz w:val="24"/>
        </w:rPr>
        <w:t>平准金等</w:t>
      </w:r>
      <w:proofErr w:type="gramEnd"/>
      <w:r>
        <w:rPr>
          <w:color w:val="000000"/>
          <w:sz w:val="24"/>
        </w:rPr>
        <w:t>)</w:t>
      </w:r>
      <w:r>
        <w:rPr>
          <w:color w:val="000000"/>
          <w:sz w:val="24"/>
        </w:rPr>
        <w:t>为正数，则期末可供分配利润的金额为期末未分配利润中的已实现部分；若期末未分配利润的未实现部分为负数，则期末可供分配利润的金额为期末未分配利润</w:t>
      </w:r>
      <w:r>
        <w:rPr>
          <w:color w:val="000000"/>
          <w:sz w:val="24"/>
        </w:rPr>
        <w:t>(</w:t>
      </w:r>
      <w:r>
        <w:rPr>
          <w:color w:val="000000"/>
          <w:sz w:val="24"/>
        </w:rPr>
        <w:t>已实现部分相抵未实现部分后的余额</w:t>
      </w:r>
      <w:r>
        <w:rPr>
          <w:color w:val="000000"/>
          <w:sz w:val="24"/>
        </w:rPr>
        <w:t>)</w:t>
      </w:r>
      <w:r>
        <w:rPr>
          <w:color w:val="000000"/>
          <w:sz w:val="24"/>
        </w:rPr>
        <w:t>。</w:t>
      </w:r>
    </w:p>
    <w:p w:rsidR="001A59F9" w:rsidRPr="002F6772" w:rsidRDefault="001A59F9" w:rsidP="002F6772">
      <w:pPr>
        <w:spacing w:before="29" w:line="288" w:lineRule="auto"/>
        <w:ind w:firstLineChars="200" w:firstLine="480"/>
        <w:rPr>
          <w:color w:val="000000"/>
          <w:sz w:val="24"/>
        </w:rPr>
      </w:pPr>
      <w:r w:rsidRPr="002F6772">
        <w:rPr>
          <w:color w:val="000000"/>
          <w:sz w:val="24"/>
        </w:rPr>
        <w:t>经宣告的拟分配基金收益于分红除权日从所有者权益转出。</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7.4.4.12 </w:t>
      </w:r>
      <w:r w:rsidRPr="00245C29">
        <w:rPr>
          <w:rFonts w:ascii="Times New Roman" w:hAnsi="Times New Roman"/>
          <w:kern w:val="0"/>
          <w:szCs w:val="24"/>
        </w:rPr>
        <w:t>分部报告</w:t>
      </w:r>
    </w:p>
    <w:p w:rsidR="004D0C72" w:rsidRDefault="00397BD3">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(1)</w:t>
      </w:r>
      <w:r>
        <w:rPr>
          <w:color w:val="000000"/>
          <w:sz w:val="24"/>
        </w:rPr>
        <w:t>该组成部分能够在日常活动中产生收入、发生费用；</w:t>
      </w:r>
      <w:r>
        <w:rPr>
          <w:color w:val="000000"/>
          <w:sz w:val="24"/>
        </w:rPr>
        <w:t>(2)</w:t>
      </w:r>
      <w:r>
        <w:rPr>
          <w:color w:val="000000"/>
          <w:sz w:val="24"/>
        </w:rPr>
        <w:t>本基金的基金管理人能够定期评价该组成部分的经营成果，以决定向其配置资源、评价其业绩；</w:t>
      </w:r>
      <w:r>
        <w:rPr>
          <w:color w:val="000000"/>
          <w:sz w:val="24"/>
        </w:rPr>
        <w:t>(3)</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本基金目前以一个单一的经营分部运作，不需要进行分部报告的披露。</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7.4.4.13 </w:t>
      </w:r>
      <w:r w:rsidRPr="00245C29">
        <w:rPr>
          <w:rFonts w:ascii="Times New Roman" w:hAnsi="Times New Roman"/>
          <w:kern w:val="0"/>
          <w:szCs w:val="24"/>
        </w:rPr>
        <w:t>其他重要的会计政策和会计估计</w:t>
      </w:r>
    </w:p>
    <w:p w:rsidR="004D0C72" w:rsidRDefault="00397BD3">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根据本基金的估值原则和中国证监会允许的基金行业估值实务操作，本基金确定以下类别债券投资的公允价值时采用的估值方法及其关键假设如下：</w:t>
      </w:r>
    </w:p>
    <w:p w:rsidR="004D0C72" w:rsidRDefault="00397BD3">
      <w:pPr>
        <w:spacing w:before="29" w:line="288" w:lineRule="auto"/>
        <w:ind w:firstLineChars="200" w:firstLine="480"/>
        <w:rPr>
          <w:color w:val="000000"/>
          <w:sz w:val="24"/>
        </w:rPr>
      </w:pPr>
      <w:r>
        <w:rPr>
          <w:color w:val="000000"/>
          <w:sz w:val="24"/>
        </w:rPr>
        <w:t>(a)</w:t>
      </w:r>
      <w:r>
        <w:rPr>
          <w:color w:val="000000"/>
          <w:sz w:val="24"/>
        </w:rPr>
        <w:t>对于证券交易所上市的债券，若出现重大事项停牌或交易不活跃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[2008]38</w:t>
      </w:r>
      <w:r>
        <w:rPr>
          <w:color w:val="000000"/>
          <w:sz w:val="24"/>
        </w:rPr>
        <w:t>号《关于进一步规范证券投资基金估值业务的指导意见》，根据具体情况采用估值技术进行估值。</w:t>
      </w:r>
    </w:p>
    <w:p w:rsidR="001A59F9" w:rsidRPr="002F6772" w:rsidRDefault="001A59F9" w:rsidP="002F6772">
      <w:pPr>
        <w:spacing w:before="29" w:line="288" w:lineRule="auto"/>
        <w:ind w:firstLineChars="200" w:firstLine="480"/>
        <w:rPr>
          <w:color w:val="000000"/>
          <w:sz w:val="24"/>
        </w:rPr>
      </w:pPr>
      <w:r w:rsidRPr="002F6772">
        <w:rPr>
          <w:color w:val="000000"/>
          <w:sz w:val="24"/>
        </w:rPr>
        <w:t>(b)</w:t>
      </w:r>
      <w:r w:rsidRPr="002F6772">
        <w:rPr>
          <w:color w:val="000000"/>
          <w:sz w:val="24"/>
        </w:rPr>
        <w:t>在银行间同业市场交易的债券品种，根据中国</w:t>
      </w:r>
      <w:proofErr w:type="gramStart"/>
      <w:r w:rsidRPr="002F6772">
        <w:rPr>
          <w:color w:val="000000"/>
          <w:sz w:val="24"/>
        </w:rPr>
        <w:t>证监会证监会</w:t>
      </w:r>
      <w:proofErr w:type="gramEnd"/>
      <w:r w:rsidRPr="002F6772">
        <w:rPr>
          <w:color w:val="000000"/>
          <w:sz w:val="24"/>
        </w:rPr>
        <w:t>计字</w:t>
      </w:r>
      <w:r w:rsidRPr="002F6772">
        <w:rPr>
          <w:color w:val="000000"/>
          <w:sz w:val="24"/>
        </w:rPr>
        <w:t>[2007]21</w:t>
      </w:r>
      <w:r w:rsidRPr="002F6772">
        <w:rPr>
          <w:color w:val="000000"/>
          <w:sz w:val="24"/>
        </w:rPr>
        <w:t>号《关于证券投资基金执行</w:t>
      </w:r>
      <w:r w:rsidRPr="002F6772">
        <w:rPr>
          <w:color w:val="000000"/>
          <w:sz w:val="24"/>
        </w:rPr>
        <w:t>&lt;</w:t>
      </w:r>
      <w:r w:rsidRPr="002F6772">
        <w:rPr>
          <w:color w:val="000000"/>
          <w:sz w:val="24"/>
        </w:rPr>
        <w:t>企业会计准则</w:t>
      </w:r>
      <w:r w:rsidRPr="002F6772">
        <w:rPr>
          <w:color w:val="000000"/>
          <w:sz w:val="24"/>
        </w:rPr>
        <w:t>&gt;</w:t>
      </w:r>
      <w:r w:rsidRPr="002F6772">
        <w:rPr>
          <w:color w:val="000000"/>
          <w:sz w:val="24"/>
        </w:rPr>
        <w:t>估值业务及份额净值计价有关事项的通知》采用估值技术确定公允价值。本基金持有的银行间同业市场债券按现金流量折现法估值，具体估值模型、参数及结果由中央国债登记结算有限责任公司独立提供。</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4D0C72" w:rsidRDefault="00397BD3">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号《关于企业所得税若干优惠政策的通知》及其他相关财税法规和实务操作，主要税项列示如下：</w:t>
      </w:r>
    </w:p>
    <w:p w:rsidR="004D0C72" w:rsidRDefault="00397BD3">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以发行基金方式募集资金不属于营业税征收范围，不征收营业税。基金买卖债券的差价收入</w:t>
      </w:r>
      <w:proofErr w:type="gramStart"/>
      <w:r>
        <w:rPr>
          <w:color w:val="000000"/>
          <w:sz w:val="24"/>
        </w:rPr>
        <w:t>不予征收</w:t>
      </w:r>
      <w:proofErr w:type="gramEnd"/>
      <w:r>
        <w:rPr>
          <w:color w:val="000000"/>
          <w:sz w:val="24"/>
        </w:rPr>
        <w:t>营业税。</w:t>
      </w:r>
    </w:p>
    <w:p w:rsidR="004D0C72" w:rsidRDefault="00397BD3">
      <w:pPr>
        <w:spacing w:before="29" w:line="288" w:lineRule="auto"/>
        <w:ind w:firstLineChars="200" w:firstLine="480"/>
        <w:rPr>
          <w:color w:val="000000"/>
          <w:sz w:val="24"/>
        </w:rPr>
      </w:pPr>
      <w:r>
        <w:rPr>
          <w:color w:val="000000"/>
          <w:sz w:val="24"/>
        </w:rPr>
        <w:t>(2)</w:t>
      </w:r>
      <w:r>
        <w:rPr>
          <w:color w:val="000000"/>
          <w:sz w:val="24"/>
        </w:rPr>
        <w:t>对基金从证券市场中取得的收入，包括买卖债券的差价收入，债券的利息收入及其他收入，暂不征收企业所得税。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(3)</w:t>
      </w:r>
      <w:r w:rsidRPr="002F6772">
        <w:rPr>
          <w:color w:val="000000"/>
          <w:sz w:val="24"/>
        </w:rPr>
        <w:t>对基金取得的企业债券利息收入，应由发行债券的企业在向基金支付利息时代扣代缴</w:t>
      </w:r>
      <w:r w:rsidRPr="002F6772">
        <w:rPr>
          <w:color w:val="000000"/>
          <w:sz w:val="24"/>
        </w:rPr>
        <w:t>20%</w:t>
      </w:r>
      <w:r w:rsidRPr="002F6772">
        <w:rPr>
          <w:color w:val="000000"/>
          <w:sz w:val="24"/>
        </w:rPr>
        <w:t>的个人所得税。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4D0C72">
        <w:tc>
          <w:tcPr>
            <w:tcW w:w="5220" w:type="dxa"/>
            <w:vAlign w:val="center"/>
          </w:tcPr>
          <w:p w:rsidR="004D0C72" w:rsidRDefault="00397BD3">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4D0C72" w:rsidRDefault="00397BD3">
            <w:pPr>
              <w:jc w:val="center"/>
            </w:pPr>
            <w:r>
              <w:rPr>
                <w:color w:val="000000"/>
                <w:sz w:val="24"/>
              </w:rPr>
              <w:t>基金管理人、基金销售机构</w:t>
            </w:r>
          </w:p>
        </w:tc>
      </w:tr>
      <w:tr w:rsidR="004D0C72">
        <w:tc>
          <w:tcPr>
            <w:tcW w:w="5220" w:type="dxa"/>
            <w:vAlign w:val="center"/>
          </w:tcPr>
          <w:p w:rsidR="004D0C72" w:rsidRDefault="00397BD3">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80" w:type="dxa"/>
            <w:vAlign w:val="center"/>
          </w:tcPr>
          <w:p w:rsidR="004D0C72" w:rsidRDefault="00397BD3">
            <w:pPr>
              <w:jc w:val="center"/>
            </w:pPr>
            <w:r>
              <w:rPr>
                <w:color w:val="000000"/>
                <w:sz w:val="24"/>
              </w:rPr>
              <w:t>基金托管人、基金销售机构</w:t>
            </w:r>
          </w:p>
        </w:tc>
      </w:tr>
      <w:tr w:rsidR="004D0C72">
        <w:tc>
          <w:tcPr>
            <w:tcW w:w="5220" w:type="dxa"/>
            <w:vAlign w:val="center"/>
          </w:tcPr>
          <w:p w:rsidR="004D0C72" w:rsidRDefault="00397BD3">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4D0C72" w:rsidRDefault="00397BD3">
            <w:pPr>
              <w:jc w:val="center"/>
            </w:pPr>
            <w:r>
              <w:rPr>
                <w:color w:val="000000"/>
                <w:sz w:val="24"/>
              </w:rPr>
              <w:t>基金管理人的股东、基金销售机构</w:t>
            </w:r>
          </w:p>
        </w:tc>
      </w:tr>
      <w:tr w:rsidR="004D0C72">
        <w:tc>
          <w:tcPr>
            <w:tcW w:w="5220" w:type="dxa"/>
            <w:vAlign w:val="center"/>
          </w:tcPr>
          <w:p w:rsidR="004D0C72" w:rsidRDefault="00397BD3">
            <w:pPr>
              <w:jc w:val="left"/>
            </w:pPr>
            <w:r>
              <w:rPr>
                <w:color w:val="000000"/>
                <w:sz w:val="24"/>
              </w:rPr>
              <w:t>施罗德投资管理有限公司</w:t>
            </w:r>
          </w:p>
        </w:tc>
        <w:tc>
          <w:tcPr>
            <w:tcW w:w="3780" w:type="dxa"/>
            <w:vAlign w:val="center"/>
          </w:tcPr>
          <w:p w:rsidR="004D0C72" w:rsidRDefault="00397BD3">
            <w:pPr>
              <w:jc w:val="center"/>
            </w:pPr>
            <w:r>
              <w:rPr>
                <w:color w:val="000000"/>
                <w:sz w:val="24"/>
              </w:rPr>
              <w:t>基金管理人的股东</w:t>
            </w:r>
          </w:p>
        </w:tc>
      </w:tr>
      <w:tr w:rsidR="004D0C72">
        <w:tc>
          <w:tcPr>
            <w:tcW w:w="5220" w:type="dxa"/>
            <w:vAlign w:val="center"/>
          </w:tcPr>
          <w:p w:rsidR="004D0C72" w:rsidRDefault="00397BD3">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4D0C72" w:rsidRDefault="00397BD3">
            <w:pPr>
              <w:jc w:val="center"/>
            </w:pPr>
            <w:r>
              <w:rPr>
                <w:color w:val="000000"/>
                <w:sz w:val="24"/>
              </w:rPr>
              <w:t>基金管理人的股东</w:t>
            </w:r>
          </w:p>
        </w:tc>
      </w:tr>
      <w:tr w:rsidR="004D0C72">
        <w:tc>
          <w:tcPr>
            <w:tcW w:w="5220" w:type="dxa"/>
            <w:vAlign w:val="center"/>
          </w:tcPr>
          <w:p w:rsidR="004D0C72" w:rsidRDefault="00397BD3">
            <w:pPr>
              <w:jc w:val="left"/>
            </w:pPr>
            <w:r>
              <w:rPr>
                <w:color w:val="000000"/>
                <w:sz w:val="24"/>
              </w:rPr>
              <w:t>交银施罗德资产管理有限公司</w:t>
            </w:r>
          </w:p>
        </w:tc>
        <w:tc>
          <w:tcPr>
            <w:tcW w:w="3780" w:type="dxa"/>
            <w:vAlign w:val="center"/>
          </w:tcPr>
          <w:p w:rsidR="004D0C72" w:rsidRDefault="00397BD3">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w:t>
      </w:r>
      <w:proofErr w:type="gramStart"/>
      <w:r w:rsidRPr="002F6772">
        <w:rPr>
          <w:color w:val="000000"/>
          <w:sz w:val="24"/>
        </w:rPr>
        <w:t>无通过</w:t>
      </w:r>
      <w:proofErr w:type="gramEnd"/>
      <w:r w:rsidRPr="002F6772">
        <w:rPr>
          <w:color w:val="000000"/>
          <w:sz w:val="24"/>
        </w:rPr>
        <w:t>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397BD3" w:rsidRPr="00C51C77" w:rsidTr="00397BD3">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5314"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8</w:t>
            </w:r>
            <w:r w:rsidRPr="002C6C89">
              <w:rPr>
                <w:bCs/>
                <w:color w:val="000000"/>
                <w:sz w:val="24"/>
              </w:rPr>
              <w:t>月</w:t>
            </w:r>
            <w:r w:rsidRPr="002C6C89">
              <w:rPr>
                <w:bCs/>
                <w:color w:val="000000"/>
                <w:sz w:val="24"/>
              </w:rPr>
              <w:t>11</w:t>
            </w:r>
            <w:r w:rsidRPr="002C6C89">
              <w:rPr>
                <w:bCs/>
                <w:color w:val="000000"/>
                <w:sz w:val="24"/>
              </w:rPr>
              <w:t>日（基金合同生效日）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397BD3" w:rsidRPr="00C51C77" w:rsidTr="00397BD3">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5314" w:type="dxa"/>
            <w:vAlign w:val="center"/>
          </w:tcPr>
          <w:p w:rsidR="001A59F9" w:rsidRPr="00924183" w:rsidRDefault="001A59F9" w:rsidP="00924183">
            <w:pPr>
              <w:spacing w:before="29" w:line="288" w:lineRule="auto"/>
              <w:jc w:val="right"/>
              <w:rPr>
                <w:sz w:val="24"/>
              </w:rPr>
            </w:pPr>
            <w:r w:rsidRPr="00924183">
              <w:rPr>
                <w:sz w:val="24"/>
              </w:rPr>
              <w:t>1,625,035.11</w:t>
            </w:r>
          </w:p>
        </w:tc>
      </w:tr>
      <w:tr w:rsidR="00397BD3" w:rsidRPr="00C51C77" w:rsidTr="00397BD3">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5314" w:type="dxa"/>
            <w:vAlign w:val="center"/>
          </w:tcPr>
          <w:p w:rsidR="001A59F9" w:rsidRPr="00924183" w:rsidRDefault="001A59F9" w:rsidP="00924183">
            <w:pPr>
              <w:spacing w:before="29" w:line="288" w:lineRule="auto"/>
              <w:jc w:val="right"/>
              <w:rPr>
                <w:sz w:val="24"/>
              </w:rPr>
            </w:pPr>
            <w:r w:rsidRPr="00924183">
              <w:rPr>
                <w:sz w:val="24"/>
              </w:rPr>
              <w:t>736,901.53</w:t>
            </w:r>
          </w:p>
        </w:tc>
      </w:tr>
    </w:tbl>
    <w:p w:rsidR="004D0C72" w:rsidRDefault="00397BD3">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0.8%</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×0.8%÷</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397BD3" w:rsidRPr="00C51C77" w:rsidTr="00397BD3">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5314"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8</w:t>
            </w:r>
            <w:r w:rsidRPr="002C6C89">
              <w:rPr>
                <w:bCs/>
                <w:color w:val="000000"/>
                <w:sz w:val="24"/>
              </w:rPr>
              <w:t>月</w:t>
            </w:r>
            <w:r w:rsidRPr="002C6C89">
              <w:rPr>
                <w:bCs/>
                <w:color w:val="000000"/>
                <w:sz w:val="24"/>
              </w:rPr>
              <w:t>11</w:t>
            </w:r>
            <w:r w:rsidRPr="002C6C89">
              <w:rPr>
                <w:bCs/>
                <w:color w:val="000000"/>
                <w:sz w:val="24"/>
              </w:rPr>
              <w:t>日（基金合同生效日）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397BD3" w:rsidRPr="00C51C77" w:rsidTr="00397BD3">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5314" w:type="dxa"/>
            <w:vAlign w:val="center"/>
          </w:tcPr>
          <w:p w:rsidR="001A59F9" w:rsidRPr="00243BD8" w:rsidRDefault="001A59F9" w:rsidP="00243BD8">
            <w:pPr>
              <w:spacing w:before="29" w:line="288" w:lineRule="auto"/>
              <w:jc w:val="right"/>
              <w:rPr>
                <w:sz w:val="24"/>
              </w:rPr>
            </w:pPr>
            <w:r w:rsidRPr="00243BD8">
              <w:rPr>
                <w:sz w:val="24"/>
              </w:rPr>
              <w:t>304,694.10</w:t>
            </w:r>
          </w:p>
        </w:tc>
      </w:tr>
    </w:tbl>
    <w:p w:rsidR="004D0C72" w:rsidRDefault="00397BD3">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0.15%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×0.15%÷</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w:t>
      </w:r>
      <w:proofErr w:type="gramStart"/>
      <w:r w:rsidRPr="00245C29">
        <w:rPr>
          <w:rFonts w:ascii="Times New Roman" w:hAnsi="Times New Roman" w:hint="eastAsia"/>
          <w:kern w:val="0"/>
          <w:szCs w:val="24"/>
        </w:rPr>
        <w:t>固有资金</w:t>
      </w:r>
      <w:proofErr w:type="gramEnd"/>
      <w:r w:rsidRPr="00245C29">
        <w:rPr>
          <w:rFonts w:ascii="Times New Roman" w:hAnsi="Times New Roman" w:hint="eastAsia"/>
          <w:kern w:val="0"/>
          <w:szCs w:val="24"/>
        </w:rPr>
        <w:t>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本基金本报告期内未发生基金管理人运用</w:t>
      </w:r>
      <w:proofErr w:type="gramStart"/>
      <w:r w:rsidRPr="004D23E7">
        <w:rPr>
          <w:kern w:val="0"/>
          <w:sz w:val="24"/>
        </w:rPr>
        <w:t>固有资金</w:t>
      </w:r>
      <w:proofErr w:type="gramEnd"/>
      <w:r w:rsidRPr="004D23E7">
        <w:rPr>
          <w:kern w:val="0"/>
          <w:sz w:val="24"/>
        </w:rPr>
        <w:t>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Pr="00BF4BF3" w:rsidRDefault="00E6117A" w:rsidP="00BF4BF3">
      <w:pPr>
        <w:tabs>
          <w:tab w:val="left" w:pos="426"/>
        </w:tabs>
        <w:spacing w:before="29" w:line="288" w:lineRule="auto"/>
        <w:jc w:val="left"/>
        <w:rPr>
          <w:kern w:val="0"/>
          <w:sz w:val="24"/>
        </w:rPr>
      </w:pPr>
      <w:r w:rsidRPr="00BF4BF3">
        <w:rPr>
          <w:kern w:val="0"/>
          <w:sz w:val="24"/>
        </w:rPr>
        <w:t>本报告期末除基金管理人之外的其他关联方未持有本基金。</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3365"/>
        <w:gridCol w:w="3365"/>
      </w:tblGrid>
      <w:tr w:rsidR="00360905" w:rsidRPr="00456CA2" w:rsidTr="004D64B9">
        <w:tc>
          <w:tcPr>
            <w:tcW w:w="2268"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6732"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8</w:t>
            </w:r>
            <w:r w:rsidRPr="00456CA2">
              <w:rPr>
                <w:color w:val="000000"/>
                <w:szCs w:val="21"/>
              </w:rPr>
              <w:t>月</w:t>
            </w:r>
            <w:r w:rsidRPr="00456CA2">
              <w:rPr>
                <w:color w:val="000000"/>
                <w:szCs w:val="21"/>
              </w:rPr>
              <w:t>11</w:t>
            </w:r>
            <w:r w:rsidRPr="00456CA2">
              <w:rPr>
                <w:color w:val="000000"/>
                <w:szCs w:val="21"/>
              </w:rPr>
              <w:t>日（基金合同生效日）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4D64B9">
        <w:tc>
          <w:tcPr>
            <w:tcW w:w="2268" w:type="dxa"/>
            <w:vMerge/>
            <w:vAlign w:val="center"/>
          </w:tcPr>
          <w:p w:rsidR="00360905" w:rsidRPr="00456CA2" w:rsidRDefault="00360905" w:rsidP="00C27E4C">
            <w:pPr>
              <w:spacing w:before="29" w:line="288" w:lineRule="auto"/>
              <w:jc w:val="center"/>
              <w:rPr>
                <w:color w:val="000000"/>
                <w:szCs w:val="21"/>
              </w:rPr>
            </w:pPr>
          </w:p>
        </w:tc>
        <w:tc>
          <w:tcPr>
            <w:tcW w:w="3366"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3366"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4D0C72">
        <w:tc>
          <w:tcPr>
            <w:tcW w:w="2268" w:type="dxa"/>
            <w:vAlign w:val="center"/>
          </w:tcPr>
          <w:p w:rsidR="004D0C72" w:rsidRDefault="00397BD3">
            <w:pPr>
              <w:jc w:val="left"/>
            </w:pPr>
            <w:r>
              <w:rPr>
                <w:color w:val="000000"/>
                <w:szCs w:val="21"/>
              </w:rPr>
              <w:t>中信银行</w:t>
            </w:r>
          </w:p>
        </w:tc>
        <w:tc>
          <w:tcPr>
            <w:tcW w:w="3365" w:type="dxa"/>
            <w:vAlign w:val="center"/>
          </w:tcPr>
          <w:p w:rsidR="004D0C72" w:rsidRDefault="00397BD3">
            <w:pPr>
              <w:jc w:val="right"/>
            </w:pPr>
            <w:r>
              <w:rPr>
                <w:color w:val="000000"/>
                <w:szCs w:val="21"/>
              </w:rPr>
              <w:t>183,524.70</w:t>
            </w:r>
          </w:p>
        </w:tc>
        <w:tc>
          <w:tcPr>
            <w:tcW w:w="3365" w:type="dxa"/>
            <w:vAlign w:val="center"/>
          </w:tcPr>
          <w:p w:rsidR="004D0C72" w:rsidRDefault="00397BD3">
            <w:pPr>
              <w:jc w:val="right"/>
            </w:pPr>
            <w:r>
              <w:rPr>
                <w:color w:val="000000"/>
                <w:szCs w:val="21"/>
              </w:rPr>
              <w:t>96,532.65</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1A2A8C" w:rsidRDefault="001A59F9" w:rsidP="001A2A8C">
      <w:pPr>
        <w:tabs>
          <w:tab w:val="left" w:pos="426"/>
        </w:tabs>
        <w:spacing w:before="29" w:line="288" w:lineRule="auto"/>
        <w:jc w:val="left"/>
        <w:rPr>
          <w:kern w:val="0"/>
          <w:sz w:val="24"/>
        </w:rPr>
      </w:pPr>
      <w:r w:rsidRPr="001A2A8C">
        <w:rPr>
          <w:kern w:val="0"/>
          <w:sz w:val="24"/>
        </w:rPr>
        <w:t>本基金本报告期末未持有暂时停牌等流通受限股票。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银行间市场债券正回购</w:t>
      </w:r>
    </w:p>
    <w:p w:rsidR="001A59F9" w:rsidRPr="001A2A8C" w:rsidRDefault="001A59F9" w:rsidP="001A2A8C">
      <w:pPr>
        <w:spacing w:before="29" w:line="288" w:lineRule="auto"/>
        <w:rPr>
          <w:color w:val="000000"/>
          <w:sz w:val="24"/>
        </w:rPr>
      </w:pPr>
      <w:r w:rsidRPr="001A2A8C">
        <w:rPr>
          <w:color w:val="000000"/>
          <w:sz w:val="24"/>
        </w:rPr>
        <w:t>截至本报告期末</w:t>
      </w:r>
      <w:r w:rsidRPr="001A2A8C">
        <w:rPr>
          <w:color w:val="000000"/>
          <w:sz w:val="24"/>
        </w:rPr>
        <w:t>2014</w:t>
      </w:r>
      <w:r w:rsidRPr="001A2A8C">
        <w:rPr>
          <w:color w:val="000000"/>
          <w:sz w:val="24"/>
        </w:rPr>
        <w:t>年</w:t>
      </w:r>
      <w:r w:rsidRPr="001A2A8C">
        <w:rPr>
          <w:color w:val="000000"/>
          <w:sz w:val="24"/>
        </w:rPr>
        <w:t>12</w:t>
      </w:r>
      <w:r w:rsidRPr="001A2A8C">
        <w:rPr>
          <w:color w:val="000000"/>
          <w:sz w:val="24"/>
        </w:rPr>
        <w:t>月</w:t>
      </w:r>
      <w:r w:rsidRPr="001A2A8C">
        <w:rPr>
          <w:color w:val="000000"/>
          <w:sz w:val="24"/>
        </w:rPr>
        <w:t>31</w:t>
      </w:r>
      <w:r w:rsidRPr="001A2A8C">
        <w:rPr>
          <w:color w:val="000000"/>
          <w:sz w:val="24"/>
        </w:rPr>
        <w:t>日止，本基金从事银行间市场债券正回购交易形成的卖出回购证券款余额</w:t>
      </w:r>
      <w:r w:rsidRPr="001A2A8C">
        <w:rPr>
          <w:color w:val="000000"/>
          <w:sz w:val="24"/>
        </w:rPr>
        <w:t>194,338,668.49</w:t>
      </w:r>
      <w:r w:rsidRPr="001A2A8C">
        <w:rPr>
          <w:color w:val="000000"/>
          <w:sz w:val="24"/>
        </w:rPr>
        <w:t>元，是以如下债券作为抵押：</w:t>
      </w:r>
    </w:p>
    <w:p w:rsidR="001A59F9" w:rsidRPr="00E20B2A" w:rsidRDefault="001A59F9" w:rsidP="00026C9C">
      <w:pPr>
        <w:autoSpaceDE w:val="0"/>
        <w:autoSpaceDN w:val="0"/>
        <w:adjustRightInd w:val="0"/>
        <w:spacing w:before="29" w:line="360" w:lineRule="auto"/>
        <w:ind w:left="15"/>
        <w:jc w:val="right"/>
        <w:rPr>
          <w:color w:val="000000"/>
          <w:sz w:val="24"/>
        </w:rPr>
      </w:pPr>
      <w:r w:rsidRPr="00E20B2A">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00"/>
        <w:gridCol w:w="1500"/>
        <w:gridCol w:w="1500"/>
        <w:gridCol w:w="1260"/>
        <w:gridCol w:w="1440"/>
        <w:gridCol w:w="1836"/>
      </w:tblGrid>
      <w:tr w:rsidR="001A59F9" w:rsidRPr="00C51C77" w:rsidTr="006D141C">
        <w:tc>
          <w:tcPr>
            <w:tcW w:w="150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债券代码</w:t>
            </w:r>
          </w:p>
        </w:tc>
        <w:tc>
          <w:tcPr>
            <w:tcW w:w="150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债券名称</w:t>
            </w:r>
          </w:p>
        </w:tc>
        <w:tc>
          <w:tcPr>
            <w:tcW w:w="150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回购到期日</w:t>
            </w:r>
          </w:p>
        </w:tc>
        <w:tc>
          <w:tcPr>
            <w:tcW w:w="126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期末估值单价</w:t>
            </w:r>
          </w:p>
        </w:tc>
        <w:tc>
          <w:tcPr>
            <w:tcW w:w="144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数量（张）</w:t>
            </w:r>
          </w:p>
        </w:tc>
        <w:tc>
          <w:tcPr>
            <w:tcW w:w="1836"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期末估值总额</w:t>
            </w:r>
          </w:p>
        </w:tc>
      </w:tr>
      <w:tr w:rsidR="004D0C72">
        <w:tc>
          <w:tcPr>
            <w:tcW w:w="1500" w:type="dxa"/>
            <w:vAlign w:val="center"/>
          </w:tcPr>
          <w:p w:rsidR="004D0C72" w:rsidRDefault="00397BD3">
            <w:pPr>
              <w:jc w:val="center"/>
            </w:pPr>
            <w:r>
              <w:rPr>
                <w:color w:val="000000"/>
                <w:kern w:val="0"/>
                <w:sz w:val="24"/>
              </w:rPr>
              <w:t>1382156</w:t>
            </w:r>
          </w:p>
        </w:tc>
        <w:tc>
          <w:tcPr>
            <w:tcW w:w="1500" w:type="dxa"/>
            <w:vAlign w:val="center"/>
          </w:tcPr>
          <w:p w:rsidR="004D0C72" w:rsidRDefault="00397BD3">
            <w:pPr>
              <w:jc w:val="center"/>
            </w:pPr>
            <w:r>
              <w:rPr>
                <w:color w:val="000000"/>
                <w:kern w:val="0"/>
                <w:sz w:val="24"/>
              </w:rPr>
              <w:t>13</w:t>
            </w:r>
            <w:proofErr w:type="gramStart"/>
            <w:r>
              <w:rPr>
                <w:color w:val="000000"/>
                <w:kern w:val="0"/>
                <w:sz w:val="24"/>
              </w:rPr>
              <w:t>赣然气</w:t>
            </w:r>
            <w:proofErr w:type="gramEnd"/>
            <w:r>
              <w:rPr>
                <w:color w:val="000000"/>
                <w:kern w:val="0"/>
                <w:sz w:val="24"/>
              </w:rPr>
              <w:t>MTN1</w:t>
            </w:r>
          </w:p>
        </w:tc>
        <w:tc>
          <w:tcPr>
            <w:tcW w:w="1500" w:type="dxa"/>
            <w:vAlign w:val="center"/>
          </w:tcPr>
          <w:p w:rsidR="004D0C72" w:rsidRDefault="00397BD3">
            <w:pPr>
              <w:jc w:val="center"/>
            </w:pPr>
            <w:r>
              <w:rPr>
                <w:color w:val="000000"/>
                <w:kern w:val="0"/>
                <w:sz w:val="24"/>
              </w:rPr>
              <w:t>2015-01-07</w:t>
            </w:r>
          </w:p>
        </w:tc>
        <w:tc>
          <w:tcPr>
            <w:tcW w:w="1260" w:type="dxa"/>
            <w:vAlign w:val="center"/>
          </w:tcPr>
          <w:p w:rsidR="004D0C72" w:rsidRDefault="00397BD3">
            <w:pPr>
              <w:jc w:val="right"/>
            </w:pPr>
            <w:r>
              <w:rPr>
                <w:color w:val="000000"/>
                <w:kern w:val="0"/>
                <w:sz w:val="24"/>
              </w:rPr>
              <w:t>100.43</w:t>
            </w:r>
          </w:p>
        </w:tc>
        <w:tc>
          <w:tcPr>
            <w:tcW w:w="1440" w:type="dxa"/>
            <w:vAlign w:val="center"/>
          </w:tcPr>
          <w:p w:rsidR="004D0C72" w:rsidRDefault="00397BD3">
            <w:pPr>
              <w:jc w:val="right"/>
            </w:pPr>
            <w:r>
              <w:rPr>
                <w:color w:val="000000"/>
                <w:kern w:val="0"/>
                <w:sz w:val="24"/>
              </w:rPr>
              <w:t>100,000</w:t>
            </w:r>
          </w:p>
        </w:tc>
        <w:tc>
          <w:tcPr>
            <w:tcW w:w="1836" w:type="dxa"/>
            <w:vAlign w:val="center"/>
          </w:tcPr>
          <w:p w:rsidR="004D0C72" w:rsidRDefault="00397BD3">
            <w:pPr>
              <w:jc w:val="right"/>
            </w:pPr>
            <w:r>
              <w:rPr>
                <w:color w:val="000000"/>
                <w:kern w:val="0"/>
                <w:sz w:val="24"/>
              </w:rPr>
              <w:t>10,043,000.00</w:t>
            </w:r>
          </w:p>
        </w:tc>
      </w:tr>
      <w:tr w:rsidR="004D0C72">
        <w:tc>
          <w:tcPr>
            <w:tcW w:w="1500" w:type="dxa"/>
            <w:vAlign w:val="center"/>
          </w:tcPr>
          <w:p w:rsidR="004D0C72" w:rsidRDefault="00397BD3">
            <w:pPr>
              <w:jc w:val="center"/>
            </w:pPr>
            <w:r>
              <w:rPr>
                <w:color w:val="000000"/>
                <w:kern w:val="0"/>
                <w:sz w:val="24"/>
              </w:rPr>
              <w:t>1180109</w:t>
            </w:r>
          </w:p>
        </w:tc>
        <w:tc>
          <w:tcPr>
            <w:tcW w:w="1500" w:type="dxa"/>
            <w:vAlign w:val="center"/>
          </w:tcPr>
          <w:p w:rsidR="004D0C72" w:rsidRDefault="00397BD3">
            <w:pPr>
              <w:jc w:val="center"/>
            </w:pPr>
            <w:r>
              <w:rPr>
                <w:color w:val="000000"/>
                <w:kern w:val="0"/>
                <w:sz w:val="24"/>
              </w:rPr>
              <w:t>11</w:t>
            </w:r>
            <w:r>
              <w:rPr>
                <w:color w:val="000000"/>
                <w:kern w:val="0"/>
                <w:sz w:val="24"/>
              </w:rPr>
              <w:t>滕州债</w:t>
            </w:r>
          </w:p>
        </w:tc>
        <w:tc>
          <w:tcPr>
            <w:tcW w:w="1500" w:type="dxa"/>
            <w:vAlign w:val="center"/>
          </w:tcPr>
          <w:p w:rsidR="004D0C72" w:rsidRDefault="00397BD3">
            <w:pPr>
              <w:jc w:val="center"/>
            </w:pPr>
            <w:r>
              <w:rPr>
                <w:color w:val="000000"/>
                <w:kern w:val="0"/>
                <w:sz w:val="24"/>
              </w:rPr>
              <w:t>2015-01-07</w:t>
            </w:r>
          </w:p>
        </w:tc>
        <w:tc>
          <w:tcPr>
            <w:tcW w:w="1260" w:type="dxa"/>
            <w:vAlign w:val="center"/>
          </w:tcPr>
          <w:p w:rsidR="004D0C72" w:rsidRDefault="00397BD3">
            <w:pPr>
              <w:jc w:val="right"/>
            </w:pPr>
            <w:r>
              <w:rPr>
                <w:color w:val="000000"/>
                <w:kern w:val="0"/>
                <w:sz w:val="24"/>
              </w:rPr>
              <w:t>101.52</w:t>
            </w:r>
          </w:p>
        </w:tc>
        <w:tc>
          <w:tcPr>
            <w:tcW w:w="1440" w:type="dxa"/>
            <w:vAlign w:val="center"/>
          </w:tcPr>
          <w:p w:rsidR="004D0C72" w:rsidRDefault="00397BD3">
            <w:pPr>
              <w:jc w:val="right"/>
            </w:pPr>
            <w:r>
              <w:rPr>
                <w:color w:val="000000"/>
                <w:kern w:val="0"/>
                <w:sz w:val="24"/>
              </w:rPr>
              <w:t>400,000</w:t>
            </w:r>
          </w:p>
        </w:tc>
        <w:tc>
          <w:tcPr>
            <w:tcW w:w="1836" w:type="dxa"/>
            <w:vAlign w:val="center"/>
          </w:tcPr>
          <w:p w:rsidR="004D0C72" w:rsidRDefault="00397BD3">
            <w:pPr>
              <w:jc w:val="right"/>
            </w:pPr>
            <w:r>
              <w:rPr>
                <w:color w:val="000000"/>
                <w:kern w:val="0"/>
                <w:sz w:val="24"/>
              </w:rPr>
              <w:t>40,608,000.00</w:t>
            </w:r>
          </w:p>
        </w:tc>
      </w:tr>
      <w:tr w:rsidR="004D0C72">
        <w:tc>
          <w:tcPr>
            <w:tcW w:w="1500" w:type="dxa"/>
            <w:vAlign w:val="center"/>
          </w:tcPr>
          <w:p w:rsidR="004D0C72" w:rsidRDefault="00397BD3">
            <w:pPr>
              <w:jc w:val="center"/>
            </w:pPr>
            <w:r>
              <w:rPr>
                <w:color w:val="000000"/>
                <w:kern w:val="0"/>
                <w:sz w:val="24"/>
              </w:rPr>
              <w:t>101462005</w:t>
            </w:r>
          </w:p>
        </w:tc>
        <w:tc>
          <w:tcPr>
            <w:tcW w:w="1500" w:type="dxa"/>
            <w:vAlign w:val="center"/>
          </w:tcPr>
          <w:p w:rsidR="004D0C72" w:rsidRDefault="00397BD3">
            <w:pPr>
              <w:jc w:val="center"/>
            </w:pPr>
            <w:r>
              <w:rPr>
                <w:color w:val="000000"/>
                <w:kern w:val="0"/>
                <w:sz w:val="24"/>
              </w:rPr>
              <w:t>14</w:t>
            </w:r>
            <w:r>
              <w:rPr>
                <w:color w:val="000000"/>
                <w:kern w:val="0"/>
                <w:sz w:val="24"/>
              </w:rPr>
              <w:t>嘉公路</w:t>
            </w:r>
            <w:r>
              <w:rPr>
                <w:color w:val="000000"/>
                <w:kern w:val="0"/>
                <w:sz w:val="24"/>
              </w:rPr>
              <w:t>MTN001</w:t>
            </w:r>
          </w:p>
        </w:tc>
        <w:tc>
          <w:tcPr>
            <w:tcW w:w="1500" w:type="dxa"/>
            <w:vAlign w:val="center"/>
          </w:tcPr>
          <w:p w:rsidR="004D0C72" w:rsidRDefault="00397BD3">
            <w:pPr>
              <w:jc w:val="center"/>
            </w:pPr>
            <w:r>
              <w:rPr>
                <w:color w:val="000000"/>
                <w:kern w:val="0"/>
                <w:sz w:val="24"/>
              </w:rPr>
              <w:t>2015-01-07</w:t>
            </w:r>
          </w:p>
        </w:tc>
        <w:tc>
          <w:tcPr>
            <w:tcW w:w="1260" w:type="dxa"/>
            <w:vAlign w:val="center"/>
          </w:tcPr>
          <w:p w:rsidR="004D0C72" w:rsidRDefault="00397BD3">
            <w:pPr>
              <w:jc w:val="right"/>
            </w:pPr>
            <w:r>
              <w:rPr>
                <w:color w:val="000000"/>
                <w:kern w:val="0"/>
                <w:sz w:val="24"/>
              </w:rPr>
              <w:t>103.74</w:t>
            </w:r>
          </w:p>
        </w:tc>
        <w:tc>
          <w:tcPr>
            <w:tcW w:w="1440" w:type="dxa"/>
            <w:vAlign w:val="center"/>
          </w:tcPr>
          <w:p w:rsidR="004D0C72" w:rsidRDefault="00397BD3">
            <w:pPr>
              <w:jc w:val="right"/>
            </w:pPr>
            <w:r>
              <w:rPr>
                <w:color w:val="000000"/>
                <w:kern w:val="0"/>
                <w:sz w:val="24"/>
              </w:rPr>
              <w:t>300,000</w:t>
            </w:r>
          </w:p>
        </w:tc>
        <w:tc>
          <w:tcPr>
            <w:tcW w:w="1836" w:type="dxa"/>
            <w:vAlign w:val="center"/>
          </w:tcPr>
          <w:p w:rsidR="004D0C72" w:rsidRDefault="00397BD3">
            <w:pPr>
              <w:jc w:val="right"/>
            </w:pPr>
            <w:r>
              <w:rPr>
                <w:color w:val="000000"/>
                <w:kern w:val="0"/>
                <w:sz w:val="24"/>
              </w:rPr>
              <w:t>31,122,000.00</w:t>
            </w:r>
          </w:p>
        </w:tc>
      </w:tr>
      <w:tr w:rsidR="004D0C72">
        <w:tc>
          <w:tcPr>
            <w:tcW w:w="1500" w:type="dxa"/>
            <w:vAlign w:val="center"/>
          </w:tcPr>
          <w:p w:rsidR="004D0C72" w:rsidRDefault="00397BD3">
            <w:pPr>
              <w:jc w:val="center"/>
            </w:pPr>
            <w:r>
              <w:rPr>
                <w:color w:val="000000"/>
                <w:kern w:val="0"/>
                <w:sz w:val="24"/>
              </w:rPr>
              <w:t>1180020</w:t>
            </w:r>
          </w:p>
        </w:tc>
        <w:tc>
          <w:tcPr>
            <w:tcW w:w="1500" w:type="dxa"/>
            <w:vAlign w:val="center"/>
          </w:tcPr>
          <w:p w:rsidR="004D0C72" w:rsidRDefault="00397BD3">
            <w:pPr>
              <w:jc w:val="center"/>
            </w:pPr>
            <w:r>
              <w:rPr>
                <w:color w:val="000000"/>
                <w:kern w:val="0"/>
                <w:sz w:val="24"/>
              </w:rPr>
              <w:t>11</w:t>
            </w:r>
            <w:r>
              <w:rPr>
                <w:color w:val="000000"/>
                <w:kern w:val="0"/>
                <w:sz w:val="24"/>
              </w:rPr>
              <w:t>如东</w:t>
            </w:r>
            <w:proofErr w:type="gramStart"/>
            <w:r>
              <w:rPr>
                <w:color w:val="000000"/>
                <w:kern w:val="0"/>
                <w:sz w:val="24"/>
              </w:rPr>
              <w:t>东泰债</w:t>
            </w:r>
            <w:proofErr w:type="gramEnd"/>
          </w:p>
        </w:tc>
        <w:tc>
          <w:tcPr>
            <w:tcW w:w="1500" w:type="dxa"/>
            <w:vAlign w:val="center"/>
          </w:tcPr>
          <w:p w:rsidR="004D0C72" w:rsidRDefault="00397BD3">
            <w:pPr>
              <w:jc w:val="center"/>
            </w:pPr>
            <w:r>
              <w:rPr>
                <w:color w:val="000000"/>
                <w:kern w:val="0"/>
                <w:sz w:val="24"/>
              </w:rPr>
              <w:t>2015-01-05</w:t>
            </w:r>
          </w:p>
        </w:tc>
        <w:tc>
          <w:tcPr>
            <w:tcW w:w="1260" w:type="dxa"/>
            <w:vAlign w:val="center"/>
          </w:tcPr>
          <w:p w:rsidR="004D0C72" w:rsidRDefault="00397BD3">
            <w:pPr>
              <w:jc w:val="right"/>
            </w:pPr>
            <w:r>
              <w:rPr>
                <w:color w:val="000000"/>
                <w:kern w:val="0"/>
                <w:sz w:val="24"/>
              </w:rPr>
              <w:t>103.51</w:t>
            </w:r>
          </w:p>
        </w:tc>
        <w:tc>
          <w:tcPr>
            <w:tcW w:w="1440" w:type="dxa"/>
            <w:vAlign w:val="center"/>
          </w:tcPr>
          <w:p w:rsidR="004D0C72" w:rsidRDefault="00397BD3">
            <w:pPr>
              <w:jc w:val="right"/>
            </w:pPr>
            <w:r>
              <w:rPr>
                <w:color w:val="000000"/>
                <w:kern w:val="0"/>
                <w:sz w:val="24"/>
              </w:rPr>
              <w:t>300,000</w:t>
            </w:r>
          </w:p>
        </w:tc>
        <w:tc>
          <w:tcPr>
            <w:tcW w:w="1836" w:type="dxa"/>
            <w:vAlign w:val="center"/>
          </w:tcPr>
          <w:p w:rsidR="004D0C72" w:rsidRDefault="00397BD3">
            <w:pPr>
              <w:jc w:val="right"/>
            </w:pPr>
            <w:r>
              <w:rPr>
                <w:color w:val="000000"/>
                <w:kern w:val="0"/>
                <w:sz w:val="24"/>
              </w:rPr>
              <w:t>31,053,000.00</w:t>
            </w:r>
          </w:p>
        </w:tc>
      </w:tr>
      <w:tr w:rsidR="004D0C72">
        <w:tc>
          <w:tcPr>
            <w:tcW w:w="1500" w:type="dxa"/>
            <w:vAlign w:val="center"/>
          </w:tcPr>
          <w:p w:rsidR="004D0C72" w:rsidRDefault="00397BD3">
            <w:pPr>
              <w:jc w:val="center"/>
            </w:pPr>
            <w:r>
              <w:rPr>
                <w:color w:val="000000"/>
                <w:kern w:val="0"/>
                <w:sz w:val="24"/>
              </w:rPr>
              <w:t>101454049</w:t>
            </w:r>
          </w:p>
        </w:tc>
        <w:tc>
          <w:tcPr>
            <w:tcW w:w="1500" w:type="dxa"/>
            <w:vAlign w:val="center"/>
          </w:tcPr>
          <w:p w:rsidR="004D0C72" w:rsidRDefault="00397BD3">
            <w:pPr>
              <w:jc w:val="center"/>
            </w:pPr>
            <w:r>
              <w:rPr>
                <w:color w:val="000000"/>
                <w:kern w:val="0"/>
                <w:sz w:val="24"/>
              </w:rPr>
              <w:t>14</w:t>
            </w:r>
            <w:r>
              <w:rPr>
                <w:color w:val="000000"/>
                <w:kern w:val="0"/>
                <w:sz w:val="24"/>
              </w:rPr>
              <w:t>重庆航运</w:t>
            </w:r>
            <w:r>
              <w:rPr>
                <w:color w:val="000000"/>
                <w:kern w:val="0"/>
                <w:sz w:val="24"/>
              </w:rPr>
              <w:t>MTN001</w:t>
            </w:r>
          </w:p>
        </w:tc>
        <w:tc>
          <w:tcPr>
            <w:tcW w:w="1500" w:type="dxa"/>
            <w:vAlign w:val="center"/>
          </w:tcPr>
          <w:p w:rsidR="004D0C72" w:rsidRDefault="00397BD3">
            <w:pPr>
              <w:jc w:val="center"/>
            </w:pPr>
            <w:r>
              <w:rPr>
                <w:color w:val="000000"/>
                <w:kern w:val="0"/>
                <w:sz w:val="24"/>
              </w:rPr>
              <w:t>2015-01-07</w:t>
            </w:r>
          </w:p>
        </w:tc>
        <w:tc>
          <w:tcPr>
            <w:tcW w:w="1260" w:type="dxa"/>
            <w:vAlign w:val="center"/>
          </w:tcPr>
          <w:p w:rsidR="004D0C72" w:rsidRDefault="00397BD3">
            <w:pPr>
              <w:jc w:val="right"/>
            </w:pPr>
            <w:r>
              <w:rPr>
                <w:color w:val="000000"/>
                <w:kern w:val="0"/>
                <w:sz w:val="24"/>
              </w:rPr>
              <w:t>100.88</w:t>
            </w:r>
          </w:p>
        </w:tc>
        <w:tc>
          <w:tcPr>
            <w:tcW w:w="1440" w:type="dxa"/>
            <w:vAlign w:val="center"/>
          </w:tcPr>
          <w:p w:rsidR="004D0C72" w:rsidRDefault="00397BD3">
            <w:pPr>
              <w:jc w:val="right"/>
            </w:pPr>
            <w:r>
              <w:rPr>
                <w:color w:val="000000"/>
                <w:kern w:val="0"/>
                <w:sz w:val="24"/>
              </w:rPr>
              <w:t>300,000</w:t>
            </w:r>
          </w:p>
        </w:tc>
        <w:tc>
          <w:tcPr>
            <w:tcW w:w="1836" w:type="dxa"/>
            <w:vAlign w:val="center"/>
          </w:tcPr>
          <w:p w:rsidR="004D0C72" w:rsidRDefault="00397BD3">
            <w:pPr>
              <w:jc w:val="right"/>
            </w:pPr>
            <w:r>
              <w:rPr>
                <w:color w:val="000000"/>
                <w:kern w:val="0"/>
                <w:sz w:val="24"/>
              </w:rPr>
              <w:t>30,264,000.00</w:t>
            </w:r>
          </w:p>
        </w:tc>
      </w:tr>
      <w:tr w:rsidR="004D0C72">
        <w:tc>
          <w:tcPr>
            <w:tcW w:w="1500" w:type="dxa"/>
            <w:vAlign w:val="center"/>
          </w:tcPr>
          <w:p w:rsidR="004D0C72" w:rsidRDefault="00397BD3">
            <w:pPr>
              <w:jc w:val="center"/>
            </w:pPr>
            <w:r>
              <w:rPr>
                <w:color w:val="000000"/>
                <w:kern w:val="0"/>
                <w:sz w:val="24"/>
              </w:rPr>
              <w:t>1080169</w:t>
            </w:r>
          </w:p>
        </w:tc>
        <w:tc>
          <w:tcPr>
            <w:tcW w:w="1500" w:type="dxa"/>
            <w:vAlign w:val="center"/>
          </w:tcPr>
          <w:p w:rsidR="004D0C72" w:rsidRDefault="00397BD3">
            <w:pPr>
              <w:jc w:val="center"/>
            </w:pPr>
            <w:r>
              <w:rPr>
                <w:color w:val="000000"/>
                <w:kern w:val="0"/>
                <w:sz w:val="24"/>
              </w:rPr>
              <w:t>10</w:t>
            </w:r>
            <w:proofErr w:type="gramStart"/>
            <w:r>
              <w:rPr>
                <w:color w:val="000000"/>
                <w:kern w:val="0"/>
                <w:sz w:val="24"/>
              </w:rPr>
              <w:t>湖州城投债</w:t>
            </w:r>
            <w:proofErr w:type="gramEnd"/>
          </w:p>
        </w:tc>
        <w:tc>
          <w:tcPr>
            <w:tcW w:w="1500" w:type="dxa"/>
            <w:vAlign w:val="center"/>
          </w:tcPr>
          <w:p w:rsidR="004D0C72" w:rsidRDefault="00397BD3">
            <w:pPr>
              <w:jc w:val="center"/>
            </w:pPr>
            <w:r>
              <w:rPr>
                <w:color w:val="000000"/>
                <w:kern w:val="0"/>
                <w:sz w:val="24"/>
              </w:rPr>
              <w:t>2015-01-07</w:t>
            </w:r>
          </w:p>
        </w:tc>
        <w:tc>
          <w:tcPr>
            <w:tcW w:w="1260" w:type="dxa"/>
            <w:vAlign w:val="center"/>
          </w:tcPr>
          <w:p w:rsidR="004D0C72" w:rsidRDefault="00397BD3">
            <w:pPr>
              <w:jc w:val="right"/>
            </w:pPr>
            <w:r>
              <w:rPr>
                <w:color w:val="000000"/>
                <w:kern w:val="0"/>
                <w:sz w:val="24"/>
              </w:rPr>
              <w:t>102.07</w:t>
            </w:r>
          </w:p>
        </w:tc>
        <w:tc>
          <w:tcPr>
            <w:tcW w:w="1440" w:type="dxa"/>
            <w:vAlign w:val="center"/>
          </w:tcPr>
          <w:p w:rsidR="004D0C72" w:rsidRDefault="00397BD3">
            <w:pPr>
              <w:jc w:val="right"/>
            </w:pPr>
            <w:r>
              <w:rPr>
                <w:color w:val="000000"/>
                <w:kern w:val="0"/>
                <w:sz w:val="24"/>
              </w:rPr>
              <w:t>200,000</w:t>
            </w:r>
          </w:p>
        </w:tc>
        <w:tc>
          <w:tcPr>
            <w:tcW w:w="1836" w:type="dxa"/>
            <w:vAlign w:val="center"/>
          </w:tcPr>
          <w:p w:rsidR="004D0C72" w:rsidRDefault="00397BD3">
            <w:pPr>
              <w:jc w:val="right"/>
            </w:pPr>
            <w:r>
              <w:rPr>
                <w:color w:val="000000"/>
                <w:kern w:val="0"/>
                <w:sz w:val="24"/>
              </w:rPr>
              <w:t>20,414,000.00</w:t>
            </w:r>
          </w:p>
        </w:tc>
      </w:tr>
      <w:tr w:rsidR="004D0C72">
        <w:tc>
          <w:tcPr>
            <w:tcW w:w="1500" w:type="dxa"/>
            <w:vAlign w:val="center"/>
          </w:tcPr>
          <w:p w:rsidR="004D0C72" w:rsidRDefault="00397BD3">
            <w:pPr>
              <w:jc w:val="center"/>
            </w:pPr>
            <w:r>
              <w:rPr>
                <w:color w:val="000000"/>
                <w:kern w:val="0"/>
                <w:sz w:val="24"/>
              </w:rPr>
              <w:t>1382291</w:t>
            </w:r>
          </w:p>
        </w:tc>
        <w:tc>
          <w:tcPr>
            <w:tcW w:w="1500" w:type="dxa"/>
            <w:vAlign w:val="center"/>
          </w:tcPr>
          <w:p w:rsidR="004D0C72" w:rsidRDefault="00397BD3">
            <w:pPr>
              <w:jc w:val="center"/>
            </w:pPr>
            <w:r>
              <w:rPr>
                <w:color w:val="000000"/>
                <w:kern w:val="0"/>
                <w:sz w:val="24"/>
              </w:rPr>
              <w:t>13</w:t>
            </w:r>
            <w:r>
              <w:rPr>
                <w:color w:val="000000"/>
                <w:kern w:val="0"/>
                <w:sz w:val="24"/>
              </w:rPr>
              <w:t>苏方洋</w:t>
            </w:r>
            <w:r>
              <w:rPr>
                <w:color w:val="000000"/>
                <w:kern w:val="0"/>
                <w:sz w:val="24"/>
              </w:rPr>
              <w:t>MTN1</w:t>
            </w:r>
          </w:p>
        </w:tc>
        <w:tc>
          <w:tcPr>
            <w:tcW w:w="1500" w:type="dxa"/>
            <w:vAlign w:val="center"/>
          </w:tcPr>
          <w:p w:rsidR="004D0C72" w:rsidRDefault="00397BD3">
            <w:pPr>
              <w:jc w:val="center"/>
            </w:pPr>
            <w:r>
              <w:rPr>
                <w:color w:val="000000"/>
                <w:kern w:val="0"/>
                <w:sz w:val="24"/>
              </w:rPr>
              <w:t>2015-01-05</w:t>
            </w:r>
          </w:p>
        </w:tc>
        <w:tc>
          <w:tcPr>
            <w:tcW w:w="1260" w:type="dxa"/>
            <w:vAlign w:val="center"/>
          </w:tcPr>
          <w:p w:rsidR="004D0C72" w:rsidRDefault="00397BD3">
            <w:pPr>
              <w:jc w:val="right"/>
            </w:pPr>
            <w:r>
              <w:rPr>
                <w:color w:val="000000"/>
                <w:kern w:val="0"/>
                <w:sz w:val="24"/>
              </w:rPr>
              <w:t>98.16</w:t>
            </w:r>
          </w:p>
        </w:tc>
        <w:tc>
          <w:tcPr>
            <w:tcW w:w="1440" w:type="dxa"/>
            <w:vAlign w:val="center"/>
          </w:tcPr>
          <w:p w:rsidR="004D0C72" w:rsidRDefault="00397BD3">
            <w:pPr>
              <w:jc w:val="right"/>
            </w:pPr>
            <w:r>
              <w:rPr>
                <w:color w:val="000000"/>
                <w:kern w:val="0"/>
                <w:sz w:val="24"/>
              </w:rPr>
              <w:t>140,000</w:t>
            </w:r>
          </w:p>
        </w:tc>
        <w:tc>
          <w:tcPr>
            <w:tcW w:w="1836" w:type="dxa"/>
            <w:vAlign w:val="center"/>
          </w:tcPr>
          <w:p w:rsidR="004D0C72" w:rsidRDefault="00397BD3">
            <w:pPr>
              <w:jc w:val="right"/>
            </w:pPr>
            <w:r>
              <w:rPr>
                <w:color w:val="000000"/>
                <w:kern w:val="0"/>
                <w:sz w:val="24"/>
              </w:rPr>
              <w:t>13,742,400.00</w:t>
            </w:r>
          </w:p>
        </w:tc>
      </w:tr>
      <w:tr w:rsidR="004D0C72">
        <w:tc>
          <w:tcPr>
            <w:tcW w:w="1500" w:type="dxa"/>
            <w:vAlign w:val="center"/>
          </w:tcPr>
          <w:p w:rsidR="004D0C72" w:rsidRDefault="00397BD3">
            <w:pPr>
              <w:jc w:val="center"/>
            </w:pPr>
            <w:r>
              <w:rPr>
                <w:color w:val="000000"/>
                <w:kern w:val="0"/>
                <w:sz w:val="24"/>
              </w:rPr>
              <w:t>1382290</w:t>
            </w:r>
          </w:p>
        </w:tc>
        <w:tc>
          <w:tcPr>
            <w:tcW w:w="1500" w:type="dxa"/>
            <w:vAlign w:val="center"/>
          </w:tcPr>
          <w:p w:rsidR="004D0C72" w:rsidRDefault="00397BD3">
            <w:pPr>
              <w:jc w:val="center"/>
            </w:pPr>
            <w:r>
              <w:rPr>
                <w:color w:val="000000"/>
                <w:kern w:val="0"/>
                <w:sz w:val="24"/>
              </w:rPr>
              <w:t>13</w:t>
            </w:r>
            <w:r>
              <w:rPr>
                <w:color w:val="000000"/>
                <w:kern w:val="0"/>
                <w:sz w:val="24"/>
              </w:rPr>
              <w:t>玉柴股</w:t>
            </w:r>
            <w:r>
              <w:rPr>
                <w:color w:val="000000"/>
                <w:kern w:val="0"/>
                <w:sz w:val="24"/>
              </w:rPr>
              <w:t>MTN1</w:t>
            </w:r>
          </w:p>
        </w:tc>
        <w:tc>
          <w:tcPr>
            <w:tcW w:w="1500" w:type="dxa"/>
            <w:vAlign w:val="center"/>
          </w:tcPr>
          <w:p w:rsidR="004D0C72" w:rsidRDefault="00397BD3">
            <w:pPr>
              <w:jc w:val="center"/>
            </w:pPr>
            <w:r>
              <w:rPr>
                <w:color w:val="000000"/>
                <w:kern w:val="0"/>
                <w:sz w:val="24"/>
              </w:rPr>
              <w:t>2015-01-07</w:t>
            </w:r>
          </w:p>
        </w:tc>
        <w:tc>
          <w:tcPr>
            <w:tcW w:w="1260" w:type="dxa"/>
            <w:vAlign w:val="center"/>
          </w:tcPr>
          <w:p w:rsidR="004D0C72" w:rsidRDefault="00397BD3">
            <w:pPr>
              <w:jc w:val="right"/>
            </w:pPr>
            <w:r>
              <w:rPr>
                <w:color w:val="000000"/>
                <w:kern w:val="0"/>
                <w:sz w:val="24"/>
              </w:rPr>
              <w:t>99.56</w:t>
            </w:r>
          </w:p>
        </w:tc>
        <w:tc>
          <w:tcPr>
            <w:tcW w:w="1440" w:type="dxa"/>
            <w:vAlign w:val="center"/>
          </w:tcPr>
          <w:p w:rsidR="004D0C72" w:rsidRDefault="00397BD3">
            <w:pPr>
              <w:jc w:val="right"/>
            </w:pPr>
            <w:r>
              <w:rPr>
                <w:color w:val="000000"/>
                <w:kern w:val="0"/>
                <w:sz w:val="24"/>
              </w:rPr>
              <w:t>130,000</w:t>
            </w:r>
          </w:p>
        </w:tc>
        <w:tc>
          <w:tcPr>
            <w:tcW w:w="1836" w:type="dxa"/>
            <w:vAlign w:val="center"/>
          </w:tcPr>
          <w:p w:rsidR="004D0C72" w:rsidRDefault="00397BD3">
            <w:pPr>
              <w:jc w:val="right"/>
            </w:pPr>
            <w:r>
              <w:rPr>
                <w:color w:val="000000"/>
                <w:kern w:val="0"/>
                <w:sz w:val="24"/>
              </w:rPr>
              <w:t>12,942,800.00</w:t>
            </w:r>
          </w:p>
        </w:tc>
      </w:tr>
      <w:tr w:rsidR="004D0C72">
        <w:tc>
          <w:tcPr>
            <w:tcW w:w="1500" w:type="dxa"/>
            <w:vAlign w:val="center"/>
          </w:tcPr>
          <w:p w:rsidR="004D0C72" w:rsidRDefault="00397BD3">
            <w:pPr>
              <w:jc w:val="center"/>
            </w:pPr>
            <w:r>
              <w:rPr>
                <w:color w:val="000000"/>
                <w:kern w:val="0"/>
                <w:sz w:val="24"/>
              </w:rPr>
              <w:t>101474009</w:t>
            </w:r>
          </w:p>
        </w:tc>
        <w:tc>
          <w:tcPr>
            <w:tcW w:w="1500" w:type="dxa"/>
            <w:vAlign w:val="center"/>
          </w:tcPr>
          <w:p w:rsidR="004D0C72" w:rsidRDefault="00397BD3">
            <w:pPr>
              <w:jc w:val="center"/>
            </w:pPr>
            <w:r>
              <w:rPr>
                <w:color w:val="000000"/>
                <w:kern w:val="0"/>
                <w:sz w:val="24"/>
              </w:rPr>
              <w:t>14</w:t>
            </w:r>
            <w:r>
              <w:rPr>
                <w:color w:val="000000"/>
                <w:kern w:val="0"/>
                <w:sz w:val="24"/>
              </w:rPr>
              <w:t>沪</w:t>
            </w:r>
            <w:proofErr w:type="gramStart"/>
            <w:r>
              <w:rPr>
                <w:color w:val="000000"/>
                <w:kern w:val="0"/>
                <w:sz w:val="24"/>
              </w:rPr>
              <w:t>世</w:t>
            </w:r>
            <w:proofErr w:type="gramEnd"/>
            <w:r>
              <w:rPr>
                <w:color w:val="000000"/>
                <w:kern w:val="0"/>
                <w:sz w:val="24"/>
              </w:rPr>
              <w:t>茂</w:t>
            </w:r>
            <w:r>
              <w:rPr>
                <w:color w:val="000000"/>
                <w:kern w:val="0"/>
                <w:sz w:val="24"/>
              </w:rPr>
              <w:t>MTN002</w:t>
            </w:r>
          </w:p>
        </w:tc>
        <w:tc>
          <w:tcPr>
            <w:tcW w:w="1500" w:type="dxa"/>
            <w:vAlign w:val="center"/>
          </w:tcPr>
          <w:p w:rsidR="004D0C72" w:rsidRDefault="00397BD3">
            <w:pPr>
              <w:jc w:val="center"/>
            </w:pPr>
            <w:r>
              <w:rPr>
                <w:color w:val="000000"/>
                <w:kern w:val="0"/>
                <w:sz w:val="24"/>
              </w:rPr>
              <w:t>2015-01-07</w:t>
            </w:r>
          </w:p>
        </w:tc>
        <w:tc>
          <w:tcPr>
            <w:tcW w:w="1260" w:type="dxa"/>
            <w:vAlign w:val="center"/>
          </w:tcPr>
          <w:p w:rsidR="004D0C72" w:rsidRDefault="00397BD3">
            <w:pPr>
              <w:jc w:val="right"/>
            </w:pPr>
            <w:r>
              <w:rPr>
                <w:color w:val="000000"/>
                <w:kern w:val="0"/>
                <w:sz w:val="24"/>
              </w:rPr>
              <w:t>101.18</w:t>
            </w:r>
          </w:p>
        </w:tc>
        <w:tc>
          <w:tcPr>
            <w:tcW w:w="1440" w:type="dxa"/>
            <w:vAlign w:val="center"/>
          </w:tcPr>
          <w:p w:rsidR="004D0C72" w:rsidRDefault="00397BD3">
            <w:pPr>
              <w:jc w:val="right"/>
            </w:pPr>
            <w:r>
              <w:rPr>
                <w:color w:val="000000"/>
                <w:kern w:val="0"/>
                <w:sz w:val="24"/>
              </w:rPr>
              <w:t>100,000</w:t>
            </w:r>
          </w:p>
        </w:tc>
        <w:tc>
          <w:tcPr>
            <w:tcW w:w="1836" w:type="dxa"/>
            <w:vAlign w:val="center"/>
          </w:tcPr>
          <w:p w:rsidR="004D0C72" w:rsidRDefault="00397BD3">
            <w:pPr>
              <w:jc w:val="right"/>
            </w:pPr>
            <w:r>
              <w:rPr>
                <w:color w:val="000000"/>
                <w:kern w:val="0"/>
                <w:sz w:val="24"/>
              </w:rPr>
              <w:t>10,118,000.00</w:t>
            </w:r>
          </w:p>
        </w:tc>
      </w:tr>
      <w:tr w:rsidR="004D0C72">
        <w:tc>
          <w:tcPr>
            <w:tcW w:w="1500" w:type="dxa"/>
            <w:vAlign w:val="center"/>
          </w:tcPr>
          <w:p w:rsidR="004D0C72" w:rsidRDefault="00397BD3">
            <w:pPr>
              <w:jc w:val="center"/>
            </w:pPr>
            <w:r>
              <w:rPr>
                <w:color w:val="000000"/>
                <w:kern w:val="0"/>
                <w:sz w:val="24"/>
              </w:rPr>
              <w:t>1382227</w:t>
            </w:r>
          </w:p>
        </w:tc>
        <w:tc>
          <w:tcPr>
            <w:tcW w:w="1500" w:type="dxa"/>
            <w:vAlign w:val="center"/>
          </w:tcPr>
          <w:p w:rsidR="004D0C72" w:rsidRDefault="00397BD3">
            <w:pPr>
              <w:jc w:val="center"/>
            </w:pPr>
            <w:r>
              <w:rPr>
                <w:color w:val="000000"/>
                <w:kern w:val="0"/>
                <w:sz w:val="24"/>
              </w:rPr>
              <w:t>13</w:t>
            </w:r>
            <w:proofErr w:type="gramStart"/>
            <w:r>
              <w:rPr>
                <w:color w:val="000000"/>
                <w:kern w:val="0"/>
                <w:sz w:val="24"/>
              </w:rPr>
              <w:t>黄旅游</w:t>
            </w:r>
            <w:proofErr w:type="gramEnd"/>
            <w:r>
              <w:rPr>
                <w:color w:val="000000"/>
                <w:kern w:val="0"/>
                <w:sz w:val="24"/>
              </w:rPr>
              <w:t>MTN1</w:t>
            </w:r>
          </w:p>
        </w:tc>
        <w:tc>
          <w:tcPr>
            <w:tcW w:w="1500" w:type="dxa"/>
            <w:vAlign w:val="center"/>
          </w:tcPr>
          <w:p w:rsidR="004D0C72" w:rsidRDefault="00397BD3">
            <w:pPr>
              <w:jc w:val="center"/>
            </w:pPr>
            <w:r>
              <w:rPr>
                <w:color w:val="000000"/>
                <w:kern w:val="0"/>
                <w:sz w:val="24"/>
              </w:rPr>
              <w:t>2015-01-07</w:t>
            </w:r>
          </w:p>
        </w:tc>
        <w:tc>
          <w:tcPr>
            <w:tcW w:w="1260" w:type="dxa"/>
            <w:vAlign w:val="center"/>
          </w:tcPr>
          <w:p w:rsidR="004D0C72" w:rsidRDefault="00397BD3">
            <w:pPr>
              <w:jc w:val="right"/>
            </w:pPr>
            <w:r>
              <w:rPr>
                <w:color w:val="000000"/>
                <w:kern w:val="0"/>
                <w:sz w:val="24"/>
              </w:rPr>
              <w:t>99.83</w:t>
            </w:r>
          </w:p>
        </w:tc>
        <w:tc>
          <w:tcPr>
            <w:tcW w:w="1440" w:type="dxa"/>
            <w:vAlign w:val="center"/>
          </w:tcPr>
          <w:p w:rsidR="004D0C72" w:rsidRDefault="00397BD3">
            <w:pPr>
              <w:jc w:val="right"/>
            </w:pPr>
            <w:r>
              <w:rPr>
                <w:color w:val="000000"/>
                <w:kern w:val="0"/>
                <w:sz w:val="24"/>
              </w:rPr>
              <w:t>20,000</w:t>
            </w:r>
          </w:p>
        </w:tc>
        <w:tc>
          <w:tcPr>
            <w:tcW w:w="1836" w:type="dxa"/>
            <w:vAlign w:val="center"/>
          </w:tcPr>
          <w:p w:rsidR="004D0C72" w:rsidRDefault="00397BD3">
            <w:pPr>
              <w:jc w:val="right"/>
            </w:pPr>
            <w:r>
              <w:rPr>
                <w:color w:val="000000"/>
                <w:kern w:val="0"/>
                <w:sz w:val="24"/>
              </w:rPr>
              <w:t>1,996,600.00</w:t>
            </w:r>
          </w:p>
        </w:tc>
      </w:tr>
      <w:tr w:rsidR="001A59F9" w:rsidRPr="00C51C77" w:rsidTr="00E20B2A">
        <w:tc>
          <w:tcPr>
            <w:tcW w:w="1500" w:type="dxa"/>
            <w:vAlign w:val="center"/>
          </w:tcPr>
          <w:p w:rsidR="001A59F9" w:rsidRPr="00E20B2A" w:rsidRDefault="001A59F9" w:rsidP="00E20B2A">
            <w:pPr>
              <w:spacing w:before="29" w:line="288" w:lineRule="auto"/>
              <w:rPr>
                <w:sz w:val="24"/>
              </w:rPr>
            </w:pPr>
            <w:r w:rsidRPr="00E20B2A">
              <w:rPr>
                <w:rFonts w:hint="eastAsia"/>
                <w:sz w:val="24"/>
              </w:rPr>
              <w:t>合计</w:t>
            </w:r>
          </w:p>
        </w:tc>
        <w:tc>
          <w:tcPr>
            <w:tcW w:w="1500" w:type="dxa"/>
          </w:tcPr>
          <w:p w:rsidR="001A59F9" w:rsidRPr="00E20B2A" w:rsidRDefault="001A59F9" w:rsidP="00E20B2A">
            <w:pPr>
              <w:autoSpaceDE w:val="0"/>
              <w:autoSpaceDN w:val="0"/>
              <w:adjustRightInd w:val="0"/>
              <w:spacing w:before="29" w:line="288" w:lineRule="auto"/>
              <w:ind w:left="15"/>
              <w:jc w:val="center"/>
              <w:rPr>
                <w:sz w:val="24"/>
              </w:rPr>
            </w:pPr>
          </w:p>
        </w:tc>
        <w:tc>
          <w:tcPr>
            <w:tcW w:w="1500" w:type="dxa"/>
          </w:tcPr>
          <w:p w:rsidR="001A59F9" w:rsidRPr="00E20B2A" w:rsidRDefault="001A59F9" w:rsidP="00E20B2A">
            <w:pPr>
              <w:autoSpaceDE w:val="0"/>
              <w:autoSpaceDN w:val="0"/>
              <w:adjustRightInd w:val="0"/>
              <w:spacing w:before="29" w:line="288" w:lineRule="auto"/>
              <w:ind w:left="15"/>
              <w:jc w:val="center"/>
              <w:rPr>
                <w:sz w:val="24"/>
              </w:rPr>
            </w:pPr>
          </w:p>
        </w:tc>
        <w:tc>
          <w:tcPr>
            <w:tcW w:w="1260" w:type="dxa"/>
          </w:tcPr>
          <w:p w:rsidR="001A59F9" w:rsidRPr="00E20B2A" w:rsidRDefault="001A59F9" w:rsidP="00E20B2A">
            <w:pPr>
              <w:autoSpaceDE w:val="0"/>
              <w:autoSpaceDN w:val="0"/>
              <w:adjustRightInd w:val="0"/>
              <w:spacing w:before="29" w:line="288" w:lineRule="auto"/>
              <w:ind w:left="15"/>
              <w:jc w:val="right"/>
              <w:rPr>
                <w:sz w:val="24"/>
              </w:rPr>
            </w:pPr>
          </w:p>
        </w:tc>
        <w:tc>
          <w:tcPr>
            <w:tcW w:w="1440" w:type="dxa"/>
          </w:tcPr>
          <w:p w:rsidR="001A59F9" w:rsidRPr="00E20B2A" w:rsidRDefault="001A59F9" w:rsidP="00E20B2A">
            <w:pPr>
              <w:spacing w:before="29" w:line="288" w:lineRule="auto"/>
              <w:jc w:val="right"/>
              <w:rPr>
                <w:sz w:val="24"/>
              </w:rPr>
            </w:pPr>
            <w:r w:rsidRPr="00E20B2A">
              <w:rPr>
                <w:sz w:val="24"/>
              </w:rPr>
              <w:t>1,990,000</w:t>
            </w:r>
          </w:p>
        </w:tc>
        <w:tc>
          <w:tcPr>
            <w:tcW w:w="1836" w:type="dxa"/>
            <w:vAlign w:val="center"/>
          </w:tcPr>
          <w:p w:rsidR="001A59F9" w:rsidRPr="00E20B2A" w:rsidRDefault="001A59F9" w:rsidP="00E20B2A">
            <w:pPr>
              <w:spacing w:before="29" w:line="288" w:lineRule="auto"/>
              <w:jc w:val="right"/>
              <w:rPr>
                <w:sz w:val="24"/>
              </w:rPr>
            </w:pPr>
            <w:r w:rsidRPr="00E20B2A">
              <w:rPr>
                <w:sz w:val="24"/>
              </w:rPr>
              <w:t>202,303,800.00</w:t>
            </w:r>
          </w:p>
        </w:tc>
      </w:tr>
    </w:tbl>
    <w:p w:rsidR="00AD539F" w:rsidRDefault="00AD539F" w:rsidP="00AD539F">
      <w:pPr>
        <w:rPr>
          <w:kern w:val="0"/>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交易所市场债券正回购</w:t>
      </w:r>
    </w:p>
    <w:p w:rsidR="001A59F9" w:rsidRPr="001C0A9E" w:rsidRDefault="001A59F9" w:rsidP="001C0A9E">
      <w:pPr>
        <w:spacing w:before="29" w:line="288" w:lineRule="auto"/>
        <w:ind w:firstLineChars="200" w:firstLine="480"/>
        <w:rPr>
          <w:color w:val="000000"/>
          <w:sz w:val="24"/>
        </w:rPr>
      </w:pPr>
      <w:r w:rsidRPr="0004616F">
        <w:rPr>
          <w:color w:val="000000"/>
          <w:sz w:val="24"/>
        </w:rPr>
        <w:t>截至本报告期末</w:t>
      </w:r>
      <w:r w:rsidRPr="0004616F">
        <w:rPr>
          <w:color w:val="000000"/>
          <w:sz w:val="24"/>
        </w:rPr>
        <w:t>2014</w:t>
      </w:r>
      <w:r w:rsidRPr="0004616F">
        <w:rPr>
          <w:color w:val="000000"/>
          <w:sz w:val="24"/>
        </w:rPr>
        <w:t>年</w:t>
      </w:r>
      <w:r w:rsidRPr="0004616F">
        <w:rPr>
          <w:color w:val="000000"/>
          <w:sz w:val="24"/>
        </w:rPr>
        <w:t>12</w:t>
      </w:r>
      <w:r w:rsidRPr="0004616F">
        <w:rPr>
          <w:color w:val="000000"/>
          <w:sz w:val="24"/>
        </w:rPr>
        <w:t>月</w:t>
      </w:r>
      <w:r w:rsidRPr="0004616F">
        <w:rPr>
          <w:color w:val="000000"/>
          <w:sz w:val="24"/>
        </w:rPr>
        <w:t>31</w:t>
      </w:r>
      <w:r w:rsidRPr="0004616F">
        <w:rPr>
          <w:color w:val="000000"/>
          <w:sz w:val="24"/>
        </w:rPr>
        <w:t>日止，本基金从事证券交易所债券正回购交易形成的卖出回购证券款余额</w:t>
      </w:r>
      <w:r w:rsidRPr="0004616F">
        <w:rPr>
          <w:color w:val="000000"/>
          <w:sz w:val="24"/>
        </w:rPr>
        <w:t>310,000,000.00</w:t>
      </w:r>
      <w:r w:rsidRPr="0004616F">
        <w:rPr>
          <w:color w:val="000000"/>
          <w:sz w:val="24"/>
        </w:rPr>
        <w:t>元，于</w:t>
      </w:r>
      <w:r w:rsidRPr="0004616F">
        <w:rPr>
          <w:color w:val="000000"/>
          <w:sz w:val="24"/>
        </w:rPr>
        <w:t>2015</w:t>
      </w:r>
      <w:r w:rsidRPr="0004616F">
        <w:rPr>
          <w:color w:val="000000"/>
          <w:sz w:val="24"/>
        </w:rPr>
        <w:t>年</w:t>
      </w:r>
      <w:r w:rsidRPr="0004616F">
        <w:rPr>
          <w:color w:val="000000"/>
          <w:sz w:val="24"/>
        </w:rPr>
        <w:t>1</w:t>
      </w:r>
      <w:r w:rsidRPr="0004616F">
        <w:rPr>
          <w:color w:val="000000"/>
          <w:sz w:val="24"/>
        </w:rPr>
        <w:t>月</w:t>
      </w:r>
      <w:r w:rsidRPr="0004616F">
        <w:rPr>
          <w:color w:val="000000"/>
          <w:sz w:val="24"/>
        </w:rPr>
        <w:t>9</w:t>
      </w:r>
      <w:r w:rsidRPr="0004616F">
        <w:rPr>
          <w:color w:val="000000"/>
          <w:sz w:val="24"/>
        </w:rPr>
        <w:t>日前后到期。该类交易要求本基金转入质押库的债券，按证券交易所规定的比例折算为标准</w:t>
      </w:r>
      <w:proofErr w:type="gramStart"/>
      <w:r w:rsidRPr="0004616F">
        <w:rPr>
          <w:color w:val="000000"/>
          <w:sz w:val="24"/>
        </w:rPr>
        <w:t>券</w:t>
      </w:r>
      <w:proofErr w:type="gramEnd"/>
      <w:r w:rsidRPr="0004616F">
        <w:rPr>
          <w:color w:val="000000"/>
          <w:sz w:val="24"/>
        </w:rPr>
        <w:t>后，不低于债券回购交易的余额。</w:t>
      </w:r>
      <w:r w:rsidR="001C0A9E">
        <w:rPr>
          <w:rFonts w:hint="eastAsia"/>
          <w:color w:val="00000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4D0C72" w:rsidRDefault="00397BD3">
      <w:pPr>
        <w:spacing w:before="29" w:line="288" w:lineRule="auto"/>
        <w:ind w:firstLineChars="200" w:firstLine="480"/>
        <w:rPr>
          <w:color w:val="000000"/>
          <w:sz w:val="24"/>
        </w:rPr>
      </w:pPr>
      <w:r>
        <w:rPr>
          <w:color w:val="000000"/>
          <w:sz w:val="24"/>
        </w:rPr>
        <w:t>(1)</w:t>
      </w:r>
      <w:r>
        <w:rPr>
          <w:color w:val="000000"/>
          <w:sz w:val="24"/>
        </w:rPr>
        <w:t>公允价值</w:t>
      </w:r>
    </w:p>
    <w:p w:rsidR="004D0C72" w:rsidRDefault="00397BD3">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4D0C72" w:rsidRDefault="00397BD3">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4D0C72" w:rsidRDefault="00397BD3">
      <w:pPr>
        <w:spacing w:before="29" w:line="288" w:lineRule="auto"/>
        <w:ind w:firstLineChars="200" w:firstLine="480"/>
        <w:rPr>
          <w:color w:val="000000"/>
          <w:sz w:val="24"/>
        </w:rPr>
      </w:pPr>
      <w:r>
        <w:rPr>
          <w:color w:val="000000"/>
          <w:sz w:val="24"/>
        </w:rPr>
        <w:t>第一层次：相同资产或负债在活跃市场上未经调整的报价。</w:t>
      </w:r>
    </w:p>
    <w:p w:rsidR="004D0C72" w:rsidRDefault="00397BD3">
      <w:pPr>
        <w:spacing w:before="29" w:line="288" w:lineRule="auto"/>
        <w:ind w:firstLineChars="200" w:firstLine="480"/>
        <w:rPr>
          <w:color w:val="000000"/>
          <w:sz w:val="24"/>
        </w:rPr>
      </w:pPr>
      <w:r>
        <w:rPr>
          <w:color w:val="000000"/>
          <w:sz w:val="24"/>
        </w:rPr>
        <w:t>第二层次：除第一层次输入</w:t>
      </w:r>
      <w:proofErr w:type="gramStart"/>
      <w:r>
        <w:rPr>
          <w:color w:val="000000"/>
          <w:sz w:val="24"/>
        </w:rPr>
        <w:t>值外相关</w:t>
      </w:r>
      <w:proofErr w:type="gramEnd"/>
      <w:r>
        <w:rPr>
          <w:color w:val="000000"/>
          <w:sz w:val="24"/>
        </w:rPr>
        <w:t>资产或负债直接或</w:t>
      </w:r>
      <w:proofErr w:type="gramStart"/>
      <w:r>
        <w:rPr>
          <w:color w:val="000000"/>
          <w:sz w:val="24"/>
        </w:rPr>
        <w:t>间接可</w:t>
      </w:r>
      <w:proofErr w:type="gramEnd"/>
      <w:r>
        <w:rPr>
          <w:color w:val="000000"/>
          <w:sz w:val="24"/>
        </w:rPr>
        <w:t>观察的输入值。</w:t>
      </w:r>
    </w:p>
    <w:p w:rsidR="004D0C72" w:rsidRDefault="00397BD3">
      <w:pPr>
        <w:spacing w:before="29" w:line="288" w:lineRule="auto"/>
        <w:ind w:firstLineChars="200" w:firstLine="480"/>
        <w:rPr>
          <w:color w:val="000000"/>
          <w:sz w:val="24"/>
        </w:rPr>
      </w:pPr>
      <w:r>
        <w:rPr>
          <w:color w:val="000000"/>
          <w:sz w:val="24"/>
        </w:rPr>
        <w:t>第三层次：相关资产或负债的不可观察输入值。</w:t>
      </w:r>
    </w:p>
    <w:p w:rsidR="004D0C72" w:rsidRDefault="00397BD3">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4D0C72" w:rsidRDefault="00397BD3">
      <w:pPr>
        <w:spacing w:before="29" w:line="288" w:lineRule="auto"/>
        <w:ind w:firstLineChars="200" w:firstLine="480"/>
        <w:rPr>
          <w:color w:val="000000"/>
          <w:sz w:val="24"/>
        </w:rPr>
      </w:pPr>
      <w:r>
        <w:rPr>
          <w:color w:val="000000"/>
          <w:sz w:val="24"/>
        </w:rPr>
        <w:t>(</w:t>
      </w:r>
      <w:proofErr w:type="spellStart"/>
      <w:r>
        <w:rPr>
          <w:color w:val="000000"/>
          <w:sz w:val="24"/>
        </w:rPr>
        <w:t>i</w:t>
      </w:r>
      <w:proofErr w:type="spellEnd"/>
      <w:r>
        <w:rPr>
          <w:color w:val="000000"/>
          <w:sz w:val="24"/>
        </w:rPr>
        <w:t>)</w:t>
      </w:r>
      <w:r>
        <w:rPr>
          <w:color w:val="000000"/>
          <w:sz w:val="24"/>
        </w:rPr>
        <w:t>各层次金融工具公允价值</w:t>
      </w:r>
    </w:p>
    <w:p w:rsidR="004D0C72" w:rsidRDefault="00397BD3">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514,983,471.59</w:t>
      </w:r>
      <w:r>
        <w:rPr>
          <w:color w:val="000000"/>
          <w:sz w:val="24"/>
        </w:rPr>
        <w:t>元，属于第二层次的余额为</w:t>
      </w:r>
      <w:r>
        <w:rPr>
          <w:color w:val="000000"/>
          <w:sz w:val="24"/>
        </w:rPr>
        <w:t>467,521,800.00</w:t>
      </w:r>
      <w:r>
        <w:rPr>
          <w:color w:val="000000"/>
          <w:sz w:val="24"/>
        </w:rPr>
        <w:t>元，</w:t>
      </w:r>
      <w:proofErr w:type="gramStart"/>
      <w:r>
        <w:rPr>
          <w:color w:val="000000"/>
          <w:sz w:val="24"/>
        </w:rPr>
        <w:t>无属于</w:t>
      </w:r>
      <w:proofErr w:type="gramEnd"/>
      <w:r>
        <w:rPr>
          <w:color w:val="000000"/>
          <w:sz w:val="24"/>
        </w:rPr>
        <w:t>第三层次的余额。</w:t>
      </w:r>
    </w:p>
    <w:p w:rsidR="004D0C72" w:rsidRDefault="00397BD3">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4D0C72" w:rsidRDefault="00397BD3">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w:t>
      </w:r>
      <w:proofErr w:type="gramStart"/>
      <w:r>
        <w:rPr>
          <w:color w:val="000000"/>
          <w:sz w:val="24"/>
        </w:rPr>
        <w:t>停牌日</w:t>
      </w:r>
      <w:proofErr w:type="gramEnd"/>
      <w:r>
        <w:rPr>
          <w:color w:val="000000"/>
          <w:sz w:val="24"/>
        </w:rPr>
        <w:t>至交易恢复活跃日期间、交易</w:t>
      </w:r>
      <w:proofErr w:type="gramStart"/>
      <w:r>
        <w:rPr>
          <w:color w:val="000000"/>
          <w:sz w:val="24"/>
        </w:rPr>
        <w:t>不</w:t>
      </w:r>
      <w:proofErr w:type="gramEnd"/>
      <w:r>
        <w:rPr>
          <w:color w:val="000000"/>
          <w:sz w:val="24"/>
        </w:rPr>
        <w:t>活跃期间及限售期间将相关股票和债券的公允价值列入第一层次；并根据估值调整中采用的不可观察输入</w:t>
      </w:r>
      <w:proofErr w:type="gramStart"/>
      <w:r>
        <w:rPr>
          <w:color w:val="000000"/>
          <w:sz w:val="24"/>
        </w:rPr>
        <w:t>值对于</w:t>
      </w:r>
      <w:proofErr w:type="gramEnd"/>
      <w:r>
        <w:rPr>
          <w:color w:val="000000"/>
          <w:sz w:val="24"/>
        </w:rPr>
        <w:t>公允价值的影响程度，确定相关股票和债券公允价值应属第二层次还是第三层次。</w:t>
      </w:r>
    </w:p>
    <w:p w:rsidR="004D0C72" w:rsidRDefault="00397BD3">
      <w:pPr>
        <w:spacing w:before="29" w:line="288" w:lineRule="auto"/>
        <w:ind w:firstLineChars="200" w:firstLine="480"/>
        <w:rPr>
          <w:color w:val="000000"/>
          <w:sz w:val="24"/>
        </w:rPr>
      </w:pPr>
      <w:r>
        <w:rPr>
          <w:color w:val="000000"/>
          <w:sz w:val="24"/>
        </w:rPr>
        <w:t>(iii)</w:t>
      </w:r>
      <w:r>
        <w:rPr>
          <w:color w:val="000000"/>
          <w:sz w:val="24"/>
        </w:rPr>
        <w:t>第三层次公允价值余额和本期变动金额</w:t>
      </w:r>
    </w:p>
    <w:p w:rsidR="004D0C72" w:rsidRDefault="00397BD3">
      <w:pPr>
        <w:spacing w:before="29" w:line="288" w:lineRule="auto"/>
        <w:ind w:firstLineChars="200" w:firstLine="480"/>
        <w:rPr>
          <w:color w:val="000000"/>
          <w:sz w:val="24"/>
        </w:rPr>
      </w:pPr>
      <w:r>
        <w:rPr>
          <w:color w:val="000000"/>
          <w:sz w:val="24"/>
        </w:rPr>
        <w:t>无。</w:t>
      </w:r>
    </w:p>
    <w:p w:rsidR="004D0C72" w:rsidRDefault="00397BD3">
      <w:pPr>
        <w:spacing w:before="29" w:line="288" w:lineRule="auto"/>
        <w:ind w:firstLineChars="200" w:firstLine="480"/>
        <w:rPr>
          <w:color w:val="000000"/>
          <w:sz w:val="24"/>
        </w:rPr>
      </w:pPr>
      <w:r>
        <w:rPr>
          <w:color w:val="000000"/>
          <w:sz w:val="24"/>
        </w:rPr>
        <w:t>(c)</w:t>
      </w:r>
      <w:r>
        <w:rPr>
          <w:color w:val="000000"/>
          <w:sz w:val="24"/>
        </w:rPr>
        <w:t>非持续的以公允价值计量的金融工具</w:t>
      </w:r>
    </w:p>
    <w:p w:rsidR="004D0C72" w:rsidRDefault="00397BD3">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p>
    <w:p w:rsidR="004D0C72" w:rsidRDefault="00397BD3">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4D0C72" w:rsidRDefault="00397BD3">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(2)</w:t>
      </w:r>
      <w:r w:rsidRPr="0004616F">
        <w:rPr>
          <w:color w:val="000000"/>
          <w:sz w:val="24"/>
        </w:rPr>
        <w:t>除公允价值外，截至资产负债表日本基金无需要说明的其他重要事项。</w:t>
      </w:r>
      <w:r w:rsidRPr="0004616F">
        <w:rPr>
          <w:color w:val="000000"/>
          <w:sz w:val="24"/>
        </w:rPr>
        <w:t xml:space="preserve"> </w:t>
      </w:r>
    </w:p>
    <w:p w:rsidR="002961CF" w:rsidRPr="0004616F" w:rsidRDefault="002961CF" w:rsidP="0004616F">
      <w:pPr>
        <w:spacing w:before="29" w:line="288" w:lineRule="auto"/>
        <w:ind w:firstLineChars="200" w:firstLine="480"/>
        <w:rPr>
          <w:color w:val="000000"/>
          <w:sz w:val="24"/>
        </w:rPr>
      </w:pPr>
    </w:p>
    <w:p w:rsidR="001A59F9" w:rsidRDefault="001A59F9" w:rsidP="0073361C">
      <w:pPr>
        <w:pStyle w:val="1"/>
        <w:keepNext/>
        <w:keepLines/>
        <w:widowControl w:val="0"/>
        <w:spacing w:beforeLines="100" w:before="312" w:afterLines="100" w:after="312" w:line="288" w:lineRule="auto"/>
        <w:jc w:val="center"/>
        <w:rPr>
          <w:b/>
          <w:color w:val="000000"/>
          <w:szCs w:val="24"/>
        </w:rPr>
      </w:pPr>
      <w:bookmarkStart w:id="60" w:name="_Toc225498272"/>
      <w:bookmarkStart w:id="61"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0"/>
      <w:bookmarkEnd w:id="61"/>
    </w:p>
    <w:p w:rsidR="001A59F9" w:rsidRPr="00245C29"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2"/>
      <w:bookmarkEnd w:id="63"/>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982,505,271.59</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95.69</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982,505,271.59</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95.69</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4C61E9">
            <w:pPr>
              <w:spacing w:before="29" w:line="288" w:lineRule="auto"/>
              <w:ind w:leftChars="50" w:left="105" w:firstLineChars="273" w:firstLine="655"/>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w:t>
            </w:r>
            <w:proofErr w:type="gramStart"/>
            <w:r w:rsidRPr="003A0690">
              <w:rPr>
                <w:rFonts w:hint="eastAsia"/>
                <w:sz w:val="24"/>
              </w:rPr>
              <w:t>品投资</w:t>
            </w:r>
            <w:proofErr w:type="gramEnd"/>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16,183,513.73</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1.58</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28,119,911.60</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2.74</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1,026,808,696.92</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4" w:name="_Toc225498274"/>
      <w:bookmarkStart w:id="65"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4"/>
      <w:bookmarkEnd w:id="65"/>
    </w:p>
    <w:p w:rsidR="001A59F9" w:rsidRDefault="001A59F9" w:rsidP="00FD6854">
      <w:pPr>
        <w:tabs>
          <w:tab w:val="left" w:pos="426"/>
        </w:tabs>
        <w:spacing w:before="29" w:line="288" w:lineRule="auto"/>
        <w:jc w:val="left"/>
        <w:rPr>
          <w:kern w:val="0"/>
          <w:sz w:val="24"/>
        </w:rPr>
      </w:pPr>
      <w:r w:rsidRPr="00FD6854">
        <w:rPr>
          <w:kern w:val="0"/>
          <w:sz w:val="24"/>
        </w:rPr>
        <w:t>本基金本报告期末未持有股票。</w:t>
      </w:r>
    </w:p>
    <w:p w:rsidR="00AD539F" w:rsidRPr="00FD6854" w:rsidRDefault="00AD539F" w:rsidP="00FD6854">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66"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6"/>
    </w:p>
    <w:p w:rsidR="001A59F9" w:rsidRDefault="001A59F9" w:rsidP="00016A50">
      <w:pPr>
        <w:tabs>
          <w:tab w:val="left" w:pos="426"/>
        </w:tabs>
        <w:spacing w:line="360" w:lineRule="auto"/>
        <w:jc w:val="left"/>
        <w:rPr>
          <w:kern w:val="0"/>
          <w:sz w:val="24"/>
        </w:rPr>
      </w:pPr>
      <w:r w:rsidRPr="00A20DFB">
        <w:rPr>
          <w:kern w:val="0"/>
          <w:sz w:val="24"/>
        </w:rPr>
        <w:t>本基金本报告期末未持有股票。</w:t>
      </w:r>
    </w:p>
    <w:p w:rsidR="00AD539F" w:rsidRPr="00A20DFB" w:rsidRDefault="00AD539F" w:rsidP="00016A50">
      <w:pPr>
        <w:tabs>
          <w:tab w:val="left" w:pos="426"/>
        </w:tabs>
        <w:spacing w:line="360"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2"/>
      <w:r w:rsidRPr="00245C29">
        <w:rPr>
          <w:rFonts w:ascii="Times New Roman" w:hAnsi="Times New Roman"/>
          <w:kern w:val="0"/>
          <w:szCs w:val="24"/>
        </w:rPr>
        <w:t>8.4</w:t>
      </w:r>
      <w:bookmarkStart w:id="68"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7"/>
      <w:bookmarkEnd w:id="68"/>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期末</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Default="001A59F9" w:rsidP="00C234F0">
      <w:pPr>
        <w:tabs>
          <w:tab w:val="left" w:pos="426"/>
        </w:tabs>
        <w:spacing w:before="29" w:line="288" w:lineRule="auto"/>
        <w:jc w:val="left"/>
        <w:rPr>
          <w:kern w:val="0"/>
          <w:sz w:val="24"/>
        </w:rPr>
      </w:pPr>
      <w:r w:rsidRPr="00C234F0">
        <w:rPr>
          <w:kern w:val="0"/>
          <w:sz w:val="24"/>
        </w:rPr>
        <w:t>本基金本报告期内未持有股票。</w:t>
      </w:r>
    </w:p>
    <w:p w:rsidR="00AD539F" w:rsidRPr="00C234F0" w:rsidRDefault="00AD539F" w:rsidP="00C234F0">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期末</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Default="001A59F9" w:rsidP="00C234F0">
      <w:pPr>
        <w:tabs>
          <w:tab w:val="left" w:pos="426"/>
        </w:tabs>
        <w:spacing w:before="29" w:line="288" w:lineRule="auto"/>
        <w:jc w:val="left"/>
        <w:rPr>
          <w:kern w:val="0"/>
          <w:sz w:val="24"/>
        </w:rPr>
      </w:pPr>
      <w:r w:rsidRPr="00C234F0">
        <w:rPr>
          <w:kern w:val="0"/>
          <w:sz w:val="24"/>
        </w:rPr>
        <w:t>本基金本报告期内未持有股票。</w:t>
      </w:r>
    </w:p>
    <w:p w:rsidR="00AD539F" w:rsidRPr="00C234F0" w:rsidRDefault="00AD539F" w:rsidP="00C234F0">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Default="001A59F9" w:rsidP="00C234F0">
      <w:pPr>
        <w:tabs>
          <w:tab w:val="left" w:pos="426"/>
        </w:tabs>
        <w:spacing w:before="29" w:line="288" w:lineRule="auto"/>
        <w:jc w:val="left"/>
        <w:rPr>
          <w:kern w:val="0"/>
          <w:sz w:val="24"/>
        </w:rPr>
      </w:pPr>
      <w:r w:rsidRPr="00C234F0">
        <w:rPr>
          <w:kern w:val="0"/>
          <w:sz w:val="24"/>
        </w:rPr>
        <w:t>本基金本报告期内未持有股票。</w:t>
      </w:r>
    </w:p>
    <w:p w:rsidR="00AD539F" w:rsidRPr="00C234F0" w:rsidRDefault="00AD539F" w:rsidP="00C234F0">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69" w:name="_Toc234814104"/>
      <w:bookmarkStart w:id="70"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69"/>
      <w:bookmarkEnd w:id="70"/>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748,038,471.59</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143.39</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proofErr w:type="gramStart"/>
            <w:r w:rsidR="000C0A18" w:rsidRPr="00C234F0">
              <w:rPr>
                <w:rFonts w:hint="eastAsia"/>
                <w:color w:val="000000"/>
                <w:sz w:val="24"/>
              </w:rPr>
              <w:t>券</w:t>
            </w:r>
            <w:proofErr w:type="gramEnd"/>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234,466,800.00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44.95</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7</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可转债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8</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982,505,271.59</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188.34</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1" w:name="_Toc361324884"/>
      <w:r w:rsidRPr="00245C29">
        <w:rPr>
          <w:rFonts w:ascii="Times New Roman" w:hAnsi="Times New Roman"/>
          <w:kern w:val="0"/>
          <w:szCs w:val="24"/>
        </w:rPr>
        <w:t>8.6</w:t>
      </w:r>
      <w:bookmarkStart w:id="72"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1"/>
      <w:bookmarkEnd w:id="72"/>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4D0C72">
        <w:tc>
          <w:tcPr>
            <w:tcW w:w="1499" w:type="dxa"/>
            <w:vAlign w:val="center"/>
          </w:tcPr>
          <w:p w:rsidR="004D0C72" w:rsidRDefault="00397BD3">
            <w:pPr>
              <w:jc w:val="center"/>
            </w:pPr>
            <w:r>
              <w:rPr>
                <w:color w:val="000000"/>
                <w:sz w:val="24"/>
              </w:rPr>
              <w:t>1</w:t>
            </w:r>
          </w:p>
        </w:tc>
        <w:tc>
          <w:tcPr>
            <w:tcW w:w="1499" w:type="dxa"/>
            <w:vAlign w:val="center"/>
          </w:tcPr>
          <w:p w:rsidR="004D0C72" w:rsidRDefault="00397BD3">
            <w:pPr>
              <w:jc w:val="center"/>
            </w:pPr>
            <w:r>
              <w:rPr>
                <w:color w:val="000000"/>
                <w:sz w:val="24"/>
              </w:rPr>
              <w:t>122828</w:t>
            </w:r>
          </w:p>
        </w:tc>
        <w:tc>
          <w:tcPr>
            <w:tcW w:w="1500" w:type="dxa"/>
            <w:vAlign w:val="center"/>
          </w:tcPr>
          <w:p w:rsidR="004D0C72" w:rsidRDefault="00397BD3">
            <w:pPr>
              <w:jc w:val="center"/>
            </w:pPr>
            <w:r>
              <w:rPr>
                <w:color w:val="000000"/>
                <w:sz w:val="24"/>
              </w:rPr>
              <w:t>11</w:t>
            </w:r>
            <w:r>
              <w:rPr>
                <w:color w:val="000000"/>
                <w:sz w:val="24"/>
              </w:rPr>
              <w:t>抚州债</w:t>
            </w:r>
          </w:p>
        </w:tc>
        <w:tc>
          <w:tcPr>
            <w:tcW w:w="1500" w:type="dxa"/>
            <w:vAlign w:val="center"/>
          </w:tcPr>
          <w:p w:rsidR="004D0C72" w:rsidRDefault="00397BD3">
            <w:pPr>
              <w:jc w:val="right"/>
            </w:pPr>
            <w:r>
              <w:rPr>
                <w:color w:val="000000"/>
                <w:sz w:val="24"/>
              </w:rPr>
              <w:t>450,000</w:t>
            </w:r>
          </w:p>
        </w:tc>
        <w:tc>
          <w:tcPr>
            <w:tcW w:w="1500" w:type="dxa"/>
            <w:vAlign w:val="center"/>
          </w:tcPr>
          <w:p w:rsidR="004D0C72" w:rsidRDefault="00397BD3">
            <w:pPr>
              <w:jc w:val="right"/>
            </w:pPr>
            <w:r>
              <w:rPr>
                <w:color w:val="000000"/>
                <w:sz w:val="24"/>
              </w:rPr>
              <w:t>46,494,000.00</w:t>
            </w:r>
          </w:p>
        </w:tc>
        <w:tc>
          <w:tcPr>
            <w:tcW w:w="1500" w:type="dxa"/>
            <w:vAlign w:val="center"/>
          </w:tcPr>
          <w:p w:rsidR="004D0C72" w:rsidRDefault="00397BD3">
            <w:pPr>
              <w:jc w:val="right"/>
            </w:pPr>
            <w:r>
              <w:rPr>
                <w:color w:val="000000"/>
                <w:sz w:val="24"/>
              </w:rPr>
              <w:t>8.91</w:t>
            </w:r>
          </w:p>
        </w:tc>
      </w:tr>
      <w:tr w:rsidR="004D0C72">
        <w:tc>
          <w:tcPr>
            <w:tcW w:w="1499" w:type="dxa"/>
            <w:vAlign w:val="center"/>
          </w:tcPr>
          <w:p w:rsidR="004D0C72" w:rsidRDefault="00397BD3">
            <w:pPr>
              <w:jc w:val="center"/>
            </w:pPr>
            <w:r>
              <w:rPr>
                <w:color w:val="000000"/>
                <w:sz w:val="24"/>
              </w:rPr>
              <w:t>2</w:t>
            </w:r>
          </w:p>
        </w:tc>
        <w:tc>
          <w:tcPr>
            <w:tcW w:w="1499" w:type="dxa"/>
            <w:vAlign w:val="center"/>
          </w:tcPr>
          <w:p w:rsidR="004D0C72" w:rsidRDefault="00397BD3">
            <w:pPr>
              <w:jc w:val="center"/>
            </w:pPr>
            <w:r>
              <w:rPr>
                <w:color w:val="000000"/>
                <w:sz w:val="24"/>
              </w:rPr>
              <w:t>122323</w:t>
            </w:r>
          </w:p>
        </w:tc>
        <w:tc>
          <w:tcPr>
            <w:tcW w:w="1500" w:type="dxa"/>
            <w:vAlign w:val="center"/>
          </w:tcPr>
          <w:p w:rsidR="004D0C72" w:rsidRDefault="00397BD3">
            <w:pPr>
              <w:jc w:val="center"/>
            </w:pPr>
            <w:r>
              <w:rPr>
                <w:color w:val="000000"/>
                <w:sz w:val="24"/>
              </w:rPr>
              <w:t>14</w:t>
            </w:r>
            <w:r>
              <w:rPr>
                <w:color w:val="000000"/>
                <w:sz w:val="24"/>
              </w:rPr>
              <w:t>凤凰债</w:t>
            </w:r>
          </w:p>
        </w:tc>
        <w:tc>
          <w:tcPr>
            <w:tcW w:w="1500" w:type="dxa"/>
            <w:vAlign w:val="center"/>
          </w:tcPr>
          <w:p w:rsidR="004D0C72" w:rsidRDefault="00397BD3">
            <w:pPr>
              <w:jc w:val="right"/>
            </w:pPr>
            <w:r>
              <w:rPr>
                <w:color w:val="000000"/>
                <w:sz w:val="24"/>
              </w:rPr>
              <w:t>450,000</w:t>
            </w:r>
          </w:p>
        </w:tc>
        <w:tc>
          <w:tcPr>
            <w:tcW w:w="1500" w:type="dxa"/>
            <w:vAlign w:val="center"/>
          </w:tcPr>
          <w:p w:rsidR="004D0C72" w:rsidRDefault="00397BD3">
            <w:pPr>
              <w:jc w:val="right"/>
            </w:pPr>
            <w:r>
              <w:rPr>
                <w:color w:val="000000"/>
                <w:sz w:val="24"/>
              </w:rPr>
              <w:t>44,977,709.59</w:t>
            </w:r>
          </w:p>
        </w:tc>
        <w:tc>
          <w:tcPr>
            <w:tcW w:w="1500" w:type="dxa"/>
            <w:vAlign w:val="center"/>
          </w:tcPr>
          <w:p w:rsidR="004D0C72" w:rsidRDefault="00397BD3">
            <w:pPr>
              <w:jc w:val="right"/>
            </w:pPr>
            <w:r>
              <w:rPr>
                <w:color w:val="000000"/>
                <w:sz w:val="24"/>
              </w:rPr>
              <w:t>8.62</w:t>
            </w:r>
          </w:p>
        </w:tc>
      </w:tr>
      <w:tr w:rsidR="004D0C72">
        <w:tc>
          <w:tcPr>
            <w:tcW w:w="1499" w:type="dxa"/>
            <w:vAlign w:val="center"/>
          </w:tcPr>
          <w:p w:rsidR="004D0C72" w:rsidRDefault="00397BD3">
            <w:pPr>
              <w:jc w:val="center"/>
            </w:pPr>
            <w:r>
              <w:rPr>
                <w:color w:val="000000"/>
                <w:sz w:val="24"/>
              </w:rPr>
              <w:t>3</w:t>
            </w:r>
          </w:p>
        </w:tc>
        <w:tc>
          <w:tcPr>
            <w:tcW w:w="1499" w:type="dxa"/>
            <w:vAlign w:val="center"/>
          </w:tcPr>
          <w:p w:rsidR="004D0C72" w:rsidRDefault="00397BD3">
            <w:pPr>
              <w:jc w:val="center"/>
            </w:pPr>
            <w:r>
              <w:rPr>
                <w:color w:val="000000"/>
                <w:sz w:val="24"/>
              </w:rPr>
              <w:t>122702</w:t>
            </w:r>
          </w:p>
        </w:tc>
        <w:tc>
          <w:tcPr>
            <w:tcW w:w="1500" w:type="dxa"/>
            <w:vAlign w:val="center"/>
          </w:tcPr>
          <w:p w:rsidR="004D0C72" w:rsidRDefault="00397BD3">
            <w:pPr>
              <w:jc w:val="center"/>
            </w:pPr>
            <w:r>
              <w:rPr>
                <w:color w:val="000000"/>
                <w:sz w:val="24"/>
              </w:rPr>
              <w:t>12</w:t>
            </w:r>
            <w:r>
              <w:rPr>
                <w:color w:val="000000"/>
                <w:sz w:val="24"/>
              </w:rPr>
              <w:t>海安债</w:t>
            </w:r>
          </w:p>
        </w:tc>
        <w:tc>
          <w:tcPr>
            <w:tcW w:w="1500" w:type="dxa"/>
            <w:vAlign w:val="center"/>
          </w:tcPr>
          <w:p w:rsidR="004D0C72" w:rsidRDefault="00397BD3">
            <w:pPr>
              <w:jc w:val="right"/>
            </w:pPr>
            <w:r>
              <w:rPr>
                <w:color w:val="000000"/>
                <w:sz w:val="24"/>
              </w:rPr>
              <w:t>400,000</w:t>
            </w:r>
          </w:p>
        </w:tc>
        <w:tc>
          <w:tcPr>
            <w:tcW w:w="1500" w:type="dxa"/>
            <w:vAlign w:val="center"/>
          </w:tcPr>
          <w:p w:rsidR="004D0C72" w:rsidRDefault="00397BD3">
            <w:pPr>
              <w:jc w:val="right"/>
            </w:pPr>
            <w:r>
              <w:rPr>
                <w:color w:val="000000"/>
                <w:sz w:val="24"/>
              </w:rPr>
              <w:t>42,320,000.00</w:t>
            </w:r>
          </w:p>
        </w:tc>
        <w:tc>
          <w:tcPr>
            <w:tcW w:w="1500" w:type="dxa"/>
            <w:vAlign w:val="center"/>
          </w:tcPr>
          <w:p w:rsidR="004D0C72" w:rsidRDefault="00397BD3">
            <w:pPr>
              <w:jc w:val="right"/>
            </w:pPr>
            <w:r>
              <w:rPr>
                <w:color w:val="000000"/>
                <w:sz w:val="24"/>
              </w:rPr>
              <w:t>8.11</w:t>
            </w:r>
          </w:p>
        </w:tc>
      </w:tr>
      <w:tr w:rsidR="004D0C72">
        <w:tc>
          <w:tcPr>
            <w:tcW w:w="1499" w:type="dxa"/>
            <w:vAlign w:val="center"/>
          </w:tcPr>
          <w:p w:rsidR="004D0C72" w:rsidRDefault="00397BD3">
            <w:pPr>
              <w:jc w:val="center"/>
            </w:pPr>
            <w:r>
              <w:rPr>
                <w:color w:val="000000"/>
                <w:sz w:val="24"/>
              </w:rPr>
              <w:t>4</w:t>
            </w:r>
          </w:p>
        </w:tc>
        <w:tc>
          <w:tcPr>
            <w:tcW w:w="1499" w:type="dxa"/>
            <w:vAlign w:val="center"/>
          </w:tcPr>
          <w:p w:rsidR="004D0C72" w:rsidRDefault="00397BD3">
            <w:pPr>
              <w:jc w:val="center"/>
            </w:pPr>
            <w:r>
              <w:rPr>
                <w:color w:val="000000"/>
                <w:sz w:val="24"/>
              </w:rPr>
              <w:t>124504</w:t>
            </w:r>
          </w:p>
        </w:tc>
        <w:tc>
          <w:tcPr>
            <w:tcW w:w="1500" w:type="dxa"/>
            <w:vAlign w:val="center"/>
          </w:tcPr>
          <w:p w:rsidR="004D0C72" w:rsidRDefault="00397BD3">
            <w:pPr>
              <w:jc w:val="center"/>
            </w:pPr>
            <w:r>
              <w:rPr>
                <w:color w:val="000000"/>
                <w:sz w:val="24"/>
              </w:rPr>
              <w:t>11</w:t>
            </w:r>
            <w:proofErr w:type="gramStart"/>
            <w:r>
              <w:rPr>
                <w:color w:val="000000"/>
                <w:sz w:val="24"/>
              </w:rPr>
              <w:t>鹰投债</w:t>
            </w:r>
            <w:proofErr w:type="gramEnd"/>
          </w:p>
        </w:tc>
        <w:tc>
          <w:tcPr>
            <w:tcW w:w="1500" w:type="dxa"/>
            <w:vAlign w:val="center"/>
          </w:tcPr>
          <w:p w:rsidR="004D0C72" w:rsidRDefault="00397BD3">
            <w:pPr>
              <w:jc w:val="right"/>
            </w:pPr>
            <w:r>
              <w:rPr>
                <w:color w:val="000000"/>
                <w:sz w:val="24"/>
              </w:rPr>
              <w:t>400,000</w:t>
            </w:r>
          </w:p>
        </w:tc>
        <w:tc>
          <w:tcPr>
            <w:tcW w:w="1500" w:type="dxa"/>
            <w:vAlign w:val="center"/>
          </w:tcPr>
          <w:p w:rsidR="004D0C72" w:rsidRDefault="00397BD3">
            <w:pPr>
              <w:jc w:val="right"/>
            </w:pPr>
            <w:r>
              <w:rPr>
                <w:color w:val="000000"/>
                <w:sz w:val="24"/>
              </w:rPr>
              <w:t>41,800,000.00</w:t>
            </w:r>
          </w:p>
        </w:tc>
        <w:tc>
          <w:tcPr>
            <w:tcW w:w="1500" w:type="dxa"/>
            <w:vAlign w:val="center"/>
          </w:tcPr>
          <w:p w:rsidR="004D0C72" w:rsidRDefault="00397BD3">
            <w:pPr>
              <w:jc w:val="right"/>
            </w:pPr>
            <w:r>
              <w:rPr>
                <w:color w:val="000000"/>
                <w:sz w:val="24"/>
              </w:rPr>
              <w:t>8.01</w:t>
            </w:r>
          </w:p>
        </w:tc>
      </w:tr>
      <w:tr w:rsidR="004D0C72">
        <w:tc>
          <w:tcPr>
            <w:tcW w:w="1499" w:type="dxa"/>
            <w:vAlign w:val="center"/>
          </w:tcPr>
          <w:p w:rsidR="004D0C72" w:rsidRDefault="00397BD3">
            <w:pPr>
              <w:jc w:val="center"/>
            </w:pPr>
            <w:r>
              <w:rPr>
                <w:color w:val="000000"/>
                <w:sz w:val="24"/>
              </w:rPr>
              <w:t>5</w:t>
            </w:r>
          </w:p>
        </w:tc>
        <w:tc>
          <w:tcPr>
            <w:tcW w:w="1499" w:type="dxa"/>
            <w:vAlign w:val="center"/>
          </w:tcPr>
          <w:p w:rsidR="004D0C72" w:rsidRDefault="00397BD3">
            <w:pPr>
              <w:jc w:val="center"/>
            </w:pPr>
            <w:r>
              <w:rPr>
                <w:color w:val="000000"/>
                <w:sz w:val="24"/>
              </w:rPr>
              <w:t>1282358</w:t>
            </w:r>
          </w:p>
        </w:tc>
        <w:tc>
          <w:tcPr>
            <w:tcW w:w="1500" w:type="dxa"/>
            <w:vAlign w:val="center"/>
          </w:tcPr>
          <w:p w:rsidR="004D0C72" w:rsidRDefault="00397BD3">
            <w:pPr>
              <w:jc w:val="center"/>
            </w:pPr>
            <w:r>
              <w:rPr>
                <w:color w:val="000000"/>
                <w:sz w:val="24"/>
              </w:rPr>
              <w:t>12</w:t>
            </w:r>
            <w:proofErr w:type="gramStart"/>
            <w:r>
              <w:rPr>
                <w:color w:val="000000"/>
                <w:sz w:val="24"/>
              </w:rPr>
              <w:t>盐国投</w:t>
            </w:r>
            <w:proofErr w:type="gramEnd"/>
            <w:r>
              <w:rPr>
                <w:color w:val="000000"/>
                <w:sz w:val="24"/>
              </w:rPr>
              <w:t>MTN1</w:t>
            </w:r>
          </w:p>
        </w:tc>
        <w:tc>
          <w:tcPr>
            <w:tcW w:w="1500" w:type="dxa"/>
            <w:vAlign w:val="center"/>
          </w:tcPr>
          <w:p w:rsidR="004D0C72" w:rsidRDefault="00397BD3">
            <w:pPr>
              <w:jc w:val="right"/>
            </w:pPr>
            <w:r>
              <w:rPr>
                <w:color w:val="000000"/>
                <w:sz w:val="24"/>
              </w:rPr>
              <w:t>400,000</w:t>
            </w:r>
          </w:p>
        </w:tc>
        <w:tc>
          <w:tcPr>
            <w:tcW w:w="1500" w:type="dxa"/>
            <w:vAlign w:val="center"/>
          </w:tcPr>
          <w:p w:rsidR="004D0C72" w:rsidRDefault="00397BD3">
            <w:pPr>
              <w:jc w:val="right"/>
            </w:pPr>
            <w:r>
              <w:rPr>
                <w:color w:val="000000"/>
                <w:sz w:val="24"/>
              </w:rPr>
              <w:t>40,984,000.00</w:t>
            </w:r>
          </w:p>
        </w:tc>
        <w:tc>
          <w:tcPr>
            <w:tcW w:w="1500" w:type="dxa"/>
            <w:vAlign w:val="center"/>
          </w:tcPr>
          <w:p w:rsidR="004D0C72" w:rsidRDefault="00397BD3">
            <w:pPr>
              <w:jc w:val="right"/>
            </w:pPr>
            <w:r>
              <w:rPr>
                <w:color w:val="000000"/>
                <w:sz w:val="24"/>
              </w:rPr>
              <w:t>7.86</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3"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3"/>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4"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4"/>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5"/>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63,992.15</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28,055,919.45</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28,119,911.60</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proofErr w:type="gramStart"/>
      <w:r w:rsidRPr="00245C29">
        <w:rPr>
          <w:rFonts w:ascii="Times New Roman" w:hAnsi="Times New Roman" w:hint="eastAsia"/>
          <w:kern w:val="0"/>
          <w:szCs w:val="24"/>
        </w:rPr>
        <w:t>期末前</w:t>
      </w:r>
      <w:proofErr w:type="gramEnd"/>
      <w:r w:rsidRPr="00245C29">
        <w:rPr>
          <w:rFonts w:ascii="Times New Roman" w:hAnsi="Times New Roman" w:hint="eastAsia"/>
          <w:kern w:val="0"/>
          <w:szCs w:val="24"/>
        </w:rPr>
        <w:t>十名股票中存在流通受限情况的说明</w:t>
      </w:r>
    </w:p>
    <w:p w:rsidR="001A59F9" w:rsidRDefault="001A59F9" w:rsidP="00273FD9">
      <w:pPr>
        <w:tabs>
          <w:tab w:val="left" w:pos="426"/>
        </w:tabs>
        <w:spacing w:before="29" w:line="288" w:lineRule="auto"/>
        <w:jc w:val="left"/>
        <w:rPr>
          <w:kern w:val="0"/>
          <w:sz w:val="24"/>
        </w:rPr>
      </w:pPr>
      <w:r w:rsidRPr="00273FD9">
        <w:rPr>
          <w:kern w:val="0"/>
          <w:sz w:val="24"/>
        </w:rPr>
        <w:t>本基金本报告</w:t>
      </w:r>
      <w:proofErr w:type="gramStart"/>
      <w:r w:rsidRPr="00273FD9">
        <w:rPr>
          <w:kern w:val="0"/>
          <w:sz w:val="24"/>
        </w:rPr>
        <w:t>期末前</w:t>
      </w:r>
      <w:proofErr w:type="gramEnd"/>
      <w:r w:rsidRPr="00273FD9">
        <w:rPr>
          <w:kern w:val="0"/>
          <w:sz w:val="24"/>
        </w:rPr>
        <w:t>十名股票中不存在流通受限情况。</w:t>
      </w:r>
    </w:p>
    <w:p w:rsidR="00AD539F" w:rsidRPr="00273FD9" w:rsidRDefault="00AD539F" w:rsidP="00273FD9">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73361C">
      <w:pPr>
        <w:pStyle w:val="1"/>
        <w:keepNext/>
        <w:keepLines/>
        <w:widowControl w:val="0"/>
        <w:spacing w:beforeLines="100" w:before="312" w:afterLines="100" w:after="312" w:line="288" w:lineRule="auto"/>
        <w:jc w:val="center"/>
        <w:rPr>
          <w:b/>
          <w:color w:val="000000"/>
          <w:szCs w:val="24"/>
        </w:rPr>
      </w:pPr>
      <w:bookmarkStart w:id="76" w:name="_Toc225500050"/>
      <w:bookmarkStart w:id="77"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6"/>
      <w:bookmarkEnd w:id="77"/>
    </w:p>
    <w:p w:rsidR="001A59F9" w:rsidRPr="00245C29" w:rsidRDefault="001A59F9" w:rsidP="00245C29">
      <w:pPr>
        <w:pStyle w:val="20"/>
        <w:spacing w:before="29" w:after="0" w:line="288" w:lineRule="auto"/>
        <w:rPr>
          <w:rFonts w:ascii="Times New Roman" w:hAnsi="Times New Roman"/>
          <w:kern w:val="0"/>
          <w:szCs w:val="24"/>
        </w:rPr>
      </w:pPr>
      <w:bookmarkStart w:id="78" w:name="_Toc225500051"/>
      <w:bookmarkStart w:id="79"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8"/>
      <w:bookmarkEnd w:id="79"/>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397BD3" w:rsidRPr="004B25B0" w:rsidTr="00397BD3">
        <w:tc>
          <w:tcPr>
            <w:tcW w:w="964" w:type="pct"/>
            <w:vMerge w:val="restart"/>
            <w:tcBorders>
              <w:top w:val="single" w:sz="8" w:space="0" w:color="000000"/>
              <w:left w:val="single" w:sz="8" w:space="0" w:color="000000"/>
              <w:right w:val="single" w:sz="8" w:space="0" w:color="000000"/>
            </w:tcBorders>
            <w:vAlign w:val="center"/>
          </w:tcPr>
          <w:p w:rsidR="004D0C72" w:rsidRDefault="00397BD3">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w:t>
            </w:r>
            <w:proofErr w:type="gramStart"/>
            <w:r w:rsidRPr="004B25B0">
              <w:rPr>
                <w:rFonts w:hint="eastAsia"/>
                <w:color w:val="000000"/>
                <w:szCs w:val="21"/>
              </w:rPr>
              <w:t>人结构</w:t>
            </w:r>
            <w:proofErr w:type="gramEnd"/>
          </w:p>
        </w:tc>
      </w:tr>
      <w:tr w:rsidR="00397BD3" w:rsidRPr="004B25B0" w:rsidTr="00397BD3">
        <w:tc>
          <w:tcPr>
            <w:tcW w:w="964" w:type="pct"/>
            <w:vMerge/>
            <w:tcBorders>
              <w:left w:val="single" w:sz="8" w:space="0" w:color="000000"/>
              <w:right w:val="single" w:sz="8" w:space="0" w:color="000000"/>
            </w:tcBorders>
          </w:tcPr>
          <w:p w:rsidR="004D0C72" w:rsidRDefault="004D0C72">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397BD3" w:rsidRPr="004B25B0" w:rsidTr="00397BD3">
        <w:tc>
          <w:tcPr>
            <w:tcW w:w="964" w:type="pct"/>
            <w:vMerge/>
            <w:tcBorders>
              <w:left w:val="single" w:sz="8" w:space="0" w:color="000000"/>
              <w:bottom w:val="single" w:sz="8" w:space="0" w:color="000000"/>
              <w:right w:val="single" w:sz="8" w:space="0" w:color="000000"/>
            </w:tcBorders>
          </w:tcPr>
          <w:p w:rsidR="004D0C72" w:rsidRDefault="004D0C72">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397BD3" w:rsidRPr="004B25B0" w:rsidTr="00397BD3">
        <w:tc>
          <w:tcPr>
            <w:tcW w:w="964" w:type="pct"/>
            <w:tcBorders>
              <w:top w:val="single" w:sz="8" w:space="0" w:color="000000"/>
              <w:left w:val="single" w:sz="8" w:space="0" w:color="000000"/>
              <w:bottom w:val="single" w:sz="8" w:space="0" w:color="000000"/>
              <w:right w:val="single" w:sz="8" w:space="0" w:color="000000"/>
            </w:tcBorders>
            <w:vAlign w:val="center"/>
          </w:tcPr>
          <w:p w:rsidR="004D0C72" w:rsidRDefault="00397BD3">
            <w:pPr>
              <w:jc w:val="center"/>
            </w:pPr>
            <w:r>
              <w:rPr>
                <w:bCs/>
                <w:color w:val="000000"/>
                <w:szCs w:val="21"/>
              </w:rPr>
              <w:t>2,464</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207,247.62</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510,658,140.93</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100.00%</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0"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98,832.23</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0.02%</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w:t>
            </w:r>
            <w:proofErr w:type="gramStart"/>
            <w:r w:rsidRPr="00B41E3D">
              <w:rPr>
                <w:rFonts w:hint="eastAsia"/>
                <w:color w:val="000000"/>
                <w:sz w:val="24"/>
              </w:rPr>
              <w:t>基金基金</w:t>
            </w:r>
            <w:proofErr w:type="gramEnd"/>
            <w:r w:rsidRPr="00B41E3D">
              <w:rPr>
                <w:rFonts w:hint="eastAsia"/>
                <w:color w:val="000000"/>
                <w:sz w:val="24"/>
              </w:rPr>
              <w:t>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73361C">
      <w:pPr>
        <w:pStyle w:val="1"/>
        <w:keepNext/>
        <w:keepLines/>
        <w:widowControl w:val="0"/>
        <w:spacing w:beforeLines="100" w:before="312" w:afterLines="100" w:after="312" w:line="288" w:lineRule="auto"/>
        <w:jc w:val="center"/>
        <w:rPr>
          <w:b/>
          <w:bCs/>
          <w:szCs w:val="24"/>
          <w:lang w:val="en-US"/>
        </w:rPr>
      </w:pPr>
      <w:bookmarkStart w:id="81" w:name="_Toc225500054"/>
      <w:bookmarkStart w:id="82" w:name="_Toc361324893"/>
      <w:r w:rsidRPr="00087272">
        <w:rPr>
          <w:rFonts w:hint="eastAsia"/>
          <w:b/>
          <w:bCs/>
          <w:szCs w:val="24"/>
          <w:lang w:val="en-US"/>
        </w:rPr>
        <w:t>§</w:t>
      </w:r>
      <w:r w:rsidRPr="00087272">
        <w:rPr>
          <w:b/>
          <w:bCs/>
          <w:szCs w:val="24"/>
          <w:lang w:val="en-US"/>
        </w:rPr>
        <w:t>10</w:t>
      </w:r>
      <w:r w:rsidR="009153A3" w:rsidRPr="00087272">
        <w:rPr>
          <w:rFonts w:hint="eastAsia"/>
          <w:b/>
          <w:bCs/>
          <w:szCs w:val="24"/>
          <w:lang w:val="en-US"/>
        </w:rPr>
        <w:t xml:space="preserve">  </w:t>
      </w:r>
      <w:r w:rsidRPr="00087272">
        <w:rPr>
          <w:rFonts w:hint="eastAsia"/>
          <w:b/>
          <w:bCs/>
          <w:szCs w:val="24"/>
          <w:lang w:val="en-US"/>
        </w:rPr>
        <w:t>重大事件揭示</w:t>
      </w:r>
      <w:bookmarkEnd w:id="81"/>
      <w:bookmarkEnd w:id="82"/>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3" w:name="_Toc361324894"/>
      <w:r w:rsidRPr="00245C29">
        <w:rPr>
          <w:rFonts w:ascii="Times New Roman" w:hAnsi="Times New Roman"/>
          <w:kern w:val="0"/>
          <w:szCs w:val="24"/>
        </w:rPr>
        <w:t>10.1</w:t>
      </w:r>
      <w:r w:rsidRPr="00245C29">
        <w:rPr>
          <w:rFonts w:ascii="Times New Roman" w:hAnsi="Times New Roman" w:hint="eastAsia"/>
          <w:kern w:val="0"/>
          <w:szCs w:val="24"/>
        </w:rPr>
        <w:t>基金份额持有人大会决议</w:t>
      </w:r>
      <w:bookmarkEnd w:id="83"/>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4" w:name="_Toc361324895"/>
      <w:r w:rsidRPr="00245C29">
        <w:rPr>
          <w:rFonts w:ascii="Times New Roman" w:hAnsi="Times New Roman"/>
          <w:kern w:val="0"/>
          <w:szCs w:val="24"/>
        </w:rPr>
        <w:t xml:space="preserve">10.2 </w:t>
      </w:r>
      <w:r w:rsidRPr="00245C29">
        <w:rPr>
          <w:rFonts w:ascii="Times New Roman" w:hAnsi="Times New Roman" w:hint="eastAsia"/>
          <w:kern w:val="0"/>
          <w:szCs w:val="24"/>
        </w:rPr>
        <w:t>基金管理人、基金托管人的专门基金托管部门的重大人事变动</w:t>
      </w:r>
      <w:bookmarkEnd w:id="84"/>
    </w:p>
    <w:p w:rsidR="004D0C72" w:rsidRPr="00624E59" w:rsidRDefault="00397BD3" w:rsidP="00624E59">
      <w:pPr>
        <w:widowControl/>
        <w:spacing w:before="29" w:line="288" w:lineRule="auto"/>
        <w:ind w:firstLineChars="200" w:firstLine="480"/>
        <w:rPr>
          <w:kern w:val="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A263BE">
        <w:rPr>
          <w:rFonts w:ascii="宋体" w:hAnsi="宋体" w:hint="eastAsia"/>
          <w:kern w:val="0"/>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w:t>
      </w:r>
      <w:r w:rsidRPr="00700C00">
        <w:rPr>
          <w:color w:val="000000"/>
          <w:sz w:val="24"/>
        </w:rPr>
        <w:t>2014</w:t>
      </w:r>
      <w:r w:rsidRPr="00700C00">
        <w:rPr>
          <w:color w:val="000000"/>
          <w:sz w:val="24"/>
        </w:rPr>
        <w:t>年</w:t>
      </w:r>
      <w:r w:rsidRPr="00700C00">
        <w:rPr>
          <w:color w:val="000000"/>
          <w:sz w:val="24"/>
        </w:rPr>
        <w:t>2</w:t>
      </w:r>
      <w:r w:rsidRPr="00700C00">
        <w:rPr>
          <w:color w:val="000000"/>
          <w:sz w:val="24"/>
        </w:rPr>
        <w:t>月</w:t>
      </w:r>
      <w:r w:rsidRPr="00700C00">
        <w:rPr>
          <w:color w:val="000000"/>
          <w:sz w:val="24"/>
        </w:rPr>
        <w:t>27</w:t>
      </w:r>
      <w:r w:rsidRPr="00700C00">
        <w:rPr>
          <w:color w:val="000000"/>
          <w:sz w:val="24"/>
        </w:rPr>
        <w:t>日发布公告，因中信银行工作需要，刘勇先生不再担任中信银行资产托管部总经理，任命刘泽云先生为中信银行资产托管部副总经理，主持资产托管部相关工作。刘泽云先生的基金行业高级管理人员任职资格已在中国证券监督管理委员会备案。</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5" w:name="_Toc361324896"/>
      <w:r w:rsidRPr="00245C29">
        <w:rPr>
          <w:rFonts w:ascii="Times New Roman" w:hAnsi="Times New Roman"/>
          <w:kern w:val="0"/>
          <w:szCs w:val="24"/>
        </w:rPr>
        <w:t xml:space="preserve">10.3 </w:t>
      </w:r>
      <w:r w:rsidRPr="00245C29">
        <w:rPr>
          <w:rFonts w:ascii="Times New Roman" w:hAnsi="Times New Roman" w:hint="eastAsia"/>
          <w:kern w:val="0"/>
          <w:szCs w:val="24"/>
        </w:rPr>
        <w:t>涉及基金管理人、基金财产、基金托管业务的诉讼</w:t>
      </w:r>
      <w:bookmarkEnd w:id="85"/>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6" w:name="_Toc361324897"/>
      <w:r w:rsidRPr="00245C29">
        <w:rPr>
          <w:rFonts w:ascii="Times New Roman" w:hAnsi="Times New Roman"/>
          <w:kern w:val="0"/>
          <w:szCs w:val="24"/>
        </w:rPr>
        <w:t xml:space="preserve">10.4 </w:t>
      </w:r>
      <w:r w:rsidRPr="00245C29">
        <w:rPr>
          <w:rFonts w:ascii="Times New Roman" w:hAnsi="Times New Roman" w:hint="eastAsia"/>
          <w:kern w:val="0"/>
          <w:szCs w:val="24"/>
        </w:rPr>
        <w:t>基金投资策略的改变</w:t>
      </w:r>
      <w:bookmarkEnd w:id="86"/>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7" w:name="_Toc361324898"/>
      <w:r w:rsidRPr="00245C29">
        <w:rPr>
          <w:rFonts w:ascii="Times New Roman" w:hAnsi="Times New Roman"/>
          <w:kern w:val="0"/>
          <w:szCs w:val="24"/>
        </w:rPr>
        <w:t>10.5</w:t>
      </w:r>
      <w:bookmarkEnd w:id="87"/>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88" w:name="OLE_LINK3"/>
      <w:r w:rsidRPr="00700C00">
        <w:rPr>
          <w:color w:val="000000"/>
          <w:sz w:val="24"/>
        </w:rPr>
        <w:t>本报告期内，为本基金提供审计服务的会计师事务所为普华永道中天会计师事务所</w:t>
      </w:r>
      <w:r w:rsidRPr="00700C00">
        <w:rPr>
          <w:color w:val="000000"/>
          <w:sz w:val="24"/>
        </w:rPr>
        <w:t>(</w:t>
      </w:r>
      <w:r w:rsidRPr="00700C00">
        <w:rPr>
          <w:color w:val="000000"/>
          <w:sz w:val="24"/>
        </w:rPr>
        <w:t>特殊普通合伙</w:t>
      </w:r>
      <w:r w:rsidRPr="00700C00">
        <w:rPr>
          <w:color w:val="000000"/>
          <w:sz w:val="24"/>
        </w:rPr>
        <w:t>)</w:t>
      </w:r>
      <w:r w:rsidRPr="00700C00">
        <w:rPr>
          <w:color w:val="000000"/>
          <w:sz w:val="24"/>
        </w:rPr>
        <w:t>，本期审计费为</w:t>
      </w:r>
      <w:r w:rsidRPr="00700C00">
        <w:rPr>
          <w:color w:val="000000"/>
          <w:sz w:val="24"/>
        </w:rPr>
        <w:t>60,000.00</w:t>
      </w:r>
      <w:r w:rsidRPr="00700C00">
        <w:rPr>
          <w:color w:val="000000"/>
          <w:sz w:val="24"/>
        </w:rPr>
        <w:t>元。自本</w:t>
      </w:r>
      <w:proofErr w:type="gramStart"/>
      <w:r w:rsidRPr="00700C00">
        <w:rPr>
          <w:color w:val="000000"/>
          <w:sz w:val="24"/>
        </w:rPr>
        <w:t>基金基金</w:t>
      </w:r>
      <w:proofErr w:type="gramEnd"/>
      <w:r w:rsidRPr="00700C00">
        <w:rPr>
          <w:color w:val="000000"/>
          <w:sz w:val="24"/>
        </w:rPr>
        <w:t>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9"/>
      <w:bookmarkEnd w:id="88"/>
      <w:r w:rsidRPr="00245C29">
        <w:rPr>
          <w:rFonts w:ascii="Times New Roman" w:hAnsi="Times New Roman"/>
          <w:kern w:val="0"/>
          <w:szCs w:val="24"/>
        </w:rPr>
        <w:t xml:space="preserve">10.6 </w:t>
      </w:r>
      <w:r w:rsidRPr="00245C29">
        <w:rPr>
          <w:rFonts w:ascii="Times New Roman" w:hAnsi="Times New Roman" w:hint="eastAsia"/>
          <w:kern w:val="0"/>
          <w:szCs w:val="24"/>
        </w:rPr>
        <w:t>管理人、托管人及其高级管理人员受稽查或处罚等情况</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900"/>
      <w:r w:rsidRPr="00245C29">
        <w:rPr>
          <w:rFonts w:ascii="Times New Roman" w:hAnsi="Times New Roman"/>
          <w:kern w:val="0"/>
          <w:szCs w:val="24"/>
        </w:rPr>
        <w:t xml:space="preserve">10.7 </w:t>
      </w:r>
      <w:r w:rsidRPr="00245C29">
        <w:rPr>
          <w:rFonts w:ascii="Times New Roman" w:hAnsi="Times New Roman" w:hint="eastAsia"/>
          <w:kern w:val="0"/>
          <w:szCs w:val="24"/>
        </w:rPr>
        <w:t>基金租用证券公司交易单元的有关情况</w:t>
      </w:r>
      <w:bookmarkEnd w:id="90"/>
    </w:p>
    <w:p w:rsidR="001A59F9" w:rsidRPr="00245C29" w:rsidRDefault="001A59F9" w:rsidP="00245C29">
      <w:pPr>
        <w:pStyle w:val="20"/>
        <w:spacing w:before="29" w:after="0" w:line="288" w:lineRule="auto"/>
        <w:rPr>
          <w:rFonts w:ascii="Times New Roman" w:hAnsi="Times New Roman"/>
          <w:kern w:val="0"/>
          <w:szCs w:val="24"/>
        </w:rPr>
      </w:pPr>
      <w:bookmarkStart w:id="91" w:name="_Toc249760070"/>
      <w:r w:rsidRPr="00245C29">
        <w:rPr>
          <w:rFonts w:ascii="Times New Roman" w:hAnsi="Times New Roman"/>
          <w:kern w:val="0"/>
          <w:szCs w:val="24"/>
        </w:rPr>
        <w:t>10.7.1</w:t>
      </w:r>
      <w:r w:rsidRPr="00245C29">
        <w:rPr>
          <w:rFonts w:ascii="Times New Roman" w:hAnsi="Times New Roman" w:hint="eastAsia"/>
          <w:kern w:val="0"/>
          <w:szCs w:val="24"/>
        </w:rPr>
        <w:t>基金租用证券公司交易单元进行股票投资及佣金支付情况</w:t>
      </w:r>
      <w:bookmarkEnd w:id="91"/>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2"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4D0C72">
        <w:tc>
          <w:tcPr>
            <w:tcW w:w="1559" w:type="dxa"/>
            <w:vAlign w:val="center"/>
          </w:tcPr>
          <w:p w:rsidR="004D0C72" w:rsidRDefault="00397BD3">
            <w:pPr>
              <w:jc w:val="left"/>
            </w:pPr>
            <w:r>
              <w:rPr>
                <w:color w:val="000000"/>
                <w:szCs w:val="21"/>
              </w:rPr>
              <w:t>安信证券股份有限公司</w:t>
            </w:r>
          </w:p>
        </w:tc>
        <w:tc>
          <w:tcPr>
            <w:tcW w:w="779" w:type="dxa"/>
            <w:vAlign w:val="center"/>
          </w:tcPr>
          <w:p w:rsidR="004D0C72" w:rsidRDefault="00397BD3">
            <w:pPr>
              <w:jc w:val="right"/>
            </w:pPr>
            <w:r>
              <w:rPr>
                <w:color w:val="000000"/>
                <w:szCs w:val="21"/>
              </w:rPr>
              <w:t>2</w:t>
            </w:r>
          </w:p>
        </w:tc>
        <w:tc>
          <w:tcPr>
            <w:tcW w:w="1800" w:type="dxa"/>
            <w:vAlign w:val="center"/>
          </w:tcPr>
          <w:p w:rsidR="004D0C72" w:rsidRDefault="00397BD3">
            <w:pPr>
              <w:jc w:val="right"/>
            </w:pPr>
            <w:r>
              <w:rPr>
                <w:color w:val="000000"/>
                <w:szCs w:val="21"/>
              </w:rPr>
              <w:t>-</w:t>
            </w:r>
          </w:p>
        </w:tc>
        <w:tc>
          <w:tcPr>
            <w:tcW w:w="1080" w:type="dxa"/>
            <w:vAlign w:val="center"/>
          </w:tcPr>
          <w:p w:rsidR="004D0C72" w:rsidRDefault="00397BD3">
            <w:pPr>
              <w:jc w:val="right"/>
            </w:pPr>
            <w:r>
              <w:rPr>
                <w:color w:val="000000"/>
                <w:szCs w:val="21"/>
              </w:rPr>
              <w:t>-</w:t>
            </w:r>
          </w:p>
        </w:tc>
        <w:tc>
          <w:tcPr>
            <w:tcW w:w="1620" w:type="dxa"/>
            <w:vAlign w:val="center"/>
          </w:tcPr>
          <w:p w:rsidR="004D0C72" w:rsidRDefault="00397BD3">
            <w:pPr>
              <w:jc w:val="right"/>
            </w:pPr>
            <w:r>
              <w:rPr>
                <w:color w:val="000000"/>
                <w:szCs w:val="21"/>
              </w:rPr>
              <w:t>0.00</w:t>
            </w:r>
          </w:p>
        </w:tc>
        <w:tc>
          <w:tcPr>
            <w:tcW w:w="1080" w:type="dxa"/>
            <w:vAlign w:val="center"/>
          </w:tcPr>
          <w:p w:rsidR="004D0C72" w:rsidRDefault="00397BD3">
            <w:pPr>
              <w:jc w:val="right"/>
            </w:pPr>
            <w:r>
              <w:rPr>
                <w:color w:val="000000"/>
                <w:szCs w:val="21"/>
              </w:rPr>
              <w:t>0.00%</w:t>
            </w:r>
          </w:p>
        </w:tc>
        <w:tc>
          <w:tcPr>
            <w:tcW w:w="1080" w:type="dxa"/>
            <w:vAlign w:val="center"/>
          </w:tcPr>
          <w:p w:rsidR="004D0C72" w:rsidRDefault="00397BD3">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10.7.2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2"/>
    </w:p>
    <w:p w:rsidR="001A59F9" w:rsidRPr="00FC1A5A" w:rsidRDefault="001A59F9" w:rsidP="00FC1A5A">
      <w:pPr>
        <w:autoSpaceDE w:val="0"/>
        <w:autoSpaceDN w:val="0"/>
        <w:adjustRightInd w:val="0"/>
        <w:spacing w:before="29" w:line="288" w:lineRule="auto"/>
        <w:ind w:left="15"/>
        <w:jc w:val="right"/>
        <w:rPr>
          <w:color w:val="000000"/>
          <w:sz w:val="24"/>
        </w:rPr>
      </w:pPr>
      <w:bookmarkStart w:id="93" w:name="_Toc249707408"/>
      <w:r w:rsidRPr="00FC1A5A">
        <w:rPr>
          <w:rFonts w:hint="eastAsia"/>
          <w:color w:val="000000"/>
          <w:sz w:val="24"/>
        </w:rPr>
        <w:t>金额单位：人民币元</w:t>
      </w:r>
      <w:bookmarkEnd w:id="9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4"/>
        <w:gridCol w:w="1529"/>
        <w:gridCol w:w="969"/>
        <w:gridCol w:w="1784"/>
        <w:gridCol w:w="1072"/>
        <w:gridCol w:w="1391"/>
        <w:gridCol w:w="1087"/>
      </w:tblGrid>
      <w:tr w:rsidR="009A36E4" w:rsidRPr="00465C9F" w:rsidTr="00DA1FBC">
        <w:tc>
          <w:tcPr>
            <w:tcW w:w="866" w:type="pct"/>
            <w:vMerge w:val="restart"/>
            <w:vAlign w:val="center"/>
          </w:tcPr>
          <w:p w:rsidR="009A36E4" w:rsidRPr="00465C9F" w:rsidRDefault="009A36E4" w:rsidP="00A97873">
            <w:pPr>
              <w:spacing w:before="29" w:line="288" w:lineRule="auto"/>
              <w:ind w:left="17"/>
              <w:jc w:val="center"/>
              <w:rPr>
                <w:color w:val="000000"/>
                <w:szCs w:val="21"/>
              </w:rPr>
            </w:pPr>
            <w:bookmarkStart w:id="94" w:name="_Toc361324902"/>
            <w:bookmarkStart w:id="95" w:name="_GoBack" w:colFirst="0" w:colLast="6"/>
            <w:r w:rsidRPr="00465C9F">
              <w:rPr>
                <w:rFonts w:hint="eastAsia"/>
                <w:color w:val="000000"/>
                <w:szCs w:val="21"/>
              </w:rPr>
              <w:t>券商名称</w:t>
            </w:r>
          </w:p>
        </w:tc>
        <w:tc>
          <w:tcPr>
            <w:tcW w:w="1333" w:type="pct"/>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1300" w:type="pct"/>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1500" w:type="pct"/>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DA1FBC">
        <w:tc>
          <w:tcPr>
            <w:tcW w:w="866" w:type="pct"/>
            <w:vMerge/>
            <w:vAlign w:val="center"/>
          </w:tcPr>
          <w:p w:rsidR="009A36E4" w:rsidRPr="00465C9F" w:rsidRDefault="009A36E4" w:rsidP="00A97873">
            <w:pPr>
              <w:spacing w:before="29" w:line="288" w:lineRule="auto"/>
              <w:ind w:left="17"/>
              <w:jc w:val="center"/>
              <w:rPr>
                <w:color w:val="000000"/>
                <w:szCs w:val="21"/>
              </w:rPr>
            </w:pPr>
          </w:p>
        </w:tc>
        <w:tc>
          <w:tcPr>
            <w:tcW w:w="733"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600"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635"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665"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832"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668"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w:t>
            </w:r>
            <w:proofErr w:type="gramStart"/>
            <w:r w:rsidRPr="00465C9F">
              <w:rPr>
                <w:rFonts w:hint="eastAsia"/>
                <w:color w:val="000000"/>
                <w:szCs w:val="21"/>
              </w:rPr>
              <w:t>证成交</w:t>
            </w:r>
            <w:proofErr w:type="gramEnd"/>
            <w:r w:rsidRPr="00465C9F">
              <w:rPr>
                <w:rFonts w:hint="eastAsia"/>
                <w:color w:val="000000"/>
                <w:szCs w:val="21"/>
              </w:rPr>
              <w:t>总额的比例</w:t>
            </w:r>
          </w:p>
        </w:tc>
      </w:tr>
      <w:tr w:rsidR="004D0C72" w:rsidTr="00DA1FBC">
        <w:tc>
          <w:tcPr>
            <w:tcW w:w="866" w:type="pct"/>
            <w:vAlign w:val="center"/>
          </w:tcPr>
          <w:p w:rsidR="004D0C72" w:rsidRDefault="00397BD3">
            <w:pPr>
              <w:jc w:val="left"/>
            </w:pPr>
            <w:r>
              <w:rPr>
                <w:color w:val="000000"/>
                <w:szCs w:val="21"/>
              </w:rPr>
              <w:t>安信证券股份有限公司</w:t>
            </w:r>
          </w:p>
        </w:tc>
        <w:tc>
          <w:tcPr>
            <w:tcW w:w="733" w:type="pct"/>
            <w:vAlign w:val="center"/>
          </w:tcPr>
          <w:p w:rsidR="004D0C72" w:rsidRDefault="00397BD3">
            <w:pPr>
              <w:jc w:val="right"/>
            </w:pPr>
            <w:r>
              <w:rPr>
                <w:color w:val="000000"/>
                <w:szCs w:val="21"/>
              </w:rPr>
              <w:t>489,826,388.64</w:t>
            </w:r>
          </w:p>
        </w:tc>
        <w:tc>
          <w:tcPr>
            <w:tcW w:w="600" w:type="pct"/>
            <w:vAlign w:val="center"/>
          </w:tcPr>
          <w:p w:rsidR="004D0C72" w:rsidRDefault="00397BD3">
            <w:pPr>
              <w:jc w:val="right"/>
            </w:pPr>
            <w:r>
              <w:rPr>
                <w:color w:val="000000"/>
                <w:szCs w:val="21"/>
              </w:rPr>
              <w:t>100.00%</w:t>
            </w:r>
          </w:p>
        </w:tc>
        <w:tc>
          <w:tcPr>
            <w:tcW w:w="635" w:type="pct"/>
            <w:vAlign w:val="center"/>
          </w:tcPr>
          <w:p w:rsidR="004D0C72" w:rsidRDefault="00397BD3">
            <w:pPr>
              <w:jc w:val="right"/>
            </w:pPr>
            <w:r>
              <w:rPr>
                <w:color w:val="000000"/>
                <w:szCs w:val="21"/>
              </w:rPr>
              <w:t>16,117,400,000.00</w:t>
            </w:r>
          </w:p>
        </w:tc>
        <w:tc>
          <w:tcPr>
            <w:tcW w:w="665" w:type="pct"/>
            <w:vAlign w:val="center"/>
          </w:tcPr>
          <w:p w:rsidR="004D0C72" w:rsidRDefault="00397BD3">
            <w:pPr>
              <w:jc w:val="right"/>
            </w:pPr>
            <w:r>
              <w:rPr>
                <w:color w:val="000000"/>
                <w:szCs w:val="21"/>
              </w:rPr>
              <w:t>100.00%</w:t>
            </w:r>
          </w:p>
        </w:tc>
        <w:tc>
          <w:tcPr>
            <w:tcW w:w="832" w:type="pct"/>
            <w:vAlign w:val="center"/>
          </w:tcPr>
          <w:p w:rsidR="004D0C72" w:rsidRDefault="00397BD3">
            <w:pPr>
              <w:jc w:val="right"/>
            </w:pPr>
            <w:r>
              <w:rPr>
                <w:color w:val="000000"/>
                <w:szCs w:val="21"/>
              </w:rPr>
              <w:t>-</w:t>
            </w:r>
          </w:p>
        </w:tc>
        <w:tc>
          <w:tcPr>
            <w:tcW w:w="668" w:type="pct"/>
            <w:vAlign w:val="center"/>
          </w:tcPr>
          <w:p w:rsidR="004D0C72" w:rsidRDefault="00397BD3">
            <w:pPr>
              <w:jc w:val="right"/>
            </w:pPr>
            <w:r>
              <w:rPr>
                <w:color w:val="000000"/>
                <w:szCs w:val="21"/>
              </w:rPr>
              <w:t>-</w:t>
            </w:r>
          </w:p>
        </w:tc>
      </w:tr>
    </w:tbl>
    <w:bookmarkEnd w:id="95"/>
    <w:p w:rsidR="004D0C72" w:rsidRDefault="00397BD3">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、报告期内，本基金所有交易单元均为新增交易单元；</w:t>
      </w:r>
    </w:p>
    <w:p w:rsidR="004D0C72" w:rsidRDefault="00397BD3">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、租用证券公司交易单元的程序：首先根据租用证券公司交易单元的选择标准进行综合评价，然后根据评价选择基金交易单元。研究部提交方案，并上报公司批准。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A59F9" w:rsidRDefault="001A59F9" w:rsidP="0073361C">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11</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bookmarkEnd w:id="94"/>
    </w:p>
    <w:p w:rsidR="001A59F9" w:rsidRPr="00EA2417" w:rsidRDefault="001A59F9" w:rsidP="00EA2417">
      <w:pPr>
        <w:spacing w:before="29" w:line="288" w:lineRule="auto"/>
        <w:ind w:firstLineChars="200" w:firstLine="480"/>
        <w:rPr>
          <w:color w:val="000000"/>
          <w:sz w:val="24"/>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）基金行业股票估值指数的通知》的指导意见，经与基金托管人协商一致，本基金决定自</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30</w:t>
      </w:r>
      <w:r w:rsidRPr="00EA2417">
        <w:rPr>
          <w:color w:val="000000"/>
          <w:sz w:val="24"/>
        </w:rPr>
        <w:t>日起对其所持有的</w:t>
      </w:r>
      <w:r w:rsidRPr="00EA2417">
        <w:rPr>
          <w:color w:val="000000"/>
          <w:sz w:val="24"/>
        </w:rPr>
        <w:t>“13</w:t>
      </w:r>
      <w:r w:rsidRPr="00EA2417">
        <w:rPr>
          <w:color w:val="000000"/>
          <w:sz w:val="24"/>
        </w:rPr>
        <w:t>牡丹</w:t>
      </w:r>
      <w:r w:rsidRPr="00EA2417">
        <w:rPr>
          <w:color w:val="000000"/>
          <w:sz w:val="24"/>
        </w:rPr>
        <w:t>01”</w:t>
      </w:r>
      <w:r w:rsidRPr="00EA2417">
        <w:rPr>
          <w:color w:val="000000"/>
          <w:sz w:val="24"/>
        </w:rPr>
        <w:t>债券的估值价按前一交易日的收盘价计算，并已于</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31</w:t>
      </w:r>
      <w:r w:rsidRPr="00EA2417">
        <w:rPr>
          <w:color w:val="000000"/>
          <w:sz w:val="24"/>
        </w:rPr>
        <w:t>日起恢复按市场价格进行估值。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149" w:rsidRDefault="00E54149">
      <w:r>
        <w:separator/>
      </w:r>
    </w:p>
  </w:endnote>
  <w:endnote w:type="continuationSeparator" w:id="0">
    <w:p w:rsidR="00E54149" w:rsidRDefault="00E5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756671"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756671">
      <w:rPr>
        <w:kern w:val="0"/>
        <w:szCs w:val="21"/>
      </w:rPr>
      <w:fldChar w:fldCharType="begin"/>
    </w:r>
    <w:r>
      <w:rPr>
        <w:kern w:val="0"/>
        <w:szCs w:val="21"/>
      </w:rPr>
      <w:instrText xml:space="preserve"> PAGE </w:instrText>
    </w:r>
    <w:r w:rsidR="00756671">
      <w:rPr>
        <w:kern w:val="0"/>
        <w:szCs w:val="21"/>
      </w:rPr>
      <w:fldChar w:fldCharType="separate"/>
    </w:r>
    <w:r w:rsidR="00DA1FBC">
      <w:rPr>
        <w:noProof/>
        <w:kern w:val="0"/>
        <w:szCs w:val="21"/>
      </w:rPr>
      <w:t>29</w:t>
    </w:r>
    <w:r w:rsidR="00756671">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756671">
      <w:rPr>
        <w:kern w:val="0"/>
        <w:szCs w:val="21"/>
      </w:rPr>
      <w:fldChar w:fldCharType="begin"/>
    </w:r>
    <w:r>
      <w:rPr>
        <w:kern w:val="0"/>
        <w:szCs w:val="21"/>
      </w:rPr>
      <w:instrText xml:space="preserve"> NUMPAGES </w:instrText>
    </w:r>
    <w:r w:rsidR="00756671">
      <w:rPr>
        <w:kern w:val="0"/>
        <w:szCs w:val="21"/>
      </w:rPr>
      <w:fldChar w:fldCharType="separate"/>
    </w:r>
    <w:r w:rsidR="00DA1FBC">
      <w:rPr>
        <w:noProof/>
        <w:kern w:val="0"/>
        <w:szCs w:val="21"/>
      </w:rPr>
      <w:t>30</w:t>
    </w:r>
    <w:r w:rsidR="00756671">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149" w:rsidRDefault="00E54149">
      <w:r>
        <w:separator/>
      </w:r>
    </w:p>
  </w:footnote>
  <w:footnote w:type="continuationSeparator" w:id="0">
    <w:p w:rsidR="00E54149" w:rsidRDefault="00E54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4F0B"/>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625"/>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97BD3"/>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685"/>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293"/>
    <w:rsid w:val="003F276B"/>
    <w:rsid w:val="003F3B08"/>
    <w:rsid w:val="003F4241"/>
    <w:rsid w:val="003F4597"/>
    <w:rsid w:val="003F4B8A"/>
    <w:rsid w:val="003F5CF4"/>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412"/>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1E9"/>
    <w:rsid w:val="004C62FD"/>
    <w:rsid w:val="004C7235"/>
    <w:rsid w:val="004C75C5"/>
    <w:rsid w:val="004C7955"/>
    <w:rsid w:val="004D0213"/>
    <w:rsid w:val="004D047F"/>
    <w:rsid w:val="004D0C72"/>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957"/>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357A"/>
    <w:rsid w:val="00614CA1"/>
    <w:rsid w:val="00615C2C"/>
    <w:rsid w:val="0062038A"/>
    <w:rsid w:val="006203A8"/>
    <w:rsid w:val="00620E59"/>
    <w:rsid w:val="00621132"/>
    <w:rsid w:val="00622656"/>
    <w:rsid w:val="00623043"/>
    <w:rsid w:val="006234C2"/>
    <w:rsid w:val="0062386E"/>
    <w:rsid w:val="00623D9A"/>
    <w:rsid w:val="00623F01"/>
    <w:rsid w:val="006242FB"/>
    <w:rsid w:val="00624738"/>
    <w:rsid w:val="00624E59"/>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7FC"/>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9F5"/>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1C"/>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671"/>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6F0"/>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3BE"/>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45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39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527"/>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4F07"/>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9A"/>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1FBC"/>
    <w:rsid w:val="00DA21E1"/>
    <w:rsid w:val="00DA2DE3"/>
    <w:rsid w:val="00DA3633"/>
    <w:rsid w:val="00DA3B22"/>
    <w:rsid w:val="00DA400B"/>
    <w:rsid w:val="00DA44D6"/>
    <w:rsid w:val="00DA53DE"/>
    <w:rsid w:val="00DA6443"/>
    <w:rsid w:val="00DA64BA"/>
    <w:rsid w:val="00DA6B5E"/>
    <w:rsid w:val="00DA6D55"/>
    <w:rsid w:val="00DA6E81"/>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149"/>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469C"/>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E1282757-3CFB-4236-B095-C63E7EF9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200094340">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8D93FD-7D5F-4898-ABAD-20F1F681C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30</Pages>
  <Words>3167</Words>
  <Characters>18054</Characters>
  <Application>Microsoft Office Word</Application>
  <DocSecurity>0</DocSecurity>
  <Lines>150</Lines>
  <Paragraphs>42</Paragraphs>
  <ScaleCrop>false</ScaleCrop>
  <Company/>
  <LinksUpToDate>false</LinksUpToDate>
  <CharactersWithSpaces>21179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565</cp:revision>
  <cp:lastPrinted>2007-07-19T00:46:00Z</cp:lastPrinted>
  <dcterms:created xsi:type="dcterms:W3CDTF">2013-10-15T01:57:00Z</dcterms:created>
  <dcterms:modified xsi:type="dcterms:W3CDTF">2015-03-27T13:07:00Z</dcterms:modified>
</cp:coreProperties>
</file>