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交银施罗德先锋混合型证券投资基金</w:t>
      </w:r>
    </w:p>
    <w:p w:rsidR="002279D3" w:rsidRPr="0081286B" w:rsidRDefault="002279D3" w:rsidP="00C15CAC">
      <w:pPr>
        <w:spacing w:before="29" w:line="288" w:lineRule="auto"/>
        <w:jc w:val="center"/>
        <w:rPr>
          <w:b/>
          <w:sz w:val="36"/>
          <w:szCs w:val="36"/>
        </w:rPr>
      </w:pPr>
      <w:r w:rsidRPr="0081286B">
        <w:rPr>
          <w:b/>
          <w:sz w:val="36"/>
          <w:szCs w:val="36"/>
        </w:rPr>
        <w:t>2015</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2015</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二〇一五年十月二十七日</w:t>
      </w:r>
    </w:p>
    <w:p w:rsidR="004061AC" w:rsidRPr="00414345" w:rsidRDefault="004061AC" w:rsidP="00F323FF">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6051E" w:rsidRDefault="000512F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p>
    <w:p w:rsidR="0056051E" w:rsidRDefault="000512F7">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2015</w:t>
      </w:r>
      <w:r>
        <w:rPr>
          <w:color w:val="000000"/>
          <w:sz w:val="24"/>
          <w:szCs w:val="24"/>
        </w:rPr>
        <w:t>年</w:t>
      </w:r>
      <w:r>
        <w:rPr>
          <w:color w:val="000000"/>
          <w:sz w:val="24"/>
          <w:szCs w:val="24"/>
        </w:rPr>
        <w:t>10</w:t>
      </w:r>
      <w:r>
        <w:rPr>
          <w:color w:val="000000"/>
          <w:sz w:val="24"/>
          <w:szCs w:val="24"/>
        </w:rPr>
        <w:t>月</w:t>
      </w:r>
      <w:r>
        <w:rPr>
          <w:color w:val="000000"/>
          <w:sz w:val="24"/>
          <w:szCs w:val="24"/>
        </w:rPr>
        <w:t>26</w:t>
      </w:r>
      <w:r>
        <w:rPr>
          <w:color w:val="000000"/>
          <w:sz w:val="24"/>
          <w:szCs w:val="24"/>
        </w:rPr>
        <w:t>日复核了本报告中的财务指标、净值表现和投资组合报告等内容，保证复核内容不存在虚假记载、误导性陈述或者重大遗漏。</w:t>
      </w:r>
      <w:bookmarkStart w:id="0" w:name="_GoBack"/>
      <w:bookmarkEnd w:id="0"/>
    </w:p>
    <w:p w:rsidR="0056051E" w:rsidRDefault="000512F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p>
    <w:p w:rsidR="0056051E" w:rsidRDefault="000512F7">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p>
    <w:p w:rsidR="0056051E" w:rsidRDefault="000512F7">
      <w:pPr>
        <w:spacing w:before="29" w:line="288" w:lineRule="auto"/>
        <w:ind w:firstLineChars="200" w:firstLine="480"/>
        <w:rPr>
          <w:color w:val="000000"/>
          <w:sz w:val="24"/>
          <w:szCs w:val="24"/>
        </w:rPr>
      </w:pPr>
      <w:r>
        <w:rPr>
          <w:color w:val="000000"/>
          <w:sz w:val="24"/>
          <w:szCs w:val="24"/>
        </w:rPr>
        <w:t>本报告中财务资料未经审计。</w:t>
      </w:r>
    </w:p>
    <w:p w:rsidR="00627E2D" w:rsidRDefault="004061AC" w:rsidP="000512F7">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0512F7" w:rsidRPr="000512F7" w:rsidRDefault="000512F7" w:rsidP="000512F7">
      <w:pPr>
        <w:spacing w:before="29" w:line="288" w:lineRule="auto"/>
        <w:ind w:firstLineChars="200" w:firstLine="480"/>
        <w:rPr>
          <w:color w:val="000000"/>
          <w:sz w:val="24"/>
          <w:szCs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交银先锋混合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519698</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519698</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519699</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2009</w:t>
            </w:r>
            <w:r w:rsidRPr="00414345">
              <w:rPr>
                <w:color w:val="000000"/>
                <w:kern w:val="0"/>
                <w:sz w:val="24"/>
                <w:szCs w:val="24"/>
              </w:rPr>
              <w:t>年</w:t>
            </w:r>
            <w:r w:rsidRPr="00414345">
              <w:rPr>
                <w:color w:val="000000"/>
                <w:kern w:val="0"/>
                <w:sz w:val="24"/>
                <w:szCs w:val="24"/>
              </w:rPr>
              <w:t>4</w:t>
            </w:r>
            <w:r w:rsidRPr="00414345">
              <w:rPr>
                <w:color w:val="000000"/>
                <w:kern w:val="0"/>
                <w:sz w:val="24"/>
                <w:szCs w:val="24"/>
              </w:rPr>
              <w:t>月</w:t>
            </w:r>
            <w:r w:rsidRPr="00414345">
              <w:rPr>
                <w:color w:val="000000"/>
                <w:kern w:val="0"/>
                <w:sz w:val="24"/>
                <w:szCs w:val="24"/>
              </w:rPr>
              <w:t>10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1,296,259,783.23</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中证</w:t>
            </w:r>
            <w:r w:rsidRPr="00414345">
              <w:rPr>
                <w:color w:val="000000"/>
                <w:kern w:val="0"/>
                <w:sz w:val="24"/>
                <w:szCs w:val="24"/>
              </w:rPr>
              <w:t>700</w:t>
            </w:r>
            <w:r w:rsidRPr="00414345">
              <w:rPr>
                <w:color w:val="000000"/>
                <w:kern w:val="0"/>
                <w:sz w:val="24"/>
                <w:szCs w:val="24"/>
              </w:rPr>
              <w:t>指数</w:t>
            </w:r>
            <w:r w:rsidRPr="00414345">
              <w:rPr>
                <w:color w:val="000000"/>
                <w:kern w:val="0"/>
                <w:sz w:val="24"/>
                <w:szCs w:val="24"/>
              </w:rPr>
              <w:t>+25%×</w:t>
            </w:r>
            <w:r w:rsidRPr="00414345">
              <w:rPr>
                <w:color w:val="000000"/>
                <w:kern w:val="0"/>
                <w:sz w:val="24"/>
                <w:szCs w:val="24"/>
              </w:rPr>
              <w:t>中信标普全债指数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本基金是一只混合型基金，以具有持续成长潜力企业</w:t>
            </w:r>
            <w:r w:rsidRPr="00414345">
              <w:rPr>
                <w:color w:val="000000"/>
                <w:kern w:val="0"/>
                <w:sz w:val="24"/>
                <w:szCs w:val="24"/>
              </w:rPr>
              <w:lastRenderedPageBreak/>
              <w:t>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0512F7" w:rsidRPr="00414345" w:rsidTr="000512F7">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0512F7" w:rsidRPr="00414345" w:rsidTr="000512F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-316,128,527.02</w:t>
            </w:r>
          </w:p>
        </w:tc>
      </w:tr>
      <w:tr w:rsidR="000512F7" w:rsidRPr="00414345" w:rsidTr="000512F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-613,262,462.22</w:t>
            </w:r>
          </w:p>
        </w:tc>
      </w:tr>
      <w:tr w:rsidR="000512F7" w:rsidRPr="00414345" w:rsidTr="000512F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-0.5000</w:t>
            </w:r>
          </w:p>
        </w:tc>
      </w:tr>
      <w:tr w:rsidR="000512F7" w:rsidRPr="00414345" w:rsidTr="000512F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1,838,510,811.75</w:t>
            </w:r>
          </w:p>
        </w:tc>
      </w:tr>
      <w:tr w:rsidR="000512F7" w:rsidRPr="00414345" w:rsidTr="000512F7">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1.4183</w:t>
            </w:r>
          </w:p>
        </w:tc>
      </w:tr>
    </w:tbl>
    <w:p w:rsidR="0056051E" w:rsidRDefault="000512F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6051E">
        <w:trPr>
          <w:jc w:val="center"/>
        </w:trPr>
        <w:tc>
          <w:tcPr>
            <w:tcW w:w="1701" w:type="dxa"/>
            <w:vAlign w:val="center"/>
          </w:tcPr>
          <w:p w:rsidR="0056051E" w:rsidRDefault="000512F7">
            <w:pPr>
              <w:jc w:val="left"/>
            </w:pPr>
            <w:r>
              <w:rPr>
                <w:color w:val="000000"/>
                <w:sz w:val="24"/>
                <w:szCs w:val="24"/>
              </w:rPr>
              <w:t>过去三个月</w:t>
            </w:r>
          </w:p>
        </w:tc>
        <w:tc>
          <w:tcPr>
            <w:tcW w:w="1045" w:type="dxa"/>
            <w:vAlign w:val="center"/>
          </w:tcPr>
          <w:p w:rsidR="0056051E" w:rsidRDefault="000512F7">
            <w:pPr>
              <w:jc w:val="center"/>
            </w:pPr>
            <w:r>
              <w:rPr>
                <w:color w:val="000000"/>
                <w:sz w:val="24"/>
                <w:szCs w:val="24"/>
              </w:rPr>
              <w:t>-30.77%</w:t>
            </w:r>
          </w:p>
        </w:tc>
        <w:tc>
          <w:tcPr>
            <w:tcW w:w="1344" w:type="dxa"/>
            <w:vAlign w:val="center"/>
          </w:tcPr>
          <w:p w:rsidR="0056051E" w:rsidRDefault="000512F7">
            <w:pPr>
              <w:jc w:val="center"/>
            </w:pPr>
            <w:r>
              <w:rPr>
                <w:color w:val="000000"/>
                <w:sz w:val="24"/>
                <w:szCs w:val="24"/>
              </w:rPr>
              <w:t>5.38%</w:t>
            </w:r>
          </w:p>
        </w:tc>
        <w:tc>
          <w:tcPr>
            <w:tcW w:w="1194" w:type="dxa"/>
            <w:vAlign w:val="center"/>
          </w:tcPr>
          <w:p w:rsidR="0056051E" w:rsidRDefault="000512F7">
            <w:pPr>
              <w:jc w:val="center"/>
            </w:pPr>
            <w:r>
              <w:rPr>
                <w:color w:val="000000"/>
                <w:sz w:val="24"/>
                <w:szCs w:val="24"/>
              </w:rPr>
              <w:t>-23.46%</w:t>
            </w:r>
          </w:p>
        </w:tc>
        <w:tc>
          <w:tcPr>
            <w:tcW w:w="1492" w:type="dxa"/>
            <w:vAlign w:val="center"/>
          </w:tcPr>
          <w:p w:rsidR="0056051E" w:rsidRDefault="000512F7">
            <w:pPr>
              <w:jc w:val="center"/>
            </w:pPr>
            <w:r>
              <w:rPr>
                <w:color w:val="000000"/>
                <w:sz w:val="24"/>
                <w:szCs w:val="24"/>
              </w:rPr>
              <w:t>2.97%</w:t>
            </w:r>
          </w:p>
        </w:tc>
        <w:tc>
          <w:tcPr>
            <w:tcW w:w="1194" w:type="dxa"/>
            <w:vAlign w:val="center"/>
          </w:tcPr>
          <w:p w:rsidR="0056051E" w:rsidRDefault="000512F7">
            <w:pPr>
              <w:jc w:val="center"/>
            </w:pPr>
            <w:r>
              <w:rPr>
                <w:color w:val="000000"/>
                <w:sz w:val="24"/>
                <w:szCs w:val="24"/>
              </w:rPr>
              <w:t>-7.31%</w:t>
            </w:r>
          </w:p>
        </w:tc>
        <w:tc>
          <w:tcPr>
            <w:tcW w:w="898" w:type="dxa"/>
            <w:vAlign w:val="center"/>
          </w:tcPr>
          <w:p w:rsidR="0056051E" w:rsidRDefault="000512F7">
            <w:pPr>
              <w:jc w:val="center"/>
            </w:pPr>
            <w:r>
              <w:rPr>
                <w:color w:val="000000"/>
                <w:sz w:val="24"/>
                <w:szCs w:val="24"/>
              </w:rPr>
              <w:t>2.41%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lastRenderedPageBreak/>
        <w:t>交银施罗德先锋混合型证券投资基金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2009</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6051E">
        <w:trPr>
          <w:jc w:val="center"/>
        </w:trPr>
        <w:tc>
          <w:tcPr>
            <w:tcW w:w="846" w:type="dxa"/>
            <w:vAlign w:val="center"/>
          </w:tcPr>
          <w:p w:rsidR="0056051E" w:rsidRDefault="000512F7">
            <w:pPr>
              <w:jc w:val="center"/>
            </w:pPr>
            <w:r>
              <w:rPr>
                <w:color w:val="000000"/>
                <w:sz w:val="24"/>
                <w:szCs w:val="24"/>
              </w:rPr>
              <w:t>王少成</w:t>
            </w:r>
          </w:p>
        </w:tc>
        <w:tc>
          <w:tcPr>
            <w:tcW w:w="845" w:type="dxa"/>
            <w:vAlign w:val="center"/>
          </w:tcPr>
          <w:p w:rsidR="0056051E" w:rsidRDefault="000512F7">
            <w:pPr>
              <w:jc w:val="center"/>
            </w:pPr>
            <w:r>
              <w:rPr>
                <w:color w:val="000000"/>
                <w:sz w:val="24"/>
                <w:szCs w:val="24"/>
              </w:rPr>
              <w:t>交银成长混合、</w:t>
            </w:r>
            <w:r w:rsidR="00410E45">
              <w:rPr>
                <w:rFonts w:hint="eastAsia"/>
                <w:color w:val="000000"/>
                <w:sz w:val="24"/>
                <w:szCs w:val="24"/>
              </w:rPr>
              <w:t>交银</w:t>
            </w:r>
            <w:r w:rsidR="00410E45">
              <w:rPr>
                <w:color w:val="000000"/>
                <w:sz w:val="24"/>
                <w:szCs w:val="24"/>
              </w:rPr>
              <w:t>先锋混合、交银</w:t>
            </w:r>
            <w:r w:rsidR="00410E45">
              <w:rPr>
                <w:rFonts w:hint="eastAsia"/>
                <w:color w:val="000000"/>
                <w:sz w:val="24"/>
                <w:szCs w:val="24"/>
              </w:rPr>
              <w:t>先进</w:t>
            </w:r>
            <w:r w:rsidR="00410E45">
              <w:rPr>
                <w:color w:val="000000"/>
                <w:sz w:val="24"/>
                <w:szCs w:val="24"/>
              </w:rPr>
              <w:t>制造混合、</w:t>
            </w:r>
            <w:r>
              <w:rPr>
                <w:color w:val="000000"/>
                <w:sz w:val="24"/>
                <w:szCs w:val="24"/>
              </w:rPr>
              <w:t>交银</w:t>
            </w:r>
            <w:r>
              <w:rPr>
                <w:color w:val="000000"/>
                <w:sz w:val="24"/>
                <w:szCs w:val="24"/>
              </w:rPr>
              <w:lastRenderedPageBreak/>
              <w:t>成长</w:t>
            </w:r>
            <w:r>
              <w:rPr>
                <w:color w:val="000000"/>
                <w:sz w:val="24"/>
                <w:szCs w:val="24"/>
              </w:rPr>
              <w:t>30</w:t>
            </w:r>
            <w:r>
              <w:rPr>
                <w:color w:val="000000"/>
                <w:sz w:val="24"/>
                <w:szCs w:val="24"/>
              </w:rPr>
              <w:t>混合的基金经理，公司权益投资总监</w:t>
            </w:r>
          </w:p>
        </w:tc>
        <w:tc>
          <w:tcPr>
            <w:tcW w:w="1549" w:type="dxa"/>
            <w:vAlign w:val="center"/>
          </w:tcPr>
          <w:p w:rsidR="0056051E" w:rsidRDefault="000512F7">
            <w:pPr>
              <w:jc w:val="center"/>
            </w:pPr>
            <w:r>
              <w:rPr>
                <w:color w:val="000000"/>
                <w:sz w:val="24"/>
                <w:szCs w:val="24"/>
              </w:rPr>
              <w:lastRenderedPageBreak/>
              <w:t>2013-05-29</w:t>
            </w:r>
          </w:p>
        </w:tc>
        <w:tc>
          <w:tcPr>
            <w:tcW w:w="1548" w:type="dxa"/>
            <w:vAlign w:val="center"/>
          </w:tcPr>
          <w:p w:rsidR="0056051E" w:rsidRDefault="000512F7">
            <w:pPr>
              <w:jc w:val="center"/>
            </w:pPr>
            <w:r>
              <w:rPr>
                <w:color w:val="000000"/>
                <w:sz w:val="24"/>
                <w:szCs w:val="24"/>
              </w:rPr>
              <w:t>2015-08-15</w:t>
            </w:r>
          </w:p>
        </w:tc>
        <w:tc>
          <w:tcPr>
            <w:tcW w:w="1407" w:type="dxa"/>
            <w:vAlign w:val="center"/>
          </w:tcPr>
          <w:p w:rsidR="0056051E" w:rsidRDefault="000512F7">
            <w:pPr>
              <w:jc w:val="center"/>
            </w:pPr>
            <w:r>
              <w:rPr>
                <w:color w:val="000000"/>
                <w:sz w:val="24"/>
                <w:szCs w:val="24"/>
              </w:rPr>
              <w:t>11</w:t>
            </w:r>
            <w:r>
              <w:rPr>
                <w:color w:val="000000"/>
                <w:sz w:val="24"/>
                <w:szCs w:val="24"/>
              </w:rPr>
              <w:t>年</w:t>
            </w:r>
          </w:p>
        </w:tc>
        <w:tc>
          <w:tcPr>
            <w:tcW w:w="2673" w:type="dxa"/>
            <w:vAlign w:val="center"/>
          </w:tcPr>
          <w:p w:rsidR="0056051E" w:rsidRDefault="000512F7">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szCs w:val="24"/>
              </w:rPr>
              <w:t>2010</w:t>
            </w:r>
            <w:r>
              <w:rPr>
                <w:color w:val="000000"/>
                <w:sz w:val="24"/>
                <w:szCs w:val="24"/>
              </w:rPr>
              <w:t>年</w:t>
            </w:r>
            <w:r>
              <w:rPr>
                <w:color w:val="000000"/>
                <w:sz w:val="24"/>
                <w:szCs w:val="24"/>
              </w:rPr>
              <w:t>9</w:t>
            </w:r>
            <w:r>
              <w:rPr>
                <w:color w:val="000000"/>
                <w:sz w:val="24"/>
                <w:szCs w:val="24"/>
              </w:rPr>
              <w:t>月至</w:t>
            </w:r>
            <w:r>
              <w:rPr>
                <w:color w:val="000000"/>
                <w:sz w:val="24"/>
                <w:szCs w:val="24"/>
              </w:rPr>
              <w:t>2012</w:t>
            </w:r>
            <w:r>
              <w:rPr>
                <w:color w:val="000000"/>
                <w:sz w:val="24"/>
                <w:szCs w:val="24"/>
              </w:rPr>
              <w:t>年</w:t>
            </w:r>
            <w:r>
              <w:rPr>
                <w:color w:val="000000"/>
                <w:sz w:val="24"/>
                <w:szCs w:val="24"/>
              </w:rPr>
              <w:t>10</w:t>
            </w:r>
            <w:r>
              <w:rPr>
                <w:color w:val="000000"/>
                <w:sz w:val="24"/>
                <w:szCs w:val="24"/>
              </w:rPr>
              <w:t>月担任东吴新创业股票型证</w:t>
            </w:r>
            <w:r>
              <w:rPr>
                <w:color w:val="000000"/>
                <w:sz w:val="24"/>
                <w:szCs w:val="24"/>
              </w:rPr>
              <w:lastRenderedPageBreak/>
              <w:t>券投资基金基金经理，</w:t>
            </w:r>
            <w:r>
              <w:rPr>
                <w:color w:val="000000"/>
                <w:sz w:val="24"/>
                <w:szCs w:val="24"/>
              </w:rPr>
              <w:t>2011</w:t>
            </w:r>
            <w:r>
              <w:rPr>
                <w:color w:val="000000"/>
                <w:sz w:val="24"/>
                <w:szCs w:val="24"/>
              </w:rPr>
              <w:t>年</w:t>
            </w:r>
            <w:r>
              <w:rPr>
                <w:color w:val="000000"/>
                <w:sz w:val="24"/>
                <w:szCs w:val="24"/>
              </w:rPr>
              <w:t>2</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月担任东吴中证新兴产业指数证券投资基金基金经理，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月担任东吴价值成长双动力股票型证券投资基金基金经理。</w:t>
            </w:r>
            <w:r>
              <w:rPr>
                <w:color w:val="000000"/>
                <w:sz w:val="24"/>
                <w:szCs w:val="24"/>
              </w:rPr>
              <w:t>2012</w:t>
            </w:r>
            <w:r>
              <w:rPr>
                <w:color w:val="000000"/>
                <w:sz w:val="24"/>
                <w:szCs w:val="24"/>
              </w:rPr>
              <w:t>年加入交银施罗德基金管理有限公司，历任公司权益部副总经理。</w:t>
            </w:r>
            <w:r>
              <w:rPr>
                <w:color w:val="000000"/>
                <w:sz w:val="24"/>
                <w:szCs w:val="24"/>
              </w:rPr>
              <w:t>2013</w:t>
            </w:r>
            <w:r>
              <w:rPr>
                <w:color w:val="000000"/>
                <w:sz w:val="24"/>
                <w:szCs w:val="24"/>
              </w:rPr>
              <w:t>年</w:t>
            </w:r>
            <w:r>
              <w:rPr>
                <w:color w:val="000000"/>
                <w:sz w:val="24"/>
                <w:szCs w:val="24"/>
              </w:rPr>
              <w:t>3</w:t>
            </w:r>
            <w:r>
              <w:rPr>
                <w:color w:val="000000"/>
                <w:sz w:val="24"/>
                <w:szCs w:val="24"/>
              </w:rPr>
              <w:t>月</w:t>
            </w:r>
            <w:r>
              <w:rPr>
                <w:color w:val="000000"/>
                <w:sz w:val="24"/>
                <w:szCs w:val="24"/>
              </w:rPr>
              <w:t>21</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日担任交银施罗德先进制造混合型证券投资基金（原交银施罗德先进制造股票证券投资基金）基金经理，</w:t>
            </w:r>
            <w:r>
              <w:rPr>
                <w:color w:val="000000"/>
                <w:sz w:val="24"/>
                <w:szCs w:val="24"/>
              </w:rPr>
              <w:t>2013</w:t>
            </w:r>
            <w:r>
              <w:rPr>
                <w:color w:val="000000"/>
                <w:sz w:val="24"/>
                <w:szCs w:val="24"/>
              </w:rPr>
              <w:t>年</w:t>
            </w:r>
            <w:r>
              <w:rPr>
                <w:color w:val="000000"/>
                <w:sz w:val="24"/>
                <w:szCs w:val="24"/>
              </w:rPr>
              <w:t>5</w:t>
            </w:r>
            <w:r>
              <w:rPr>
                <w:color w:val="000000"/>
                <w:sz w:val="24"/>
                <w:szCs w:val="24"/>
              </w:rPr>
              <w:t>月</w:t>
            </w:r>
            <w:r>
              <w:rPr>
                <w:color w:val="000000"/>
                <w:sz w:val="24"/>
                <w:szCs w:val="24"/>
              </w:rPr>
              <w:t>29</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日担任交银施罗德先锋混合型证券投资基金（原交银施罗德先锋股票证券投资基金）基金经理。</w:t>
            </w:r>
          </w:p>
        </w:tc>
      </w:tr>
      <w:tr w:rsidR="0056051E">
        <w:trPr>
          <w:jc w:val="center"/>
        </w:trPr>
        <w:tc>
          <w:tcPr>
            <w:tcW w:w="846" w:type="dxa"/>
            <w:vAlign w:val="center"/>
          </w:tcPr>
          <w:p w:rsidR="0056051E" w:rsidRDefault="000512F7">
            <w:pPr>
              <w:jc w:val="center"/>
            </w:pPr>
            <w:r>
              <w:rPr>
                <w:color w:val="000000"/>
                <w:sz w:val="24"/>
                <w:szCs w:val="24"/>
              </w:rPr>
              <w:lastRenderedPageBreak/>
              <w:t>芮晨</w:t>
            </w:r>
          </w:p>
        </w:tc>
        <w:tc>
          <w:tcPr>
            <w:tcW w:w="845" w:type="dxa"/>
            <w:vAlign w:val="center"/>
          </w:tcPr>
          <w:p w:rsidR="0056051E" w:rsidRDefault="000512F7">
            <w:pPr>
              <w:jc w:val="center"/>
            </w:pPr>
            <w:r>
              <w:rPr>
                <w:color w:val="000000"/>
                <w:sz w:val="24"/>
                <w:szCs w:val="24"/>
              </w:rPr>
              <w:t>交银先锋混合的基金经理</w:t>
            </w:r>
          </w:p>
        </w:tc>
        <w:tc>
          <w:tcPr>
            <w:tcW w:w="1549" w:type="dxa"/>
            <w:vAlign w:val="center"/>
          </w:tcPr>
          <w:p w:rsidR="0056051E" w:rsidRDefault="000512F7">
            <w:pPr>
              <w:jc w:val="center"/>
            </w:pPr>
            <w:r>
              <w:rPr>
                <w:color w:val="000000"/>
                <w:sz w:val="24"/>
                <w:szCs w:val="24"/>
              </w:rPr>
              <w:t>2015-05-18</w:t>
            </w:r>
          </w:p>
        </w:tc>
        <w:tc>
          <w:tcPr>
            <w:tcW w:w="1548" w:type="dxa"/>
            <w:vAlign w:val="center"/>
          </w:tcPr>
          <w:p w:rsidR="0056051E" w:rsidRDefault="000512F7">
            <w:pPr>
              <w:jc w:val="center"/>
            </w:pPr>
            <w:r>
              <w:rPr>
                <w:color w:val="000000"/>
                <w:sz w:val="24"/>
                <w:szCs w:val="24"/>
              </w:rPr>
              <w:t>-</w:t>
            </w:r>
          </w:p>
        </w:tc>
        <w:tc>
          <w:tcPr>
            <w:tcW w:w="1407" w:type="dxa"/>
            <w:vAlign w:val="center"/>
          </w:tcPr>
          <w:p w:rsidR="0056051E" w:rsidRDefault="000512F7">
            <w:pPr>
              <w:jc w:val="center"/>
            </w:pPr>
            <w:r>
              <w:rPr>
                <w:color w:val="000000"/>
                <w:sz w:val="24"/>
                <w:szCs w:val="24"/>
              </w:rPr>
              <w:t>8</w:t>
            </w:r>
            <w:r>
              <w:rPr>
                <w:color w:val="000000"/>
                <w:sz w:val="24"/>
                <w:szCs w:val="24"/>
              </w:rPr>
              <w:t>年</w:t>
            </w:r>
          </w:p>
        </w:tc>
        <w:tc>
          <w:tcPr>
            <w:tcW w:w="2673" w:type="dxa"/>
            <w:vAlign w:val="center"/>
          </w:tcPr>
          <w:p w:rsidR="0056051E" w:rsidRDefault="000512F7">
            <w:r>
              <w:rPr>
                <w:color w:val="000000"/>
                <w:sz w:val="24"/>
                <w:szCs w:val="24"/>
              </w:rPr>
              <w:t>芮晨先生，内蒙古科技大学工学士。历任深圳尚诚资产管理有限公司研究员、研究副总监，国联安基金管理有限公司行业研究员、投资经理，</w:t>
            </w:r>
            <w:r>
              <w:rPr>
                <w:color w:val="000000"/>
                <w:sz w:val="24"/>
                <w:szCs w:val="24"/>
              </w:rPr>
              <w:t>2013</w:t>
            </w:r>
            <w:r>
              <w:rPr>
                <w:color w:val="000000"/>
                <w:sz w:val="24"/>
                <w:szCs w:val="24"/>
              </w:rPr>
              <w:t>年</w:t>
            </w:r>
            <w:r>
              <w:rPr>
                <w:color w:val="000000"/>
                <w:sz w:val="24"/>
                <w:szCs w:val="24"/>
              </w:rPr>
              <w:t>-2014</w:t>
            </w:r>
            <w:r>
              <w:rPr>
                <w:color w:val="000000"/>
                <w:sz w:val="24"/>
                <w:szCs w:val="24"/>
              </w:rPr>
              <w:t>年任浙商证券资产管理有限公司投资主办。</w:t>
            </w:r>
            <w:r>
              <w:rPr>
                <w:color w:val="000000"/>
                <w:sz w:val="24"/>
                <w:szCs w:val="24"/>
              </w:rPr>
              <w:t>2015</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6051E" w:rsidRDefault="000512F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6051E" w:rsidRDefault="000512F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6051E" w:rsidRDefault="000512F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56051E" w:rsidRDefault="000512F7">
      <w:pPr>
        <w:spacing w:before="29" w:line="288" w:lineRule="auto"/>
        <w:ind w:firstLineChars="200" w:firstLine="480"/>
        <w:rPr>
          <w:color w:val="000000"/>
          <w:sz w:val="24"/>
          <w:szCs w:val="24"/>
        </w:rPr>
      </w:pPr>
      <w:r>
        <w:rPr>
          <w:color w:val="000000"/>
          <w:sz w:val="24"/>
          <w:szCs w:val="24"/>
        </w:rPr>
        <w:t>三季度，一方面传统经济继续下滑，</w:t>
      </w:r>
      <w:r>
        <w:rPr>
          <w:color w:val="000000"/>
          <w:sz w:val="24"/>
          <w:szCs w:val="24"/>
        </w:rPr>
        <w:t>PPI</w:t>
      </w:r>
      <w:r>
        <w:rPr>
          <w:color w:val="000000"/>
          <w:sz w:val="24"/>
          <w:szCs w:val="24"/>
        </w:rPr>
        <w:t>、工业增加值等总体经济指标继续回落；另一方面，我们看到新兴经济，无论是模式创新、技术创新，还是投融资，仍在继续高歌猛进。虽然三季度后期受二级市场大幅调整的影响，市场的融资热情有所回归，但是从企业经营层面看，并未受影响。尤其是部分优秀领导型企业，在优秀的管理团队和资本的推助下，仍然在加速前进，其进步的速度在全球都排名前列。市场层面，由于受到清查配资的影响，以及外汇在没有预期的情况下突然贬值调整的影响，市场经历了两波持续的大幅下跌。但我们认为，调整更重要的原因还是由于前期大幅的极其快速的上涨，市场自身存在回归的动力。这是市场调整的先决条件，这个先决条件是决定上述两个利空可以发挥作用的关键因素。</w:t>
      </w:r>
    </w:p>
    <w:p w:rsidR="0056051E" w:rsidRDefault="000512F7">
      <w:pPr>
        <w:spacing w:before="29" w:line="288" w:lineRule="auto"/>
        <w:ind w:firstLineChars="200" w:firstLine="480"/>
        <w:rPr>
          <w:color w:val="000000"/>
          <w:sz w:val="24"/>
          <w:szCs w:val="24"/>
        </w:rPr>
      </w:pPr>
      <w:r>
        <w:rPr>
          <w:color w:val="000000"/>
          <w:sz w:val="24"/>
          <w:szCs w:val="24"/>
        </w:rPr>
        <w:t>三季度，本基金净值调整幅度较大的原因在于：我们所看好的新兴产业，以及对应着所选择的公司，无论从产业空间，还是公司的收入规模、利润规模都预计仍有很大的</w:t>
      </w:r>
      <w:r>
        <w:rPr>
          <w:color w:val="000000"/>
          <w:sz w:val="24"/>
          <w:szCs w:val="24"/>
        </w:rPr>
        <w:lastRenderedPageBreak/>
        <w:t>上涨空间</w:t>
      </w:r>
      <w:r>
        <w:rPr>
          <w:color w:val="000000"/>
          <w:sz w:val="24"/>
          <w:szCs w:val="24"/>
        </w:rPr>
        <w:t>,</w:t>
      </w:r>
      <w:r>
        <w:rPr>
          <w:color w:val="000000"/>
          <w:sz w:val="24"/>
          <w:szCs w:val="24"/>
        </w:rPr>
        <w:t>所以，本基金于此期间没有实质性减仓。因为在市场存在的系统性极大幅度回调风险已经被释放了一部分之后，后续再减持中长期看空间大的品种和行业，必要性就不是非常充分。事实上，在中国经济结构化景气及货币宽松这两个大背景下，对应于二级市场中代表中国经济结构化景气的创业板，后续的运行轨迹可能是围绕持续向上的中枢，上下大幅波动，这或许会是未来很长一段时间的主要特征。如何在这种特征的市场中，预先发现市场存在系统性极大幅度回调的风险，是市场给出的挑战。</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对于四季度，在市场极大幅度的风险释放后，新兴产业的很多领导型企业有望迎来较好的投资机会。</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1.4183</w:t>
      </w:r>
      <w:r w:rsidRPr="00414345">
        <w:rPr>
          <w:color w:val="000000"/>
          <w:sz w:val="24"/>
          <w:szCs w:val="24"/>
        </w:rPr>
        <w:t>元，本报告期份额净值增长率为</w:t>
      </w:r>
      <w:r w:rsidRPr="00414345">
        <w:rPr>
          <w:color w:val="000000"/>
          <w:sz w:val="24"/>
          <w:szCs w:val="24"/>
        </w:rPr>
        <w:t>-30.77%</w:t>
      </w:r>
      <w:r w:rsidRPr="00414345">
        <w:rPr>
          <w:color w:val="000000"/>
          <w:sz w:val="24"/>
          <w:szCs w:val="24"/>
        </w:rPr>
        <w:t>，同期业绩比较基准增长率为</w:t>
      </w:r>
      <w:r w:rsidRPr="00414345">
        <w:rPr>
          <w:color w:val="000000"/>
          <w:sz w:val="24"/>
          <w:szCs w:val="24"/>
        </w:rPr>
        <w:t>-23.46%</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1,747,911,551.10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93.09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1,747,911,551.10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93.09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105,598,247.57</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5.62</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24,130,245.03</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1.29</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1,877,640,043.70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1,025,939,818.39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55.80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17,087,479.50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84,910,243.06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464,834,501.44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25.28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77,403,332.16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77,736,176.55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1,747,911,551.10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95.07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6051E">
        <w:trPr>
          <w:jc w:val="center"/>
        </w:trPr>
        <w:tc>
          <w:tcPr>
            <w:tcW w:w="855" w:type="dxa"/>
            <w:vAlign w:val="center"/>
          </w:tcPr>
          <w:p w:rsidR="0056051E" w:rsidRDefault="000512F7">
            <w:pPr>
              <w:jc w:val="center"/>
            </w:pPr>
            <w:r>
              <w:rPr>
                <w:color w:val="000000"/>
                <w:sz w:val="24"/>
                <w:szCs w:val="24"/>
              </w:rPr>
              <w:t>1</w:t>
            </w:r>
          </w:p>
        </w:tc>
        <w:tc>
          <w:tcPr>
            <w:tcW w:w="1334" w:type="dxa"/>
            <w:vAlign w:val="center"/>
          </w:tcPr>
          <w:p w:rsidR="0056051E" w:rsidRDefault="000512F7">
            <w:pPr>
              <w:jc w:val="center"/>
            </w:pPr>
            <w:r>
              <w:rPr>
                <w:color w:val="000000"/>
                <w:sz w:val="24"/>
                <w:szCs w:val="24"/>
              </w:rPr>
              <w:t>300365</w:t>
            </w:r>
          </w:p>
        </w:tc>
        <w:tc>
          <w:tcPr>
            <w:tcW w:w="1777" w:type="dxa"/>
            <w:vAlign w:val="center"/>
          </w:tcPr>
          <w:p w:rsidR="0056051E" w:rsidRDefault="000512F7">
            <w:pPr>
              <w:jc w:val="center"/>
            </w:pPr>
            <w:r>
              <w:rPr>
                <w:color w:val="000000"/>
                <w:sz w:val="24"/>
                <w:szCs w:val="24"/>
              </w:rPr>
              <w:t>恒华科技</w:t>
            </w:r>
          </w:p>
        </w:tc>
        <w:tc>
          <w:tcPr>
            <w:tcW w:w="1334" w:type="dxa"/>
            <w:vAlign w:val="center"/>
          </w:tcPr>
          <w:p w:rsidR="0056051E" w:rsidRDefault="000512F7">
            <w:pPr>
              <w:jc w:val="right"/>
            </w:pPr>
            <w:r>
              <w:rPr>
                <w:color w:val="000000"/>
                <w:sz w:val="24"/>
                <w:szCs w:val="24"/>
              </w:rPr>
              <w:t>7,500,000</w:t>
            </w:r>
          </w:p>
        </w:tc>
        <w:tc>
          <w:tcPr>
            <w:tcW w:w="1924" w:type="dxa"/>
            <w:vAlign w:val="center"/>
          </w:tcPr>
          <w:p w:rsidR="0056051E" w:rsidRDefault="000512F7">
            <w:pPr>
              <w:jc w:val="right"/>
            </w:pPr>
            <w:r>
              <w:rPr>
                <w:color w:val="000000"/>
                <w:sz w:val="24"/>
                <w:szCs w:val="24"/>
              </w:rPr>
              <w:t>170,175,000.00</w:t>
            </w:r>
          </w:p>
        </w:tc>
        <w:tc>
          <w:tcPr>
            <w:tcW w:w="1644" w:type="dxa"/>
            <w:vAlign w:val="center"/>
          </w:tcPr>
          <w:p w:rsidR="0056051E" w:rsidRDefault="000512F7">
            <w:pPr>
              <w:jc w:val="right"/>
            </w:pPr>
            <w:r>
              <w:rPr>
                <w:color w:val="000000"/>
                <w:sz w:val="24"/>
                <w:szCs w:val="24"/>
              </w:rPr>
              <w:t>9.26</w:t>
            </w:r>
          </w:p>
        </w:tc>
      </w:tr>
      <w:tr w:rsidR="0056051E">
        <w:trPr>
          <w:jc w:val="center"/>
        </w:trPr>
        <w:tc>
          <w:tcPr>
            <w:tcW w:w="855" w:type="dxa"/>
            <w:vAlign w:val="center"/>
          </w:tcPr>
          <w:p w:rsidR="0056051E" w:rsidRDefault="000512F7">
            <w:pPr>
              <w:jc w:val="center"/>
            </w:pPr>
            <w:r>
              <w:rPr>
                <w:color w:val="000000"/>
                <w:sz w:val="24"/>
                <w:szCs w:val="24"/>
              </w:rPr>
              <w:t>2</w:t>
            </w:r>
          </w:p>
        </w:tc>
        <w:tc>
          <w:tcPr>
            <w:tcW w:w="1334" w:type="dxa"/>
            <w:vAlign w:val="center"/>
          </w:tcPr>
          <w:p w:rsidR="0056051E" w:rsidRDefault="000512F7">
            <w:pPr>
              <w:jc w:val="center"/>
            </w:pPr>
            <w:r>
              <w:rPr>
                <w:color w:val="000000"/>
                <w:sz w:val="24"/>
                <w:szCs w:val="24"/>
              </w:rPr>
              <w:t>300212</w:t>
            </w:r>
          </w:p>
        </w:tc>
        <w:tc>
          <w:tcPr>
            <w:tcW w:w="1777" w:type="dxa"/>
            <w:vAlign w:val="center"/>
          </w:tcPr>
          <w:p w:rsidR="0056051E" w:rsidRDefault="000512F7">
            <w:pPr>
              <w:jc w:val="center"/>
            </w:pPr>
            <w:r>
              <w:rPr>
                <w:color w:val="000000"/>
                <w:sz w:val="24"/>
                <w:szCs w:val="24"/>
              </w:rPr>
              <w:t>易华录</w:t>
            </w:r>
          </w:p>
        </w:tc>
        <w:tc>
          <w:tcPr>
            <w:tcW w:w="1334" w:type="dxa"/>
            <w:vAlign w:val="center"/>
          </w:tcPr>
          <w:p w:rsidR="0056051E" w:rsidRDefault="000512F7">
            <w:pPr>
              <w:jc w:val="right"/>
            </w:pPr>
            <w:r>
              <w:rPr>
                <w:color w:val="000000"/>
                <w:sz w:val="24"/>
                <w:szCs w:val="24"/>
              </w:rPr>
              <w:t>3,328,832</w:t>
            </w:r>
          </w:p>
        </w:tc>
        <w:tc>
          <w:tcPr>
            <w:tcW w:w="1924" w:type="dxa"/>
            <w:vAlign w:val="center"/>
          </w:tcPr>
          <w:p w:rsidR="0056051E" w:rsidRDefault="000512F7">
            <w:pPr>
              <w:jc w:val="right"/>
            </w:pPr>
            <w:r>
              <w:rPr>
                <w:color w:val="000000"/>
                <w:sz w:val="24"/>
                <w:szCs w:val="24"/>
              </w:rPr>
              <w:t>113,513,171.20</w:t>
            </w:r>
          </w:p>
        </w:tc>
        <w:tc>
          <w:tcPr>
            <w:tcW w:w="1644" w:type="dxa"/>
            <w:vAlign w:val="center"/>
          </w:tcPr>
          <w:p w:rsidR="0056051E" w:rsidRDefault="000512F7">
            <w:pPr>
              <w:jc w:val="right"/>
            </w:pPr>
            <w:r>
              <w:rPr>
                <w:color w:val="000000"/>
                <w:sz w:val="24"/>
                <w:szCs w:val="24"/>
              </w:rPr>
              <w:t>6.17</w:t>
            </w:r>
          </w:p>
        </w:tc>
      </w:tr>
      <w:tr w:rsidR="0056051E">
        <w:trPr>
          <w:jc w:val="center"/>
        </w:trPr>
        <w:tc>
          <w:tcPr>
            <w:tcW w:w="855" w:type="dxa"/>
            <w:vAlign w:val="center"/>
          </w:tcPr>
          <w:p w:rsidR="0056051E" w:rsidRDefault="000512F7">
            <w:pPr>
              <w:jc w:val="center"/>
            </w:pPr>
            <w:r>
              <w:rPr>
                <w:color w:val="000000"/>
                <w:sz w:val="24"/>
                <w:szCs w:val="24"/>
              </w:rPr>
              <w:lastRenderedPageBreak/>
              <w:t>3</w:t>
            </w:r>
          </w:p>
        </w:tc>
        <w:tc>
          <w:tcPr>
            <w:tcW w:w="1334" w:type="dxa"/>
            <w:vAlign w:val="center"/>
          </w:tcPr>
          <w:p w:rsidR="0056051E" w:rsidRDefault="000512F7">
            <w:pPr>
              <w:jc w:val="center"/>
            </w:pPr>
            <w:r>
              <w:rPr>
                <w:color w:val="000000"/>
                <w:sz w:val="24"/>
                <w:szCs w:val="24"/>
              </w:rPr>
              <w:t>300329</w:t>
            </w:r>
          </w:p>
        </w:tc>
        <w:tc>
          <w:tcPr>
            <w:tcW w:w="1777" w:type="dxa"/>
            <w:vAlign w:val="center"/>
          </w:tcPr>
          <w:p w:rsidR="0056051E" w:rsidRDefault="000512F7">
            <w:pPr>
              <w:jc w:val="center"/>
            </w:pPr>
            <w:r>
              <w:rPr>
                <w:color w:val="000000"/>
                <w:sz w:val="24"/>
                <w:szCs w:val="24"/>
              </w:rPr>
              <w:t>海伦钢琴</w:t>
            </w:r>
          </w:p>
        </w:tc>
        <w:tc>
          <w:tcPr>
            <w:tcW w:w="1334" w:type="dxa"/>
            <w:vAlign w:val="center"/>
          </w:tcPr>
          <w:p w:rsidR="0056051E" w:rsidRDefault="000512F7">
            <w:pPr>
              <w:jc w:val="right"/>
            </w:pPr>
            <w:r>
              <w:rPr>
                <w:color w:val="000000"/>
                <w:sz w:val="24"/>
                <w:szCs w:val="24"/>
              </w:rPr>
              <w:t>4,769,723</w:t>
            </w:r>
          </w:p>
        </w:tc>
        <w:tc>
          <w:tcPr>
            <w:tcW w:w="1924" w:type="dxa"/>
            <w:vAlign w:val="center"/>
          </w:tcPr>
          <w:p w:rsidR="0056051E" w:rsidRDefault="000512F7">
            <w:pPr>
              <w:jc w:val="right"/>
            </w:pPr>
            <w:r>
              <w:rPr>
                <w:color w:val="000000"/>
                <w:sz w:val="24"/>
                <w:szCs w:val="24"/>
              </w:rPr>
              <w:t>103,026,016.80</w:t>
            </w:r>
          </w:p>
        </w:tc>
        <w:tc>
          <w:tcPr>
            <w:tcW w:w="1644" w:type="dxa"/>
            <w:vAlign w:val="center"/>
          </w:tcPr>
          <w:p w:rsidR="0056051E" w:rsidRDefault="000512F7">
            <w:pPr>
              <w:jc w:val="right"/>
            </w:pPr>
            <w:r>
              <w:rPr>
                <w:color w:val="000000"/>
                <w:sz w:val="24"/>
                <w:szCs w:val="24"/>
              </w:rPr>
              <w:t>5.60</w:t>
            </w:r>
          </w:p>
        </w:tc>
      </w:tr>
      <w:tr w:rsidR="0056051E">
        <w:trPr>
          <w:jc w:val="center"/>
        </w:trPr>
        <w:tc>
          <w:tcPr>
            <w:tcW w:w="855" w:type="dxa"/>
            <w:vAlign w:val="center"/>
          </w:tcPr>
          <w:p w:rsidR="0056051E" w:rsidRDefault="000512F7">
            <w:pPr>
              <w:jc w:val="center"/>
            </w:pPr>
            <w:r>
              <w:rPr>
                <w:color w:val="000000"/>
                <w:sz w:val="24"/>
                <w:szCs w:val="24"/>
              </w:rPr>
              <w:t>4</w:t>
            </w:r>
          </w:p>
        </w:tc>
        <w:tc>
          <w:tcPr>
            <w:tcW w:w="1334" w:type="dxa"/>
            <w:vAlign w:val="center"/>
          </w:tcPr>
          <w:p w:rsidR="0056051E" w:rsidRDefault="000512F7">
            <w:pPr>
              <w:jc w:val="center"/>
            </w:pPr>
            <w:r>
              <w:rPr>
                <w:color w:val="000000"/>
                <w:sz w:val="24"/>
                <w:szCs w:val="24"/>
              </w:rPr>
              <w:t>002117</w:t>
            </w:r>
          </w:p>
        </w:tc>
        <w:tc>
          <w:tcPr>
            <w:tcW w:w="1777" w:type="dxa"/>
            <w:vAlign w:val="center"/>
          </w:tcPr>
          <w:p w:rsidR="0056051E" w:rsidRDefault="000512F7">
            <w:pPr>
              <w:jc w:val="center"/>
            </w:pPr>
            <w:r>
              <w:rPr>
                <w:color w:val="000000"/>
                <w:sz w:val="24"/>
                <w:szCs w:val="24"/>
              </w:rPr>
              <w:t>东港股份</w:t>
            </w:r>
          </w:p>
        </w:tc>
        <w:tc>
          <w:tcPr>
            <w:tcW w:w="1334" w:type="dxa"/>
            <w:vAlign w:val="center"/>
          </w:tcPr>
          <w:p w:rsidR="0056051E" w:rsidRDefault="000512F7">
            <w:pPr>
              <w:jc w:val="right"/>
            </w:pPr>
            <w:r>
              <w:rPr>
                <w:color w:val="000000"/>
                <w:sz w:val="24"/>
                <w:szCs w:val="24"/>
              </w:rPr>
              <w:t>3,110,436</w:t>
            </w:r>
          </w:p>
        </w:tc>
        <w:tc>
          <w:tcPr>
            <w:tcW w:w="1924" w:type="dxa"/>
            <w:vAlign w:val="center"/>
          </w:tcPr>
          <w:p w:rsidR="0056051E" w:rsidRDefault="000512F7">
            <w:pPr>
              <w:jc w:val="right"/>
            </w:pPr>
            <w:r>
              <w:rPr>
                <w:color w:val="000000"/>
                <w:sz w:val="24"/>
                <w:szCs w:val="24"/>
              </w:rPr>
              <w:t>97,574,377.32</w:t>
            </w:r>
          </w:p>
        </w:tc>
        <w:tc>
          <w:tcPr>
            <w:tcW w:w="1644" w:type="dxa"/>
            <w:vAlign w:val="center"/>
          </w:tcPr>
          <w:p w:rsidR="0056051E" w:rsidRDefault="000512F7">
            <w:pPr>
              <w:jc w:val="right"/>
            </w:pPr>
            <w:r>
              <w:rPr>
                <w:color w:val="000000"/>
                <w:sz w:val="24"/>
                <w:szCs w:val="24"/>
              </w:rPr>
              <w:t>5.31</w:t>
            </w:r>
          </w:p>
        </w:tc>
      </w:tr>
      <w:tr w:rsidR="0056051E">
        <w:trPr>
          <w:jc w:val="center"/>
        </w:trPr>
        <w:tc>
          <w:tcPr>
            <w:tcW w:w="855" w:type="dxa"/>
            <w:vAlign w:val="center"/>
          </w:tcPr>
          <w:p w:rsidR="0056051E" w:rsidRDefault="000512F7">
            <w:pPr>
              <w:jc w:val="center"/>
            </w:pPr>
            <w:r>
              <w:rPr>
                <w:color w:val="000000"/>
                <w:sz w:val="24"/>
                <w:szCs w:val="24"/>
              </w:rPr>
              <w:t>5</w:t>
            </w:r>
          </w:p>
        </w:tc>
        <w:tc>
          <w:tcPr>
            <w:tcW w:w="1334" w:type="dxa"/>
            <w:vAlign w:val="center"/>
          </w:tcPr>
          <w:p w:rsidR="0056051E" w:rsidRDefault="000512F7">
            <w:pPr>
              <w:jc w:val="center"/>
            </w:pPr>
            <w:r>
              <w:rPr>
                <w:color w:val="000000"/>
                <w:sz w:val="24"/>
                <w:szCs w:val="24"/>
              </w:rPr>
              <w:t>603883</w:t>
            </w:r>
          </w:p>
        </w:tc>
        <w:tc>
          <w:tcPr>
            <w:tcW w:w="1777" w:type="dxa"/>
            <w:vAlign w:val="center"/>
          </w:tcPr>
          <w:p w:rsidR="0056051E" w:rsidRDefault="000512F7">
            <w:pPr>
              <w:jc w:val="center"/>
            </w:pPr>
            <w:r>
              <w:rPr>
                <w:color w:val="000000"/>
                <w:sz w:val="24"/>
                <w:szCs w:val="24"/>
              </w:rPr>
              <w:t>老百姓</w:t>
            </w:r>
          </w:p>
        </w:tc>
        <w:tc>
          <w:tcPr>
            <w:tcW w:w="1334" w:type="dxa"/>
            <w:vAlign w:val="center"/>
          </w:tcPr>
          <w:p w:rsidR="0056051E" w:rsidRDefault="000512F7">
            <w:pPr>
              <w:jc w:val="right"/>
            </w:pPr>
            <w:r>
              <w:rPr>
                <w:color w:val="000000"/>
                <w:sz w:val="24"/>
                <w:szCs w:val="24"/>
              </w:rPr>
              <w:t>2,072,498</w:t>
            </w:r>
          </w:p>
        </w:tc>
        <w:tc>
          <w:tcPr>
            <w:tcW w:w="1924" w:type="dxa"/>
            <w:vAlign w:val="center"/>
          </w:tcPr>
          <w:p w:rsidR="0056051E" w:rsidRDefault="000512F7">
            <w:pPr>
              <w:jc w:val="right"/>
            </w:pPr>
            <w:r>
              <w:rPr>
                <w:color w:val="000000"/>
                <w:sz w:val="24"/>
                <w:szCs w:val="24"/>
              </w:rPr>
              <w:t>84,910,243.06</w:t>
            </w:r>
          </w:p>
        </w:tc>
        <w:tc>
          <w:tcPr>
            <w:tcW w:w="1644" w:type="dxa"/>
            <w:vAlign w:val="center"/>
          </w:tcPr>
          <w:p w:rsidR="0056051E" w:rsidRDefault="000512F7">
            <w:pPr>
              <w:jc w:val="right"/>
            </w:pPr>
            <w:r>
              <w:rPr>
                <w:color w:val="000000"/>
                <w:sz w:val="24"/>
                <w:szCs w:val="24"/>
              </w:rPr>
              <w:t>4.62</w:t>
            </w:r>
          </w:p>
        </w:tc>
      </w:tr>
      <w:tr w:rsidR="0056051E">
        <w:trPr>
          <w:jc w:val="center"/>
        </w:trPr>
        <w:tc>
          <w:tcPr>
            <w:tcW w:w="855" w:type="dxa"/>
            <w:vAlign w:val="center"/>
          </w:tcPr>
          <w:p w:rsidR="0056051E" w:rsidRDefault="000512F7">
            <w:pPr>
              <w:jc w:val="center"/>
            </w:pPr>
            <w:r>
              <w:rPr>
                <w:color w:val="000000"/>
                <w:sz w:val="24"/>
                <w:szCs w:val="24"/>
              </w:rPr>
              <w:t>6</w:t>
            </w:r>
          </w:p>
        </w:tc>
        <w:tc>
          <w:tcPr>
            <w:tcW w:w="1334" w:type="dxa"/>
            <w:vAlign w:val="center"/>
          </w:tcPr>
          <w:p w:rsidR="0056051E" w:rsidRDefault="000512F7">
            <w:pPr>
              <w:jc w:val="center"/>
            </w:pPr>
            <w:r>
              <w:rPr>
                <w:color w:val="000000"/>
                <w:sz w:val="24"/>
                <w:szCs w:val="24"/>
              </w:rPr>
              <w:t>300271</w:t>
            </w:r>
          </w:p>
        </w:tc>
        <w:tc>
          <w:tcPr>
            <w:tcW w:w="1777" w:type="dxa"/>
            <w:vAlign w:val="center"/>
          </w:tcPr>
          <w:p w:rsidR="0056051E" w:rsidRDefault="000512F7">
            <w:pPr>
              <w:jc w:val="center"/>
            </w:pPr>
            <w:r>
              <w:rPr>
                <w:color w:val="000000"/>
                <w:sz w:val="24"/>
                <w:szCs w:val="24"/>
              </w:rPr>
              <w:t>华宇软件</w:t>
            </w:r>
          </w:p>
        </w:tc>
        <w:tc>
          <w:tcPr>
            <w:tcW w:w="1334" w:type="dxa"/>
            <w:vAlign w:val="center"/>
          </w:tcPr>
          <w:p w:rsidR="0056051E" w:rsidRDefault="000512F7">
            <w:pPr>
              <w:jc w:val="right"/>
            </w:pPr>
            <w:r>
              <w:rPr>
                <w:color w:val="000000"/>
                <w:sz w:val="24"/>
                <w:szCs w:val="24"/>
              </w:rPr>
              <w:t>2,406,671</w:t>
            </w:r>
          </w:p>
        </w:tc>
        <w:tc>
          <w:tcPr>
            <w:tcW w:w="1924" w:type="dxa"/>
            <w:vAlign w:val="center"/>
          </w:tcPr>
          <w:p w:rsidR="0056051E" w:rsidRDefault="000512F7">
            <w:pPr>
              <w:jc w:val="right"/>
            </w:pPr>
            <w:r>
              <w:rPr>
                <w:color w:val="000000"/>
                <w:sz w:val="24"/>
                <w:szCs w:val="24"/>
              </w:rPr>
              <w:t>84,835,152.75</w:t>
            </w:r>
          </w:p>
        </w:tc>
        <w:tc>
          <w:tcPr>
            <w:tcW w:w="1644" w:type="dxa"/>
            <w:vAlign w:val="center"/>
          </w:tcPr>
          <w:p w:rsidR="0056051E" w:rsidRDefault="000512F7">
            <w:pPr>
              <w:jc w:val="right"/>
            </w:pPr>
            <w:r>
              <w:rPr>
                <w:color w:val="000000"/>
                <w:sz w:val="24"/>
                <w:szCs w:val="24"/>
              </w:rPr>
              <w:t>4.61</w:t>
            </w:r>
          </w:p>
        </w:tc>
      </w:tr>
      <w:tr w:rsidR="0056051E">
        <w:trPr>
          <w:jc w:val="center"/>
        </w:trPr>
        <w:tc>
          <w:tcPr>
            <w:tcW w:w="855" w:type="dxa"/>
            <w:vAlign w:val="center"/>
          </w:tcPr>
          <w:p w:rsidR="0056051E" w:rsidRDefault="000512F7">
            <w:pPr>
              <w:jc w:val="center"/>
            </w:pPr>
            <w:r>
              <w:rPr>
                <w:color w:val="000000"/>
                <w:sz w:val="24"/>
                <w:szCs w:val="24"/>
              </w:rPr>
              <w:t>7</w:t>
            </w:r>
          </w:p>
        </w:tc>
        <w:tc>
          <w:tcPr>
            <w:tcW w:w="1334" w:type="dxa"/>
            <w:vAlign w:val="center"/>
          </w:tcPr>
          <w:p w:rsidR="0056051E" w:rsidRDefault="000512F7">
            <w:pPr>
              <w:jc w:val="center"/>
            </w:pPr>
            <w:r>
              <w:rPr>
                <w:color w:val="000000"/>
                <w:sz w:val="24"/>
                <w:szCs w:val="24"/>
              </w:rPr>
              <w:t>300073</w:t>
            </w:r>
          </w:p>
        </w:tc>
        <w:tc>
          <w:tcPr>
            <w:tcW w:w="1777" w:type="dxa"/>
            <w:vAlign w:val="center"/>
          </w:tcPr>
          <w:p w:rsidR="0056051E" w:rsidRDefault="000512F7">
            <w:pPr>
              <w:jc w:val="center"/>
            </w:pPr>
            <w:r>
              <w:rPr>
                <w:color w:val="000000"/>
                <w:sz w:val="24"/>
                <w:szCs w:val="24"/>
              </w:rPr>
              <w:t>当升科技</w:t>
            </w:r>
          </w:p>
        </w:tc>
        <w:tc>
          <w:tcPr>
            <w:tcW w:w="1334" w:type="dxa"/>
            <w:vAlign w:val="center"/>
          </w:tcPr>
          <w:p w:rsidR="0056051E" w:rsidRDefault="000512F7">
            <w:pPr>
              <w:jc w:val="right"/>
            </w:pPr>
            <w:r>
              <w:rPr>
                <w:color w:val="000000"/>
                <w:sz w:val="24"/>
                <w:szCs w:val="24"/>
              </w:rPr>
              <w:t>3,989,583</w:t>
            </w:r>
          </w:p>
        </w:tc>
        <w:tc>
          <w:tcPr>
            <w:tcW w:w="1924" w:type="dxa"/>
            <w:vAlign w:val="center"/>
          </w:tcPr>
          <w:p w:rsidR="0056051E" w:rsidRDefault="000512F7">
            <w:pPr>
              <w:jc w:val="right"/>
            </w:pPr>
            <w:r>
              <w:rPr>
                <w:color w:val="000000"/>
                <w:sz w:val="24"/>
                <w:szCs w:val="24"/>
              </w:rPr>
              <w:t>79,791,660.00</w:t>
            </w:r>
          </w:p>
        </w:tc>
        <w:tc>
          <w:tcPr>
            <w:tcW w:w="1644" w:type="dxa"/>
            <w:vAlign w:val="center"/>
          </w:tcPr>
          <w:p w:rsidR="0056051E" w:rsidRDefault="000512F7">
            <w:pPr>
              <w:jc w:val="right"/>
            </w:pPr>
            <w:r>
              <w:rPr>
                <w:color w:val="000000"/>
                <w:sz w:val="24"/>
                <w:szCs w:val="24"/>
              </w:rPr>
              <w:t>4.34</w:t>
            </w:r>
          </w:p>
        </w:tc>
      </w:tr>
      <w:tr w:rsidR="0056051E">
        <w:trPr>
          <w:jc w:val="center"/>
        </w:trPr>
        <w:tc>
          <w:tcPr>
            <w:tcW w:w="855" w:type="dxa"/>
            <w:vAlign w:val="center"/>
          </w:tcPr>
          <w:p w:rsidR="0056051E" w:rsidRDefault="000512F7">
            <w:pPr>
              <w:jc w:val="center"/>
            </w:pPr>
            <w:r>
              <w:rPr>
                <w:color w:val="000000"/>
                <w:sz w:val="24"/>
                <w:szCs w:val="24"/>
              </w:rPr>
              <w:t>8</w:t>
            </w:r>
          </w:p>
        </w:tc>
        <w:tc>
          <w:tcPr>
            <w:tcW w:w="1334" w:type="dxa"/>
            <w:vAlign w:val="center"/>
          </w:tcPr>
          <w:p w:rsidR="0056051E" w:rsidRDefault="000512F7">
            <w:pPr>
              <w:jc w:val="center"/>
            </w:pPr>
            <w:r>
              <w:rPr>
                <w:color w:val="000000"/>
                <w:sz w:val="24"/>
                <w:szCs w:val="24"/>
              </w:rPr>
              <w:t>600399</w:t>
            </w:r>
          </w:p>
        </w:tc>
        <w:tc>
          <w:tcPr>
            <w:tcW w:w="1777" w:type="dxa"/>
            <w:vAlign w:val="center"/>
          </w:tcPr>
          <w:p w:rsidR="0056051E" w:rsidRDefault="000512F7">
            <w:pPr>
              <w:jc w:val="center"/>
            </w:pPr>
            <w:r>
              <w:rPr>
                <w:color w:val="000000"/>
                <w:sz w:val="24"/>
                <w:szCs w:val="24"/>
              </w:rPr>
              <w:t>抚顺特钢</w:t>
            </w:r>
          </w:p>
        </w:tc>
        <w:tc>
          <w:tcPr>
            <w:tcW w:w="1334" w:type="dxa"/>
            <w:vAlign w:val="center"/>
          </w:tcPr>
          <w:p w:rsidR="0056051E" w:rsidRDefault="000512F7">
            <w:pPr>
              <w:jc w:val="right"/>
            </w:pPr>
            <w:r>
              <w:rPr>
                <w:color w:val="000000"/>
                <w:sz w:val="24"/>
                <w:szCs w:val="24"/>
              </w:rPr>
              <w:t>9,422,964</w:t>
            </w:r>
          </w:p>
        </w:tc>
        <w:tc>
          <w:tcPr>
            <w:tcW w:w="1924" w:type="dxa"/>
            <w:vAlign w:val="center"/>
          </w:tcPr>
          <w:p w:rsidR="0056051E" w:rsidRDefault="000512F7">
            <w:pPr>
              <w:jc w:val="right"/>
            </w:pPr>
            <w:r>
              <w:rPr>
                <w:color w:val="000000"/>
                <w:sz w:val="24"/>
                <w:szCs w:val="24"/>
              </w:rPr>
              <w:t>79,624,045.80</w:t>
            </w:r>
          </w:p>
        </w:tc>
        <w:tc>
          <w:tcPr>
            <w:tcW w:w="1644" w:type="dxa"/>
            <w:vAlign w:val="center"/>
          </w:tcPr>
          <w:p w:rsidR="0056051E" w:rsidRDefault="000512F7">
            <w:pPr>
              <w:jc w:val="right"/>
            </w:pPr>
            <w:r>
              <w:rPr>
                <w:color w:val="000000"/>
                <w:sz w:val="24"/>
                <w:szCs w:val="24"/>
              </w:rPr>
              <w:t>4.33</w:t>
            </w:r>
          </w:p>
        </w:tc>
      </w:tr>
      <w:tr w:rsidR="0056051E">
        <w:trPr>
          <w:jc w:val="center"/>
        </w:trPr>
        <w:tc>
          <w:tcPr>
            <w:tcW w:w="855" w:type="dxa"/>
            <w:vAlign w:val="center"/>
          </w:tcPr>
          <w:p w:rsidR="0056051E" w:rsidRDefault="000512F7">
            <w:pPr>
              <w:jc w:val="center"/>
            </w:pPr>
            <w:r>
              <w:rPr>
                <w:color w:val="000000"/>
                <w:sz w:val="24"/>
                <w:szCs w:val="24"/>
              </w:rPr>
              <w:t>9</w:t>
            </w:r>
          </w:p>
        </w:tc>
        <w:tc>
          <w:tcPr>
            <w:tcW w:w="1334" w:type="dxa"/>
            <w:vAlign w:val="center"/>
          </w:tcPr>
          <w:p w:rsidR="0056051E" w:rsidRDefault="000512F7">
            <w:pPr>
              <w:jc w:val="center"/>
            </w:pPr>
            <w:r>
              <w:rPr>
                <w:color w:val="000000"/>
                <w:sz w:val="24"/>
                <w:szCs w:val="24"/>
              </w:rPr>
              <w:t>300347</w:t>
            </w:r>
          </w:p>
        </w:tc>
        <w:tc>
          <w:tcPr>
            <w:tcW w:w="1777" w:type="dxa"/>
            <w:vAlign w:val="center"/>
          </w:tcPr>
          <w:p w:rsidR="0056051E" w:rsidRDefault="000512F7">
            <w:pPr>
              <w:jc w:val="center"/>
            </w:pPr>
            <w:r>
              <w:rPr>
                <w:color w:val="000000"/>
                <w:sz w:val="24"/>
                <w:szCs w:val="24"/>
              </w:rPr>
              <w:t>泰格医药</w:t>
            </w:r>
          </w:p>
        </w:tc>
        <w:tc>
          <w:tcPr>
            <w:tcW w:w="1334" w:type="dxa"/>
            <w:vAlign w:val="center"/>
          </w:tcPr>
          <w:p w:rsidR="0056051E" w:rsidRDefault="000512F7">
            <w:pPr>
              <w:jc w:val="right"/>
            </w:pPr>
            <w:r>
              <w:rPr>
                <w:color w:val="000000"/>
                <w:sz w:val="24"/>
                <w:szCs w:val="24"/>
              </w:rPr>
              <w:t>2,402,973</w:t>
            </w:r>
          </w:p>
        </w:tc>
        <w:tc>
          <w:tcPr>
            <w:tcW w:w="1924" w:type="dxa"/>
            <w:vAlign w:val="center"/>
          </w:tcPr>
          <w:p w:rsidR="0056051E" w:rsidRDefault="000512F7">
            <w:pPr>
              <w:jc w:val="right"/>
            </w:pPr>
            <w:r>
              <w:rPr>
                <w:color w:val="000000"/>
                <w:sz w:val="24"/>
                <w:szCs w:val="24"/>
              </w:rPr>
              <w:t>77,736,176.55</w:t>
            </w:r>
          </w:p>
        </w:tc>
        <w:tc>
          <w:tcPr>
            <w:tcW w:w="1644" w:type="dxa"/>
            <w:vAlign w:val="center"/>
          </w:tcPr>
          <w:p w:rsidR="0056051E" w:rsidRDefault="000512F7">
            <w:pPr>
              <w:jc w:val="right"/>
            </w:pPr>
            <w:r>
              <w:rPr>
                <w:color w:val="000000"/>
                <w:sz w:val="24"/>
                <w:szCs w:val="24"/>
              </w:rPr>
              <w:t>4.23</w:t>
            </w:r>
          </w:p>
        </w:tc>
      </w:tr>
      <w:tr w:rsidR="0056051E">
        <w:trPr>
          <w:jc w:val="center"/>
        </w:trPr>
        <w:tc>
          <w:tcPr>
            <w:tcW w:w="855" w:type="dxa"/>
            <w:vAlign w:val="center"/>
          </w:tcPr>
          <w:p w:rsidR="0056051E" w:rsidRDefault="000512F7">
            <w:pPr>
              <w:jc w:val="center"/>
            </w:pPr>
            <w:r>
              <w:rPr>
                <w:color w:val="000000"/>
                <w:sz w:val="24"/>
                <w:szCs w:val="24"/>
              </w:rPr>
              <w:t>10</w:t>
            </w:r>
          </w:p>
        </w:tc>
        <w:tc>
          <w:tcPr>
            <w:tcW w:w="1334" w:type="dxa"/>
            <w:vAlign w:val="center"/>
          </w:tcPr>
          <w:p w:rsidR="0056051E" w:rsidRDefault="000512F7">
            <w:pPr>
              <w:jc w:val="center"/>
            </w:pPr>
            <w:r>
              <w:rPr>
                <w:color w:val="000000"/>
                <w:sz w:val="24"/>
                <w:szCs w:val="24"/>
              </w:rPr>
              <w:t>002712</w:t>
            </w:r>
          </w:p>
        </w:tc>
        <w:tc>
          <w:tcPr>
            <w:tcW w:w="1777" w:type="dxa"/>
            <w:vAlign w:val="center"/>
          </w:tcPr>
          <w:p w:rsidR="0056051E" w:rsidRDefault="000512F7">
            <w:pPr>
              <w:jc w:val="center"/>
            </w:pPr>
            <w:r>
              <w:rPr>
                <w:color w:val="000000"/>
                <w:sz w:val="24"/>
                <w:szCs w:val="24"/>
              </w:rPr>
              <w:t>思美传媒</w:t>
            </w:r>
          </w:p>
        </w:tc>
        <w:tc>
          <w:tcPr>
            <w:tcW w:w="1334" w:type="dxa"/>
            <w:vAlign w:val="center"/>
          </w:tcPr>
          <w:p w:rsidR="0056051E" w:rsidRDefault="000512F7">
            <w:pPr>
              <w:jc w:val="right"/>
            </w:pPr>
            <w:r>
              <w:rPr>
                <w:color w:val="000000"/>
                <w:sz w:val="24"/>
                <w:szCs w:val="24"/>
              </w:rPr>
              <w:t>1,305,504</w:t>
            </w:r>
          </w:p>
        </w:tc>
        <w:tc>
          <w:tcPr>
            <w:tcW w:w="1924" w:type="dxa"/>
            <w:vAlign w:val="center"/>
          </w:tcPr>
          <w:p w:rsidR="0056051E" w:rsidRDefault="000512F7">
            <w:pPr>
              <w:jc w:val="right"/>
            </w:pPr>
            <w:r>
              <w:rPr>
                <w:color w:val="000000"/>
                <w:sz w:val="24"/>
                <w:szCs w:val="24"/>
              </w:rPr>
              <w:t>77,403,332.16</w:t>
            </w:r>
          </w:p>
        </w:tc>
        <w:tc>
          <w:tcPr>
            <w:tcW w:w="1644" w:type="dxa"/>
            <w:vAlign w:val="center"/>
          </w:tcPr>
          <w:p w:rsidR="0056051E" w:rsidRDefault="000512F7">
            <w:pPr>
              <w:jc w:val="right"/>
            </w:pPr>
            <w:r>
              <w:rPr>
                <w:color w:val="000000"/>
                <w:sz w:val="24"/>
                <w:szCs w:val="24"/>
              </w:rPr>
              <w:t>4.21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lastRenderedPageBreak/>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1,060,772.98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18,362,315.25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23,089.86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4,684,066.94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24,130,245.03</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56051E">
        <w:trPr>
          <w:jc w:val="center"/>
        </w:trPr>
        <w:tc>
          <w:tcPr>
            <w:tcW w:w="1129" w:type="dxa"/>
            <w:vAlign w:val="center"/>
          </w:tcPr>
          <w:p w:rsidR="0056051E" w:rsidRDefault="000512F7">
            <w:pPr>
              <w:jc w:val="center"/>
            </w:pPr>
            <w:r>
              <w:rPr>
                <w:color w:val="000000"/>
                <w:sz w:val="24"/>
                <w:szCs w:val="24"/>
              </w:rPr>
              <w:t>1</w:t>
            </w:r>
          </w:p>
        </w:tc>
        <w:tc>
          <w:tcPr>
            <w:tcW w:w="1356" w:type="dxa"/>
            <w:vAlign w:val="center"/>
          </w:tcPr>
          <w:p w:rsidR="0056051E" w:rsidRDefault="000512F7">
            <w:pPr>
              <w:jc w:val="center"/>
            </w:pPr>
            <w:r>
              <w:rPr>
                <w:color w:val="000000"/>
                <w:sz w:val="24"/>
                <w:szCs w:val="24"/>
              </w:rPr>
              <w:t>603883</w:t>
            </w:r>
          </w:p>
        </w:tc>
        <w:tc>
          <w:tcPr>
            <w:tcW w:w="1355" w:type="dxa"/>
            <w:vAlign w:val="center"/>
          </w:tcPr>
          <w:p w:rsidR="0056051E" w:rsidRDefault="000512F7">
            <w:pPr>
              <w:jc w:val="center"/>
            </w:pPr>
            <w:r>
              <w:rPr>
                <w:color w:val="000000"/>
                <w:sz w:val="24"/>
                <w:szCs w:val="24"/>
              </w:rPr>
              <w:t>老百姓</w:t>
            </w:r>
          </w:p>
        </w:tc>
        <w:tc>
          <w:tcPr>
            <w:tcW w:w="1880" w:type="dxa"/>
            <w:vAlign w:val="center"/>
          </w:tcPr>
          <w:p w:rsidR="0056051E" w:rsidRDefault="000512F7">
            <w:pPr>
              <w:jc w:val="right"/>
            </w:pPr>
            <w:r>
              <w:rPr>
                <w:color w:val="000000"/>
                <w:sz w:val="24"/>
                <w:szCs w:val="24"/>
              </w:rPr>
              <w:t>84,910,243.06</w:t>
            </w:r>
          </w:p>
        </w:tc>
        <w:tc>
          <w:tcPr>
            <w:tcW w:w="1724" w:type="dxa"/>
            <w:vAlign w:val="center"/>
          </w:tcPr>
          <w:p w:rsidR="0056051E" w:rsidRDefault="000512F7">
            <w:pPr>
              <w:jc w:val="right"/>
            </w:pPr>
            <w:r>
              <w:rPr>
                <w:color w:val="000000"/>
                <w:sz w:val="24"/>
                <w:szCs w:val="24"/>
              </w:rPr>
              <w:t>4.62</w:t>
            </w:r>
          </w:p>
        </w:tc>
        <w:tc>
          <w:tcPr>
            <w:tcW w:w="1424" w:type="dxa"/>
            <w:vAlign w:val="center"/>
          </w:tcPr>
          <w:p w:rsidR="0056051E" w:rsidRDefault="000512F7">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825,932,704.59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812,984,082.09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342,657,003.45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1,296,259,783.23</w:t>
            </w:r>
          </w:p>
        </w:tc>
      </w:tr>
    </w:tbl>
    <w:p w:rsidR="0056051E" w:rsidRDefault="000512F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F323FF">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4061AC" w:rsidRPr="00414345"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676095"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影响投资者决策的其他重要信息</w:t>
      </w:r>
    </w:p>
    <w:p w:rsidR="0056051E" w:rsidRDefault="000512F7">
      <w:pPr>
        <w:spacing w:before="29" w:line="288" w:lineRule="auto"/>
        <w:ind w:firstLineChars="200" w:firstLine="480"/>
        <w:rPr>
          <w:color w:val="000000"/>
          <w:sz w:val="24"/>
          <w:szCs w:val="24"/>
        </w:rPr>
      </w:pPr>
      <w:r>
        <w:rPr>
          <w:color w:val="000000"/>
          <w:sz w:val="24"/>
          <w:szCs w:val="24"/>
        </w:rPr>
        <w:t xml:space="preserve">1. </w:t>
      </w:r>
      <w:r>
        <w:rPr>
          <w:color w:val="000000"/>
          <w:sz w:val="24"/>
          <w:szCs w:val="24"/>
        </w:rPr>
        <w:t>根据《中华人民共和国证券投资基金法》、《关于实施</w:t>
      </w:r>
      <w:r>
        <w:rPr>
          <w:color w:val="000000"/>
          <w:sz w:val="24"/>
          <w:szCs w:val="24"/>
        </w:rPr>
        <w:t>&lt;</w:t>
      </w:r>
      <w:r>
        <w:rPr>
          <w:color w:val="000000"/>
          <w:sz w:val="24"/>
          <w:szCs w:val="24"/>
        </w:rPr>
        <w:t>公开募集证券投资基金运作管理办法</w:t>
      </w:r>
      <w:r>
        <w:rPr>
          <w:color w:val="000000"/>
          <w:sz w:val="24"/>
          <w:szCs w:val="24"/>
        </w:rPr>
        <w:t>&gt;</w:t>
      </w:r>
      <w:r>
        <w:rPr>
          <w:color w:val="000000"/>
          <w:sz w:val="24"/>
          <w:szCs w:val="24"/>
        </w:rPr>
        <w:t>有关问题的规定》以及《公开募集证券投资基金运作管理办法》第三十条的规定</w:t>
      </w:r>
      <w:r>
        <w:rPr>
          <w:color w:val="000000"/>
          <w:sz w:val="24"/>
          <w:szCs w:val="24"/>
        </w:rPr>
        <w:t>“</w:t>
      </w:r>
      <w:r>
        <w:rPr>
          <w:color w:val="000000"/>
          <w:sz w:val="24"/>
          <w:szCs w:val="24"/>
        </w:rPr>
        <w:t>基金合同和基金招募说明书应当按照下列规定载明基金的类别：（一）百分之八十以上的基金资产投资于股票的，为股票基金；</w:t>
      </w:r>
      <w:r>
        <w:rPr>
          <w:color w:val="000000"/>
          <w:sz w:val="24"/>
          <w:szCs w:val="24"/>
        </w:rPr>
        <w:t>……</w:t>
      </w:r>
      <w:r>
        <w:rPr>
          <w:color w:val="000000"/>
          <w:sz w:val="24"/>
          <w:szCs w:val="24"/>
        </w:rPr>
        <w:t>（五）投资于股票、债券、货币市场工具或其他基金份额，并且股票投资、债券投资、基金投资的比例不符合第（一）项、第（二）项、第（四）项规定的，为混合基金；</w:t>
      </w:r>
      <w:r>
        <w:rPr>
          <w:color w:val="000000"/>
          <w:sz w:val="24"/>
          <w:szCs w:val="24"/>
        </w:rPr>
        <w:t>……”</w:t>
      </w:r>
      <w:r>
        <w:rPr>
          <w:color w:val="000000"/>
          <w:sz w:val="24"/>
          <w:szCs w:val="24"/>
        </w:rPr>
        <w:t>，由于交银施罗德先锋股票证券投资基金的基金投资比例已不符合《公开募集证券投资基金运作管理办法》中关于股票型基金的要求，经与基金托管人协商一致，并报中国证监会备案，本基金管理人决定自</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8</w:t>
      </w:r>
      <w:r>
        <w:rPr>
          <w:color w:val="000000"/>
          <w:sz w:val="24"/>
          <w:szCs w:val="24"/>
        </w:rPr>
        <w:t>日起，调整本基金类型为混合型基金，基金名称变更为</w:t>
      </w:r>
      <w:r>
        <w:rPr>
          <w:color w:val="000000"/>
          <w:sz w:val="24"/>
          <w:szCs w:val="24"/>
        </w:rPr>
        <w:t>“</w:t>
      </w:r>
      <w:r>
        <w:rPr>
          <w:color w:val="000000"/>
          <w:sz w:val="24"/>
          <w:szCs w:val="24"/>
        </w:rPr>
        <w:t>交银施罗德先锋混合型证券投资基金</w:t>
      </w:r>
      <w:r>
        <w:rPr>
          <w:color w:val="000000"/>
          <w:sz w:val="24"/>
          <w:szCs w:val="24"/>
        </w:rPr>
        <w:t>”</w:t>
      </w:r>
      <w:r>
        <w:rPr>
          <w:color w:val="000000"/>
          <w:sz w:val="24"/>
          <w:szCs w:val="24"/>
        </w:rPr>
        <w:t>，同时相应修改基金合同和托管协议相关表述。详情请见本基金管理人于</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5</w:t>
      </w:r>
      <w:r>
        <w:rPr>
          <w:color w:val="000000"/>
          <w:sz w:val="24"/>
          <w:szCs w:val="24"/>
        </w:rPr>
        <w:t>日发布的《交银施罗德基金管理有限公司关于旗下部分基金变更基金类别及修改基金名称并相应修改基金合同和托管协议的公告》。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 xml:space="preserve">2. </w:t>
      </w:r>
      <w:r w:rsidRPr="00414345">
        <w:rPr>
          <w:color w:val="000000"/>
          <w:sz w:val="24"/>
          <w:szCs w:val="24"/>
        </w:rPr>
        <w:t>鉴于交银施罗德先锋混合型证券投资基金的业绩比较基准的指数停止计算编制，本基金管理人根据基金合同的相关约定，经与基金托管人协商一致，并报中国证监会备案，决定自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日起将交银施罗德先锋混合型证券投资基金的业绩比较基准由原</w:t>
      </w:r>
      <w:r w:rsidRPr="00414345">
        <w:rPr>
          <w:color w:val="000000"/>
          <w:sz w:val="24"/>
          <w:szCs w:val="24"/>
        </w:rPr>
        <w:t>“75%×</w:t>
      </w:r>
      <w:r w:rsidRPr="00414345">
        <w:rPr>
          <w:color w:val="000000"/>
          <w:sz w:val="24"/>
          <w:szCs w:val="24"/>
        </w:rPr>
        <w:t>中证</w:t>
      </w:r>
      <w:r w:rsidRPr="00414345">
        <w:rPr>
          <w:color w:val="000000"/>
          <w:sz w:val="24"/>
          <w:szCs w:val="24"/>
        </w:rPr>
        <w:t>700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700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，并相应修改基金合同的有关内容。详情请见本基金管理人于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F323FF">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56051E" w:rsidRDefault="000512F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、中国证监会核准交银施罗德先锋股票证券投资基金募集的文件；</w:t>
      </w:r>
    </w:p>
    <w:p w:rsidR="0056051E" w:rsidRDefault="000512F7">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、《交银施罗德先锋</w:t>
      </w:r>
      <w:r w:rsidR="00A77D2D">
        <w:rPr>
          <w:rFonts w:hint="eastAsia"/>
          <w:color w:val="000000"/>
          <w:sz w:val="24"/>
          <w:szCs w:val="24"/>
        </w:rPr>
        <w:t>混合型</w:t>
      </w:r>
      <w:r>
        <w:rPr>
          <w:color w:val="000000"/>
          <w:sz w:val="24"/>
          <w:szCs w:val="24"/>
        </w:rPr>
        <w:t>证券投资基金基金合同》；</w:t>
      </w:r>
    </w:p>
    <w:p w:rsidR="0056051E" w:rsidRDefault="000512F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、《交银施罗德先锋</w:t>
      </w:r>
      <w:r w:rsidR="00A77D2D">
        <w:rPr>
          <w:rFonts w:hint="eastAsia"/>
          <w:color w:val="000000"/>
          <w:sz w:val="24"/>
          <w:szCs w:val="24"/>
        </w:rPr>
        <w:t>混合型</w:t>
      </w:r>
      <w:r>
        <w:rPr>
          <w:color w:val="000000"/>
          <w:sz w:val="24"/>
          <w:szCs w:val="24"/>
        </w:rPr>
        <w:t>证券投资基金招募说明书》；</w:t>
      </w:r>
    </w:p>
    <w:p w:rsidR="0056051E" w:rsidRDefault="000512F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、《交银施罗德先锋</w:t>
      </w:r>
      <w:r w:rsidR="00A77D2D">
        <w:rPr>
          <w:rFonts w:hint="eastAsia"/>
          <w:color w:val="000000"/>
          <w:sz w:val="24"/>
          <w:szCs w:val="24"/>
        </w:rPr>
        <w:t>混合型</w:t>
      </w:r>
      <w:r>
        <w:rPr>
          <w:color w:val="000000"/>
          <w:sz w:val="24"/>
          <w:szCs w:val="24"/>
        </w:rPr>
        <w:t>证券投资基金托管协议》；</w:t>
      </w:r>
    </w:p>
    <w:p w:rsidR="0056051E" w:rsidRDefault="000512F7">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56051E" w:rsidRDefault="000512F7">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56051E" w:rsidRDefault="000512F7">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、关于申请募集交银施罗德先锋股票证券投资基金之法律意见书；</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、报告期内交银施罗德先锋</w:t>
      </w:r>
      <w:r w:rsidR="00A77D2D">
        <w:rPr>
          <w:rFonts w:hint="eastAsia"/>
          <w:color w:val="000000"/>
          <w:sz w:val="24"/>
          <w:szCs w:val="24"/>
        </w:rPr>
        <w:t>混合型</w:t>
      </w:r>
      <w:r w:rsidRPr="00414345">
        <w:rPr>
          <w:color w:val="000000"/>
          <w:sz w:val="24"/>
          <w:szCs w:val="24"/>
        </w:rPr>
        <w:t>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56051E" w:rsidRDefault="000512F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82" w:rsidRDefault="00DC5582" w:rsidP="00876D65">
      <w:r>
        <w:separator/>
      </w:r>
    </w:p>
  </w:endnote>
  <w:endnote w:type="continuationSeparator" w:id="0">
    <w:p w:rsidR="00DC5582" w:rsidRDefault="00DC5582"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9734BB">
      <w:rPr>
        <w:kern w:val="0"/>
        <w:szCs w:val="21"/>
      </w:rPr>
      <w:fldChar w:fldCharType="begin"/>
    </w:r>
    <w:r>
      <w:rPr>
        <w:kern w:val="0"/>
        <w:szCs w:val="21"/>
      </w:rPr>
      <w:instrText xml:space="preserve"> PAGE </w:instrText>
    </w:r>
    <w:r w:rsidR="009734BB">
      <w:rPr>
        <w:kern w:val="0"/>
        <w:szCs w:val="21"/>
      </w:rPr>
      <w:fldChar w:fldCharType="separate"/>
    </w:r>
    <w:r w:rsidR="00B05AD9">
      <w:rPr>
        <w:noProof/>
        <w:kern w:val="0"/>
        <w:szCs w:val="21"/>
      </w:rPr>
      <w:t>1</w:t>
    </w:r>
    <w:r w:rsidR="009734BB">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9734BB">
      <w:rPr>
        <w:kern w:val="0"/>
        <w:szCs w:val="21"/>
      </w:rPr>
      <w:fldChar w:fldCharType="begin"/>
    </w:r>
    <w:r>
      <w:rPr>
        <w:kern w:val="0"/>
        <w:szCs w:val="21"/>
      </w:rPr>
      <w:instrText xml:space="preserve"> NUMPAGES </w:instrText>
    </w:r>
    <w:r w:rsidR="009734BB">
      <w:rPr>
        <w:kern w:val="0"/>
        <w:szCs w:val="21"/>
      </w:rPr>
      <w:fldChar w:fldCharType="separate"/>
    </w:r>
    <w:r w:rsidR="00B05AD9">
      <w:rPr>
        <w:noProof/>
        <w:kern w:val="0"/>
        <w:szCs w:val="21"/>
      </w:rPr>
      <w:t>12</w:t>
    </w:r>
    <w:r w:rsidR="009734BB">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82" w:rsidRDefault="00DC5582" w:rsidP="00876D65">
      <w:r>
        <w:separator/>
      </w:r>
    </w:p>
  </w:footnote>
  <w:footnote w:type="continuationSeparator" w:id="0">
    <w:p w:rsidR="00DC5582" w:rsidRDefault="00DC5582"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512F7"/>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1A15"/>
    <w:rsid w:val="00364CCB"/>
    <w:rsid w:val="00365798"/>
    <w:rsid w:val="0039085F"/>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61AC"/>
    <w:rsid w:val="00410630"/>
    <w:rsid w:val="00410E45"/>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51E"/>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77D2D"/>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05AD9"/>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5582"/>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0AE"/>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93DEF3-4EF6-4FF7-A186-CEB11873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04F9-841F-4B0B-9B74-242A8D7F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12</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荣华</cp:lastModifiedBy>
  <cp:revision>564</cp:revision>
  <dcterms:created xsi:type="dcterms:W3CDTF">2012-10-16T06:07:00Z</dcterms:created>
  <dcterms:modified xsi:type="dcterms:W3CDTF">2015-10-22T07:15:00Z</dcterms:modified>
</cp:coreProperties>
</file>