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交银施罗德丰泽收益债券型证券投资基金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1</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3</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二〇一五年四月二十一日</w:t>
      </w:r>
    </w:p>
    <w:p w:rsidR="00220542" w:rsidRPr="00405493" w:rsidRDefault="00220542" w:rsidP="002E695F">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267F49" w:rsidRDefault="001F1C6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67F49" w:rsidRDefault="001F1C63">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67F49" w:rsidRDefault="001F1C6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67F49" w:rsidRDefault="001F1C6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67F49" w:rsidRDefault="001F1C6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日起至</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2E695F">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交银丰泽收益债券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519749</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519749</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30</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226,060,553.36</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在严格控制风险的基础上</w:t>
            </w:r>
            <w:r w:rsidRPr="00405493">
              <w:rPr>
                <w:rFonts w:eastAsiaTheme="minorEastAsia"/>
                <w:color w:val="000000"/>
                <w:kern w:val="0"/>
                <w:sz w:val="24"/>
              </w:rPr>
              <w:t>,</w:t>
            </w:r>
            <w:r w:rsidRPr="00405493">
              <w:rPr>
                <w:rFonts w:eastAsiaTheme="minorEastAsia"/>
                <w:color w:val="000000"/>
                <w:kern w:val="0"/>
                <w:sz w:val="24"/>
              </w:rPr>
              <w:t>力争获取高于业绩比较基准的稳定收益。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2E695F">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1F1C63" w:rsidRPr="00405493" w:rsidTr="001F1C63">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日（基金合同生效日）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1F1C63" w:rsidRPr="00405493" w:rsidTr="001F1C6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1,233,586.31</w:t>
            </w:r>
          </w:p>
        </w:tc>
      </w:tr>
      <w:tr w:rsidR="001F1C63" w:rsidRPr="00405493" w:rsidTr="001F1C6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-306,448.17</w:t>
            </w:r>
          </w:p>
        </w:tc>
      </w:tr>
      <w:tr w:rsidR="001F1C63" w:rsidRPr="00405493" w:rsidTr="001F1C6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-0.0014</w:t>
            </w:r>
          </w:p>
        </w:tc>
      </w:tr>
      <w:tr w:rsidR="001F1C63" w:rsidRPr="00405493" w:rsidTr="001F1C6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225,754,105.19</w:t>
            </w:r>
          </w:p>
        </w:tc>
      </w:tr>
      <w:tr w:rsidR="001F1C63" w:rsidRPr="00405493" w:rsidTr="001F1C63">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0.999</w:t>
            </w:r>
          </w:p>
        </w:tc>
      </w:tr>
    </w:tbl>
    <w:p w:rsidR="00267F49" w:rsidRDefault="001F1C6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Default="00763A67" w:rsidP="007B47CF">
      <w:pPr>
        <w:autoSpaceDE w:val="0"/>
        <w:autoSpaceDN w:val="0"/>
        <w:adjustRightInd w:val="0"/>
        <w:spacing w:before="29" w:line="288" w:lineRule="auto"/>
        <w:ind w:firstLine="465"/>
        <w:jc w:val="left"/>
        <w:rPr>
          <w:rFonts w:eastAsiaTheme="minorEastAsia"/>
          <w:color w:val="000000"/>
          <w:sz w:val="24"/>
        </w:rPr>
      </w:pPr>
      <w:r w:rsidRPr="00405493">
        <w:rPr>
          <w:rFonts w:eastAsiaTheme="minorEastAsia"/>
          <w:color w:val="000000"/>
          <w:sz w:val="24"/>
        </w:rPr>
        <w:t>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E695F" w:rsidRPr="002E695F" w:rsidRDefault="002E695F" w:rsidP="007B47CF">
      <w:pPr>
        <w:autoSpaceDE w:val="0"/>
        <w:autoSpaceDN w:val="0"/>
        <w:adjustRightInd w:val="0"/>
        <w:spacing w:before="29" w:line="288" w:lineRule="auto"/>
        <w:ind w:firstLine="465"/>
        <w:jc w:val="left"/>
        <w:rPr>
          <w:rFonts w:eastAsiaTheme="minorEastAsia"/>
          <w:color w:val="000000"/>
          <w:sz w:val="24"/>
        </w:rPr>
      </w:pPr>
      <w:r w:rsidRPr="007B47CF">
        <w:rPr>
          <w:rFonts w:eastAsiaTheme="minorEastAsia"/>
          <w:color w:val="000000"/>
          <w:sz w:val="24"/>
        </w:rPr>
        <w:t>3</w:t>
      </w:r>
      <w:r w:rsidRPr="007B47CF">
        <w:rPr>
          <w:rFonts w:eastAsiaTheme="minorEastAsia" w:hint="eastAsia"/>
          <w:color w:val="000000"/>
          <w:sz w:val="24"/>
        </w:rPr>
        <w:t>、本基金合同生效日为</w:t>
      </w:r>
      <w:r w:rsidRPr="007B47CF">
        <w:rPr>
          <w:rFonts w:eastAsiaTheme="minorEastAsia"/>
          <w:color w:val="000000"/>
          <w:sz w:val="24"/>
        </w:rPr>
        <w:t>2015</w:t>
      </w:r>
      <w:r w:rsidRPr="007B47CF">
        <w:rPr>
          <w:rFonts w:eastAsiaTheme="minorEastAsia" w:hint="eastAsia"/>
          <w:color w:val="000000"/>
          <w:sz w:val="24"/>
        </w:rPr>
        <w:t>年</w:t>
      </w:r>
      <w:r w:rsidRPr="007B47CF">
        <w:rPr>
          <w:rFonts w:eastAsiaTheme="minorEastAsia"/>
          <w:color w:val="000000"/>
          <w:sz w:val="24"/>
        </w:rPr>
        <w:t>1</w:t>
      </w:r>
      <w:r w:rsidRPr="007B47CF">
        <w:rPr>
          <w:rFonts w:eastAsiaTheme="minorEastAsia" w:hint="eastAsia"/>
          <w:color w:val="000000"/>
          <w:sz w:val="24"/>
        </w:rPr>
        <w:t>月</w:t>
      </w:r>
      <w:r w:rsidRPr="007B47CF">
        <w:rPr>
          <w:rFonts w:eastAsiaTheme="minorEastAsia"/>
          <w:color w:val="000000"/>
          <w:sz w:val="24"/>
        </w:rPr>
        <w:t>30</w:t>
      </w:r>
      <w:r w:rsidRPr="007B47CF">
        <w:rPr>
          <w:rFonts w:eastAsiaTheme="minorEastAsia" w:hint="eastAsia"/>
          <w:color w:val="000000"/>
          <w:sz w:val="24"/>
        </w:rPr>
        <w:t>日，基金合同生效日至本报告期期末，本基金运作时间未满三个月。</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267F49">
        <w:trPr>
          <w:jc w:val="center"/>
        </w:trPr>
        <w:tc>
          <w:tcPr>
            <w:tcW w:w="1448" w:type="dxa"/>
            <w:vAlign w:val="center"/>
          </w:tcPr>
          <w:p w:rsidR="00267F49" w:rsidRDefault="001F1C63">
            <w:pPr>
              <w:jc w:val="left"/>
            </w:pPr>
            <w:r>
              <w:rPr>
                <w:rFonts w:eastAsiaTheme="minorEastAsia"/>
                <w:color w:val="000000"/>
                <w:sz w:val="24"/>
              </w:rPr>
              <w:lastRenderedPageBreak/>
              <w:t>自</w:t>
            </w:r>
            <w:r w:rsidR="002E695F">
              <w:rPr>
                <w:rFonts w:eastAsiaTheme="minorEastAsia" w:hint="eastAsia"/>
                <w:color w:val="000000"/>
                <w:sz w:val="24"/>
              </w:rPr>
              <w:t>基金合同</w:t>
            </w:r>
            <w:r>
              <w:rPr>
                <w:rFonts w:eastAsiaTheme="minorEastAsia"/>
                <w:color w:val="000000"/>
                <w:sz w:val="24"/>
              </w:rPr>
              <w:t>生效起至今</w:t>
            </w:r>
          </w:p>
        </w:tc>
        <w:tc>
          <w:tcPr>
            <w:tcW w:w="1134" w:type="dxa"/>
            <w:vAlign w:val="center"/>
          </w:tcPr>
          <w:p w:rsidR="00267F49" w:rsidRDefault="001F1C63">
            <w:pPr>
              <w:jc w:val="center"/>
            </w:pPr>
            <w:r>
              <w:rPr>
                <w:rFonts w:eastAsiaTheme="minorEastAsia"/>
                <w:color w:val="000000"/>
                <w:sz w:val="24"/>
              </w:rPr>
              <w:t>-0.10%</w:t>
            </w:r>
          </w:p>
        </w:tc>
        <w:tc>
          <w:tcPr>
            <w:tcW w:w="1206" w:type="dxa"/>
            <w:vAlign w:val="center"/>
          </w:tcPr>
          <w:p w:rsidR="00267F49" w:rsidRDefault="001F1C63">
            <w:pPr>
              <w:jc w:val="center"/>
            </w:pPr>
            <w:r>
              <w:rPr>
                <w:rFonts w:eastAsiaTheme="minorEastAsia"/>
                <w:color w:val="000000"/>
                <w:sz w:val="24"/>
              </w:rPr>
              <w:t>0.06%</w:t>
            </w:r>
          </w:p>
        </w:tc>
        <w:tc>
          <w:tcPr>
            <w:tcW w:w="1227" w:type="dxa"/>
            <w:vAlign w:val="center"/>
          </w:tcPr>
          <w:p w:rsidR="00267F49" w:rsidRDefault="001F1C63">
            <w:pPr>
              <w:jc w:val="center"/>
            </w:pPr>
            <w:r>
              <w:rPr>
                <w:rFonts w:eastAsiaTheme="minorEastAsia"/>
                <w:color w:val="000000"/>
                <w:sz w:val="24"/>
              </w:rPr>
              <w:t>0.76%</w:t>
            </w:r>
          </w:p>
        </w:tc>
        <w:tc>
          <w:tcPr>
            <w:tcW w:w="1234" w:type="dxa"/>
            <w:vAlign w:val="center"/>
          </w:tcPr>
          <w:p w:rsidR="00267F49" w:rsidRDefault="001F1C63">
            <w:pPr>
              <w:jc w:val="center"/>
            </w:pPr>
            <w:r>
              <w:rPr>
                <w:rFonts w:eastAsiaTheme="minorEastAsia"/>
                <w:color w:val="000000"/>
                <w:sz w:val="24"/>
              </w:rPr>
              <w:t>0.02%</w:t>
            </w:r>
          </w:p>
        </w:tc>
        <w:tc>
          <w:tcPr>
            <w:tcW w:w="1246" w:type="dxa"/>
            <w:vAlign w:val="center"/>
          </w:tcPr>
          <w:p w:rsidR="00267F49" w:rsidRDefault="001F1C63">
            <w:pPr>
              <w:jc w:val="center"/>
            </w:pPr>
            <w:r>
              <w:rPr>
                <w:rFonts w:eastAsiaTheme="minorEastAsia"/>
                <w:color w:val="000000"/>
                <w:sz w:val="24"/>
              </w:rPr>
              <w:t>-0.86%</w:t>
            </w:r>
          </w:p>
        </w:tc>
        <w:tc>
          <w:tcPr>
            <w:tcW w:w="1373" w:type="dxa"/>
            <w:vAlign w:val="center"/>
          </w:tcPr>
          <w:p w:rsidR="00267F49" w:rsidRDefault="001F1C63">
            <w:pPr>
              <w:jc w:val="center"/>
            </w:pPr>
            <w:r>
              <w:rPr>
                <w:rFonts w:eastAsiaTheme="minorEastAsia"/>
                <w:color w:val="000000"/>
                <w:sz w:val="24"/>
              </w:rPr>
              <w:t>0.04%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交银施罗德丰泽收益债券型证券投资基金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30</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3</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日，本基金尚处于建仓期。</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2E695F">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267F49">
        <w:trPr>
          <w:jc w:val="center"/>
        </w:trPr>
        <w:tc>
          <w:tcPr>
            <w:tcW w:w="846" w:type="dxa"/>
            <w:vAlign w:val="center"/>
          </w:tcPr>
          <w:p w:rsidR="00267F49" w:rsidRDefault="001F1C63">
            <w:pPr>
              <w:jc w:val="center"/>
            </w:pPr>
            <w:r>
              <w:rPr>
                <w:rFonts w:eastAsiaTheme="minorEastAsia"/>
                <w:color w:val="000000"/>
                <w:sz w:val="24"/>
              </w:rPr>
              <w:t>孙超</w:t>
            </w:r>
          </w:p>
        </w:tc>
        <w:tc>
          <w:tcPr>
            <w:tcW w:w="845" w:type="dxa"/>
            <w:vAlign w:val="center"/>
          </w:tcPr>
          <w:p w:rsidR="00267F49" w:rsidRDefault="001F1C63">
            <w:pPr>
              <w:jc w:val="center"/>
            </w:pPr>
            <w:r>
              <w:rPr>
                <w:rFonts w:eastAsiaTheme="minorEastAsia"/>
                <w:color w:val="000000"/>
                <w:sz w:val="24"/>
              </w:rPr>
              <w:t>本基金、交银理财</w:t>
            </w:r>
            <w:r>
              <w:rPr>
                <w:rFonts w:eastAsiaTheme="minorEastAsia"/>
                <w:color w:val="000000"/>
                <w:sz w:val="24"/>
              </w:rPr>
              <w:t>60</w:t>
            </w:r>
            <w:r>
              <w:rPr>
                <w:rFonts w:eastAsiaTheme="minorEastAsia"/>
                <w:color w:val="000000"/>
                <w:sz w:val="24"/>
              </w:rPr>
              <w:t>天债券、交银双轮动债券、交银定期支付月月丰债券、交银强化回报债券、交银丰润收益债券、交银丰享收益债券的基金经理</w:t>
            </w:r>
          </w:p>
        </w:tc>
        <w:tc>
          <w:tcPr>
            <w:tcW w:w="1549" w:type="dxa"/>
            <w:vAlign w:val="center"/>
          </w:tcPr>
          <w:p w:rsidR="00267F49" w:rsidRDefault="001F1C63">
            <w:pPr>
              <w:jc w:val="center"/>
            </w:pPr>
            <w:r>
              <w:rPr>
                <w:rFonts w:eastAsiaTheme="minorEastAsia"/>
                <w:color w:val="000000"/>
                <w:sz w:val="24"/>
              </w:rPr>
              <w:t>2015-01-30</w:t>
            </w:r>
          </w:p>
        </w:tc>
        <w:tc>
          <w:tcPr>
            <w:tcW w:w="1548" w:type="dxa"/>
            <w:vAlign w:val="center"/>
          </w:tcPr>
          <w:p w:rsidR="00267F49" w:rsidRDefault="001F1C63">
            <w:pPr>
              <w:jc w:val="center"/>
            </w:pPr>
            <w:r>
              <w:rPr>
                <w:rFonts w:eastAsiaTheme="minorEastAsia"/>
                <w:color w:val="000000"/>
                <w:sz w:val="24"/>
              </w:rPr>
              <w:t>-</w:t>
            </w:r>
          </w:p>
        </w:tc>
        <w:tc>
          <w:tcPr>
            <w:tcW w:w="1407" w:type="dxa"/>
            <w:vAlign w:val="center"/>
          </w:tcPr>
          <w:p w:rsidR="00267F49" w:rsidRDefault="001F1C63">
            <w:pPr>
              <w:jc w:val="center"/>
            </w:pPr>
            <w:r>
              <w:rPr>
                <w:rFonts w:eastAsiaTheme="minorEastAsia"/>
                <w:color w:val="000000"/>
                <w:sz w:val="24"/>
              </w:rPr>
              <w:t>4</w:t>
            </w:r>
            <w:r>
              <w:rPr>
                <w:rFonts w:eastAsiaTheme="minorEastAsia"/>
                <w:color w:val="000000"/>
                <w:sz w:val="24"/>
              </w:rPr>
              <w:t>年</w:t>
            </w:r>
          </w:p>
        </w:tc>
        <w:tc>
          <w:tcPr>
            <w:tcW w:w="2673" w:type="dxa"/>
            <w:vAlign w:val="center"/>
          </w:tcPr>
          <w:p w:rsidR="00267F49" w:rsidRDefault="001F1C63">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w:t>
      </w:r>
      <w:r w:rsidRPr="00405493">
        <w:rPr>
          <w:rFonts w:eastAsiaTheme="minorEastAsia"/>
          <w:color w:val="000000"/>
          <w:sz w:val="24"/>
        </w:rPr>
        <w:t>,</w:t>
      </w:r>
      <w:r w:rsidRPr="00405493">
        <w:rPr>
          <w:rFonts w:eastAsiaTheme="minorEastAsia"/>
          <w:color w:val="000000"/>
          <w:sz w:val="24"/>
        </w:rPr>
        <w:t>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267F49" w:rsidRDefault="001F1C63" w:rsidP="007B47C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一季度，市场在强烈的货币宽松预期中迎来全面降准和降息，春节前债市乐观情绪达到顶峰。春节后由于稳增长政策进一步推出、资金面宽松不达预期以及《</w:t>
      </w:r>
      <w:r>
        <w:rPr>
          <w:rFonts w:eastAsiaTheme="minorEastAsia"/>
          <w:color w:val="000000"/>
          <w:sz w:val="24"/>
        </w:rPr>
        <w:t>2015</w:t>
      </w:r>
      <w:r>
        <w:rPr>
          <w:rFonts w:eastAsiaTheme="minorEastAsia"/>
          <w:color w:val="000000"/>
          <w:sz w:val="24"/>
        </w:rPr>
        <w:t>年地方政府专项债券预算管理办法》颁布后引起市场对利率债供给的担忧，债券市场出现较大幅度的调整。</w:t>
      </w:r>
    </w:p>
    <w:p w:rsidR="00267F49" w:rsidRDefault="001F1C63" w:rsidP="007B47C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中债总全价（总值）指数在</w:t>
      </w:r>
      <w:r>
        <w:rPr>
          <w:rFonts w:eastAsiaTheme="minorEastAsia"/>
          <w:color w:val="000000"/>
          <w:sz w:val="24"/>
        </w:rPr>
        <w:t>1</w:t>
      </w:r>
      <w:r>
        <w:rPr>
          <w:rFonts w:eastAsiaTheme="minorEastAsia"/>
          <w:color w:val="000000"/>
          <w:sz w:val="24"/>
        </w:rPr>
        <w:t>月上涨</w:t>
      </w:r>
      <w:r>
        <w:rPr>
          <w:rFonts w:eastAsiaTheme="minorEastAsia"/>
          <w:color w:val="000000"/>
          <w:sz w:val="24"/>
        </w:rPr>
        <w:t>0.78%</w:t>
      </w:r>
      <w:r>
        <w:rPr>
          <w:rFonts w:eastAsiaTheme="minorEastAsia"/>
          <w:color w:val="000000"/>
          <w:sz w:val="24"/>
        </w:rPr>
        <w:t>，</w:t>
      </w:r>
      <w:r>
        <w:rPr>
          <w:rFonts w:eastAsiaTheme="minorEastAsia"/>
          <w:color w:val="000000"/>
          <w:sz w:val="24"/>
        </w:rPr>
        <w:t>2</w:t>
      </w:r>
      <w:r>
        <w:rPr>
          <w:rFonts w:eastAsiaTheme="minorEastAsia"/>
          <w:color w:val="000000"/>
          <w:sz w:val="24"/>
        </w:rPr>
        <w:t>月上涨</w:t>
      </w:r>
      <w:r>
        <w:rPr>
          <w:rFonts w:eastAsiaTheme="minorEastAsia"/>
          <w:color w:val="000000"/>
          <w:sz w:val="24"/>
        </w:rPr>
        <w:t>0.67%</w:t>
      </w:r>
      <w:r>
        <w:rPr>
          <w:rFonts w:eastAsiaTheme="minorEastAsia"/>
          <w:color w:val="000000"/>
          <w:sz w:val="24"/>
        </w:rPr>
        <w:t>，</w:t>
      </w:r>
      <w:r>
        <w:rPr>
          <w:rFonts w:eastAsiaTheme="minorEastAsia"/>
          <w:color w:val="000000"/>
          <w:sz w:val="24"/>
        </w:rPr>
        <w:t>3</w:t>
      </w:r>
      <w:r>
        <w:rPr>
          <w:rFonts w:eastAsiaTheme="minorEastAsia"/>
          <w:color w:val="000000"/>
          <w:sz w:val="24"/>
        </w:rPr>
        <w:t>月下跌</w:t>
      </w:r>
      <w:r>
        <w:rPr>
          <w:rFonts w:eastAsiaTheme="minorEastAsia"/>
          <w:color w:val="000000"/>
          <w:sz w:val="24"/>
        </w:rPr>
        <w:t>1.99%</w:t>
      </w:r>
      <w:r>
        <w:rPr>
          <w:rFonts w:eastAsiaTheme="minorEastAsia"/>
          <w:color w:val="000000"/>
          <w:sz w:val="24"/>
        </w:rPr>
        <w:t>。本基金已完成大部分仓位配置，本报告期内</w:t>
      </w:r>
      <w:r w:rsidR="00045DB1">
        <w:rPr>
          <w:rFonts w:eastAsiaTheme="minorEastAsia" w:hint="eastAsia"/>
          <w:color w:val="000000"/>
          <w:sz w:val="24"/>
        </w:rPr>
        <w:t>运作</w:t>
      </w:r>
      <w:r>
        <w:rPr>
          <w:rFonts w:eastAsiaTheme="minorEastAsia"/>
          <w:color w:val="000000"/>
          <w:sz w:val="24"/>
        </w:rPr>
        <w:t>较为稳健。</w:t>
      </w:r>
    </w:p>
    <w:p w:rsidR="0097689C" w:rsidRPr="00405493" w:rsidRDefault="00763A67" w:rsidP="007B47CF">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债券市场投资机会正在逐渐显现，预计资金宽松、短端利率下行是大概率事件，长端走势则应密切关注地方债推出对利率债供给的影响以及经济基本面企稳的可靠性。存款保险制度推出后，打破信用债刚性兑付的预期进一步上升，我们保持对低等级信用债的警惕。本基金二季度将完成全部仓位配置，以与封闭期适度匹配的债券配置进行杠杆操作，力争获取相对稳定的收益。</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0.999</w:t>
      </w:r>
      <w:r w:rsidRPr="00405493">
        <w:rPr>
          <w:rFonts w:eastAsiaTheme="minorEastAsia"/>
          <w:color w:val="000000"/>
          <w:sz w:val="24"/>
        </w:rPr>
        <w:t>元，本报告期份额净值增长率为</w:t>
      </w:r>
      <w:r w:rsidRPr="00405493">
        <w:rPr>
          <w:rFonts w:eastAsiaTheme="minorEastAsia"/>
          <w:color w:val="000000"/>
          <w:sz w:val="24"/>
        </w:rPr>
        <w:t>-0.10%</w:t>
      </w:r>
      <w:r w:rsidRPr="00405493">
        <w:rPr>
          <w:rFonts w:eastAsiaTheme="minorEastAsia"/>
          <w:color w:val="000000"/>
          <w:sz w:val="24"/>
        </w:rPr>
        <w:t>，同期业绩比较基准增长率为</w:t>
      </w:r>
      <w:r w:rsidRPr="00405493">
        <w:rPr>
          <w:rFonts w:eastAsiaTheme="minorEastAsia"/>
          <w:color w:val="000000"/>
          <w:sz w:val="24"/>
        </w:rPr>
        <w:t>0.76%</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1F1C63">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2E695F">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338,644,001.64</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96.83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318,618,401.64</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91.11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7B47CF">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20,025,600.00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5.73</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5,514,257.16</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1.58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5,561,688.96</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1.59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349,719,947.76</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26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69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75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188,805,401.64</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83.63</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129,813,000.00</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57.50</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318,618,401.64</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141.14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267F49">
        <w:trPr>
          <w:jc w:val="center"/>
        </w:trPr>
        <w:tc>
          <w:tcPr>
            <w:tcW w:w="1302" w:type="dxa"/>
            <w:vAlign w:val="center"/>
          </w:tcPr>
          <w:p w:rsidR="00267F49" w:rsidRDefault="001F1C63">
            <w:pPr>
              <w:jc w:val="center"/>
            </w:pPr>
            <w:r>
              <w:rPr>
                <w:rFonts w:eastAsiaTheme="minorEastAsia"/>
                <w:color w:val="000000"/>
                <w:sz w:val="24"/>
              </w:rPr>
              <w:t>1</w:t>
            </w:r>
          </w:p>
        </w:tc>
        <w:tc>
          <w:tcPr>
            <w:tcW w:w="1362" w:type="dxa"/>
            <w:vAlign w:val="center"/>
          </w:tcPr>
          <w:p w:rsidR="00267F49" w:rsidRDefault="001F1C63">
            <w:pPr>
              <w:jc w:val="center"/>
            </w:pPr>
            <w:r>
              <w:rPr>
                <w:rFonts w:eastAsiaTheme="minorEastAsia"/>
                <w:color w:val="000000"/>
                <w:sz w:val="24"/>
              </w:rPr>
              <w:t>101454033</w:t>
            </w:r>
          </w:p>
        </w:tc>
        <w:tc>
          <w:tcPr>
            <w:tcW w:w="1652" w:type="dxa"/>
            <w:vAlign w:val="center"/>
          </w:tcPr>
          <w:p w:rsidR="00267F49" w:rsidRDefault="001F1C63">
            <w:pPr>
              <w:jc w:val="center"/>
            </w:pPr>
            <w:r>
              <w:rPr>
                <w:rFonts w:eastAsiaTheme="minorEastAsia"/>
                <w:color w:val="000000"/>
                <w:sz w:val="24"/>
              </w:rPr>
              <w:t>14</w:t>
            </w:r>
            <w:r>
              <w:rPr>
                <w:rFonts w:eastAsiaTheme="minorEastAsia"/>
                <w:color w:val="000000"/>
                <w:sz w:val="24"/>
              </w:rPr>
              <w:t>马钢</w:t>
            </w:r>
            <w:r>
              <w:rPr>
                <w:rFonts w:eastAsiaTheme="minorEastAsia"/>
                <w:color w:val="000000"/>
                <w:sz w:val="24"/>
              </w:rPr>
              <w:t>MTN001</w:t>
            </w:r>
          </w:p>
        </w:tc>
        <w:tc>
          <w:tcPr>
            <w:tcW w:w="1417" w:type="dxa"/>
            <w:vAlign w:val="center"/>
          </w:tcPr>
          <w:p w:rsidR="00267F49" w:rsidRDefault="001F1C63">
            <w:pPr>
              <w:jc w:val="right"/>
            </w:pPr>
            <w:r>
              <w:rPr>
                <w:rFonts w:eastAsiaTheme="minorEastAsia"/>
                <w:color w:val="000000"/>
                <w:sz w:val="24"/>
              </w:rPr>
              <w:t>200,000</w:t>
            </w:r>
          </w:p>
        </w:tc>
        <w:tc>
          <w:tcPr>
            <w:tcW w:w="1701" w:type="dxa"/>
            <w:vAlign w:val="center"/>
          </w:tcPr>
          <w:p w:rsidR="00267F49" w:rsidRDefault="001F1C63">
            <w:pPr>
              <w:jc w:val="right"/>
            </w:pPr>
            <w:r>
              <w:rPr>
                <w:rFonts w:eastAsiaTheme="minorEastAsia"/>
                <w:color w:val="000000"/>
                <w:sz w:val="24"/>
              </w:rPr>
              <w:t>20,400,000.00</w:t>
            </w:r>
          </w:p>
        </w:tc>
        <w:tc>
          <w:tcPr>
            <w:tcW w:w="1434" w:type="dxa"/>
            <w:vAlign w:val="center"/>
          </w:tcPr>
          <w:p w:rsidR="00267F49" w:rsidRDefault="001F1C63">
            <w:pPr>
              <w:jc w:val="right"/>
            </w:pPr>
            <w:r>
              <w:rPr>
                <w:rFonts w:eastAsiaTheme="minorEastAsia"/>
                <w:color w:val="000000"/>
                <w:sz w:val="24"/>
              </w:rPr>
              <w:t>9.04</w:t>
            </w:r>
          </w:p>
        </w:tc>
      </w:tr>
      <w:tr w:rsidR="00267F49">
        <w:trPr>
          <w:jc w:val="center"/>
        </w:trPr>
        <w:tc>
          <w:tcPr>
            <w:tcW w:w="1302" w:type="dxa"/>
            <w:vAlign w:val="center"/>
          </w:tcPr>
          <w:p w:rsidR="00267F49" w:rsidRDefault="001F1C63">
            <w:pPr>
              <w:jc w:val="center"/>
            </w:pPr>
            <w:r>
              <w:rPr>
                <w:rFonts w:eastAsiaTheme="minorEastAsia"/>
                <w:color w:val="000000"/>
                <w:sz w:val="24"/>
              </w:rPr>
              <w:t>2</w:t>
            </w:r>
          </w:p>
        </w:tc>
        <w:tc>
          <w:tcPr>
            <w:tcW w:w="1362" w:type="dxa"/>
            <w:vAlign w:val="center"/>
          </w:tcPr>
          <w:p w:rsidR="00267F49" w:rsidRDefault="001F1C63">
            <w:pPr>
              <w:jc w:val="center"/>
            </w:pPr>
            <w:r>
              <w:rPr>
                <w:rFonts w:eastAsiaTheme="minorEastAsia"/>
                <w:color w:val="000000"/>
                <w:sz w:val="24"/>
              </w:rPr>
              <w:t>1080133</w:t>
            </w:r>
          </w:p>
        </w:tc>
        <w:tc>
          <w:tcPr>
            <w:tcW w:w="1652" w:type="dxa"/>
            <w:vAlign w:val="center"/>
          </w:tcPr>
          <w:p w:rsidR="00267F49" w:rsidRDefault="001F1C63">
            <w:pPr>
              <w:jc w:val="center"/>
            </w:pPr>
            <w:r>
              <w:rPr>
                <w:rFonts w:eastAsiaTheme="minorEastAsia"/>
                <w:color w:val="000000"/>
                <w:sz w:val="24"/>
              </w:rPr>
              <w:t>10</w:t>
            </w:r>
            <w:r>
              <w:rPr>
                <w:rFonts w:eastAsiaTheme="minorEastAsia"/>
                <w:color w:val="000000"/>
                <w:sz w:val="24"/>
              </w:rPr>
              <w:t>天业债</w:t>
            </w:r>
          </w:p>
        </w:tc>
        <w:tc>
          <w:tcPr>
            <w:tcW w:w="1417" w:type="dxa"/>
            <w:vAlign w:val="center"/>
          </w:tcPr>
          <w:p w:rsidR="00267F49" w:rsidRDefault="001F1C63">
            <w:pPr>
              <w:jc w:val="right"/>
            </w:pPr>
            <w:r>
              <w:rPr>
                <w:rFonts w:eastAsiaTheme="minorEastAsia"/>
                <w:color w:val="000000"/>
                <w:sz w:val="24"/>
              </w:rPr>
              <w:t>200,000</w:t>
            </w:r>
          </w:p>
        </w:tc>
        <w:tc>
          <w:tcPr>
            <w:tcW w:w="1701" w:type="dxa"/>
            <w:vAlign w:val="center"/>
          </w:tcPr>
          <w:p w:rsidR="00267F49" w:rsidRDefault="001F1C63">
            <w:pPr>
              <w:jc w:val="right"/>
            </w:pPr>
            <w:r>
              <w:rPr>
                <w:rFonts w:eastAsiaTheme="minorEastAsia"/>
                <w:color w:val="000000"/>
                <w:sz w:val="24"/>
              </w:rPr>
              <w:t>20,180,000.00</w:t>
            </w:r>
          </w:p>
        </w:tc>
        <w:tc>
          <w:tcPr>
            <w:tcW w:w="1434" w:type="dxa"/>
            <w:vAlign w:val="center"/>
          </w:tcPr>
          <w:p w:rsidR="00267F49" w:rsidRDefault="001F1C63">
            <w:pPr>
              <w:jc w:val="right"/>
            </w:pPr>
            <w:r>
              <w:rPr>
                <w:rFonts w:eastAsiaTheme="minorEastAsia"/>
                <w:color w:val="000000"/>
                <w:sz w:val="24"/>
              </w:rPr>
              <w:t>8.94</w:t>
            </w:r>
          </w:p>
        </w:tc>
      </w:tr>
      <w:tr w:rsidR="00267F49">
        <w:trPr>
          <w:jc w:val="center"/>
        </w:trPr>
        <w:tc>
          <w:tcPr>
            <w:tcW w:w="1302" w:type="dxa"/>
            <w:vAlign w:val="center"/>
          </w:tcPr>
          <w:p w:rsidR="00267F49" w:rsidRDefault="001F1C63">
            <w:pPr>
              <w:jc w:val="center"/>
            </w:pPr>
            <w:r>
              <w:rPr>
                <w:rFonts w:eastAsiaTheme="minorEastAsia"/>
                <w:color w:val="000000"/>
                <w:sz w:val="24"/>
              </w:rPr>
              <w:t>3</w:t>
            </w:r>
          </w:p>
        </w:tc>
        <w:tc>
          <w:tcPr>
            <w:tcW w:w="1362" w:type="dxa"/>
            <w:vAlign w:val="center"/>
          </w:tcPr>
          <w:p w:rsidR="00267F49" w:rsidRDefault="001F1C63">
            <w:pPr>
              <w:jc w:val="center"/>
            </w:pPr>
            <w:r>
              <w:rPr>
                <w:rFonts w:eastAsiaTheme="minorEastAsia"/>
                <w:color w:val="000000"/>
                <w:sz w:val="24"/>
              </w:rPr>
              <w:t>1280135</w:t>
            </w:r>
          </w:p>
        </w:tc>
        <w:tc>
          <w:tcPr>
            <w:tcW w:w="1652" w:type="dxa"/>
            <w:vAlign w:val="center"/>
          </w:tcPr>
          <w:p w:rsidR="00267F49" w:rsidRDefault="001F1C63">
            <w:pPr>
              <w:jc w:val="center"/>
            </w:pPr>
            <w:r>
              <w:rPr>
                <w:rFonts w:eastAsiaTheme="minorEastAsia"/>
                <w:color w:val="000000"/>
                <w:sz w:val="24"/>
              </w:rPr>
              <w:t>12</w:t>
            </w:r>
            <w:r>
              <w:rPr>
                <w:rFonts w:eastAsiaTheme="minorEastAsia"/>
                <w:color w:val="000000"/>
                <w:sz w:val="24"/>
              </w:rPr>
              <w:t>昆钢控股债</w:t>
            </w:r>
          </w:p>
        </w:tc>
        <w:tc>
          <w:tcPr>
            <w:tcW w:w="1417" w:type="dxa"/>
            <w:vAlign w:val="center"/>
          </w:tcPr>
          <w:p w:rsidR="00267F49" w:rsidRDefault="001F1C63">
            <w:pPr>
              <w:jc w:val="right"/>
            </w:pPr>
            <w:r>
              <w:rPr>
                <w:rFonts w:eastAsiaTheme="minorEastAsia"/>
                <w:color w:val="000000"/>
                <w:sz w:val="24"/>
              </w:rPr>
              <w:t>200,000</w:t>
            </w:r>
          </w:p>
        </w:tc>
        <w:tc>
          <w:tcPr>
            <w:tcW w:w="1701" w:type="dxa"/>
            <w:vAlign w:val="center"/>
          </w:tcPr>
          <w:p w:rsidR="00267F49" w:rsidRDefault="001F1C63">
            <w:pPr>
              <w:jc w:val="right"/>
            </w:pPr>
            <w:r>
              <w:rPr>
                <w:rFonts w:eastAsiaTheme="minorEastAsia"/>
                <w:color w:val="000000"/>
                <w:sz w:val="24"/>
              </w:rPr>
              <w:t>20,104,000.00</w:t>
            </w:r>
          </w:p>
        </w:tc>
        <w:tc>
          <w:tcPr>
            <w:tcW w:w="1434" w:type="dxa"/>
            <w:vAlign w:val="center"/>
          </w:tcPr>
          <w:p w:rsidR="00267F49" w:rsidRDefault="001F1C63">
            <w:pPr>
              <w:jc w:val="right"/>
            </w:pPr>
            <w:r>
              <w:rPr>
                <w:rFonts w:eastAsiaTheme="minorEastAsia"/>
                <w:color w:val="000000"/>
                <w:sz w:val="24"/>
              </w:rPr>
              <w:t>8.91</w:t>
            </w:r>
          </w:p>
        </w:tc>
      </w:tr>
      <w:tr w:rsidR="00267F49">
        <w:trPr>
          <w:jc w:val="center"/>
        </w:trPr>
        <w:tc>
          <w:tcPr>
            <w:tcW w:w="1302" w:type="dxa"/>
            <w:vAlign w:val="center"/>
          </w:tcPr>
          <w:p w:rsidR="00267F49" w:rsidRDefault="001F1C63">
            <w:pPr>
              <w:jc w:val="center"/>
            </w:pPr>
            <w:r>
              <w:rPr>
                <w:rFonts w:eastAsiaTheme="minorEastAsia"/>
                <w:color w:val="000000"/>
                <w:sz w:val="24"/>
              </w:rPr>
              <w:t>4</w:t>
            </w:r>
          </w:p>
        </w:tc>
        <w:tc>
          <w:tcPr>
            <w:tcW w:w="1362" w:type="dxa"/>
            <w:vAlign w:val="center"/>
          </w:tcPr>
          <w:p w:rsidR="00267F49" w:rsidRDefault="001F1C63">
            <w:pPr>
              <w:jc w:val="center"/>
            </w:pPr>
            <w:r>
              <w:rPr>
                <w:rFonts w:eastAsiaTheme="minorEastAsia"/>
                <w:color w:val="000000"/>
                <w:sz w:val="24"/>
              </w:rPr>
              <w:t>101462040</w:t>
            </w:r>
          </w:p>
        </w:tc>
        <w:tc>
          <w:tcPr>
            <w:tcW w:w="1652" w:type="dxa"/>
            <w:vAlign w:val="center"/>
          </w:tcPr>
          <w:p w:rsidR="00267F49" w:rsidRDefault="001F1C63">
            <w:pPr>
              <w:jc w:val="center"/>
            </w:pPr>
            <w:r>
              <w:rPr>
                <w:rFonts w:eastAsiaTheme="minorEastAsia"/>
                <w:color w:val="000000"/>
                <w:sz w:val="24"/>
              </w:rPr>
              <w:t>14</w:t>
            </w:r>
            <w:r>
              <w:rPr>
                <w:rFonts w:eastAsiaTheme="minorEastAsia"/>
                <w:color w:val="000000"/>
                <w:sz w:val="24"/>
              </w:rPr>
              <w:t>东方</w:t>
            </w:r>
            <w:r>
              <w:rPr>
                <w:rFonts w:eastAsiaTheme="minorEastAsia"/>
                <w:color w:val="000000"/>
                <w:sz w:val="24"/>
              </w:rPr>
              <w:t>MTN001</w:t>
            </w:r>
          </w:p>
        </w:tc>
        <w:tc>
          <w:tcPr>
            <w:tcW w:w="1417" w:type="dxa"/>
            <w:vAlign w:val="center"/>
          </w:tcPr>
          <w:p w:rsidR="00267F49" w:rsidRDefault="001F1C63">
            <w:pPr>
              <w:jc w:val="right"/>
            </w:pPr>
            <w:r>
              <w:rPr>
                <w:rFonts w:eastAsiaTheme="minorEastAsia"/>
                <w:color w:val="000000"/>
                <w:sz w:val="24"/>
              </w:rPr>
              <w:t>200,000</w:t>
            </w:r>
          </w:p>
        </w:tc>
        <w:tc>
          <w:tcPr>
            <w:tcW w:w="1701" w:type="dxa"/>
            <w:vAlign w:val="center"/>
          </w:tcPr>
          <w:p w:rsidR="00267F49" w:rsidRDefault="001F1C63">
            <w:pPr>
              <w:jc w:val="right"/>
            </w:pPr>
            <w:r>
              <w:rPr>
                <w:rFonts w:eastAsiaTheme="minorEastAsia"/>
                <w:color w:val="000000"/>
                <w:sz w:val="24"/>
              </w:rPr>
              <w:t>20,026,000.00</w:t>
            </w:r>
          </w:p>
        </w:tc>
        <w:tc>
          <w:tcPr>
            <w:tcW w:w="1434" w:type="dxa"/>
            <w:vAlign w:val="center"/>
          </w:tcPr>
          <w:p w:rsidR="00267F49" w:rsidRDefault="001F1C63">
            <w:pPr>
              <w:jc w:val="right"/>
            </w:pPr>
            <w:r>
              <w:rPr>
                <w:rFonts w:eastAsiaTheme="minorEastAsia"/>
                <w:color w:val="000000"/>
                <w:sz w:val="24"/>
              </w:rPr>
              <w:t>8.87</w:t>
            </w:r>
          </w:p>
        </w:tc>
      </w:tr>
      <w:tr w:rsidR="00267F49">
        <w:trPr>
          <w:jc w:val="center"/>
        </w:trPr>
        <w:tc>
          <w:tcPr>
            <w:tcW w:w="1302" w:type="dxa"/>
            <w:vAlign w:val="center"/>
          </w:tcPr>
          <w:p w:rsidR="00267F49" w:rsidRDefault="001F1C63">
            <w:pPr>
              <w:jc w:val="center"/>
            </w:pPr>
            <w:r>
              <w:rPr>
                <w:rFonts w:eastAsiaTheme="minorEastAsia"/>
                <w:color w:val="000000"/>
                <w:sz w:val="24"/>
              </w:rPr>
              <w:t>5</w:t>
            </w:r>
          </w:p>
        </w:tc>
        <w:tc>
          <w:tcPr>
            <w:tcW w:w="1362" w:type="dxa"/>
            <w:vAlign w:val="center"/>
          </w:tcPr>
          <w:p w:rsidR="00267F49" w:rsidRDefault="001F1C63">
            <w:pPr>
              <w:jc w:val="center"/>
            </w:pPr>
            <w:r>
              <w:rPr>
                <w:rFonts w:eastAsiaTheme="minorEastAsia"/>
                <w:color w:val="000000"/>
                <w:sz w:val="24"/>
              </w:rPr>
              <w:t>122362</w:t>
            </w:r>
          </w:p>
        </w:tc>
        <w:tc>
          <w:tcPr>
            <w:tcW w:w="1652" w:type="dxa"/>
            <w:vAlign w:val="center"/>
          </w:tcPr>
          <w:p w:rsidR="00267F49" w:rsidRDefault="001F1C63">
            <w:pPr>
              <w:jc w:val="center"/>
            </w:pPr>
            <w:r>
              <w:rPr>
                <w:rFonts w:eastAsiaTheme="minorEastAsia"/>
                <w:color w:val="000000"/>
                <w:sz w:val="24"/>
              </w:rPr>
              <w:t>14</w:t>
            </w:r>
            <w:r>
              <w:rPr>
                <w:rFonts w:eastAsiaTheme="minorEastAsia"/>
                <w:color w:val="000000"/>
                <w:sz w:val="24"/>
              </w:rPr>
              <w:t>沪实债</w:t>
            </w:r>
          </w:p>
        </w:tc>
        <w:tc>
          <w:tcPr>
            <w:tcW w:w="1417" w:type="dxa"/>
            <w:vAlign w:val="center"/>
          </w:tcPr>
          <w:p w:rsidR="00267F49" w:rsidRDefault="001F1C63">
            <w:pPr>
              <w:jc w:val="right"/>
            </w:pPr>
            <w:r>
              <w:rPr>
                <w:rFonts w:eastAsiaTheme="minorEastAsia"/>
                <w:color w:val="000000"/>
                <w:sz w:val="24"/>
              </w:rPr>
              <w:t>200,000</w:t>
            </w:r>
          </w:p>
        </w:tc>
        <w:tc>
          <w:tcPr>
            <w:tcW w:w="1701" w:type="dxa"/>
            <w:vAlign w:val="center"/>
          </w:tcPr>
          <w:p w:rsidR="00267F49" w:rsidRDefault="001F1C63">
            <w:pPr>
              <w:jc w:val="right"/>
            </w:pPr>
            <w:r>
              <w:rPr>
                <w:rFonts w:eastAsiaTheme="minorEastAsia"/>
                <w:color w:val="000000"/>
                <w:sz w:val="24"/>
              </w:rPr>
              <w:t>19,997,843.29</w:t>
            </w:r>
          </w:p>
        </w:tc>
        <w:tc>
          <w:tcPr>
            <w:tcW w:w="1434" w:type="dxa"/>
            <w:vAlign w:val="center"/>
          </w:tcPr>
          <w:p w:rsidR="00267F49" w:rsidRDefault="001F1C63">
            <w:pPr>
              <w:jc w:val="right"/>
            </w:pPr>
            <w:r>
              <w:rPr>
                <w:rFonts w:eastAsiaTheme="minorEastAsia"/>
                <w:color w:val="000000"/>
                <w:sz w:val="24"/>
              </w:rPr>
              <w:t>8.86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267F49">
        <w:trPr>
          <w:jc w:val="center"/>
        </w:trPr>
        <w:tc>
          <w:tcPr>
            <w:tcW w:w="1286" w:type="dxa"/>
            <w:vAlign w:val="center"/>
          </w:tcPr>
          <w:p w:rsidR="00267F49" w:rsidRDefault="001F1C63">
            <w:pPr>
              <w:jc w:val="center"/>
            </w:pPr>
            <w:r>
              <w:rPr>
                <w:rFonts w:eastAsiaTheme="minorEastAsia"/>
                <w:color w:val="000000"/>
                <w:sz w:val="24"/>
              </w:rPr>
              <w:t>1</w:t>
            </w:r>
          </w:p>
        </w:tc>
        <w:tc>
          <w:tcPr>
            <w:tcW w:w="1332" w:type="dxa"/>
            <w:vAlign w:val="center"/>
          </w:tcPr>
          <w:p w:rsidR="00267F49" w:rsidRDefault="001F1C63">
            <w:pPr>
              <w:jc w:val="center"/>
            </w:pPr>
            <w:r>
              <w:rPr>
                <w:rFonts w:eastAsiaTheme="minorEastAsia"/>
                <w:color w:val="000000"/>
                <w:sz w:val="24"/>
              </w:rPr>
              <w:t>119122</w:t>
            </w:r>
          </w:p>
        </w:tc>
        <w:tc>
          <w:tcPr>
            <w:tcW w:w="1313" w:type="dxa"/>
            <w:vAlign w:val="center"/>
          </w:tcPr>
          <w:p w:rsidR="00267F49" w:rsidRDefault="001F1C63">
            <w:pPr>
              <w:jc w:val="center"/>
            </w:pPr>
            <w:r>
              <w:rPr>
                <w:rFonts w:eastAsiaTheme="minorEastAsia"/>
                <w:color w:val="000000"/>
                <w:sz w:val="24"/>
              </w:rPr>
              <w:t>15</w:t>
            </w:r>
            <w:r>
              <w:rPr>
                <w:rFonts w:eastAsiaTheme="minorEastAsia"/>
                <w:color w:val="000000"/>
                <w:sz w:val="24"/>
              </w:rPr>
              <w:t>金通</w:t>
            </w:r>
            <w:r>
              <w:rPr>
                <w:rFonts w:eastAsiaTheme="minorEastAsia"/>
                <w:color w:val="000000"/>
                <w:sz w:val="24"/>
              </w:rPr>
              <w:t>A2</w:t>
            </w:r>
          </w:p>
        </w:tc>
        <w:tc>
          <w:tcPr>
            <w:tcW w:w="1571" w:type="dxa"/>
            <w:vAlign w:val="center"/>
          </w:tcPr>
          <w:p w:rsidR="00267F49" w:rsidRDefault="001F1C63">
            <w:pPr>
              <w:jc w:val="right"/>
            </w:pPr>
            <w:r>
              <w:rPr>
                <w:rFonts w:eastAsiaTheme="minorEastAsia"/>
                <w:color w:val="000000"/>
                <w:sz w:val="24"/>
              </w:rPr>
              <w:t>200,000</w:t>
            </w:r>
          </w:p>
        </w:tc>
        <w:tc>
          <w:tcPr>
            <w:tcW w:w="1670" w:type="dxa"/>
            <w:vAlign w:val="center"/>
          </w:tcPr>
          <w:p w:rsidR="00267F49" w:rsidRDefault="001F1C63">
            <w:pPr>
              <w:jc w:val="right"/>
            </w:pPr>
            <w:r>
              <w:rPr>
                <w:rFonts w:eastAsiaTheme="minorEastAsia"/>
                <w:color w:val="000000"/>
                <w:sz w:val="24"/>
              </w:rPr>
              <w:t>20,025,600.00</w:t>
            </w:r>
          </w:p>
        </w:tc>
        <w:tc>
          <w:tcPr>
            <w:tcW w:w="1696" w:type="dxa"/>
            <w:vAlign w:val="center"/>
          </w:tcPr>
          <w:p w:rsidR="00267F49" w:rsidRDefault="001F1C63">
            <w:pPr>
              <w:jc w:val="right"/>
            </w:pPr>
            <w:r>
              <w:rPr>
                <w:rFonts w:eastAsiaTheme="minorEastAsia"/>
                <w:color w:val="000000"/>
                <w:sz w:val="24"/>
              </w:rPr>
              <w:t>8.87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9,439.53</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5,552,249.43</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5,561,688.96</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2E695F">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F63B3B" w:rsidRPr="00405493" w:rsidRDefault="00F63B3B"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220542" w:rsidRPr="00405493" w:rsidRDefault="00220542" w:rsidP="002E695F">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w:t>
      </w:r>
      <w:r w:rsidR="00E03C40"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影响投资者决策的其他重要信息</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日当日进行的上述相关调整对前一估值日各基金资产净值的影响不超过</w:t>
      </w:r>
      <w:r w:rsidRPr="00405493">
        <w:rPr>
          <w:rFonts w:eastAsiaTheme="minorEastAsia"/>
          <w:color w:val="000000"/>
          <w:sz w:val="24"/>
        </w:rPr>
        <w:t>0.50%</w:t>
      </w:r>
      <w:r w:rsidRPr="00405493">
        <w:rPr>
          <w:rFonts w:eastAsiaTheme="minorEastAsia"/>
          <w:color w:val="000000"/>
          <w:sz w:val="24"/>
        </w:rPr>
        <w:t>。</w:t>
      </w:r>
    </w:p>
    <w:p w:rsidR="00567BFC" w:rsidRPr="00405493" w:rsidRDefault="00567BFC" w:rsidP="009D139A">
      <w:pPr>
        <w:autoSpaceDE w:val="0"/>
        <w:autoSpaceDN w:val="0"/>
        <w:adjustRightInd w:val="0"/>
        <w:spacing w:before="29" w:line="288" w:lineRule="auto"/>
        <w:ind w:firstLineChars="200" w:firstLine="480"/>
        <w:rPr>
          <w:rFonts w:eastAsiaTheme="minorEastAsia"/>
          <w:color w:val="000000"/>
          <w:sz w:val="24"/>
        </w:rPr>
      </w:pPr>
    </w:p>
    <w:p w:rsidR="00753072" w:rsidRPr="00E12151" w:rsidRDefault="00220542" w:rsidP="002E695F">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8</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8</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、中国证监会准予交银施罗德丰泽收益债券型证券投资基金募集注册的文件；</w:t>
      </w:r>
      <w:r>
        <w:rPr>
          <w:rFonts w:eastAsiaTheme="minorEastAsia"/>
          <w:color w:val="000000"/>
          <w:sz w:val="24"/>
        </w:rPr>
        <w:t xml:space="preserve"> </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、《交银施罗德丰泽收益债券型证券投资基金基金合同》；</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、《交银施罗德丰泽收益债券型证券投资基金招募说明书》；</w:t>
      </w:r>
      <w:r>
        <w:rPr>
          <w:rFonts w:eastAsiaTheme="minorEastAsia"/>
          <w:color w:val="000000"/>
          <w:sz w:val="24"/>
        </w:rPr>
        <w:t xml:space="preserve"> </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、《交银施罗德丰泽收益债券型证券投资基金托管协议》；</w:t>
      </w:r>
      <w:r>
        <w:rPr>
          <w:rFonts w:eastAsiaTheme="minorEastAsia"/>
          <w:color w:val="000000"/>
          <w:sz w:val="24"/>
        </w:rPr>
        <w:t xml:space="preserve"> </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、关于申请募集注册交银施罗德丰泽收益债券型证券投资基金的法律意见书；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、报告期内交银施罗德丰泽收益债券型证券投资基金在指定报刊上各项公告的原稿。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8.3</w:t>
      </w:r>
      <w:r w:rsidR="00184D75" w:rsidRPr="00405493">
        <w:rPr>
          <w:rFonts w:eastAsiaTheme="minorEastAsia"/>
          <w:b/>
          <w:color w:val="000000"/>
          <w:sz w:val="24"/>
        </w:rPr>
        <w:t xml:space="preserve"> </w:t>
      </w:r>
      <w:r w:rsidR="00220542" w:rsidRPr="00405493">
        <w:rPr>
          <w:b/>
          <w:color w:val="000000"/>
          <w:sz w:val="24"/>
        </w:rPr>
        <w:t>查阅方式</w:t>
      </w:r>
    </w:p>
    <w:p w:rsidR="00267F49" w:rsidRDefault="001F1C6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D1145" w:rsidRPr="00405493" w:rsidRDefault="009215B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7F" w:rsidRDefault="00623C7F">
      <w:r>
        <w:separator/>
      </w:r>
    </w:p>
  </w:endnote>
  <w:endnote w:type="continuationSeparator" w:id="0">
    <w:p w:rsidR="00623C7F" w:rsidRDefault="0062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DB547D">
      <w:rPr>
        <w:kern w:val="0"/>
        <w:szCs w:val="21"/>
      </w:rPr>
      <w:fldChar w:fldCharType="begin"/>
    </w:r>
    <w:r>
      <w:rPr>
        <w:kern w:val="0"/>
        <w:szCs w:val="21"/>
      </w:rPr>
      <w:instrText xml:space="preserve"> PAGE </w:instrText>
    </w:r>
    <w:r w:rsidR="00DB547D">
      <w:rPr>
        <w:kern w:val="0"/>
        <w:szCs w:val="21"/>
      </w:rPr>
      <w:fldChar w:fldCharType="separate"/>
    </w:r>
    <w:r w:rsidR="007B47CF">
      <w:rPr>
        <w:noProof/>
        <w:kern w:val="0"/>
        <w:szCs w:val="21"/>
      </w:rPr>
      <w:t>1</w:t>
    </w:r>
    <w:r w:rsidR="00DB547D">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DB547D">
      <w:rPr>
        <w:kern w:val="0"/>
        <w:szCs w:val="21"/>
      </w:rPr>
      <w:fldChar w:fldCharType="begin"/>
    </w:r>
    <w:r>
      <w:rPr>
        <w:kern w:val="0"/>
        <w:szCs w:val="21"/>
      </w:rPr>
      <w:instrText xml:space="preserve"> NUMPAGES </w:instrText>
    </w:r>
    <w:r w:rsidR="00DB547D">
      <w:rPr>
        <w:kern w:val="0"/>
        <w:szCs w:val="21"/>
      </w:rPr>
      <w:fldChar w:fldCharType="separate"/>
    </w:r>
    <w:r w:rsidR="007B47CF">
      <w:rPr>
        <w:noProof/>
        <w:kern w:val="0"/>
        <w:szCs w:val="21"/>
      </w:rPr>
      <w:t>10</w:t>
    </w:r>
    <w:r w:rsidR="00DB547D">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DB547D">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7F" w:rsidRDefault="00623C7F">
      <w:r>
        <w:separator/>
      </w:r>
    </w:p>
  </w:footnote>
  <w:footnote w:type="continuationSeparator" w:id="0">
    <w:p w:rsidR="00623C7F" w:rsidRDefault="0062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45DB1"/>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791"/>
    <w:rsid w:val="00194B44"/>
    <w:rsid w:val="0019563C"/>
    <w:rsid w:val="001975A7"/>
    <w:rsid w:val="001A01D5"/>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1C63"/>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67F49"/>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E695F"/>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4A22"/>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C7F"/>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47CF"/>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61C16"/>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8F65F8"/>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3FF9"/>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547D"/>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48C9"/>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3B"/>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2A68042-3728-40F7-AD38-E0DFA56B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884</Words>
  <Characters>5039</Characters>
  <Application>Microsoft Office Word</Application>
  <DocSecurity>0</DocSecurity>
  <Lines>41</Lines>
  <Paragraphs>11</Paragraphs>
  <ScaleCrop>false</ScaleCrop>
  <Company>TRT. Ltd. Co.</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395</cp:revision>
  <cp:lastPrinted>2007-07-19T00:46:00Z</cp:lastPrinted>
  <dcterms:created xsi:type="dcterms:W3CDTF">2014-01-20T05:40:00Z</dcterms:created>
  <dcterms:modified xsi:type="dcterms:W3CDTF">2015-04-16T03:29:00Z</dcterms:modified>
</cp:coreProperties>
</file>