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交银施罗德强化回报债券型证券投资基金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2015</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2015</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二〇一五年四月二十一日</w:t>
      </w:r>
    </w:p>
    <w:p w:rsidR="009238DB" w:rsidRPr="007F52FA" w:rsidRDefault="009238DB" w:rsidP="00F466E6">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F24D3A" w:rsidRDefault="00F466E6">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F24D3A" w:rsidRDefault="00F466E6">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F24D3A" w:rsidRDefault="00F466E6">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F24D3A" w:rsidRDefault="00F466E6">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F24D3A" w:rsidRDefault="00F466E6">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2015</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F466E6">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交银强化回报债券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1</w:t>
            </w:r>
            <w:r w:rsidRPr="007F52FA">
              <w:rPr>
                <w:color w:val="000000"/>
                <w:kern w:val="0"/>
                <w:sz w:val="24"/>
              </w:rPr>
              <w:t>月</w:t>
            </w:r>
            <w:r w:rsidRPr="007F52FA">
              <w:rPr>
                <w:color w:val="000000"/>
                <w:kern w:val="0"/>
                <w:sz w:val="24"/>
              </w:rPr>
              <w:t>28</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151,175,864.11</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本基金在严格控制风险和保持资产流动性的前提下，重点投资于债券资产，力争实现基金资产的长期稳定增值。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w:t>
            </w:r>
            <w:r w:rsidRPr="007F52FA">
              <w:rPr>
                <w:color w:val="000000"/>
                <w:kern w:val="0"/>
                <w:sz w:val="24"/>
              </w:rPr>
              <w:lastRenderedPageBreak/>
              <w:t>关注股票、权证市场的运行状况与相应风险收益特征，有效把握投资机会，适时增强组合收益。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交银强化回报债券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交银强化回报债券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519733</w:t>
            </w:r>
            <w:r w:rsidRPr="007F52FA">
              <w:rPr>
                <w:color w:val="000000" w:themeColor="text1"/>
                <w:sz w:val="24"/>
              </w:rPr>
              <w:t>（前端）、</w:t>
            </w:r>
            <w:r w:rsidRPr="007F52FA">
              <w:rPr>
                <w:color w:val="000000" w:themeColor="text1"/>
                <w:sz w:val="24"/>
              </w:rPr>
              <w:t>519734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519735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148,289,064.75</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2,886,799.36</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F466E6">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(2015</w:t>
            </w:r>
            <w:r w:rsidRPr="007F52FA">
              <w:rPr>
                <w:color w:val="000000"/>
                <w:sz w:val="24"/>
              </w:rPr>
              <w:t>年</w:t>
            </w:r>
            <w:r w:rsidRPr="007F52FA">
              <w:rPr>
                <w:color w:val="000000"/>
                <w:sz w:val="24"/>
              </w:rPr>
              <w:t>1</w:t>
            </w:r>
            <w:r w:rsidRPr="007F52FA">
              <w:rPr>
                <w:color w:val="000000"/>
                <w:sz w:val="24"/>
              </w:rPr>
              <w:t>月</w:t>
            </w:r>
            <w:r w:rsidRPr="007F52FA">
              <w:rPr>
                <w:color w:val="000000"/>
                <w:sz w:val="24"/>
              </w:rPr>
              <w:t>1</w:t>
            </w:r>
            <w:r w:rsidRPr="007F52FA">
              <w:rPr>
                <w:color w:val="000000"/>
                <w:sz w:val="24"/>
              </w:rPr>
              <w:t>日</w:t>
            </w:r>
            <w:r w:rsidRPr="007F52FA">
              <w:rPr>
                <w:color w:val="000000"/>
                <w:sz w:val="24"/>
              </w:rPr>
              <w:t>-2015</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交银强化回报债券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交银强化回报债券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5,365,816.00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218,079.99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8,020,031.25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554,092.79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0.0519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0.0458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161,468,562.63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3,135,800.13</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1.089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1.086</w:t>
            </w:r>
          </w:p>
        </w:tc>
      </w:tr>
    </w:tbl>
    <w:p w:rsidR="00F24D3A" w:rsidRDefault="00F466E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F24D3A" w:rsidRDefault="00F466E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交银强化回报债券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24D3A">
        <w:trPr>
          <w:jc w:val="center"/>
        </w:trPr>
        <w:tc>
          <w:tcPr>
            <w:tcW w:w="1266" w:type="dxa"/>
            <w:vAlign w:val="center"/>
          </w:tcPr>
          <w:p w:rsidR="00F24D3A" w:rsidRDefault="00F466E6">
            <w:pPr>
              <w:jc w:val="left"/>
            </w:pPr>
            <w:r>
              <w:rPr>
                <w:color w:val="000000"/>
                <w:sz w:val="24"/>
              </w:rPr>
              <w:t>过去三个月</w:t>
            </w:r>
          </w:p>
        </w:tc>
        <w:tc>
          <w:tcPr>
            <w:tcW w:w="1267" w:type="dxa"/>
            <w:vAlign w:val="center"/>
          </w:tcPr>
          <w:p w:rsidR="00F24D3A" w:rsidRDefault="00F466E6">
            <w:pPr>
              <w:jc w:val="center"/>
            </w:pPr>
            <w:r>
              <w:rPr>
                <w:color w:val="000000"/>
                <w:sz w:val="24"/>
              </w:rPr>
              <w:t>5.01%</w:t>
            </w:r>
          </w:p>
        </w:tc>
        <w:tc>
          <w:tcPr>
            <w:tcW w:w="1267" w:type="dxa"/>
            <w:vAlign w:val="center"/>
          </w:tcPr>
          <w:p w:rsidR="00F24D3A" w:rsidRDefault="00F466E6">
            <w:pPr>
              <w:jc w:val="center"/>
            </w:pPr>
            <w:r>
              <w:rPr>
                <w:color w:val="000000"/>
                <w:sz w:val="24"/>
              </w:rPr>
              <w:t>0.25%</w:t>
            </w:r>
          </w:p>
        </w:tc>
        <w:tc>
          <w:tcPr>
            <w:tcW w:w="1267" w:type="dxa"/>
            <w:vAlign w:val="center"/>
          </w:tcPr>
          <w:p w:rsidR="00F24D3A" w:rsidRDefault="00F466E6">
            <w:pPr>
              <w:jc w:val="center"/>
            </w:pPr>
            <w:r>
              <w:rPr>
                <w:color w:val="000000"/>
                <w:sz w:val="24"/>
              </w:rPr>
              <w:t>-0.15%</w:t>
            </w:r>
          </w:p>
        </w:tc>
        <w:tc>
          <w:tcPr>
            <w:tcW w:w="1267" w:type="dxa"/>
            <w:vAlign w:val="center"/>
          </w:tcPr>
          <w:p w:rsidR="00F24D3A" w:rsidRDefault="00F466E6">
            <w:pPr>
              <w:jc w:val="center"/>
            </w:pPr>
            <w:r>
              <w:rPr>
                <w:color w:val="000000"/>
                <w:sz w:val="24"/>
              </w:rPr>
              <w:t>0.09%</w:t>
            </w:r>
          </w:p>
        </w:tc>
        <w:tc>
          <w:tcPr>
            <w:tcW w:w="1267" w:type="dxa"/>
            <w:vAlign w:val="center"/>
          </w:tcPr>
          <w:p w:rsidR="00F24D3A" w:rsidRDefault="00F466E6">
            <w:pPr>
              <w:jc w:val="center"/>
            </w:pPr>
            <w:r>
              <w:rPr>
                <w:color w:val="000000"/>
                <w:sz w:val="24"/>
              </w:rPr>
              <w:t>5.16%</w:t>
            </w:r>
          </w:p>
        </w:tc>
        <w:tc>
          <w:tcPr>
            <w:tcW w:w="1267" w:type="dxa"/>
            <w:vAlign w:val="center"/>
          </w:tcPr>
          <w:p w:rsidR="00F24D3A" w:rsidRDefault="00F466E6">
            <w:pPr>
              <w:jc w:val="center"/>
            </w:pPr>
            <w:r>
              <w:rPr>
                <w:color w:val="000000"/>
                <w:sz w:val="24"/>
              </w:rPr>
              <w:t>0.16%</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交银强化回报债券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24D3A">
        <w:trPr>
          <w:jc w:val="center"/>
        </w:trPr>
        <w:tc>
          <w:tcPr>
            <w:tcW w:w="1266" w:type="dxa"/>
            <w:vAlign w:val="center"/>
          </w:tcPr>
          <w:p w:rsidR="00F24D3A" w:rsidRDefault="00F466E6">
            <w:pPr>
              <w:jc w:val="left"/>
            </w:pPr>
            <w:r>
              <w:rPr>
                <w:color w:val="000000"/>
                <w:sz w:val="24"/>
              </w:rPr>
              <w:t>过去三个月</w:t>
            </w:r>
          </w:p>
        </w:tc>
        <w:tc>
          <w:tcPr>
            <w:tcW w:w="1267" w:type="dxa"/>
            <w:vAlign w:val="center"/>
          </w:tcPr>
          <w:p w:rsidR="00F24D3A" w:rsidRDefault="00F466E6">
            <w:pPr>
              <w:jc w:val="center"/>
            </w:pPr>
            <w:r>
              <w:rPr>
                <w:color w:val="000000"/>
                <w:sz w:val="24"/>
              </w:rPr>
              <w:t>4.93%</w:t>
            </w:r>
          </w:p>
        </w:tc>
        <w:tc>
          <w:tcPr>
            <w:tcW w:w="1267" w:type="dxa"/>
            <w:vAlign w:val="center"/>
          </w:tcPr>
          <w:p w:rsidR="00F24D3A" w:rsidRDefault="00F466E6">
            <w:pPr>
              <w:jc w:val="center"/>
            </w:pPr>
            <w:r>
              <w:rPr>
                <w:color w:val="000000"/>
                <w:sz w:val="24"/>
              </w:rPr>
              <w:t>0.25%</w:t>
            </w:r>
          </w:p>
        </w:tc>
        <w:tc>
          <w:tcPr>
            <w:tcW w:w="1267" w:type="dxa"/>
            <w:vAlign w:val="center"/>
          </w:tcPr>
          <w:p w:rsidR="00F24D3A" w:rsidRDefault="00F466E6">
            <w:pPr>
              <w:jc w:val="center"/>
            </w:pPr>
            <w:r>
              <w:rPr>
                <w:color w:val="000000"/>
                <w:sz w:val="24"/>
              </w:rPr>
              <w:t>-0.15%</w:t>
            </w:r>
          </w:p>
        </w:tc>
        <w:tc>
          <w:tcPr>
            <w:tcW w:w="1267" w:type="dxa"/>
            <w:vAlign w:val="center"/>
          </w:tcPr>
          <w:p w:rsidR="00F24D3A" w:rsidRDefault="00F466E6">
            <w:pPr>
              <w:jc w:val="center"/>
            </w:pPr>
            <w:r>
              <w:rPr>
                <w:color w:val="000000"/>
                <w:sz w:val="24"/>
              </w:rPr>
              <w:t>0.09%</w:t>
            </w:r>
          </w:p>
        </w:tc>
        <w:tc>
          <w:tcPr>
            <w:tcW w:w="1267" w:type="dxa"/>
            <w:vAlign w:val="center"/>
          </w:tcPr>
          <w:p w:rsidR="00F24D3A" w:rsidRDefault="00F466E6">
            <w:pPr>
              <w:jc w:val="center"/>
            </w:pPr>
            <w:r>
              <w:rPr>
                <w:color w:val="000000"/>
                <w:sz w:val="24"/>
              </w:rPr>
              <w:t>5.08%</w:t>
            </w:r>
          </w:p>
        </w:tc>
        <w:tc>
          <w:tcPr>
            <w:tcW w:w="1267" w:type="dxa"/>
            <w:vAlign w:val="center"/>
          </w:tcPr>
          <w:p w:rsidR="00F24D3A" w:rsidRDefault="00F466E6">
            <w:pPr>
              <w:jc w:val="center"/>
            </w:pPr>
            <w:r>
              <w:rPr>
                <w:color w:val="000000"/>
                <w:sz w:val="24"/>
              </w:rPr>
              <w:t>0.16%</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交银施罗德强化回报债券型证券投资基金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1</w:t>
      </w:r>
      <w:r w:rsidR="00D04410" w:rsidRPr="007F52FA">
        <w:rPr>
          <w:rFonts w:ascii="Times New Roman" w:hAnsi="Times New Roman"/>
          <w:sz w:val="24"/>
          <w:szCs w:val="24"/>
        </w:rPr>
        <w:t>月</w:t>
      </w:r>
      <w:r w:rsidR="00D04410" w:rsidRPr="007F52FA">
        <w:rPr>
          <w:rFonts w:ascii="Times New Roman" w:hAnsi="Times New Roman"/>
          <w:sz w:val="24"/>
          <w:szCs w:val="24"/>
        </w:rPr>
        <w:t>28</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2015</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交银强化回报债券</w:t>
      </w:r>
      <w:r w:rsidR="0042785F" w:rsidRPr="007F52FA">
        <w:rPr>
          <w:color w:val="000000"/>
          <w:sz w:val="24"/>
        </w:rPr>
        <w:t>A/B</w:t>
      </w:r>
    </w:p>
    <w:p w:rsidR="00807B81" w:rsidRPr="007F52FA" w:rsidRDefault="00A311AD" w:rsidP="007C14DF">
      <w:pPr>
        <w:pStyle w:val="20"/>
        <w:spacing w:before="29" w:line="288" w:lineRule="auto"/>
        <w:ind w:firstLineChars="0" w:firstLine="0"/>
        <w:jc w:val="center"/>
        <w:rPr>
          <w:rFonts w:ascii="Times New Roman" w:eastAsiaTheme="minorEastAsia" w:hAnsi="Times New Roman"/>
          <w:color w:val="000000"/>
        </w:rPr>
      </w:pPr>
      <w:r w:rsidRPr="000615A0">
        <w:rPr>
          <w:rFonts w:ascii="Times New Roman" w:hAnsi="Times New Roman"/>
          <w:noProof/>
          <w:color w:val="000000"/>
        </w:rPr>
        <w:drawing>
          <wp:inline distT="0" distB="0" distL="0" distR="0" wp14:anchorId="156702B6" wp14:editId="2BDFC7E6">
            <wp:extent cx="5731510" cy="3351315"/>
            <wp:effectExtent l="0" t="0" r="0" b="0"/>
            <wp:docPr id="1"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走势图1.jpg"/>
                    <pic:cNvPicPr>
                      <a:picLocks noChangeAspect="1" noChangeArrowheads="1"/>
                    </pic:cNvPicPr>
                  </pic:nvPicPr>
                  <pic:blipFill>
                    <a:blip r:embed="rId10" r:link="rId11" cstate="print"/>
                    <a:srcRect/>
                    <a:stretch>
                      <a:fillRect/>
                    </a:stretch>
                  </pic:blipFill>
                  <pic:spPr bwMode="auto">
                    <a:xfrm>
                      <a:off x="0" y="0"/>
                      <a:ext cx="5731510" cy="3351315"/>
                    </a:xfrm>
                    <a:prstGeom prst="rect">
                      <a:avLst/>
                    </a:prstGeom>
                    <a:noFill/>
                    <a:ln w="9525">
                      <a:noFill/>
                      <a:miter lim="800000"/>
                      <a:headEnd/>
                      <a:tailEnd/>
                    </a:ln>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2014</w:t>
      </w:r>
      <w:r w:rsidRPr="007F52FA">
        <w:rPr>
          <w:color w:val="000000"/>
          <w:sz w:val="24"/>
        </w:rPr>
        <w:t>年</w:t>
      </w:r>
      <w:r w:rsidRPr="007F52FA">
        <w:rPr>
          <w:color w:val="000000"/>
          <w:sz w:val="24"/>
        </w:rPr>
        <w:t>1</w:t>
      </w:r>
      <w:r w:rsidRPr="007F52FA">
        <w:rPr>
          <w:color w:val="000000"/>
          <w:sz w:val="24"/>
        </w:rPr>
        <w:t>月</w:t>
      </w:r>
      <w:r w:rsidRPr="007F52FA">
        <w:rPr>
          <w:color w:val="000000"/>
          <w:sz w:val="24"/>
        </w:rPr>
        <w:t>28</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交银强化回报债券</w:t>
      </w:r>
      <w:r w:rsidR="00FE7FBD" w:rsidRPr="007F52FA">
        <w:rPr>
          <w:color w:val="000000"/>
          <w:sz w:val="24"/>
        </w:rPr>
        <w:t>C</w:t>
      </w:r>
    </w:p>
    <w:p w:rsidR="00D12D04" w:rsidRPr="007F52FA" w:rsidRDefault="00A311AD" w:rsidP="007C14DF">
      <w:pPr>
        <w:pStyle w:val="20"/>
        <w:spacing w:before="29" w:line="288" w:lineRule="auto"/>
        <w:ind w:firstLineChars="0" w:firstLine="0"/>
        <w:jc w:val="center"/>
        <w:rPr>
          <w:rFonts w:ascii="Times New Roman" w:eastAsiaTheme="minorEastAsia" w:hAnsi="Times New Roman"/>
          <w:color w:val="000000"/>
        </w:rPr>
      </w:pPr>
      <w:r w:rsidRPr="000615A0">
        <w:rPr>
          <w:rFonts w:ascii="Times New Roman" w:hAnsi="Times New Roman"/>
          <w:noProof/>
          <w:color w:val="000000"/>
        </w:rPr>
        <w:drawing>
          <wp:inline distT="0" distB="0" distL="0" distR="0" wp14:anchorId="19EB6485" wp14:editId="767C12C9">
            <wp:extent cx="5731510" cy="3351315"/>
            <wp:effectExtent l="0" t="0" r="0" b="0"/>
            <wp:docPr id="2"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走势图2.jpg"/>
                    <pic:cNvPicPr>
                      <a:picLocks noChangeAspect="1" noChangeArrowheads="1"/>
                    </pic:cNvPicPr>
                  </pic:nvPicPr>
                  <pic:blipFill>
                    <a:blip r:embed="rId12" r:link="rId13" cstate="print"/>
                    <a:srcRect/>
                    <a:stretch>
                      <a:fillRect/>
                    </a:stretch>
                  </pic:blipFill>
                  <pic:spPr bwMode="auto">
                    <a:xfrm>
                      <a:off x="0" y="0"/>
                      <a:ext cx="5731510" cy="3351315"/>
                    </a:xfrm>
                    <a:prstGeom prst="rect">
                      <a:avLst/>
                    </a:prstGeom>
                    <a:noFill/>
                    <a:ln w="9525">
                      <a:noFill/>
                      <a:miter lim="800000"/>
                      <a:headEnd/>
                      <a:tailEnd/>
                    </a:ln>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2014</w:t>
      </w:r>
      <w:r w:rsidRPr="007F52FA">
        <w:rPr>
          <w:color w:val="000000"/>
          <w:sz w:val="24"/>
        </w:rPr>
        <w:t>年</w:t>
      </w:r>
      <w:r w:rsidRPr="007F52FA">
        <w:rPr>
          <w:color w:val="000000"/>
          <w:sz w:val="24"/>
        </w:rPr>
        <w:t>1</w:t>
      </w:r>
      <w:r w:rsidRPr="007F52FA">
        <w:rPr>
          <w:color w:val="000000"/>
          <w:sz w:val="24"/>
        </w:rPr>
        <w:t>月</w:t>
      </w:r>
      <w:r w:rsidRPr="007F52FA">
        <w:rPr>
          <w:color w:val="000000"/>
          <w:sz w:val="24"/>
        </w:rPr>
        <w:t>28</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F466E6">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F24D3A">
        <w:trPr>
          <w:jc w:val="center"/>
        </w:trPr>
        <w:tc>
          <w:tcPr>
            <w:tcW w:w="946" w:type="dxa"/>
            <w:vAlign w:val="center"/>
          </w:tcPr>
          <w:p w:rsidR="00F24D3A" w:rsidRDefault="00F466E6">
            <w:pPr>
              <w:jc w:val="center"/>
            </w:pPr>
            <w:r>
              <w:rPr>
                <w:color w:val="000000"/>
                <w:sz w:val="24"/>
              </w:rPr>
              <w:t>赵凌琦</w:t>
            </w:r>
          </w:p>
        </w:tc>
        <w:tc>
          <w:tcPr>
            <w:tcW w:w="924" w:type="dxa"/>
            <w:vAlign w:val="center"/>
          </w:tcPr>
          <w:p w:rsidR="00F24D3A" w:rsidRDefault="00F466E6">
            <w:pPr>
              <w:jc w:val="center"/>
            </w:pPr>
            <w:r>
              <w:rPr>
                <w:color w:val="000000"/>
                <w:sz w:val="24"/>
              </w:rPr>
              <w:t>本基金、交银理财</w:t>
            </w:r>
            <w:r>
              <w:rPr>
                <w:color w:val="000000"/>
                <w:sz w:val="24"/>
              </w:rPr>
              <w:t>60</w:t>
            </w:r>
            <w:r>
              <w:rPr>
                <w:color w:val="000000"/>
                <w:sz w:val="24"/>
              </w:rPr>
              <w:t>天债券、交银双轮动债券、交银定期支付月月丰债券、交银丰盈收益债券的基金经理，公司固定收益部副总经理</w:t>
            </w:r>
          </w:p>
        </w:tc>
        <w:tc>
          <w:tcPr>
            <w:tcW w:w="1202" w:type="dxa"/>
            <w:vAlign w:val="center"/>
          </w:tcPr>
          <w:p w:rsidR="00F24D3A" w:rsidRDefault="00F466E6">
            <w:pPr>
              <w:jc w:val="center"/>
            </w:pPr>
            <w:r>
              <w:rPr>
                <w:color w:val="000000"/>
                <w:sz w:val="24"/>
              </w:rPr>
              <w:t>2014-01-28</w:t>
            </w:r>
          </w:p>
        </w:tc>
        <w:tc>
          <w:tcPr>
            <w:tcW w:w="1300" w:type="dxa"/>
            <w:vAlign w:val="center"/>
          </w:tcPr>
          <w:p w:rsidR="00F24D3A" w:rsidRDefault="00F466E6">
            <w:pPr>
              <w:jc w:val="center"/>
            </w:pPr>
            <w:r>
              <w:rPr>
                <w:color w:val="000000"/>
                <w:sz w:val="24"/>
              </w:rPr>
              <w:t>-</w:t>
            </w:r>
          </w:p>
        </w:tc>
        <w:tc>
          <w:tcPr>
            <w:tcW w:w="1245" w:type="dxa"/>
            <w:vAlign w:val="center"/>
          </w:tcPr>
          <w:p w:rsidR="00F24D3A" w:rsidRDefault="00F466E6">
            <w:pPr>
              <w:jc w:val="center"/>
            </w:pPr>
            <w:r>
              <w:rPr>
                <w:color w:val="000000"/>
                <w:sz w:val="24"/>
              </w:rPr>
              <w:t>2</w:t>
            </w:r>
            <w:r>
              <w:rPr>
                <w:color w:val="000000"/>
                <w:sz w:val="24"/>
              </w:rPr>
              <w:t>年</w:t>
            </w:r>
          </w:p>
        </w:tc>
        <w:tc>
          <w:tcPr>
            <w:tcW w:w="3251" w:type="dxa"/>
            <w:vAlign w:val="center"/>
          </w:tcPr>
          <w:p w:rsidR="00F24D3A" w:rsidRDefault="00F466E6">
            <w:r>
              <w:rPr>
                <w:color w:val="000000"/>
                <w:sz w:val="24"/>
              </w:rPr>
              <w:t>赵凌琦女士，</w:t>
            </w:r>
            <w:r>
              <w:rPr>
                <w:color w:val="000000"/>
                <w:sz w:val="24"/>
              </w:rPr>
              <w:t>10</w:t>
            </w:r>
            <w:r>
              <w:rPr>
                <w:color w:val="000000"/>
                <w:sz w:val="24"/>
              </w:rPr>
              <w:t>年金融投资经验，财政部财政科研所经济学硕士。历任中国航空集团财务公司投资经理，中国人寿资产管理有限公司投资经理。</w:t>
            </w:r>
            <w:r>
              <w:rPr>
                <w:color w:val="000000"/>
                <w:sz w:val="24"/>
              </w:rPr>
              <w:t>2013</w:t>
            </w:r>
            <w:r>
              <w:rPr>
                <w:color w:val="000000"/>
                <w:sz w:val="24"/>
              </w:rPr>
              <w:t>年加入交银施罗德基金管理有限公司。</w:t>
            </w:r>
          </w:p>
        </w:tc>
      </w:tr>
      <w:tr w:rsidR="00F24D3A">
        <w:trPr>
          <w:jc w:val="center"/>
        </w:trPr>
        <w:tc>
          <w:tcPr>
            <w:tcW w:w="946" w:type="dxa"/>
            <w:vAlign w:val="center"/>
          </w:tcPr>
          <w:p w:rsidR="00F24D3A" w:rsidRDefault="00F466E6">
            <w:pPr>
              <w:jc w:val="center"/>
            </w:pPr>
            <w:r>
              <w:rPr>
                <w:color w:val="000000"/>
                <w:sz w:val="24"/>
              </w:rPr>
              <w:t>李德亮</w:t>
            </w:r>
          </w:p>
        </w:tc>
        <w:tc>
          <w:tcPr>
            <w:tcW w:w="924" w:type="dxa"/>
            <w:vAlign w:val="center"/>
          </w:tcPr>
          <w:p w:rsidR="00F24D3A" w:rsidRDefault="00F466E6">
            <w:pPr>
              <w:jc w:val="center"/>
            </w:pPr>
            <w:r>
              <w:rPr>
                <w:color w:val="000000"/>
                <w:sz w:val="24"/>
              </w:rPr>
              <w:t>本基金、交银蓝筹股票、交银定期支付双息平衡混合的基金经理</w:t>
            </w:r>
          </w:p>
        </w:tc>
        <w:tc>
          <w:tcPr>
            <w:tcW w:w="1202" w:type="dxa"/>
            <w:vAlign w:val="center"/>
          </w:tcPr>
          <w:p w:rsidR="00F24D3A" w:rsidRDefault="00F466E6">
            <w:pPr>
              <w:jc w:val="center"/>
            </w:pPr>
            <w:r>
              <w:rPr>
                <w:color w:val="000000"/>
                <w:sz w:val="24"/>
              </w:rPr>
              <w:t>2014-01-28</w:t>
            </w:r>
          </w:p>
        </w:tc>
        <w:tc>
          <w:tcPr>
            <w:tcW w:w="1300" w:type="dxa"/>
            <w:vAlign w:val="center"/>
          </w:tcPr>
          <w:p w:rsidR="00F24D3A" w:rsidRDefault="00F466E6">
            <w:pPr>
              <w:jc w:val="center"/>
            </w:pPr>
            <w:r>
              <w:rPr>
                <w:color w:val="000000"/>
                <w:sz w:val="24"/>
              </w:rPr>
              <w:t>-</w:t>
            </w:r>
          </w:p>
        </w:tc>
        <w:tc>
          <w:tcPr>
            <w:tcW w:w="1245" w:type="dxa"/>
            <w:vAlign w:val="center"/>
          </w:tcPr>
          <w:p w:rsidR="00F24D3A" w:rsidRDefault="00F466E6">
            <w:pPr>
              <w:jc w:val="center"/>
            </w:pPr>
            <w:r>
              <w:rPr>
                <w:color w:val="000000"/>
                <w:sz w:val="24"/>
              </w:rPr>
              <w:t>9</w:t>
            </w:r>
            <w:r>
              <w:rPr>
                <w:color w:val="000000"/>
                <w:sz w:val="24"/>
              </w:rPr>
              <w:t>年</w:t>
            </w:r>
          </w:p>
        </w:tc>
        <w:tc>
          <w:tcPr>
            <w:tcW w:w="3251" w:type="dxa"/>
            <w:vAlign w:val="center"/>
          </w:tcPr>
          <w:p w:rsidR="00F24D3A" w:rsidRDefault="00F466E6">
            <w:r>
              <w:rPr>
                <w:color w:val="000000"/>
                <w:sz w:val="24"/>
              </w:rPr>
              <w:t>李德亮先生，同济大学管理学学士，中国人民银行研究生部金融学硕士。</w:t>
            </w:r>
            <w:r>
              <w:rPr>
                <w:color w:val="000000"/>
                <w:sz w:val="24"/>
              </w:rPr>
              <w:t>2006</w:t>
            </w:r>
            <w:r>
              <w:rPr>
                <w:color w:val="000000"/>
                <w:sz w:val="24"/>
              </w:rPr>
              <w:t>年加入交银施罗德基金管理有限公司，历任行业分析师、基金经理助理。</w:t>
            </w:r>
          </w:p>
        </w:tc>
      </w:tr>
      <w:tr w:rsidR="00F24D3A">
        <w:trPr>
          <w:jc w:val="center"/>
        </w:trPr>
        <w:tc>
          <w:tcPr>
            <w:tcW w:w="946" w:type="dxa"/>
            <w:vAlign w:val="center"/>
          </w:tcPr>
          <w:p w:rsidR="00F24D3A" w:rsidRDefault="00F466E6">
            <w:pPr>
              <w:jc w:val="center"/>
            </w:pPr>
            <w:r>
              <w:rPr>
                <w:color w:val="000000"/>
                <w:sz w:val="24"/>
              </w:rPr>
              <w:t>孙超</w:t>
            </w:r>
          </w:p>
        </w:tc>
        <w:tc>
          <w:tcPr>
            <w:tcW w:w="924" w:type="dxa"/>
            <w:vAlign w:val="center"/>
          </w:tcPr>
          <w:p w:rsidR="00F24D3A" w:rsidRDefault="00F466E6">
            <w:pPr>
              <w:jc w:val="center"/>
            </w:pPr>
            <w:r>
              <w:rPr>
                <w:color w:val="000000"/>
                <w:sz w:val="24"/>
              </w:rPr>
              <w:t>本基金、交银理财</w:t>
            </w:r>
            <w:r>
              <w:rPr>
                <w:color w:val="000000"/>
                <w:sz w:val="24"/>
              </w:rPr>
              <w:t>60</w:t>
            </w:r>
            <w:r>
              <w:rPr>
                <w:color w:val="000000"/>
                <w:sz w:val="24"/>
              </w:rPr>
              <w:t>天债券、交银双轮动债券、交银定期支付月月丰债券、交银丰润收益债券、交银丰享收益债券、交银丰泽收益债券的基金经理</w:t>
            </w:r>
          </w:p>
        </w:tc>
        <w:tc>
          <w:tcPr>
            <w:tcW w:w="1202" w:type="dxa"/>
            <w:vAlign w:val="center"/>
          </w:tcPr>
          <w:p w:rsidR="00F24D3A" w:rsidRDefault="00F466E6">
            <w:pPr>
              <w:jc w:val="center"/>
            </w:pPr>
            <w:r>
              <w:rPr>
                <w:color w:val="000000"/>
                <w:sz w:val="24"/>
              </w:rPr>
              <w:t>2014-08-26</w:t>
            </w:r>
          </w:p>
        </w:tc>
        <w:tc>
          <w:tcPr>
            <w:tcW w:w="1300" w:type="dxa"/>
            <w:vAlign w:val="center"/>
          </w:tcPr>
          <w:p w:rsidR="00F24D3A" w:rsidRDefault="00F466E6">
            <w:pPr>
              <w:jc w:val="center"/>
            </w:pPr>
            <w:r>
              <w:rPr>
                <w:color w:val="000000"/>
                <w:sz w:val="24"/>
              </w:rPr>
              <w:t>-</w:t>
            </w:r>
          </w:p>
        </w:tc>
        <w:tc>
          <w:tcPr>
            <w:tcW w:w="1245" w:type="dxa"/>
            <w:vAlign w:val="center"/>
          </w:tcPr>
          <w:p w:rsidR="00F24D3A" w:rsidRDefault="00F466E6">
            <w:pPr>
              <w:jc w:val="center"/>
            </w:pPr>
            <w:r>
              <w:rPr>
                <w:color w:val="000000"/>
                <w:sz w:val="24"/>
              </w:rPr>
              <w:t>4</w:t>
            </w:r>
            <w:r>
              <w:rPr>
                <w:color w:val="000000"/>
                <w:sz w:val="24"/>
              </w:rPr>
              <w:t>年</w:t>
            </w:r>
          </w:p>
        </w:tc>
        <w:tc>
          <w:tcPr>
            <w:tcW w:w="3251" w:type="dxa"/>
            <w:vAlign w:val="center"/>
          </w:tcPr>
          <w:p w:rsidR="00F24D3A" w:rsidRDefault="00F466E6">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F24D3A" w:rsidRDefault="00F466E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24D3A" w:rsidRDefault="00F466E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24D3A" w:rsidRDefault="00F466E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w:t>
      </w:r>
      <w:r w:rsidRPr="007F52FA">
        <w:rPr>
          <w:color w:val="000000"/>
          <w:sz w:val="24"/>
        </w:rPr>
        <w:t>,</w:t>
      </w:r>
      <w:r w:rsidRPr="007F52FA">
        <w:rPr>
          <w:color w:val="000000"/>
          <w:sz w:val="24"/>
        </w:rPr>
        <w:t>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F24D3A" w:rsidRDefault="00F466E6">
      <w:pPr>
        <w:spacing w:before="29" w:line="288" w:lineRule="auto"/>
        <w:ind w:firstLineChars="200" w:firstLine="480"/>
        <w:rPr>
          <w:color w:val="000000"/>
          <w:sz w:val="24"/>
        </w:rPr>
      </w:pPr>
      <w:r>
        <w:rPr>
          <w:color w:val="000000"/>
          <w:sz w:val="24"/>
        </w:rPr>
        <w:t>一季度，市场在强烈的货币宽松预期中迎来全面降准和降息，春节前债市乐观情绪达到顶峰。春节后由于稳增长政策进一步推出、资金面宽松不达预期以及《</w:t>
      </w:r>
      <w:r>
        <w:rPr>
          <w:color w:val="000000"/>
          <w:sz w:val="24"/>
        </w:rPr>
        <w:t>2015</w:t>
      </w:r>
      <w:r>
        <w:rPr>
          <w:color w:val="000000"/>
          <w:sz w:val="24"/>
        </w:rPr>
        <w:t>年地方政府专项债券预算管理办法》颁布后引起市场对利率债供给的担忧，债券市场出现较大幅度的调整。</w:t>
      </w:r>
    </w:p>
    <w:p w:rsidR="00F24D3A" w:rsidRDefault="00F466E6">
      <w:pPr>
        <w:spacing w:before="29" w:line="288" w:lineRule="auto"/>
        <w:ind w:firstLineChars="200" w:firstLine="480"/>
        <w:rPr>
          <w:color w:val="000000"/>
          <w:sz w:val="24"/>
        </w:rPr>
      </w:pPr>
      <w:r>
        <w:rPr>
          <w:color w:val="000000"/>
          <w:sz w:val="24"/>
        </w:rPr>
        <w:t>中债总全价（总值）指数在</w:t>
      </w:r>
      <w:r>
        <w:rPr>
          <w:color w:val="000000"/>
          <w:sz w:val="24"/>
        </w:rPr>
        <w:t>1</w:t>
      </w:r>
      <w:r>
        <w:rPr>
          <w:color w:val="000000"/>
          <w:sz w:val="24"/>
        </w:rPr>
        <w:t>月上涨</w:t>
      </w:r>
      <w:r>
        <w:rPr>
          <w:color w:val="000000"/>
          <w:sz w:val="24"/>
        </w:rPr>
        <w:t>0.78%</w:t>
      </w:r>
      <w:r>
        <w:rPr>
          <w:color w:val="000000"/>
          <w:sz w:val="24"/>
        </w:rPr>
        <w:t>，</w:t>
      </w:r>
      <w:r>
        <w:rPr>
          <w:color w:val="000000"/>
          <w:sz w:val="24"/>
        </w:rPr>
        <w:t>2</w:t>
      </w:r>
      <w:r>
        <w:rPr>
          <w:color w:val="000000"/>
          <w:sz w:val="24"/>
        </w:rPr>
        <w:t>月上涨</w:t>
      </w:r>
      <w:r>
        <w:rPr>
          <w:color w:val="000000"/>
          <w:sz w:val="24"/>
        </w:rPr>
        <w:t>0.67%</w:t>
      </w:r>
      <w:r>
        <w:rPr>
          <w:color w:val="000000"/>
          <w:sz w:val="24"/>
        </w:rPr>
        <w:t>，</w:t>
      </w:r>
      <w:r>
        <w:rPr>
          <w:color w:val="000000"/>
          <w:sz w:val="24"/>
        </w:rPr>
        <w:t>3</w:t>
      </w:r>
      <w:r>
        <w:rPr>
          <w:color w:val="000000"/>
          <w:sz w:val="24"/>
        </w:rPr>
        <w:t>月下跌</w:t>
      </w:r>
      <w:r>
        <w:rPr>
          <w:color w:val="000000"/>
          <w:sz w:val="24"/>
        </w:rPr>
        <w:t>1.99%</w:t>
      </w:r>
      <w:r>
        <w:rPr>
          <w:color w:val="000000"/>
          <w:sz w:val="24"/>
        </w:rPr>
        <w:t>。本基金保持较低的纯债资产配置，规避了纯债市场的大幅调整；以相对均衡风格的权益类投资分享了</w:t>
      </w:r>
      <w:r>
        <w:rPr>
          <w:color w:val="000000"/>
          <w:sz w:val="24"/>
        </w:rPr>
        <w:t>A</w:t>
      </w:r>
      <w:r>
        <w:rPr>
          <w:color w:val="000000"/>
          <w:sz w:val="24"/>
        </w:rPr>
        <w:t>股牛市的果实，并保持了净值于本报告期内的稳定上涨。</w:t>
      </w:r>
    </w:p>
    <w:p w:rsidR="00952A72" w:rsidRPr="007F52FA" w:rsidRDefault="00323F25" w:rsidP="007C14DF">
      <w:pPr>
        <w:spacing w:before="29" w:line="288" w:lineRule="auto"/>
        <w:ind w:firstLineChars="200" w:firstLine="480"/>
        <w:rPr>
          <w:color w:val="000000"/>
          <w:sz w:val="24"/>
        </w:rPr>
      </w:pPr>
      <w:r w:rsidRPr="007F52FA">
        <w:rPr>
          <w:color w:val="000000"/>
          <w:sz w:val="24"/>
        </w:rPr>
        <w:t>债券市场投资机会正在逐渐显现，预计资金宽松、短端利率下行是大概率事件，长端走势则应密切关注地方债推出对利率债供给的影响以及经济基本面企稳的可靠性。存款保险制度推出后，打破信用债刚性兑付的预期进一步上升，我们保持对低等级信用债的警惕。本基金考虑适度增加中短端、中高等级纯债仓位，并继续灵活参与权益类投资机会。</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2015</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日，交银强化回报债券</w:t>
      </w:r>
      <w:r w:rsidRPr="007F52FA">
        <w:rPr>
          <w:color w:val="000000"/>
          <w:sz w:val="24"/>
        </w:rPr>
        <w:t>A/B</w:t>
      </w:r>
      <w:r w:rsidRPr="007F52FA">
        <w:rPr>
          <w:color w:val="000000"/>
          <w:sz w:val="24"/>
        </w:rPr>
        <w:t>份额净值为</w:t>
      </w:r>
      <w:r w:rsidRPr="007F52FA">
        <w:rPr>
          <w:color w:val="000000"/>
          <w:sz w:val="24"/>
        </w:rPr>
        <w:t>1.089</w:t>
      </w:r>
      <w:r w:rsidRPr="007F52FA">
        <w:rPr>
          <w:color w:val="000000"/>
          <w:sz w:val="24"/>
        </w:rPr>
        <w:t>元，本报告期份额净值增长率为</w:t>
      </w:r>
      <w:r w:rsidRPr="007F52FA">
        <w:rPr>
          <w:color w:val="000000"/>
          <w:sz w:val="24"/>
        </w:rPr>
        <w:t>5.01%</w:t>
      </w:r>
      <w:r w:rsidRPr="007F52FA">
        <w:rPr>
          <w:color w:val="000000"/>
          <w:sz w:val="24"/>
        </w:rPr>
        <w:t>，同期业绩比较基准增长率为</w:t>
      </w:r>
      <w:r w:rsidRPr="007F52FA">
        <w:rPr>
          <w:color w:val="000000"/>
          <w:sz w:val="24"/>
        </w:rPr>
        <w:t>-0.15%</w:t>
      </w:r>
      <w:r w:rsidRPr="007F52FA">
        <w:rPr>
          <w:color w:val="000000"/>
          <w:sz w:val="24"/>
        </w:rPr>
        <w:t>；交银强化回报债券</w:t>
      </w:r>
      <w:r w:rsidRPr="007F52FA">
        <w:rPr>
          <w:color w:val="000000"/>
          <w:sz w:val="24"/>
        </w:rPr>
        <w:t>C</w:t>
      </w:r>
      <w:r w:rsidRPr="007F52FA">
        <w:rPr>
          <w:color w:val="000000"/>
          <w:sz w:val="24"/>
        </w:rPr>
        <w:t>份额净值为</w:t>
      </w:r>
      <w:r w:rsidRPr="007F52FA">
        <w:rPr>
          <w:color w:val="000000"/>
          <w:sz w:val="24"/>
        </w:rPr>
        <w:t>1.086</w:t>
      </w:r>
      <w:r w:rsidRPr="007F52FA">
        <w:rPr>
          <w:color w:val="000000"/>
          <w:sz w:val="24"/>
        </w:rPr>
        <w:t>元，本报告期份额净值增长率为</w:t>
      </w:r>
      <w:r w:rsidRPr="007F52FA">
        <w:rPr>
          <w:color w:val="000000"/>
          <w:sz w:val="24"/>
        </w:rPr>
        <w:t>4.93%</w:t>
      </w:r>
      <w:r w:rsidRPr="007F52FA">
        <w:rPr>
          <w:color w:val="000000"/>
          <w:sz w:val="24"/>
        </w:rPr>
        <w:t>，同期业绩比较基准增长率为</w:t>
      </w:r>
      <w:r w:rsidRPr="007F52FA">
        <w:rPr>
          <w:color w:val="000000"/>
          <w:sz w:val="24"/>
        </w:rPr>
        <w:t>-0.15%</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F466E6">
        <w:rPr>
          <w:rFonts w:hint="eastAsia"/>
          <w:b/>
          <w:color w:val="000000"/>
          <w:kern w:val="0"/>
          <w:sz w:val="24"/>
        </w:rPr>
        <w:t xml:space="preserve"> </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F466E6">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30,346,365.10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12.32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30,346,365.10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12.32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181,298,436.00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73.60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181,298,436.00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73.60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31,670,532.75</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12.86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3,010,454.52</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1.22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246,325,788.37</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1,132,120.32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0.69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9,091,404.78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5.52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2,850,070.00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1.73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4,467,600.00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2.71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243,770.00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8,608,600.00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5.23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3,952,800.00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2.40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30,346,365.10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18.44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F24D3A">
        <w:trPr>
          <w:jc w:val="center"/>
        </w:trPr>
        <w:tc>
          <w:tcPr>
            <w:tcW w:w="850" w:type="dxa"/>
            <w:vAlign w:val="center"/>
          </w:tcPr>
          <w:p w:rsidR="00F24D3A" w:rsidRDefault="00F466E6">
            <w:pPr>
              <w:jc w:val="center"/>
            </w:pPr>
            <w:r>
              <w:rPr>
                <w:color w:val="000000"/>
                <w:sz w:val="24"/>
              </w:rPr>
              <w:t>1</w:t>
            </w:r>
          </w:p>
        </w:tc>
        <w:tc>
          <w:tcPr>
            <w:tcW w:w="1327" w:type="dxa"/>
            <w:vAlign w:val="center"/>
          </w:tcPr>
          <w:p w:rsidR="00F24D3A" w:rsidRDefault="00F466E6">
            <w:pPr>
              <w:jc w:val="center"/>
            </w:pPr>
            <w:r>
              <w:rPr>
                <w:color w:val="000000"/>
                <w:sz w:val="24"/>
              </w:rPr>
              <w:t>300013</w:t>
            </w:r>
          </w:p>
        </w:tc>
        <w:tc>
          <w:tcPr>
            <w:tcW w:w="1769" w:type="dxa"/>
            <w:vAlign w:val="center"/>
          </w:tcPr>
          <w:p w:rsidR="00F24D3A" w:rsidRDefault="00F466E6">
            <w:pPr>
              <w:jc w:val="center"/>
            </w:pPr>
            <w:r>
              <w:rPr>
                <w:color w:val="000000"/>
                <w:sz w:val="24"/>
              </w:rPr>
              <w:t>新宁物流</w:t>
            </w:r>
          </w:p>
        </w:tc>
        <w:tc>
          <w:tcPr>
            <w:tcW w:w="1327" w:type="dxa"/>
            <w:vAlign w:val="center"/>
          </w:tcPr>
          <w:p w:rsidR="00F24D3A" w:rsidRDefault="00F466E6">
            <w:pPr>
              <w:jc w:val="right"/>
            </w:pPr>
            <w:r>
              <w:rPr>
                <w:color w:val="000000"/>
                <w:sz w:val="24"/>
              </w:rPr>
              <w:t>170,000</w:t>
            </w:r>
          </w:p>
        </w:tc>
        <w:tc>
          <w:tcPr>
            <w:tcW w:w="1915" w:type="dxa"/>
            <w:vAlign w:val="center"/>
          </w:tcPr>
          <w:p w:rsidR="00F24D3A" w:rsidRDefault="00F466E6">
            <w:pPr>
              <w:jc w:val="right"/>
            </w:pPr>
            <w:r>
              <w:rPr>
                <w:color w:val="000000"/>
                <w:sz w:val="24"/>
              </w:rPr>
              <w:t>4,467,600.00</w:t>
            </w:r>
          </w:p>
        </w:tc>
        <w:tc>
          <w:tcPr>
            <w:tcW w:w="1680" w:type="dxa"/>
            <w:vAlign w:val="center"/>
          </w:tcPr>
          <w:p w:rsidR="00F24D3A" w:rsidRDefault="00F466E6">
            <w:pPr>
              <w:jc w:val="right"/>
            </w:pPr>
            <w:r>
              <w:rPr>
                <w:color w:val="000000"/>
                <w:sz w:val="24"/>
              </w:rPr>
              <w:t>2.71</w:t>
            </w:r>
          </w:p>
        </w:tc>
      </w:tr>
      <w:tr w:rsidR="00F24D3A">
        <w:trPr>
          <w:jc w:val="center"/>
        </w:trPr>
        <w:tc>
          <w:tcPr>
            <w:tcW w:w="850" w:type="dxa"/>
            <w:vAlign w:val="center"/>
          </w:tcPr>
          <w:p w:rsidR="00F24D3A" w:rsidRDefault="00F466E6">
            <w:pPr>
              <w:jc w:val="center"/>
            </w:pPr>
            <w:r>
              <w:rPr>
                <w:color w:val="000000"/>
                <w:sz w:val="24"/>
              </w:rPr>
              <w:t>2</w:t>
            </w:r>
          </w:p>
        </w:tc>
        <w:tc>
          <w:tcPr>
            <w:tcW w:w="1327" w:type="dxa"/>
            <w:vAlign w:val="center"/>
          </w:tcPr>
          <w:p w:rsidR="00F24D3A" w:rsidRDefault="00F466E6">
            <w:pPr>
              <w:jc w:val="center"/>
            </w:pPr>
            <w:r>
              <w:rPr>
                <w:color w:val="000000"/>
                <w:sz w:val="24"/>
              </w:rPr>
              <w:t>601688</w:t>
            </w:r>
          </w:p>
        </w:tc>
        <w:tc>
          <w:tcPr>
            <w:tcW w:w="1769" w:type="dxa"/>
            <w:vAlign w:val="center"/>
          </w:tcPr>
          <w:p w:rsidR="00F24D3A" w:rsidRDefault="00F466E6">
            <w:pPr>
              <w:jc w:val="center"/>
            </w:pPr>
            <w:r>
              <w:rPr>
                <w:color w:val="000000"/>
                <w:sz w:val="24"/>
              </w:rPr>
              <w:t>华泰证券</w:t>
            </w:r>
          </w:p>
        </w:tc>
        <w:tc>
          <w:tcPr>
            <w:tcW w:w="1327" w:type="dxa"/>
            <w:vAlign w:val="center"/>
          </w:tcPr>
          <w:p w:rsidR="00F24D3A" w:rsidRDefault="00F466E6">
            <w:pPr>
              <w:jc w:val="right"/>
            </w:pPr>
            <w:r>
              <w:rPr>
                <w:color w:val="000000"/>
                <w:sz w:val="24"/>
              </w:rPr>
              <w:t>140,000</w:t>
            </w:r>
          </w:p>
        </w:tc>
        <w:tc>
          <w:tcPr>
            <w:tcW w:w="1915" w:type="dxa"/>
            <w:vAlign w:val="center"/>
          </w:tcPr>
          <w:p w:rsidR="00F24D3A" w:rsidRDefault="00F466E6">
            <w:pPr>
              <w:jc w:val="right"/>
            </w:pPr>
            <w:r>
              <w:rPr>
                <w:color w:val="000000"/>
                <w:sz w:val="24"/>
              </w:rPr>
              <w:t>4,215,400.00</w:t>
            </w:r>
          </w:p>
        </w:tc>
        <w:tc>
          <w:tcPr>
            <w:tcW w:w="1680" w:type="dxa"/>
            <w:vAlign w:val="center"/>
          </w:tcPr>
          <w:p w:rsidR="00F24D3A" w:rsidRDefault="00F466E6">
            <w:pPr>
              <w:jc w:val="right"/>
            </w:pPr>
            <w:r>
              <w:rPr>
                <w:color w:val="000000"/>
                <w:sz w:val="24"/>
              </w:rPr>
              <w:t>2.56</w:t>
            </w:r>
          </w:p>
        </w:tc>
      </w:tr>
      <w:tr w:rsidR="00F24D3A">
        <w:trPr>
          <w:jc w:val="center"/>
        </w:trPr>
        <w:tc>
          <w:tcPr>
            <w:tcW w:w="850" w:type="dxa"/>
            <w:vAlign w:val="center"/>
          </w:tcPr>
          <w:p w:rsidR="00F24D3A" w:rsidRDefault="00F466E6">
            <w:pPr>
              <w:jc w:val="center"/>
            </w:pPr>
            <w:r>
              <w:rPr>
                <w:color w:val="000000"/>
                <w:sz w:val="24"/>
              </w:rPr>
              <w:t>3</w:t>
            </w:r>
          </w:p>
        </w:tc>
        <w:tc>
          <w:tcPr>
            <w:tcW w:w="1327" w:type="dxa"/>
            <w:vAlign w:val="center"/>
          </w:tcPr>
          <w:p w:rsidR="00F24D3A" w:rsidRDefault="00F466E6">
            <w:pPr>
              <w:jc w:val="center"/>
            </w:pPr>
            <w:r>
              <w:rPr>
                <w:color w:val="000000"/>
                <w:sz w:val="24"/>
              </w:rPr>
              <w:t>000024</w:t>
            </w:r>
          </w:p>
        </w:tc>
        <w:tc>
          <w:tcPr>
            <w:tcW w:w="1769" w:type="dxa"/>
            <w:vAlign w:val="center"/>
          </w:tcPr>
          <w:p w:rsidR="00F24D3A" w:rsidRDefault="00F466E6">
            <w:pPr>
              <w:jc w:val="center"/>
            </w:pPr>
            <w:r>
              <w:rPr>
                <w:color w:val="000000"/>
                <w:sz w:val="24"/>
              </w:rPr>
              <w:t>招商地产</w:t>
            </w:r>
          </w:p>
        </w:tc>
        <w:tc>
          <w:tcPr>
            <w:tcW w:w="1327" w:type="dxa"/>
            <w:vAlign w:val="center"/>
          </w:tcPr>
          <w:p w:rsidR="00F24D3A" w:rsidRDefault="00F466E6">
            <w:pPr>
              <w:jc w:val="right"/>
            </w:pPr>
            <w:r>
              <w:rPr>
                <w:color w:val="000000"/>
                <w:sz w:val="24"/>
              </w:rPr>
              <w:t>120,000</w:t>
            </w:r>
          </w:p>
        </w:tc>
        <w:tc>
          <w:tcPr>
            <w:tcW w:w="1915" w:type="dxa"/>
            <w:vAlign w:val="center"/>
          </w:tcPr>
          <w:p w:rsidR="00F24D3A" w:rsidRDefault="00F466E6">
            <w:pPr>
              <w:jc w:val="right"/>
            </w:pPr>
            <w:r>
              <w:rPr>
                <w:color w:val="000000"/>
                <w:sz w:val="24"/>
              </w:rPr>
              <w:t>3,952,800.00</w:t>
            </w:r>
          </w:p>
        </w:tc>
        <w:tc>
          <w:tcPr>
            <w:tcW w:w="1680" w:type="dxa"/>
            <w:vAlign w:val="center"/>
          </w:tcPr>
          <w:p w:rsidR="00F24D3A" w:rsidRDefault="00F466E6">
            <w:pPr>
              <w:jc w:val="right"/>
            </w:pPr>
            <w:r>
              <w:rPr>
                <w:color w:val="000000"/>
                <w:sz w:val="24"/>
              </w:rPr>
              <w:t>2.40</w:t>
            </w:r>
          </w:p>
        </w:tc>
      </w:tr>
      <w:tr w:rsidR="00F24D3A">
        <w:trPr>
          <w:jc w:val="center"/>
        </w:trPr>
        <w:tc>
          <w:tcPr>
            <w:tcW w:w="850" w:type="dxa"/>
            <w:vAlign w:val="center"/>
          </w:tcPr>
          <w:p w:rsidR="00F24D3A" w:rsidRDefault="00F466E6">
            <w:pPr>
              <w:jc w:val="center"/>
            </w:pPr>
            <w:r>
              <w:rPr>
                <w:color w:val="000000"/>
                <w:sz w:val="24"/>
              </w:rPr>
              <w:t>4</w:t>
            </w:r>
          </w:p>
        </w:tc>
        <w:tc>
          <w:tcPr>
            <w:tcW w:w="1327" w:type="dxa"/>
            <w:vAlign w:val="center"/>
          </w:tcPr>
          <w:p w:rsidR="00F24D3A" w:rsidRDefault="00F466E6">
            <w:pPr>
              <w:jc w:val="center"/>
            </w:pPr>
            <w:r>
              <w:rPr>
                <w:color w:val="000000"/>
                <w:sz w:val="24"/>
              </w:rPr>
              <w:t>601166</w:t>
            </w:r>
          </w:p>
        </w:tc>
        <w:tc>
          <w:tcPr>
            <w:tcW w:w="1769" w:type="dxa"/>
            <w:vAlign w:val="center"/>
          </w:tcPr>
          <w:p w:rsidR="00F24D3A" w:rsidRDefault="00F466E6">
            <w:pPr>
              <w:jc w:val="center"/>
            </w:pPr>
            <w:r>
              <w:rPr>
                <w:color w:val="000000"/>
                <w:sz w:val="24"/>
              </w:rPr>
              <w:t>兴业银行</w:t>
            </w:r>
          </w:p>
        </w:tc>
        <w:tc>
          <w:tcPr>
            <w:tcW w:w="1327" w:type="dxa"/>
            <w:vAlign w:val="center"/>
          </w:tcPr>
          <w:p w:rsidR="00F24D3A" w:rsidRDefault="00F466E6">
            <w:pPr>
              <w:jc w:val="right"/>
            </w:pPr>
            <w:r>
              <w:rPr>
                <w:color w:val="000000"/>
                <w:sz w:val="24"/>
              </w:rPr>
              <w:t>120,000</w:t>
            </w:r>
          </w:p>
        </w:tc>
        <w:tc>
          <w:tcPr>
            <w:tcW w:w="1915" w:type="dxa"/>
            <w:vAlign w:val="center"/>
          </w:tcPr>
          <w:p w:rsidR="00F24D3A" w:rsidRDefault="00F466E6">
            <w:pPr>
              <w:jc w:val="right"/>
            </w:pPr>
            <w:r>
              <w:rPr>
                <w:color w:val="000000"/>
                <w:sz w:val="24"/>
              </w:rPr>
              <w:t>2,203,200.00</w:t>
            </w:r>
          </w:p>
        </w:tc>
        <w:tc>
          <w:tcPr>
            <w:tcW w:w="1680" w:type="dxa"/>
            <w:vAlign w:val="center"/>
          </w:tcPr>
          <w:p w:rsidR="00F24D3A" w:rsidRDefault="00F466E6">
            <w:pPr>
              <w:jc w:val="right"/>
            </w:pPr>
            <w:r>
              <w:rPr>
                <w:color w:val="000000"/>
                <w:sz w:val="24"/>
              </w:rPr>
              <w:t>1.34</w:t>
            </w:r>
          </w:p>
        </w:tc>
      </w:tr>
      <w:tr w:rsidR="00F24D3A">
        <w:trPr>
          <w:jc w:val="center"/>
        </w:trPr>
        <w:tc>
          <w:tcPr>
            <w:tcW w:w="850" w:type="dxa"/>
            <w:vAlign w:val="center"/>
          </w:tcPr>
          <w:p w:rsidR="00F24D3A" w:rsidRDefault="00F466E6">
            <w:pPr>
              <w:jc w:val="center"/>
            </w:pPr>
            <w:r>
              <w:rPr>
                <w:color w:val="000000"/>
                <w:sz w:val="24"/>
              </w:rPr>
              <w:t>5</w:t>
            </w:r>
          </w:p>
        </w:tc>
        <w:tc>
          <w:tcPr>
            <w:tcW w:w="1327" w:type="dxa"/>
            <w:vAlign w:val="center"/>
          </w:tcPr>
          <w:p w:rsidR="00F24D3A" w:rsidRDefault="00F466E6">
            <w:pPr>
              <w:jc w:val="center"/>
            </w:pPr>
            <w:r>
              <w:rPr>
                <w:color w:val="000000"/>
                <w:sz w:val="24"/>
              </w:rPr>
              <w:t>601988</w:t>
            </w:r>
          </w:p>
        </w:tc>
        <w:tc>
          <w:tcPr>
            <w:tcW w:w="1769" w:type="dxa"/>
            <w:vAlign w:val="center"/>
          </w:tcPr>
          <w:p w:rsidR="00F24D3A" w:rsidRDefault="00F466E6">
            <w:pPr>
              <w:jc w:val="center"/>
            </w:pPr>
            <w:r>
              <w:rPr>
                <w:color w:val="000000"/>
                <w:sz w:val="24"/>
              </w:rPr>
              <w:t>中国银行</w:t>
            </w:r>
          </w:p>
        </w:tc>
        <w:tc>
          <w:tcPr>
            <w:tcW w:w="1327" w:type="dxa"/>
            <w:vAlign w:val="center"/>
          </w:tcPr>
          <w:p w:rsidR="00F24D3A" w:rsidRDefault="00F466E6">
            <w:pPr>
              <w:jc w:val="right"/>
            </w:pPr>
            <w:r>
              <w:rPr>
                <w:color w:val="000000"/>
                <w:sz w:val="24"/>
              </w:rPr>
              <w:t>500,000</w:t>
            </w:r>
          </w:p>
        </w:tc>
        <w:tc>
          <w:tcPr>
            <w:tcW w:w="1915" w:type="dxa"/>
            <w:vAlign w:val="center"/>
          </w:tcPr>
          <w:p w:rsidR="00F24D3A" w:rsidRDefault="00F466E6">
            <w:pPr>
              <w:jc w:val="right"/>
            </w:pPr>
            <w:r>
              <w:rPr>
                <w:color w:val="000000"/>
                <w:sz w:val="24"/>
              </w:rPr>
              <w:t>2,190,000.00</w:t>
            </w:r>
          </w:p>
        </w:tc>
        <w:tc>
          <w:tcPr>
            <w:tcW w:w="1680" w:type="dxa"/>
            <w:vAlign w:val="center"/>
          </w:tcPr>
          <w:p w:rsidR="00F24D3A" w:rsidRDefault="00F466E6">
            <w:pPr>
              <w:jc w:val="right"/>
            </w:pPr>
            <w:r>
              <w:rPr>
                <w:color w:val="000000"/>
                <w:sz w:val="24"/>
              </w:rPr>
              <w:t>1.33</w:t>
            </w:r>
          </w:p>
        </w:tc>
      </w:tr>
      <w:tr w:rsidR="00F24D3A">
        <w:trPr>
          <w:jc w:val="center"/>
        </w:trPr>
        <w:tc>
          <w:tcPr>
            <w:tcW w:w="850" w:type="dxa"/>
            <w:vAlign w:val="center"/>
          </w:tcPr>
          <w:p w:rsidR="00F24D3A" w:rsidRDefault="00F466E6">
            <w:pPr>
              <w:jc w:val="center"/>
            </w:pPr>
            <w:r>
              <w:rPr>
                <w:color w:val="000000"/>
                <w:sz w:val="24"/>
              </w:rPr>
              <w:t>6</w:t>
            </w:r>
          </w:p>
        </w:tc>
        <w:tc>
          <w:tcPr>
            <w:tcW w:w="1327" w:type="dxa"/>
            <w:vAlign w:val="center"/>
          </w:tcPr>
          <w:p w:rsidR="00F24D3A" w:rsidRDefault="00F466E6">
            <w:pPr>
              <w:jc w:val="center"/>
            </w:pPr>
            <w:r>
              <w:rPr>
                <w:color w:val="000000"/>
                <w:sz w:val="24"/>
              </w:rPr>
              <w:t>002311</w:t>
            </w:r>
          </w:p>
        </w:tc>
        <w:tc>
          <w:tcPr>
            <w:tcW w:w="1769" w:type="dxa"/>
            <w:vAlign w:val="center"/>
          </w:tcPr>
          <w:p w:rsidR="00F24D3A" w:rsidRDefault="00F466E6">
            <w:pPr>
              <w:jc w:val="center"/>
            </w:pPr>
            <w:r>
              <w:rPr>
                <w:color w:val="000000"/>
                <w:sz w:val="24"/>
              </w:rPr>
              <w:t>海大集团</w:t>
            </w:r>
          </w:p>
        </w:tc>
        <w:tc>
          <w:tcPr>
            <w:tcW w:w="1327" w:type="dxa"/>
            <w:vAlign w:val="center"/>
          </w:tcPr>
          <w:p w:rsidR="00F24D3A" w:rsidRDefault="00F466E6">
            <w:pPr>
              <w:jc w:val="right"/>
            </w:pPr>
            <w:r>
              <w:rPr>
                <w:color w:val="000000"/>
                <w:sz w:val="24"/>
              </w:rPr>
              <w:t>99,961</w:t>
            </w:r>
          </w:p>
        </w:tc>
        <w:tc>
          <w:tcPr>
            <w:tcW w:w="1915" w:type="dxa"/>
            <w:vAlign w:val="center"/>
          </w:tcPr>
          <w:p w:rsidR="00F24D3A" w:rsidRDefault="00F466E6">
            <w:pPr>
              <w:jc w:val="right"/>
            </w:pPr>
            <w:r>
              <w:rPr>
                <w:color w:val="000000"/>
                <w:sz w:val="24"/>
              </w:rPr>
              <w:t>1,917,251.98</w:t>
            </w:r>
          </w:p>
        </w:tc>
        <w:tc>
          <w:tcPr>
            <w:tcW w:w="1680" w:type="dxa"/>
            <w:vAlign w:val="center"/>
          </w:tcPr>
          <w:p w:rsidR="00F24D3A" w:rsidRDefault="00F466E6">
            <w:pPr>
              <w:jc w:val="right"/>
            </w:pPr>
            <w:r>
              <w:rPr>
                <w:color w:val="000000"/>
                <w:sz w:val="24"/>
              </w:rPr>
              <w:t>1.16</w:t>
            </w:r>
          </w:p>
        </w:tc>
      </w:tr>
      <w:tr w:rsidR="00F24D3A">
        <w:trPr>
          <w:jc w:val="center"/>
        </w:trPr>
        <w:tc>
          <w:tcPr>
            <w:tcW w:w="850" w:type="dxa"/>
            <w:vAlign w:val="center"/>
          </w:tcPr>
          <w:p w:rsidR="00F24D3A" w:rsidRDefault="00F466E6">
            <w:pPr>
              <w:jc w:val="center"/>
            </w:pPr>
            <w:r>
              <w:rPr>
                <w:color w:val="000000"/>
                <w:sz w:val="24"/>
              </w:rPr>
              <w:t>7</w:t>
            </w:r>
          </w:p>
        </w:tc>
        <w:tc>
          <w:tcPr>
            <w:tcW w:w="1327" w:type="dxa"/>
            <w:vAlign w:val="center"/>
          </w:tcPr>
          <w:p w:rsidR="00F24D3A" w:rsidRDefault="00F466E6">
            <w:pPr>
              <w:jc w:val="center"/>
            </w:pPr>
            <w:r>
              <w:rPr>
                <w:color w:val="000000"/>
                <w:sz w:val="24"/>
              </w:rPr>
              <w:t>300028</w:t>
            </w:r>
          </w:p>
        </w:tc>
        <w:tc>
          <w:tcPr>
            <w:tcW w:w="1769" w:type="dxa"/>
            <w:vAlign w:val="center"/>
          </w:tcPr>
          <w:p w:rsidR="00F24D3A" w:rsidRDefault="00F466E6">
            <w:pPr>
              <w:jc w:val="center"/>
            </w:pPr>
            <w:r>
              <w:rPr>
                <w:color w:val="000000"/>
                <w:sz w:val="24"/>
              </w:rPr>
              <w:t>金亚科技</w:t>
            </w:r>
          </w:p>
        </w:tc>
        <w:tc>
          <w:tcPr>
            <w:tcW w:w="1327" w:type="dxa"/>
            <w:vAlign w:val="center"/>
          </w:tcPr>
          <w:p w:rsidR="00F24D3A" w:rsidRDefault="00F466E6">
            <w:pPr>
              <w:jc w:val="right"/>
            </w:pPr>
            <w:r>
              <w:rPr>
                <w:color w:val="000000"/>
                <w:sz w:val="24"/>
              </w:rPr>
              <w:t>50,000</w:t>
            </w:r>
          </w:p>
        </w:tc>
        <w:tc>
          <w:tcPr>
            <w:tcW w:w="1915" w:type="dxa"/>
            <w:vAlign w:val="center"/>
          </w:tcPr>
          <w:p w:rsidR="00F24D3A" w:rsidRDefault="00F466E6">
            <w:pPr>
              <w:jc w:val="right"/>
            </w:pPr>
            <w:r>
              <w:rPr>
                <w:color w:val="000000"/>
                <w:sz w:val="24"/>
              </w:rPr>
              <w:t>1,916,500.00</w:t>
            </w:r>
          </w:p>
        </w:tc>
        <w:tc>
          <w:tcPr>
            <w:tcW w:w="1680" w:type="dxa"/>
            <w:vAlign w:val="center"/>
          </w:tcPr>
          <w:p w:rsidR="00F24D3A" w:rsidRDefault="00F466E6">
            <w:pPr>
              <w:jc w:val="right"/>
            </w:pPr>
            <w:r>
              <w:rPr>
                <w:color w:val="000000"/>
                <w:sz w:val="24"/>
              </w:rPr>
              <w:t>1.16</w:t>
            </w:r>
          </w:p>
        </w:tc>
      </w:tr>
      <w:tr w:rsidR="00F24D3A">
        <w:trPr>
          <w:jc w:val="center"/>
        </w:trPr>
        <w:tc>
          <w:tcPr>
            <w:tcW w:w="850" w:type="dxa"/>
            <w:vAlign w:val="center"/>
          </w:tcPr>
          <w:p w:rsidR="00F24D3A" w:rsidRDefault="00F466E6">
            <w:pPr>
              <w:jc w:val="center"/>
            </w:pPr>
            <w:r>
              <w:rPr>
                <w:color w:val="000000"/>
                <w:sz w:val="24"/>
              </w:rPr>
              <w:t>8</w:t>
            </w:r>
          </w:p>
        </w:tc>
        <w:tc>
          <w:tcPr>
            <w:tcW w:w="1327" w:type="dxa"/>
            <w:vAlign w:val="center"/>
          </w:tcPr>
          <w:p w:rsidR="00F24D3A" w:rsidRDefault="00F466E6">
            <w:pPr>
              <w:jc w:val="center"/>
            </w:pPr>
            <w:r>
              <w:rPr>
                <w:color w:val="000000"/>
                <w:sz w:val="24"/>
              </w:rPr>
              <w:t>002081</w:t>
            </w:r>
          </w:p>
        </w:tc>
        <w:tc>
          <w:tcPr>
            <w:tcW w:w="1769" w:type="dxa"/>
            <w:vAlign w:val="center"/>
          </w:tcPr>
          <w:p w:rsidR="00F24D3A" w:rsidRDefault="00F466E6">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1327" w:type="dxa"/>
            <w:vAlign w:val="center"/>
          </w:tcPr>
          <w:p w:rsidR="00F24D3A" w:rsidRDefault="00F466E6">
            <w:pPr>
              <w:jc w:val="right"/>
            </w:pPr>
            <w:r>
              <w:rPr>
                <w:color w:val="000000"/>
                <w:sz w:val="24"/>
              </w:rPr>
              <w:t>42,000</w:t>
            </w:r>
          </w:p>
        </w:tc>
        <w:tc>
          <w:tcPr>
            <w:tcW w:w="1915" w:type="dxa"/>
            <w:vAlign w:val="center"/>
          </w:tcPr>
          <w:p w:rsidR="00F24D3A" w:rsidRDefault="00F466E6">
            <w:pPr>
              <w:jc w:val="right"/>
            </w:pPr>
            <w:r>
              <w:rPr>
                <w:color w:val="000000"/>
                <w:sz w:val="24"/>
              </w:rPr>
              <w:t>1,477,140.00</w:t>
            </w:r>
          </w:p>
        </w:tc>
        <w:tc>
          <w:tcPr>
            <w:tcW w:w="1680" w:type="dxa"/>
            <w:vAlign w:val="center"/>
          </w:tcPr>
          <w:p w:rsidR="00F24D3A" w:rsidRDefault="00F466E6">
            <w:pPr>
              <w:jc w:val="right"/>
            </w:pPr>
            <w:r>
              <w:rPr>
                <w:color w:val="000000"/>
                <w:sz w:val="24"/>
              </w:rPr>
              <w:t>0.90</w:t>
            </w:r>
          </w:p>
        </w:tc>
      </w:tr>
      <w:tr w:rsidR="00F24D3A">
        <w:trPr>
          <w:jc w:val="center"/>
        </w:trPr>
        <w:tc>
          <w:tcPr>
            <w:tcW w:w="850" w:type="dxa"/>
            <w:vAlign w:val="center"/>
          </w:tcPr>
          <w:p w:rsidR="00F24D3A" w:rsidRDefault="00F466E6">
            <w:pPr>
              <w:jc w:val="center"/>
            </w:pPr>
            <w:r>
              <w:rPr>
                <w:color w:val="000000"/>
                <w:sz w:val="24"/>
              </w:rPr>
              <w:t>9</w:t>
            </w:r>
          </w:p>
        </w:tc>
        <w:tc>
          <w:tcPr>
            <w:tcW w:w="1327" w:type="dxa"/>
            <w:vAlign w:val="center"/>
          </w:tcPr>
          <w:p w:rsidR="00F24D3A" w:rsidRDefault="00F466E6">
            <w:pPr>
              <w:jc w:val="center"/>
            </w:pPr>
            <w:r>
              <w:rPr>
                <w:color w:val="000000"/>
                <w:sz w:val="24"/>
              </w:rPr>
              <w:t>601668</w:t>
            </w:r>
          </w:p>
        </w:tc>
        <w:tc>
          <w:tcPr>
            <w:tcW w:w="1769" w:type="dxa"/>
            <w:vAlign w:val="center"/>
          </w:tcPr>
          <w:p w:rsidR="00F24D3A" w:rsidRDefault="00F466E6">
            <w:pPr>
              <w:jc w:val="center"/>
            </w:pPr>
            <w:r>
              <w:rPr>
                <w:color w:val="000000"/>
                <w:sz w:val="24"/>
              </w:rPr>
              <w:t>中国建筑</w:t>
            </w:r>
          </w:p>
        </w:tc>
        <w:tc>
          <w:tcPr>
            <w:tcW w:w="1327" w:type="dxa"/>
            <w:vAlign w:val="center"/>
          </w:tcPr>
          <w:p w:rsidR="00F24D3A" w:rsidRDefault="00F466E6">
            <w:pPr>
              <w:jc w:val="right"/>
            </w:pPr>
            <w:r>
              <w:rPr>
                <w:color w:val="000000"/>
                <w:sz w:val="24"/>
              </w:rPr>
              <w:t>179,000</w:t>
            </w:r>
          </w:p>
        </w:tc>
        <w:tc>
          <w:tcPr>
            <w:tcW w:w="1915" w:type="dxa"/>
            <w:vAlign w:val="center"/>
          </w:tcPr>
          <w:p w:rsidR="00F24D3A" w:rsidRDefault="00F466E6">
            <w:pPr>
              <w:jc w:val="right"/>
            </w:pPr>
            <w:r>
              <w:rPr>
                <w:color w:val="000000"/>
                <w:sz w:val="24"/>
              </w:rPr>
              <w:t>1,372,930.00</w:t>
            </w:r>
          </w:p>
        </w:tc>
        <w:tc>
          <w:tcPr>
            <w:tcW w:w="1680" w:type="dxa"/>
            <w:vAlign w:val="center"/>
          </w:tcPr>
          <w:p w:rsidR="00F24D3A" w:rsidRDefault="00F466E6">
            <w:pPr>
              <w:jc w:val="right"/>
            </w:pPr>
            <w:r>
              <w:rPr>
                <w:color w:val="000000"/>
                <w:sz w:val="24"/>
              </w:rPr>
              <w:t>0.83</w:t>
            </w:r>
          </w:p>
        </w:tc>
      </w:tr>
      <w:tr w:rsidR="00F24D3A">
        <w:trPr>
          <w:jc w:val="center"/>
        </w:trPr>
        <w:tc>
          <w:tcPr>
            <w:tcW w:w="850" w:type="dxa"/>
            <w:vAlign w:val="center"/>
          </w:tcPr>
          <w:p w:rsidR="00F24D3A" w:rsidRDefault="00F466E6">
            <w:pPr>
              <w:jc w:val="center"/>
            </w:pPr>
            <w:r>
              <w:rPr>
                <w:color w:val="000000"/>
                <w:sz w:val="24"/>
              </w:rPr>
              <w:t>10</w:t>
            </w:r>
          </w:p>
        </w:tc>
        <w:tc>
          <w:tcPr>
            <w:tcW w:w="1327" w:type="dxa"/>
            <w:vAlign w:val="center"/>
          </w:tcPr>
          <w:p w:rsidR="00F24D3A" w:rsidRDefault="00F466E6">
            <w:pPr>
              <w:jc w:val="center"/>
            </w:pPr>
            <w:r>
              <w:rPr>
                <w:color w:val="000000"/>
                <w:sz w:val="24"/>
              </w:rPr>
              <w:t>000630</w:t>
            </w:r>
          </w:p>
        </w:tc>
        <w:tc>
          <w:tcPr>
            <w:tcW w:w="1769" w:type="dxa"/>
            <w:vAlign w:val="center"/>
          </w:tcPr>
          <w:p w:rsidR="00F24D3A" w:rsidRDefault="00F466E6">
            <w:pPr>
              <w:jc w:val="center"/>
            </w:pPr>
            <w:r>
              <w:rPr>
                <w:color w:val="000000"/>
                <w:sz w:val="24"/>
              </w:rPr>
              <w:t>铜陵有色</w:t>
            </w:r>
          </w:p>
        </w:tc>
        <w:tc>
          <w:tcPr>
            <w:tcW w:w="1327" w:type="dxa"/>
            <w:vAlign w:val="center"/>
          </w:tcPr>
          <w:p w:rsidR="00F24D3A" w:rsidRDefault="00F466E6">
            <w:pPr>
              <w:jc w:val="right"/>
            </w:pPr>
            <w:r>
              <w:rPr>
                <w:color w:val="000000"/>
                <w:sz w:val="24"/>
              </w:rPr>
              <w:t>79,960</w:t>
            </w:r>
          </w:p>
        </w:tc>
        <w:tc>
          <w:tcPr>
            <w:tcW w:w="1915" w:type="dxa"/>
            <w:vAlign w:val="center"/>
          </w:tcPr>
          <w:p w:rsidR="00F24D3A" w:rsidRDefault="00F466E6">
            <w:pPr>
              <w:jc w:val="right"/>
            </w:pPr>
            <w:r>
              <w:rPr>
                <w:color w:val="000000"/>
                <w:sz w:val="24"/>
              </w:rPr>
              <w:t>1,353,722.80</w:t>
            </w:r>
          </w:p>
        </w:tc>
        <w:tc>
          <w:tcPr>
            <w:tcW w:w="1680" w:type="dxa"/>
            <w:vAlign w:val="center"/>
          </w:tcPr>
          <w:p w:rsidR="00F24D3A" w:rsidRDefault="00F466E6">
            <w:pPr>
              <w:jc w:val="right"/>
            </w:pPr>
            <w:r>
              <w:rPr>
                <w:color w:val="000000"/>
                <w:sz w:val="24"/>
              </w:rPr>
              <w:t>0.82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77,340,400.00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46.99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77,340,400.00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46.99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78,655,906.00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47.78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24,815,500.00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15.08</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可转债</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486,630.00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0.30</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8</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181,298,436.00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110.14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F24D3A">
        <w:trPr>
          <w:jc w:val="center"/>
        </w:trPr>
        <w:tc>
          <w:tcPr>
            <w:tcW w:w="1075" w:type="dxa"/>
            <w:vAlign w:val="center"/>
          </w:tcPr>
          <w:p w:rsidR="00F24D3A" w:rsidRDefault="00F466E6">
            <w:pPr>
              <w:jc w:val="center"/>
            </w:pPr>
            <w:r>
              <w:rPr>
                <w:color w:val="000000"/>
                <w:sz w:val="24"/>
              </w:rPr>
              <w:t>1</w:t>
            </w:r>
          </w:p>
        </w:tc>
        <w:tc>
          <w:tcPr>
            <w:tcW w:w="1533" w:type="dxa"/>
            <w:vAlign w:val="center"/>
          </w:tcPr>
          <w:p w:rsidR="00F24D3A" w:rsidRDefault="00F466E6">
            <w:pPr>
              <w:jc w:val="center"/>
            </w:pPr>
            <w:r>
              <w:rPr>
                <w:color w:val="000000"/>
                <w:sz w:val="24"/>
              </w:rPr>
              <w:t>150406</w:t>
            </w:r>
          </w:p>
        </w:tc>
        <w:tc>
          <w:tcPr>
            <w:tcW w:w="1533" w:type="dxa"/>
            <w:vAlign w:val="center"/>
          </w:tcPr>
          <w:p w:rsidR="00F24D3A" w:rsidRDefault="00F466E6">
            <w:pPr>
              <w:jc w:val="center"/>
            </w:pPr>
            <w:r>
              <w:rPr>
                <w:color w:val="000000"/>
                <w:sz w:val="24"/>
              </w:rPr>
              <w:t>15</w:t>
            </w:r>
            <w:r>
              <w:rPr>
                <w:color w:val="000000"/>
                <w:sz w:val="24"/>
              </w:rPr>
              <w:t>农发</w:t>
            </w:r>
            <w:r>
              <w:rPr>
                <w:color w:val="000000"/>
                <w:sz w:val="24"/>
              </w:rPr>
              <w:t>06</w:t>
            </w:r>
          </w:p>
        </w:tc>
        <w:tc>
          <w:tcPr>
            <w:tcW w:w="1394" w:type="dxa"/>
            <w:vAlign w:val="center"/>
          </w:tcPr>
          <w:p w:rsidR="00F24D3A" w:rsidRDefault="00F466E6">
            <w:pPr>
              <w:jc w:val="right"/>
            </w:pPr>
            <w:r>
              <w:rPr>
                <w:color w:val="000000"/>
                <w:sz w:val="24"/>
              </w:rPr>
              <w:t>500,000</w:t>
            </w:r>
          </w:p>
        </w:tc>
        <w:tc>
          <w:tcPr>
            <w:tcW w:w="1944" w:type="dxa"/>
            <w:vAlign w:val="center"/>
          </w:tcPr>
          <w:p w:rsidR="00F24D3A" w:rsidRDefault="00F466E6">
            <w:pPr>
              <w:jc w:val="right"/>
            </w:pPr>
            <w:r>
              <w:rPr>
                <w:color w:val="000000"/>
                <w:sz w:val="24"/>
              </w:rPr>
              <w:t>49,390,000.00</w:t>
            </w:r>
          </w:p>
        </w:tc>
        <w:tc>
          <w:tcPr>
            <w:tcW w:w="1389" w:type="dxa"/>
            <w:vAlign w:val="center"/>
          </w:tcPr>
          <w:p w:rsidR="00F24D3A" w:rsidRDefault="00F466E6">
            <w:pPr>
              <w:jc w:val="right"/>
            </w:pPr>
            <w:r>
              <w:rPr>
                <w:color w:val="000000"/>
                <w:sz w:val="24"/>
              </w:rPr>
              <w:t>30.01</w:t>
            </w:r>
          </w:p>
        </w:tc>
      </w:tr>
      <w:tr w:rsidR="00F24D3A">
        <w:trPr>
          <w:jc w:val="center"/>
        </w:trPr>
        <w:tc>
          <w:tcPr>
            <w:tcW w:w="1075" w:type="dxa"/>
            <w:vAlign w:val="center"/>
          </w:tcPr>
          <w:p w:rsidR="00F24D3A" w:rsidRDefault="00F466E6">
            <w:pPr>
              <w:jc w:val="center"/>
            </w:pPr>
            <w:r>
              <w:rPr>
                <w:color w:val="000000"/>
                <w:sz w:val="24"/>
              </w:rPr>
              <w:t>2</w:t>
            </w:r>
          </w:p>
        </w:tc>
        <w:tc>
          <w:tcPr>
            <w:tcW w:w="1533" w:type="dxa"/>
            <w:vAlign w:val="center"/>
          </w:tcPr>
          <w:p w:rsidR="00F24D3A" w:rsidRDefault="00F466E6">
            <w:pPr>
              <w:jc w:val="center"/>
            </w:pPr>
            <w:r>
              <w:rPr>
                <w:color w:val="000000"/>
                <w:sz w:val="24"/>
              </w:rPr>
              <w:t>150202</w:t>
            </w:r>
          </w:p>
        </w:tc>
        <w:tc>
          <w:tcPr>
            <w:tcW w:w="1533" w:type="dxa"/>
            <w:vAlign w:val="center"/>
          </w:tcPr>
          <w:p w:rsidR="00F24D3A" w:rsidRDefault="00F466E6">
            <w:pPr>
              <w:jc w:val="center"/>
            </w:pPr>
            <w:r>
              <w:rPr>
                <w:color w:val="000000"/>
                <w:sz w:val="24"/>
              </w:rPr>
              <w:t>15</w:t>
            </w:r>
            <w:r>
              <w:rPr>
                <w:color w:val="000000"/>
                <w:sz w:val="24"/>
              </w:rPr>
              <w:t>国开</w:t>
            </w:r>
            <w:r>
              <w:rPr>
                <w:color w:val="000000"/>
                <w:sz w:val="24"/>
              </w:rPr>
              <w:t>02</w:t>
            </w:r>
          </w:p>
        </w:tc>
        <w:tc>
          <w:tcPr>
            <w:tcW w:w="1394" w:type="dxa"/>
            <w:vAlign w:val="center"/>
          </w:tcPr>
          <w:p w:rsidR="00F24D3A" w:rsidRDefault="00F466E6">
            <w:pPr>
              <w:jc w:val="right"/>
            </w:pPr>
            <w:r>
              <w:rPr>
                <w:color w:val="000000"/>
                <w:sz w:val="24"/>
              </w:rPr>
              <w:t>200,000</w:t>
            </w:r>
          </w:p>
        </w:tc>
        <w:tc>
          <w:tcPr>
            <w:tcW w:w="1944" w:type="dxa"/>
            <w:vAlign w:val="center"/>
          </w:tcPr>
          <w:p w:rsidR="00F24D3A" w:rsidRDefault="00F466E6">
            <w:pPr>
              <w:jc w:val="right"/>
            </w:pPr>
            <w:r>
              <w:rPr>
                <w:color w:val="000000"/>
                <w:sz w:val="24"/>
              </w:rPr>
              <w:t>19,948,000.00</w:t>
            </w:r>
          </w:p>
        </w:tc>
        <w:tc>
          <w:tcPr>
            <w:tcW w:w="1389" w:type="dxa"/>
            <w:vAlign w:val="center"/>
          </w:tcPr>
          <w:p w:rsidR="00F24D3A" w:rsidRDefault="00F466E6">
            <w:pPr>
              <w:jc w:val="right"/>
            </w:pPr>
            <w:r>
              <w:rPr>
                <w:color w:val="000000"/>
                <w:sz w:val="24"/>
              </w:rPr>
              <w:t>12.12</w:t>
            </w:r>
          </w:p>
        </w:tc>
      </w:tr>
      <w:tr w:rsidR="00F24D3A">
        <w:trPr>
          <w:jc w:val="center"/>
        </w:trPr>
        <w:tc>
          <w:tcPr>
            <w:tcW w:w="1075" w:type="dxa"/>
            <w:vAlign w:val="center"/>
          </w:tcPr>
          <w:p w:rsidR="00F24D3A" w:rsidRDefault="00F466E6">
            <w:pPr>
              <w:jc w:val="center"/>
            </w:pPr>
            <w:r>
              <w:rPr>
                <w:color w:val="000000"/>
                <w:sz w:val="24"/>
              </w:rPr>
              <w:t>3</w:t>
            </w:r>
          </w:p>
        </w:tc>
        <w:tc>
          <w:tcPr>
            <w:tcW w:w="1533" w:type="dxa"/>
            <w:vAlign w:val="center"/>
          </w:tcPr>
          <w:p w:rsidR="00F24D3A" w:rsidRDefault="00F466E6">
            <w:pPr>
              <w:jc w:val="center"/>
            </w:pPr>
            <w:r>
              <w:rPr>
                <w:color w:val="000000"/>
                <w:sz w:val="24"/>
              </w:rPr>
              <w:t>1480560</w:t>
            </w:r>
          </w:p>
        </w:tc>
        <w:tc>
          <w:tcPr>
            <w:tcW w:w="1533" w:type="dxa"/>
            <w:vAlign w:val="center"/>
          </w:tcPr>
          <w:p w:rsidR="00F24D3A" w:rsidRDefault="00F466E6">
            <w:pPr>
              <w:jc w:val="center"/>
            </w:pPr>
            <w:r>
              <w:rPr>
                <w:color w:val="000000"/>
                <w:sz w:val="24"/>
              </w:rPr>
              <w:t>14</w:t>
            </w:r>
            <w:r>
              <w:rPr>
                <w:color w:val="000000"/>
                <w:sz w:val="24"/>
              </w:rPr>
              <w:t>黑重建债</w:t>
            </w:r>
            <w:r>
              <w:rPr>
                <w:color w:val="000000"/>
                <w:sz w:val="24"/>
              </w:rPr>
              <w:t>01</w:t>
            </w:r>
          </w:p>
        </w:tc>
        <w:tc>
          <w:tcPr>
            <w:tcW w:w="1394" w:type="dxa"/>
            <w:vAlign w:val="center"/>
          </w:tcPr>
          <w:p w:rsidR="00F24D3A" w:rsidRDefault="00F466E6">
            <w:pPr>
              <w:jc w:val="right"/>
            </w:pPr>
            <w:r>
              <w:rPr>
                <w:color w:val="000000"/>
                <w:sz w:val="24"/>
              </w:rPr>
              <w:t>170,000</w:t>
            </w:r>
          </w:p>
        </w:tc>
        <w:tc>
          <w:tcPr>
            <w:tcW w:w="1944" w:type="dxa"/>
            <w:vAlign w:val="center"/>
          </w:tcPr>
          <w:p w:rsidR="00F24D3A" w:rsidRDefault="00F466E6">
            <w:pPr>
              <w:jc w:val="right"/>
            </w:pPr>
            <w:r>
              <w:rPr>
                <w:color w:val="000000"/>
                <w:sz w:val="24"/>
              </w:rPr>
              <w:t>16,758,600.00</w:t>
            </w:r>
          </w:p>
        </w:tc>
        <w:tc>
          <w:tcPr>
            <w:tcW w:w="1389" w:type="dxa"/>
            <w:vAlign w:val="center"/>
          </w:tcPr>
          <w:p w:rsidR="00F24D3A" w:rsidRDefault="00F466E6">
            <w:pPr>
              <w:jc w:val="right"/>
            </w:pPr>
            <w:r>
              <w:rPr>
                <w:color w:val="000000"/>
                <w:sz w:val="24"/>
              </w:rPr>
              <w:t>10.18</w:t>
            </w:r>
          </w:p>
        </w:tc>
      </w:tr>
      <w:tr w:rsidR="00F24D3A">
        <w:trPr>
          <w:jc w:val="center"/>
        </w:trPr>
        <w:tc>
          <w:tcPr>
            <w:tcW w:w="1075" w:type="dxa"/>
            <w:vAlign w:val="center"/>
          </w:tcPr>
          <w:p w:rsidR="00F24D3A" w:rsidRDefault="00F466E6">
            <w:pPr>
              <w:jc w:val="center"/>
            </w:pPr>
            <w:r>
              <w:rPr>
                <w:color w:val="000000"/>
                <w:sz w:val="24"/>
              </w:rPr>
              <w:t>4</w:t>
            </w:r>
          </w:p>
        </w:tc>
        <w:tc>
          <w:tcPr>
            <w:tcW w:w="1533" w:type="dxa"/>
            <w:vAlign w:val="center"/>
          </w:tcPr>
          <w:p w:rsidR="00F24D3A" w:rsidRDefault="00F466E6">
            <w:pPr>
              <w:jc w:val="center"/>
            </w:pPr>
            <w:r>
              <w:rPr>
                <w:color w:val="000000"/>
                <w:sz w:val="24"/>
              </w:rPr>
              <w:t>1480372</w:t>
            </w:r>
          </w:p>
        </w:tc>
        <w:tc>
          <w:tcPr>
            <w:tcW w:w="1533" w:type="dxa"/>
            <w:vAlign w:val="center"/>
          </w:tcPr>
          <w:p w:rsidR="00F24D3A" w:rsidRDefault="00F466E6">
            <w:pPr>
              <w:jc w:val="center"/>
            </w:pPr>
            <w:r>
              <w:rPr>
                <w:color w:val="000000"/>
                <w:sz w:val="24"/>
              </w:rPr>
              <w:t>14</w:t>
            </w:r>
            <w:r>
              <w:rPr>
                <w:color w:val="000000"/>
                <w:sz w:val="24"/>
              </w:rPr>
              <w:t>大石桥债</w:t>
            </w:r>
          </w:p>
        </w:tc>
        <w:tc>
          <w:tcPr>
            <w:tcW w:w="1394" w:type="dxa"/>
            <w:vAlign w:val="center"/>
          </w:tcPr>
          <w:p w:rsidR="00F24D3A" w:rsidRDefault="00F466E6">
            <w:pPr>
              <w:jc w:val="right"/>
            </w:pPr>
            <w:r>
              <w:rPr>
                <w:color w:val="000000"/>
                <w:sz w:val="24"/>
              </w:rPr>
              <w:t>150,000</w:t>
            </w:r>
          </w:p>
        </w:tc>
        <w:tc>
          <w:tcPr>
            <w:tcW w:w="1944" w:type="dxa"/>
            <w:vAlign w:val="center"/>
          </w:tcPr>
          <w:p w:rsidR="00F24D3A" w:rsidRDefault="00F466E6">
            <w:pPr>
              <w:jc w:val="right"/>
            </w:pPr>
            <w:r>
              <w:rPr>
                <w:color w:val="000000"/>
                <w:sz w:val="24"/>
              </w:rPr>
              <w:t>15,702,000.00</w:t>
            </w:r>
          </w:p>
        </w:tc>
        <w:tc>
          <w:tcPr>
            <w:tcW w:w="1389" w:type="dxa"/>
            <w:vAlign w:val="center"/>
          </w:tcPr>
          <w:p w:rsidR="00F24D3A" w:rsidRDefault="00F466E6">
            <w:pPr>
              <w:jc w:val="right"/>
            </w:pPr>
            <w:r>
              <w:rPr>
                <w:color w:val="000000"/>
                <w:sz w:val="24"/>
              </w:rPr>
              <w:t>9.54</w:t>
            </w:r>
          </w:p>
        </w:tc>
      </w:tr>
      <w:tr w:rsidR="00F24D3A">
        <w:trPr>
          <w:jc w:val="center"/>
        </w:trPr>
        <w:tc>
          <w:tcPr>
            <w:tcW w:w="1075" w:type="dxa"/>
            <w:vAlign w:val="center"/>
          </w:tcPr>
          <w:p w:rsidR="00F24D3A" w:rsidRDefault="00F466E6">
            <w:pPr>
              <w:jc w:val="center"/>
            </w:pPr>
            <w:r>
              <w:rPr>
                <w:color w:val="000000"/>
                <w:sz w:val="24"/>
              </w:rPr>
              <w:t>5</w:t>
            </w:r>
          </w:p>
        </w:tc>
        <w:tc>
          <w:tcPr>
            <w:tcW w:w="1533" w:type="dxa"/>
            <w:vAlign w:val="center"/>
          </w:tcPr>
          <w:p w:rsidR="00F24D3A" w:rsidRDefault="00F466E6">
            <w:pPr>
              <w:jc w:val="center"/>
            </w:pPr>
            <w:r>
              <w:rPr>
                <w:color w:val="000000"/>
                <w:sz w:val="24"/>
              </w:rPr>
              <w:t>122354</w:t>
            </w:r>
          </w:p>
        </w:tc>
        <w:tc>
          <w:tcPr>
            <w:tcW w:w="1533" w:type="dxa"/>
            <w:vAlign w:val="center"/>
          </w:tcPr>
          <w:p w:rsidR="00F24D3A" w:rsidRDefault="00F466E6">
            <w:pPr>
              <w:jc w:val="center"/>
            </w:pPr>
            <w:r>
              <w:rPr>
                <w:color w:val="000000"/>
                <w:sz w:val="24"/>
              </w:rPr>
              <w:t>15</w:t>
            </w:r>
            <w:r>
              <w:rPr>
                <w:color w:val="000000"/>
                <w:sz w:val="24"/>
              </w:rPr>
              <w:t>康美债</w:t>
            </w:r>
          </w:p>
        </w:tc>
        <w:tc>
          <w:tcPr>
            <w:tcW w:w="1394" w:type="dxa"/>
            <w:vAlign w:val="center"/>
          </w:tcPr>
          <w:p w:rsidR="00F24D3A" w:rsidRDefault="00F466E6">
            <w:pPr>
              <w:jc w:val="right"/>
            </w:pPr>
            <w:r>
              <w:rPr>
                <w:color w:val="000000"/>
                <w:sz w:val="24"/>
              </w:rPr>
              <w:t>100,000</w:t>
            </w:r>
          </w:p>
        </w:tc>
        <w:tc>
          <w:tcPr>
            <w:tcW w:w="1944" w:type="dxa"/>
            <w:vAlign w:val="center"/>
          </w:tcPr>
          <w:p w:rsidR="00F24D3A" w:rsidRDefault="00F466E6">
            <w:pPr>
              <w:jc w:val="right"/>
            </w:pPr>
            <w:r>
              <w:rPr>
                <w:color w:val="000000"/>
                <w:sz w:val="24"/>
              </w:rPr>
              <w:t>10,030,000.00</w:t>
            </w:r>
          </w:p>
        </w:tc>
        <w:tc>
          <w:tcPr>
            <w:tcW w:w="1389" w:type="dxa"/>
            <w:vAlign w:val="center"/>
          </w:tcPr>
          <w:p w:rsidR="00F24D3A" w:rsidRDefault="00F466E6">
            <w:pPr>
              <w:jc w:val="right"/>
            </w:pPr>
            <w:r>
              <w:rPr>
                <w:color w:val="000000"/>
                <w:sz w:val="24"/>
              </w:rPr>
              <w:t>6.09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F466E6">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237,399.06</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115,005.19</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2,657,850.27</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200.00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3,010,454.52</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F24D3A">
        <w:trPr>
          <w:jc w:val="center"/>
        </w:trPr>
        <w:tc>
          <w:tcPr>
            <w:tcW w:w="0" w:type="auto"/>
            <w:vAlign w:val="center"/>
          </w:tcPr>
          <w:p w:rsidR="00F24D3A" w:rsidRDefault="00F466E6">
            <w:pPr>
              <w:jc w:val="center"/>
            </w:pPr>
            <w:r>
              <w:rPr>
                <w:rFonts w:eastAsiaTheme="minorEastAsia"/>
                <w:color w:val="000000"/>
                <w:sz w:val="24"/>
              </w:rPr>
              <w:t>1</w:t>
            </w:r>
          </w:p>
        </w:tc>
        <w:tc>
          <w:tcPr>
            <w:tcW w:w="0" w:type="auto"/>
            <w:vAlign w:val="center"/>
          </w:tcPr>
          <w:p w:rsidR="00F24D3A" w:rsidRDefault="00F466E6">
            <w:pPr>
              <w:jc w:val="center"/>
            </w:pPr>
            <w:r>
              <w:rPr>
                <w:rFonts w:eastAsiaTheme="minorEastAsia"/>
                <w:color w:val="000000"/>
                <w:sz w:val="24"/>
              </w:rPr>
              <w:t>110028</w:t>
            </w:r>
          </w:p>
        </w:tc>
        <w:tc>
          <w:tcPr>
            <w:tcW w:w="0" w:type="auto"/>
            <w:vAlign w:val="center"/>
          </w:tcPr>
          <w:p w:rsidR="00F24D3A" w:rsidRDefault="00F466E6">
            <w:pPr>
              <w:jc w:val="center"/>
            </w:pPr>
            <w:r>
              <w:rPr>
                <w:rFonts w:eastAsiaTheme="minorEastAsia"/>
                <w:color w:val="000000"/>
                <w:sz w:val="24"/>
              </w:rPr>
              <w:t>冠城转债</w:t>
            </w:r>
          </w:p>
        </w:tc>
        <w:tc>
          <w:tcPr>
            <w:tcW w:w="0" w:type="auto"/>
            <w:vAlign w:val="center"/>
          </w:tcPr>
          <w:p w:rsidR="00F24D3A" w:rsidRDefault="00F466E6">
            <w:pPr>
              <w:jc w:val="right"/>
            </w:pPr>
            <w:r>
              <w:rPr>
                <w:rFonts w:eastAsiaTheme="minorEastAsia"/>
                <w:color w:val="000000"/>
                <w:sz w:val="24"/>
              </w:rPr>
              <w:t>486,630.00</w:t>
            </w:r>
          </w:p>
        </w:tc>
        <w:tc>
          <w:tcPr>
            <w:tcW w:w="0" w:type="auto"/>
            <w:vAlign w:val="center"/>
          </w:tcPr>
          <w:p w:rsidR="00F24D3A" w:rsidRDefault="00F466E6">
            <w:pPr>
              <w:jc w:val="right"/>
            </w:pPr>
            <w:r>
              <w:rPr>
                <w:rFonts w:eastAsiaTheme="minorEastAsia"/>
                <w:color w:val="000000"/>
                <w:sz w:val="24"/>
              </w:rPr>
              <w:t>0.30</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tbl>
      <w:tblPr>
        <w:tblStyle w:val="a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1D5CD0" w:rsidRPr="007F52FA" w:rsidTr="00837861">
        <w:trPr>
          <w:jc w:val="center"/>
        </w:trPr>
        <w:tc>
          <w:tcPr>
            <w:tcW w:w="1083"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1302"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w="1301"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w="180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流通受限部分的公允价值</w:t>
            </w:r>
            <w:r w:rsidR="00FA00C3" w:rsidRPr="007F52FA">
              <w:rPr>
                <w:color w:val="000000"/>
                <w:kern w:val="0"/>
                <w:sz w:val="24"/>
              </w:rPr>
              <w:t>(</w:t>
            </w:r>
            <w:r w:rsidRPr="007F52FA">
              <w:rPr>
                <w:rFonts w:eastAsiaTheme="minorEastAsia"/>
                <w:color w:val="000000"/>
                <w:sz w:val="24"/>
              </w:rPr>
              <w:t>元</w:t>
            </w:r>
            <w:r w:rsidR="00FA00C3" w:rsidRPr="007F52FA">
              <w:rPr>
                <w:color w:val="000000"/>
                <w:kern w:val="0"/>
                <w:sz w:val="24"/>
              </w:rPr>
              <w:t>)</w:t>
            </w:r>
          </w:p>
        </w:tc>
        <w:tc>
          <w:tcPr>
            <w:tcW w:w="165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664462" w:rsidRPr="007F52FA">
              <w:rPr>
                <w:color w:val="000000"/>
                <w:kern w:val="0"/>
                <w:sz w:val="24"/>
              </w:rPr>
              <w:t>（</w:t>
            </w:r>
            <w:r w:rsidR="00863A9A" w:rsidRPr="007F52FA">
              <w:rPr>
                <w:color w:val="000000"/>
                <w:kern w:val="0"/>
                <w:sz w:val="24"/>
              </w:rPr>
              <w:t>％</w:t>
            </w:r>
            <w:r w:rsidR="00664462" w:rsidRPr="007F52FA">
              <w:rPr>
                <w:color w:val="000000"/>
                <w:kern w:val="0"/>
                <w:sz w:val="24"/>
              </w:rPr>
              <w:t>）</w:t>
            </w:r>
          </w:p>
        </w:tc>
        <w:tc>
          <w:tcPr>
            <w:tcW w:w="136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流通受限情况说明</w:t>
            </w:r>
          </w:p>
        </w:tc>
      </w:tr>
      <w:tr w:rsidR="00F24D3A">
        <w:trPr>
          <w:jc w:val="center"/>
        </w:trPr>
        <w:tc>
          <w:tcPr>
            <w:tcW w:w="1129" w:type="dxa"/>
            <w:vAlign w:val="center"/>
          </w:tcPr>
          <w:p w:rsidR="00F24D3A" w:rsidRDefault="00F466E6">
            <w:pPr>
              <w:jc w:val="center"/>
            </w:pPr>
            <w:r>
              <w:rPr>
                <w:rFonts w:eastAsiaTheme="minorEastAsia"/>
                <w:color w:val="000000"/>
                <w:sz w:val="24"/>
              </w:rPr>
              <w:t>1</w:t>
            </w:r>
          </w:p>
        </w:tc>
        <w:tc>
          <w:tcPr>
            <w:tcW w:w="1356" w:type="dxa"/>
            <w:vAlign w:val="center"/>
          </w:tcPr>
          <w:p w:rsidR="00F24D3A" w:rsidRDefault="00F466E6">
            <w:pPr>
              <w:jc w:val="center"/>
            </w:pPr>
            <w:r>
              <w:rPr>
                <w:rFonts w:eastAsiaTheme="minorEastAsia"/>
                <w:color w:val="000000"/>
                <w:sz w:val="24"/>
              </w:rPr>
              <w:t>000630</w:t>
            </w:r>
          </w:p>
        </w:tc>
        <w:tc>
          <w:tcPr>
            <w:tcW w:w="1355" w:type="dxa"/>
            <w:vAlign w:val="center"/>
          </w:tcPr>
          <w:p w:rsidR="00F24D3A" w:rsidRDefault="00F466E6">
            <w:pPr>
              <w:jc w:val="center"/>
            </w:pPr>
            <w:r>
              <w:rPr>
                <w:rFonts w:eastAsiaTheme="minorEastAsia"/>
                <w:color w:val="000000"/>
                <w:sz w:val="24"/>
              </w:rPr>
              <w:t>铜陵有色</w:t>
            </w:r>
          </w:p>
        </w:tc>
        <w:tc>
          <w:tcPr>
            <w:tcW w:w="1880" w:type="dxa"/>
            <w:vAlign w:val="center"/>
          </w:tcPr>
          <w:p w:rsidR="00F24D3A" w:rsidRDefault="00F466E6">
            <w:pPr>
              <w:jc w:val="right"/>
            </w:pPr>
            <w:r>
              <w:rPr>
                <w:rFonts w:eastAsiaTheme="minorEastAsia"/>
                <w:color w:val="000000"/>
                <w:sz w:val="24"/>
              </w:rPr>
              <w:t>1,353,722.80</w:t>
            </w:r>
          </w:p>
        </w:tc>
        <w:tc>
          <w:tcPr>
            <w:tcW w:w="1724" w:type="dxa"/>
            <w:vAlign w:val="center"/>
          </w:tcPr>
          <w:p w:rsidR="00F24D3A" w:rsidRDefault="00F466E6">
            <w:pPr>
              <w:jc w:val="right"/>
            </w:pPr>
            <w:r>
              <w:rPr>
                <w:rFonts w:eastAsiaTheme="minorEastAsia"/>
                <w:color w:val="000000"/>
                <w:sz w:val="24"/>
              </w:rPr>
              <w:t>0.82</w:t>
            </w:r>
          </w:p>
        </w:tc>
        <w:tc>
          <w:tcPr>
            <w:tcW w:w="1424" w:type="dxa"/>
            <w:vAlign w:val="center"/>
          </w:tcPr>
          <w:p w:rsidR="00F24D3A" w:rsidRDefault="00894FD4">
            <w:pPr>
              <w:jc w:val="right"/>
            </w:pPr>
            <w:r>
              <w:rPr>
                <w:rFonts w:eastAsiaTheme="minorEastAsia" w:hint="eastAsia"/>
                <w:color w:val="000000"/>
                <w:sz w:val="24"/>
              </w:rPr>
              <w:t>重大事项</w:t>
            </w:r>
            <w:bookmarkStart w:id="0" w:name="_GoBack"/>
            <w:bookmarkEnd w:id="0"/>
          </w:p>
        </w:tc>
      </w:tr>
    </w:tbl>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F466E6">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交银强化回报债券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交银强化回报债券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169,017,087.84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24,065,493.57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750,104.59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1,650,502.87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21,478,127.68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22,829,197.08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148,289,064.75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2,886,799.36</w:t>
            </w:r>
          </w:p>
        </w:tc>
      </w:tr>
    </w:tbl>
    <w:p w:rsidR="00F24D3A" w:rsidRDefault="00F466E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F466E6">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FB3C94" w:rsidRPr="007F52FA" w:rsidRDefault="00FB3C94" w:rsidP="00F466E6">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D13A01" w:rsidRPr="007F52FA">
        <w:rPr>
          <w:rFonts w:eastAsiaTheme="minorEastAsia"/>
          <w:color w:val="000000"/>
          <w:kern w:val="0"/>
          <w:sz w:val="24"/>
          <w:szCs w:val="24"/>
        </w:rPr>
        <w:t>8</w:t>
      </w:r>
      <w:r w:rsidR="006D249E" w:rsidRPr="007F52FA">
        <w:rPr>
          <w:rFonts w:eastAsiaTheme="minorEastAsia"/>
          <w:color w:val="000000"/>
          <w:kern w:val="0"/>
          <w:sz w:val="24"/>
          <w:szCs w:val="24"/>
        </w:rPr>
        <w:t xml:space="preserve"> </w:t>
      </w:r>
      <w:r w:rsidRPr="007F52FA">
        <w:rPr>
          <w:rFonts w:eastAsiaTheme="minorEastAsia"/>
          <w:color w:val="000000"/>
          <w:kern w:val="0"/>
          <w:sz w:val="24"/>
          <w:szCs w:val="24"/>
        </w:rPr>
        <w:t>影响投资者决策的其他重要信息</w:t>
      </w:r>
    </w:p>
    <w:p w:rsidR="00F24D3A" w:rsidRDefault="00F466E6">
      <w:pPr>
        <w:spacing w:before="29" w:line="288" w:lineRule="auto"/>
        <w:ind w:firstLineChars="200" w:firstLine="480"/>
        <w:rPr>
          <w:rFonts w:eastAsiaTheme="minorEastAsia"/>
          <w:color w:val="000000"/>
          <w:sz w:val="24"/>
        </w:rPr>
      </w:pPr>
      <w:r>
        <w:rPr>
          <w:rFonts w:eastAsiaTheme="minorEastAsia"/>
          <w:color w:val="000000"/>
          <w:sz w:val="24"/>
        </w:rPr>
        <w:t>根据《关于发布</w:t>
      </w:r>
      <w:r>
        <w:rPr>
          <w:rFonts w:eastAsiaTheme="minorEastAsia"/>
          <w:color w:val="000000"/>
          <w:sz w:val="24"/>
        </w:rPr>
        <w:t>&lt;</w:t>
      </w:r>
      <w:r>
        <w:rPr>
          <w:rFonts w:eastAsiaTheme="minorEastAsia"/>
          <w:color w:val="000000"/>
          <w:sz w:val="24"/>
        </w:rPr>
        <w:t>中国证券投资基金业协会估值核算工作小组关于</w:t>
      </w:r>
      <w:r>
        <w:rPr>
          <w:rFonts w:eastAsiaTheme="minorEastAsia"/>
          <w:color w:val="000000"/>
          <w:sz w:val="24"/>
        </w:rPr>
        <w:t>2015</w:t>
      </w:r>
      <w:r>
        <w:rPr>
          <w:rFonts w:eastAsiaTheme="minorEastAsia"/>
          <w:color w:val="000000"/>
          <w:sz w:val="24"/>
        </w:rPr>
        <w:t>年</w:t>
      </w:r>
      <w:r>
        <w:rPr>
          <w:rFonts w:eastAsiaTheme="minorEastAsia"/>
          <w:color w:val="000000"/>
          <w:sz w:val="24"/>
        </w:rPr>
        <w:t>1</w:t>
      </w:r>
      <w:r>
        <w:rPr>
          <w:rFonts w:eastAsiaTheme="minorEastAsia"/>
          <w:color w:val="000000"/>
          <w:sz w:val="24"/>
        </w:rPr>
        <w:t>季度固定收益品种的估值处理标准</w:t>
      </w:r>
      <w:r>
        <w:rPr>
          <w:rFonts w:eastAsiaTheme="minorEastAsia"/>
          <w:color w:val="000000"/>
          <w:sz w:val="24"/>
        </w:rPr>
        <w:t>&gt;</w:t>
      </w:r>
      <w:r>
        <w:rPr>
          <w:rFonts w:eastAsiaTheme="minorEastAsia"/>
          <w:color w:val="000000"/>
          <w:sz w:val="24"/>
        </w:rPr>
        <w:t>的通知》（中基协发</w:t>
      </w:r>
      <w:r>
        <w:rPr>
          <w:rFonts w:eastAsiaTheme="minorEastAsia"/>
          <w:color w:val="000000"/>
          <w:sz w:val="24"/>
        </w:rPr>
        <w:t>[2014]24</w:t>
      </w:r>
      <w:r>
        <w:rPr>
          <w:rFonts w:eastAsiaTheme="minorEastAsia"/>
          <w:color w:val="000000"/>
          <w:sz w:val="24"/>
        </w:rPr>
        <w:t>号）的要求，交银施罗德基金管理有限公司经与各基金托管人、会计师事务所协商一致，决定自</w:t>
      </w:r>
      <w:r>
        <w:rPr>
          <w:rFonts w:eastAsiaTheme="minorEastAsia"/>
          <w:color w:val="000000"/>
          <w:sz w:val="24"/>
        </w:rPr>
        <w:t>2015</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19</w:t>
      </w:r>
      <w:r>
        <w:rPr>
          <w:rFonts w:eastAsiaTheme="minorEastAsia"/>
          <w:color w:val="000000"/>
          <w:sz w:val="24"/>
        </w:rPr>
        <w:t>日起对旗下基金持有的上海证券交易所、深圳证券交易所上市交易或挂牌转让的固定收益品种主要依据第三方估值机构提供的价格数据进行估值，该通知另有规定的除外。</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2015</w:t>
      </w:r>
      <w:r w:rsidRPr="007F52FA">
        <w:rPr>
          <w:rFonts w:eastAsiaTheme="minorEastAsia"/>
          <w:color w:val="000000"/>
          <w:sz w:val="24"/>
        </w:rPr>
        <w:t>年</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19</w:t>
      </w:r>
      <w:r w:rsidRPr="007F52FA">
        <w:rPr>
          <w:rFonts w:eastAsiaTheme="minorEastAsia"/>
          <w:color w:val="000000"/>
          <w:sz w:val="24"/>
        </w:rPr>
        <w:t>日当日进行的上述相关调整对前一估值日各基金资产净值的影响不超过</w:t>
      </w:r>
      <w:r w:rsidRPr="007F52FA">
        <w:rPr>
          <w:rFonts w:eastAsiaTheme="minorEastAsia"/>
          <w:color w:val="000000"/>
          <w:sz w:val="24"/>
        </w:rPr>
        <w:t>0.50%</w:t>
      </w:r>
      <w:r w:rsidRPr="007F52FA">
        <w:rPr>
          <w:rFonts w:eastAsiaTheme="minorEastAsia"/>
          <w:color w:val="000000"/>
          <w:sz w:val="24"/>
        </w:rPr>
        <w:t>。</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F466E6">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F24D3A" w:rsidRDefault="00F466E6">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、中国证监会准予交银施罗德强化回报债券型证券投资基金募集注册的文件；</w:t>
      </w:r>
      <w:r>
        <w:rPr>
          <w:rFonts w:eastAsiaTheme="minorEastAsia"/>
          <w:color w:val="000000"/>
          <w:sz w:val="24"/>
        </w:rPr>
        <w:t xml:space="preserve"> </w:t>
      </w:r>
    </w:p>
    <w:p w:rsidR="00F24D3A" w:rsidRDefault="00F466E6">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、《交银施罗德强化回报债券型证券投资基金基金合同》；</w:t>
      </w:r>
      <w:r>
        <w:rPr>
          <w:rFonts w:eastAsiaTheme="minorEastAsia"/>
          <w:color w:val="000000"/>
          <w:sz w:val="24"/>
        </w:rPr>
        <w:t xml:space="preserve"> </w:t>
      </w:r>
    </w:p>
    <w:p w:rsidR="00F24D3A" w:rsidRDefault="00F466E6">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、《交银施罗德强化回报债券型证券投资基金招募说明书》；</w:t>
      </w:r>
      <w:r>
        <w:rPr>
          <w:rFonts w:eastAsiaTheme="minorEastAsia"/>
          <w:color w:val="000000"/>
          <w:sz w:val="24"/>
        </w:rPr>
        <w:t xml:space="preserve"> </w:t>
      </w:r>
    </w:p>
    <w:p w:rsidR="00F24D3A" w:rsidRDefault="00F466E6">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、《交银施罗德强化回报债券型证券投资基金托管协议》；</w:t>
      </w:r>
      <w:r>
        <w:rPr>
          <w:rFonts w:eastAsiaTheme="minorEastAsia"/>
          <w:color w:val="000000"/>
          <w:sz w:val="24"/>
        </w:rPr>
        <w:t xml:space="preserve"> </w:t>
      </w:r>
    </w:p>
    <w:p w:rsidR="00F24D3A" w:rsidRDefault="00F466E6">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、关于募集交银施罗德强化回报债券型证券投资基金之法律意见书；</w:t>
      </w:r>
      <w:r>
        <w:rPr>
          <w:rFonts w:eastAsiaTheme="minorEastAsia"/>
          <w:color w:val="000000"/>
          <w:sz w:val="24"/>
        </w:rPr>
        <w:t xml:space="preserve"> </w:t>
      </w:r>
    </w:p>
    <w:p w:rsidR="00F24D3A" w:rsidRDefault="00F466E6">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F24D3A" w:rsidRDefault="00F466E6">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、报告期内交银施罗德强化回报债券型证券投资基金在指定报刊上各项公告的原稿。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F24D3A" w:rsidRDefault="00F466E6">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4"/>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81B" w:rsidRDefault="006B081B">
      <w:r>
        <w:separator/>
      </w:r>
    </w:p>
  </w:endnote>
  <w:endnote w:type="continuationSeparator" w:id="0">
    <w:p w:rsidR="006B081B" w:rsidRDefault="006B0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1D0DB0" w:rsidRDefault="007C1122" w:rsidP="00F7094A">
    <w:pPr>
      <w:pStyle w:val="a6"/>
      <w:jc w:val="center"/>
    </w:pPr>
    <w:r>
      <w:rPr>
        <w:rFonts w:hint="eastAsia"/>
        <w:kern w:val="0"/>
        <w:szCs w:val="21"/>
      </w:rPr>
      <w:t>第</w:t>
    </w:r>
    <w:r w:rsidR="009434C7">
      <w:rPr>
        <w:rFonts w:hint="eastAsia"/>
        <w:kern w:val="0"/>
        <w:szCs w:val="21"/>
      </w:rPr>
      <w:t xml:space="preserve"> </w:t>
    </w:r>
    <w:r w:rsidR="00F24D3A">
      <w:rPr>
        <w:kern w:val="0"/>
        <w:szCs w:val="21"/>
      </w:rPr>
      <w:fldChar w:fldCharType="begin"/>
    </w:r>
    <w:r>
      <w:rPr>
        <w:kern w:val="0"/>
        <w:szCs w:val="21"/>
      </w:rPr>
      <w:instrText xml:space="preserve"> PAGE </w:instrText>
    </w:r>
    <w:r w:rsidR="00F24D3A">
      <w:rPr>
        <w:kern w:val="0"/>
        <w:szCs w:val="21"/>
      </w:rPr>
      <w:fldChar w:fldCharType="separate"/>
    </w:r>
    <w:r w:rsidR="00894FD4">
      <w:rPr>
        <w:noProof/>
        <w:kern w:val="0"/>
        <w:szCs w:val="21"/>
      </w:rPr>
      <w:t>13</w:t>
    </w:r>
    <w:r w:rsidR="00F24D3A">
      <w:rPr>
        <w:kern w:val="0"/>
        <w:szCs w:val="21"/>
      </w:rPr>
      <w:fldChar w:fldCharType="end"/>
    </w:r>
    <w:r w:rsidR="009434C7">
      <w:rPr>
        <w:kern w:val="0"/>
        <w:szCs w:val="21"/>
      </w:rPr>
      <w:t xml:space="preserve"> </w:t>
    </w:r>
    <w:r>
      <w:rPr>
        <w:rFonts w:hint="eastAsia"/>
        <w:kern w:val="0"/>
        <w:szCs w:val="21"/>
      </w:rPr>
      <w:t>页</w:t>
    </w:r>
    <w:r w:rsidR="009434C7">
      <w:rPr>
        <w:rFonts w:hint="eastAsia"/>
        <w:kern w:val="0"/>
        <w:szCs w:val="21"/>
      </w:rPr>
      <w:t xml:space="preserve"> </w:t>
    </w:r>
    <w:r>
      <w:rPr>
        <w:rFonts w:hint="eastAsia"/>
        <w:kern w:val="0"/>
        <w:szCs w:val="21"/>
      </w:rPr>
      <w:t>共</w:t>
    </w:r>
    <w:r w:rsidR="009434C7">
      <w:rPr>
        <w:rFonts w:hint="eastAsia"/>
        <w:kern w:val="0"/>
        <w:szCs w:val="21"/>
      </w:rPr>
      <w:t xml:space="preserve"> </w:t>
    </w:r>
    <w:r w:rsidR="00F24D3A">
      <w:rPr>
        <w:kern w:val="0"/>
        <w:szCs w:val="21"/>
      </w:rPr>
      <w:fldChar w:fldCharType="begin"/>
    </w:r>
    <w:r>
      <w:rPr>
        <w:kern w:val="0"/>
        <w:szCs w:val="21"/>
      </w:rPr>
      <w:instrText xml:space="preserve"> NUMPAGES </w:instrText>
    </w:r>
    <w:r w:rsidR="00F24D3A">
      <w:rPr>
        <w:kern w:val="0"/>
        <w:szCs w:val="21"/>
      </w:rPr>
      <w:fldChar w:fldCharType="separate"/>
    </w:r>
    <w:r w:rsidR="00894FD4">
      <w:rPr>
        <w:noProof/>
        <w:kern w:val="0"/>
        <w:szCs w:val="21"/>
      </w:rPr>
      <w:t>15</w:t>
    </w:r>
    <w:r w:rsidR="00F24D3A">
      <w:rPr>
        <w:kern w:val="0"/>
        <w:szCs w:val="21"/>
      </w:rPr>
      <w:fldChar w:fldCharType="end"/>
    </w:r>
    <w:r w:rsidR="009434C7">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Default="00F24D3A">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end"/>
    </w:r>
  </w:p>
  <w:p w:rsidR="007C1122" w:rsidRDefault="007C11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81B" w:rsidRDefault="006B081B">
      <w:r>
        <w:separator/>
      </w:r>
    </w:p>
  </w:footnote>
  <w:footnote w:type="continuationSeparator" w:id="0">
    <w:p w:rsidR="006B081B" w:rsidRDefault="006B08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2567DB" w:rsidRDefault="00894FD4"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4664"/>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4155"/>
    <w:rsid w:val="001949CA"/>
    <w:rsid w:val="00195AFC"/>
    <w:rsid w:val="001A0417"/>
    <w:rsid w:val="001A0B71"/>
    <w:rsid w:val="001A1389"/>
    <w:rsid w:val="001A3016"/>
    <w:rsid w:val="001A3914"/>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A1D"/>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A31"/>
    <w:rsid w:val="006911CE"/>
    <w:rsid w:val="00691393"/>
    <w:rsid w:val="00691F3B"/>
    <w:rsid w:val="0069371D"/>
    <w:rsid w:val="00695251"/>
    <w:rsid w:val="00695777"/>
    <w:rsid w:val="00695B58"/>
    <w:rsid w:val="006A120B"/>
    <w:rsid w:val="006A4828"/>
    <w:rsid w:val="006A5FE0"/>
    <w:rsid w:val="006A6D35"/>
    <w:rsid w:val="006A7C09"/>
    <w:rsid w:val="006B046C"/>
    <w:rsid w:val="006B081B"/>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4FD4"/>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1642"/>
    <w:rsid w:val="0099260C"/>
    <w:rsid w:val="0099273F"/>
    <w:rsid w:val="00993DA2"/>
    <w:rsid w:val="009942F4"/>
    <w:rsid w:val="00995B3C"/>
    <w:rsid w:val="00996BCA"/>
    <w:rsid w:val="009A045B"/>
    <w:rsid w:val="009A0513"/>
    <w:rsid w:val="009A2283"/>
    <w:rsid w:val="009A31AF"/>
    <w:rsid w:val="009A3507"/>
    <w:rsid w:val="009A3DC6"/>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11AD"/>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D3A"/>
    <w:rsid w:val="00F24E0E"/>
    <w:rsid w:val="00F2646E"/>
    <w:rsid w:val="00F26693"/>
    <w:rsid w:val="00F32579"/>
    <w:rsid w:val="00F3477D"/>
    <w:rsid w:val="00F347FE"/>
    <w:rsid w:val="00F34859"/>
    <w:rsid w:val="00F356F7"/>
    <w:rsid w:val="00F37EA9"/>
    <w:rsid w:val="00F40055"/>
    <w:rsid w:val="00F40868"/>
    <w:rsid w:val="00F40E14"/>
    <w:rsid w:val="00F44FDE"/>
    <w:rsid w:val="00F46467"/>
    <w:rsid w:val="00F466E6"/>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46BDC110-6398-4858-AA7A-A485EA4A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cid:image002.png@01D0777F.811BA9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0777F.811BA95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AB97C-A582-4EBD-B34E-FA06870CB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162</TotalTime>
  <Pages>15</Pages>
  <Words>1215</Words>
  <Characters>6927</Characters>
  <Application>Microsoft Office Word</Application>
  <DocSecurity>0</DocSecurity>
  <Lines>57</Lines>
  <Paragraphs>16</Paragraphs>
  <ScaleCrop>false</ScaleCrop>
  <Company>TRT. Ltd. Co.</Company>
  <LinksUpToDate>false</LinksUpToDate>
  <CharactersWithSpaces>8126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360</cp:revision>
  <cp:lastPrinted>2007-07-19T00:46:00Z</cp:lastPrinted>
  <dcterms:created xsi:type="dcterms:W3CDTF">2014-01-17T06:19:00Z</dcterms:created>
  <dcterms:modified xsi:type="dcterms:W3CDTF">2015-04-16T04:17:00Z</dcterms:modified>
</cp:coreProperties>
</file>