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C6FE0" w:rsidRDefault="00BE05A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C6FE0" w:rsidRDefault="00BE05A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C6FE0" w:rsidRDefault="00BE05A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C6FE0" w:rsidRDefault="00BE05A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C6FE0" w:rsidRDefault="00BE05A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95,357,608.89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）后将同时开通前端基金份额和后端基金份额的申购和赎回。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41327" w:rsidRPr="00414345" w:rsidTr="00A4132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41327" w:rsidRPr="00414345" w:rsidTr="00A413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538,980.62</w:t>
            </w:r>
          </w:p>
        </w:tc>
      </w:tr>
      <w:tr w:rsidR="00A41327" w:rsidRPr="00414345" w:rsidTr="00A413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928,677.73</w:t>
            </w:r>
          </w:p>
        </w:tc>
      </w:tr>
      <w:tr w:rsidR="00A41327" w:rsidRPr="00414345" w:rsidTr="00A413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0.0079</w:t>
            </w:r>
          </w:p>
        </w:tc>
      </w:tr>
      <w:tr w:rsidR="00A41327" w:rsidRPr="00414345" w:rsidTr="00A413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110,779,754.55</w:t>
            </w:r>
          </w:p>
        </w:tc>
      </w:tr>
      <w:tr w:rsidR="00A41327" w:rsidRPr="00414345" w:rsidTr="00A4132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1.162</w:t>
            </w:r>
          </w:p>
        </w:tc>
      </w:tr>
    </w:tbl>
    <w:p w:rsidR="00FC6FE0" w:rsidRDefault="00BE05A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C6FE0">
        <w:trPr>
          <w:jc w:val="center"/>
        </w:trPr>
        <w:tc>
          <w:tcPr>
            <w:tcW w:w="1701" w:type="dxa"/>
            <w:vAlign w:val="center"/>
          </w:tcPr>
          <w:p w:rsidR="00FC6FE0" w:rsidRDefault="00BE05A1">
            <w:pPr>
              <w:jc w:val="left"/>
            </w:pPr>
            <w:r>
              <w:rPr>
                <w:color w:val="000000"/>
                <w:sz w:val="24"/>
                <w:szCs w:val="24"/>
              </w:rPr>
              <w:t>过去三个月</w:t>
            </w:r>
          </w:p>
        </w:tc>
        <w:tc>
          <w:tcPr>
            <w:tcW w:w="1045" w:type="dxa"/>
            <w:vAlign w:val="center"/>
          </w:tcPr>
          <w:p w:rsidR="00FC6FE0" w:rsidRDefault="00BE05A1">
            <w:pPr>
              <w:jc w:val="center"/>
            </w:pPr>
            <w:r>
              <w:rPr>
                <w:color w:val="000000"/>
                <w:sz w:val="24"/>
                <w:szCs w:val="24"/>
              </w:rPr>
              <w:t>0.78%</w:t>
            </w:r>
          </w:p>
        </w:tc>
        <w:tc>
          <w:tcPr>
            <w:tcW w:w="1344" w:type="dxa"/>
            <w:vAlign w:val="center"/>
          </w:tcPr>
          <w:p w:rsidR="00FC6FE0" w:rsidRDefault="00BE05A1">
            <w:pPr>
              <w:jc w:val="center"/>
            </w:pPr>
            <w:r>
              <w:rPr>
                <w:color w:val="000000"/>
                <w:sz w:val="24"/>
                <w:szCs w:val="24"/>
              </w:rPr>
              <w:t>0.41%</w:t>
            </w:r>
          </w:p>
        </w:tc>
        <w:tc>
          <w:tcPr>
            <w:tcW w:w="1194" w:type="dxa"/>
            <w:vAlign w:val="center"/>
          </w:tcPr>
          <w:p w:rsidR="00FC6FE0" w:rsidRDefault="00BE05A1">
            <w:pPr>
              <w:jc w:val="center"/>
            </w:pPr>
            <w:r>
              <w:rPr>
                <w:color w:val="000000"/>
                <w:sz w:val="24"/>
                <w:szCs w:val="24"/>
              </w:rPr>
              <w:t>-0.61%</w:t>
            </w:r>
          </w:p>
        </w:tc>
        <w:tc>
          <w:tcPr>
            <w:tcW w:w="1492" w:type="dxa"/>
            <w:vAlign w:val="center"/>
          </w:tcPr>
          <w:p w:rsidR="00FC6FE0" w:rsidRDefault="00BE05A1">
            <w:pPr>
              <w:jc w:val="center"/>
            </w:pPr>
            <w:r>
              <w:rPr>
                <w:color w:val="000000"/>
                <w:sz w:val="24"/>
                <w:szCs w:val="24"/>
              </w:rPr>
              <w:t>0.10%</w:t>
            </w:r>
          </w:p>
        </w:tc>
        <w:tc>
          <w:tcPr>
            <w:tcW w:w="1194" w:type="dxa"/>
            <w:vAlign w:val="center"/>
          </w:tcPr>
          <w:p w:rsidR="00FC6FE0" w:rsidRDefault="00BE05A1">
            <w:pPr>
              <w:jc w:val="center"/>
            </w:pPr>
            <w:r>
              <w:rPr>
                <w:color w:val="000000"/>
                <w:sz w:val="24"/>
                <w:szCs w:val="24"/>
              </w:rPr>
              <w:t>1.39%</w:t>
            </w:r>
          </w:p>
        </w:tc>
        <w:tc>
          <w:tcPr>
            <w:tcW w:w="898" w:type="dxa"/>
            <w:vAlign w:val="center"/>
          </w:tcPr>
          <w:p w:rsidR="00FC6FE0" w:rsidRDefault="00BE05A1">
            <w:pPr>
              <w:jc w:val="center"/>
            </w:pPr>
            <w:r>
              <w:rPr>
                <w:color w:val="000000"/>
                <w:sz w:val="24"/>
                <w:szCs w:val="24"/>
              </w:rPr>
              <w:t>0.31%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C6FE0">
        <w:trPr>
          <w:jc w:val="center"/>
        </w:trPr>
        <w:tc>
          <w:tcPr>
            <w:tcW w:w="846" w:type="dxa"/>
            <w:vAlign w:val="center"/>
          </w:tcPr>
          <w:p w:rsidR="00FC6FE0" w:rsidRDefault="00BE05A1">
            <w:pPr>
              <w:jc w:val="center"/>
            </w:pPr>
            <w:r>
              <w:rPr>
                <w:color w:val="000000"/>
                <w:sz w:val="24"/>
                <w:szCs w:val="24"/>
              </w:rPr>
              <w:t>林洪钧</w:t>
            </w:r>
          </w:p>
        </w:tc>
        <w:tc>
          <w:tcPr>
            <w:tcW w:w="845" w:type="dxa"/>
            <w:vAlign w:val="center"/>
          </w:tcPr>
          <w:p w:rsidR="00FC6FE0" w:rsidRDefault="00BE05A1">
            <w:pPr>
              <w:jc w:val="center"/>
            </w:pPr>
            <w:r>
              <w:rPr>
                <w:color w:val="000000"/>
                <w:sz w:val="24"/>
                <w:szCs w:val="24"/>
              </w:rPr>
              <w:t>本基金、交银货币、交银增利债券、交银理财</w:t>
            </w:r>
            <w:r>
              <w:rPr>
                <w:color w:val="000000"/>
                <w:sz w:val="24"/>
                <w:szCs w:val="24"/>
              </w:rPr>
              <w:t>21</w:t>
            </w:r>
            <w:r>
              <w:rPr>
                <w:color w:val="000000"/>
                <w:sz w:val="24"/>
                <w:szCs w:val="24"/>
              </w:rPr>
              <w:t>天债券、交银纯债债券发起、交银现金宝货币的基金经理，公司固定收益部助理总经理</w:t>
            </w:r>
          </w:p>
        </w:tc>
        <w:tc>
          <w:tcPr>
            <w:tcW w:w="1549" w:type="dxa"/>
            <w:vAlign w:val="center"/>
          </w:tcPr>
          <w:p w:rsidR="00FC6FE0" w:rsidRDefault="00BE05A1">
            <w:pPr>
              <w:jc w:val="center"/>
            </w:pPr>
            <w:r>
              <w:rPr>
                <w:color w:val="000000"/>
                <w:sz w:val="24"/>
                <w:szCs w:val="24"/>
              </w:rPr>
              <w:t>2011-01-27</w:t>
            </w:r>
          </w:p>
        </w:tc>
        <w:tc>
          <w:tcPr>
            <w:tcW w:w="1548" w:type="dxa"/>
            <w:vAlign w:val="center"/>
          </w:tcPr>
          <w:p w:rsidR="00FC6FE0" w:rsidRDefault="00BE05A1">
            <w:pPr>
              <w:jc w:val="center"/>
            </w:pPr>
            <w:r>
              <w:rPr>
                <w:color w:val="000000"/>
                <w:sz w:val="24"/>
                <w:szCs w:val="24"/>
              </w:rPr>
              <w:t>-</w:t>
            </w:r>
          </w:p>
        </w:tc>
        <w:tc>
          <w:tcPr>
            <w:tcW w:w="1407" w:type="dxa"/>
            <w:vAlign w:val="center"/>
          </w:tcPr>
          <w:p w:rsidR="00FC6FE0" w:rsidRDefault="00BE05A1">
            <w:pPr>
              <w:jc w:val="center"/>
            </w:pPr>
            <w:r>
              <w:rPr>
                <w:color w:val="000000"/>
                <w:sz w:val="24"/>
                <w:szCs w:val="24"/>
              </w:rPr>
              <w:t>11</w:t>
            </w:r>
            <w:r>
              <w:rPr>
                <w:color w:val="000000"/>
                <w:sz w:val="24"/>
                <w:szCs w:val="24"/>
              </w:rPr>
              <w:t>年</w:t>
            </w:r>
          </w:p>
        </w:tc>
        <w:tc>
          <w:tcPr>
            <w:tcW w:w="2673" w:type="dxa"/>
            <w:vAlign w:val="center"/>
          </w:tcPr>
          <w:p w:rsidR="00FC6FE0" w:rsidRDefault="00BE05A1">
            <w:r>
              <w:rPr>
                <w:color w:val="000000"/>
                <w:sz w:val="24"/>
                <w:szCs w:val="24"/>
              </w:rPr>
              <w:t>林洪钧先生，复旦大学硕士。历任国泰君安证券股份有限公司上海分公司机构客户部客户经理，华安基金管理有限公司债券交易员，加拿大</w:t>
            </w:r>
            <w:r>
              <w:rPr>
                <w:color w:val="000000"/>
                <w:sz w:val="24"/>
                <w:szCs w:val="24"/>
              </w:rPr>
              <w:t>Financial Engineering Source Inc.</w:t>
            </w:r>
            <w:r>
              <w:rPr>
                <w:color w:val="000000"/>
                <w:sz w:val="24"/>
                <w:szCs w:val="24"/>
              </w:rPr>
              <w:t>金融研究员。</w:t>
            </w:r>
            <w:r>
              <w:rPr>
                <w:color w:val="000000"/>
                <w:sz w:val="24"/>
                <w:szCs w:val="24"/>
              </w:rPr>
              <w:t>2009</w:t>
            </w:r>
            <w:r>
              <w:rPr>
                <w:color w:val="000000"/>
                <w:sz w:val="24"/>
                <w:szCs w:val="24"/>
              </w:rPr>
              <w:t>年加入交银施罗德基金管理有限公司，历任专户投资部投资经理助理、专户投资经理、基金经理助理。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C6FE0" w:rsidRDefault="00BE05A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C6FE0" w:rsidRDefault="00BE05A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C6FE0" w:rsidRDefault="00BE05A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C6FE0" w:rsidRDefault="00BE05A1">
      <w:pPr>
        <w:spacing w:before="29" w:line="288" w:lineRule="auto"/>
        <w:ind w:firstLineChars="200" w:firstLine="480"/>
        <w:rPr>
          <w:color w:val="000000"/>
          <w:sz w:val="24"/>
          <w:szCs w:val="24"/>
        </w:rPr>
      </w:pPr>
      <w:r>
        <w:rPr>
          <w:color w:val="000000"/>
          <w:sz w:val="24"/>
          <w:szCs w:val="24"/>
        </w:rPr>
        <w:t>本报告期内，经济增长动能呈现进一步疲弱态势。</w:t>
      </w:r>
      <w:r>
        <w:rPr>
          <w:color w:val="000000"/>
          <w:sz w:val="24"/>
          <w:szCs w:val="24"/>
        </w:rPr>
        <w:t>1</w:t>
      </w:r>
      <w:r>
        <w:rPr>
          <w:color w:val="000000"/>
          <w:sz w:val="24"/>
          <w:szCs w:val="24"/>
        </w:rPr>
        <w:t>、</w:t>
      </w:r>
      <w:r>
        <w:rPr>
          <w:color w:val="000000"/>
          <w:sz w:val="24"/>
          <w:szCs w:val="24"/>
        </w:rPr>
        <w:t>2</w:t>
      </w:r>
      <w:r>
        <w:rPr>
          <w:color w:val="000000"/>
          <w:sz w:val="24"/>
          <w:szCs w:val="24"/>
        </w:rPr>
        <w:t>月工业增加值急速下滑至</w:t>
      </w:r>
      <w:r>
        <w:rPr>
          <w:color w:val="000000"/>
          <w:sz w:val="24"/>
          <w:szCs w:val="24"/>
        </w:rPr>
        <w:t>6.8</w:t>
      </w:r>
      <w:r>
        <w:rPr>
          <w:color w:val="000000"/>
          <w:sz w:val="24"/>
          <w:szCs w:val="24"/>
        </w:rPr>
        <w:t>，中采</w:t>
      </w:r>
      <w:r>
        <w:rPr>
          <w:color w:val="000000"/>
          <w:sz w:val="24"/>
          <w:szCs w:val="24"/>
        </w:rPr>
        <w:t>PMI</w:t>
      </w:r>
      <w:r>
        <w:rPr>
          <w:color w:val="000000"/>
          <w:sz w:val="24"/>
          <w:szCs w:val="24"/>
        </w:rPr>
        <w:t>在</w:t>
      </w:r>
      <w:r>
        <w:rPr>
          <w:color w:val="000000"/>
          <w:sz w:val="24"/>
          <w:szCs w:val="24"/>
        </w:rPr>
        <w:t>1</w:t>
      </w:r>
      <w:r>
        <w:rPr>
          <w:color w:val="000000"/>
          <w:sz w:val="24"/>
          <w:szCs w:val="24"/>
        </w:rPr>
        <w:t>、</w:t>
      </w:r>
      <w:r>
        <w:rPr>
          <w:color w:val="000000"/>
          <w:sz w:val="24"/>
          <w:szCs w:val="24"/>
        </w:rPr>
        <w:t>2</w:t>
      </w:r>
      <w:r>
        <w:rPr>
          <w:color w:val="000000"/>
          <w:sz w:val="24"/>
          <w:szCs w:val="24"/>
        </w:rPr>
        <w:t>月份跌破</w:t>
      </w:r>
      <w:r>
        <w:rPr>
          <w:color w:val="000000"/>
          <w:sz w:val="24"/>
          <w:szCs w:val="24"/>
        </w:rPr>
        <w:t>50</w:t>
      </w:r>
      <w:r>
        <w:rPr>
          <w:color w:val="000000"/>
          <w:sz w:val="24"/>
          <w:szCs w:val="24"/>
        </w:rPr>
        <w:t>枯荣线，分别为</w:t>
      </w:r>
      <w:r>
        <w:rPr>
          <w:color w:val="000000"/>
          <w:sz w:val="24"/>
          <w:szCs w:val="24"/>
        </w:rPr>
        <w:t>49.8</w:t>
      </w:r>
      <w:r>
        <w:rPr>
          <w:color w:val="000000"/>
          <w:sz w:val="24"/>
          <w:szCs w:val="24"/>
        </w:rPr>
        <w:t>、</w:t>
      </w:r>
      <w:r>
        <w:rPr>
          <w:color w:val="000000"/>
          <w:sz w:val="24"/>
          <w:szCs w:val="24"/>
        </w:rPr>
        <w:t>49.9</w:t>
      </w:r>
      <w:r>
        <w:rPr>
          <w:color w:val="000000"/>
          <w:sz w:val="24"/>
          <w:szCs w:val="24"/>
        </w:rPr>
        <w:t>，</w:t>
      </w:r>
      <w:r>
        <w:rPr>
          <w:color w:val="000000"/>
          <w:sz w:val="24"/>
          <w:szCs w:val="24"/>
        </w:rPr>
        <w:t>3</w:t>
      </w:r>
      <w:r>
        <w:rPr>
          <w:color w:val="000000"/>
          <w:sz w:val="24"/>
          <w:szCs w:val="24"/>
        </w:rPr>
        <w:t>月份稍有反弹至</w:t>
      </w:r>
      <w:r>
        <w:rPr>
          <w:color w:val="000000"/>
          <w:sz w:val="24"/>
          <w:szCs w:val="24"/>
        </w:rPr>
        <w:t>50.1</w:t>
      </w:r>
      <w:r>
        <w:rPr>
          <w:color w:val="000000"/>
          <w:sz w:val="24"/>
          <w:szCs w:val="24"/>
        </w:rPr>
        <w:t>；从金融数据上看，</w:t>
      </w:r>
      <w:r>
        <w:rPr>
          <w:color w:val="000000"/>
          <w:sz w:val="24"/>
          <w:szCs w:val="24"/>
        </w:rPr>
        <w:t>2</w:t>
      </w:r>
      <w:r>
        <w:rPr>
          <w:color w:val="000000"/>
          <w:sz w:val="24"/>
          <w:szCs w:val="24"/>
        </w:rPr>
        <w:t>月新增信贷</w:t>
      </w:r>
      <w:r>
        <w:rPr>
          <w:color w:val="000000"/>
          <w:sz w:val="24"/>
          <w:szCs w:val="24"/>
        </w:rPr>
        <w:t>11437</w:t>
      </w:r>
      <w:r>
        <w:rPr>
          <w:color w:val="000000"/>
          <w:sz w:val="24"/>
          <w:szCs w:val="24"/>
        </w:rPr>
        <w:t>亿，社会融资规模</w:t>
      </w:r>
      <w:r>
        <w:rPr>
          <w:color w:val="000000"/>
          <w:sz w:val="24"/>
          <w:szCs w:val="24"/>
        </w:rPr>
        <w:t>13532</w:t>
      </w:r>
      <w:r>
        <w:rPr>
          <w:color w:val="000000"/>
          <w:sz w:val="24"/>
          <w:szCs w:val="24"/>
        </w:rPr>
        <w:t>亿，从结构上看，居民中长期贷款较去年同期略有上升；经济增压压力在一季度逐渐增大，在此宏观背景下，货币政策及财政政策均采取了一定的对冲措施。货币政策层面，本报告期内央行降低存款准备金率</w:t>
      </w:r>
      <w:r>
        <w:rPr>
          <w:color w:val="000000"/>
          <w:sz w:val="24"/>
          <w:szCs w:val="24"/>
        </w:rPr>
        <w:t>50BP</w:t>
      </w:r>
      <w:r>
        <w:rPr>
          <w:color w:val="000000"/>
          <w:sz w:val="24"/>
          <w:szCs w:val="24"/>
        </w:rPr>
        <w:t>至</w:t>
      </w:r>
      <w:r>
        <w:rPr>
          <w:color w:val="000000"/>
          <w:sz w:val="24"/>
          <w:szCs w:val="24"/>
        </w:rPr>
        <w:t>19.5%</w:t>
      </w:r>
      <w:r>
        <w:rPr>
          <w:color w:val="000000"/>
          <w:sz w:val="24"/>
          <w:szCs w:val="24"/>
        </w:rPr>
        <w:t>，并在</w:t>
      </w:r>
      <w:r>
        <w:rPr>
          <w:color w:val="000000"/>
          <w:sz w:val="24"/>
          <w:szCs w:val="24"/>
        </w:rPr>
        <w:t>3</w:t>
      </w:r>
      <w:r>
        <w:rPr>
          <w:color w:val="000000"/>
          <w:sz w:val="24"/>
          <w:szCs w:val="24"/>
        </w:rPr>
        <w:t>月份降息</w:t>
      </w:r>
      <w:r>
        <w:rPr>
          <w:color w:val="000000"/>
          <w:sz w:val="24"/>
          <w:szCs w:val="24"/>
        </w:rPr>
        <w:t>25BP</w:t>
      </w:r>
      <w:r>
        <w:rPr>
          <w:color w:val="000000"/>
          <w:sz w:val="24"/>
          <w:szCs w:val="24"/>
        </w:rPr>
        <w:t>至</w:t>
      </w:r>
      <w:r>
        <w:rPr>
          <w:color w:val="000000"/>
          <w:sz w:val="24"/>
          <w:szCs w:val="24"/>
        </w:rPr>
        <w:t>2.5%</w:t>
      </w:r>
      <w:r>
        <w:rPr>
          <w:color w:val="000000"/>
          <w:sz w:val="24"/>
          <w:szCs w:val="24"/>
        </w:rPr>
        <w:t>。其他政策层面，</w:t>
      </w:r>
      <w:r>
        <w:rPr>
          <w:color w:val="000000"/>
          <w:sz w:val="24"/>
          <w:szCs w:val="24"/>
        </w:rPr>
        <w:t>3</w:t>
      </w:r>
      <w:r>
        <w:rPr>
          <w:color w:val="000000"/>
          <w:sz w:val="24"/>
          <w:szCs w:val="24"/>
        </w:rPr>
        <w:t>月</w:t>
      </w:r>
      <w:r>
        <w:rPr>
          <w:color w:val="000000"/>
          <w:sz w:val="24"/>
          <w:szCs w:val="24"/>
        </w:rPr>
        <w:t>30</w:t>
      </w:r>
      <w:r>
        <w:rPr>
          <w:color w:val="000000"/>
          <w:sz w:val="24"/>
          <w:szCs w:val="24"/>
        </w:rPr>
        <w:t>日房地产新政也将对稳增长起到一定作用。而通胀在一季度较为稳定，</w:t>
      </w:r>
      <w:r>
        <w:rPr>
          <w:color w:val="000000"/>
          <w:sz w:val="24"/>
          <w:szCs w:val="24"/>
        </w:rPr>
        <w:t>CPI1</w:t>
      </w:r>
      <w:r>
        <w:rPr>
          <w:color w:val="000000"/>
          <w:sz w:val="24"/>
          <w:szCs w:val="24"/>
        </w:rPr>
        <w:t>月份</w:t>
      </w:r>
      <w:r>
        <w:rPr>
          <w:color w:val="000000"/>
          <w:sz w:val="24"/>
          <w:szCs w:val="24"/>
        </w:rPr>
        <w:t>0.76%</w:t>
      </w:r>
      <w:r>
        <w:rPr>
          <w:color w:val="000000"/>
          <w:sz w:val="24"/>
          <w:szCs w:val="24"/>
        </w:rPr>
        <w:t>，</w:t>
      </w:r>
      <w:r>
        <w:rPr>
          <w:color w:val="000000"/>
          <w:sz w:val="24"/>
          <w:szCs w:val="24"/>
        </w:rPr>
        <w:t>2</w:t>
      </w:r>
      <w:r>
        <w:rPr>
          <w:color w:val="000000"/>
          <w:sz w:val="24"/>
          <w:szCs w:val="24"/>
        </w:rPr>
        <w:t>月受春节等季节性因素影响上升至</w:t>
      </w:r>
      <w:r>
        <w:rPr>
          <w:color w:val="000000"/>
          <w:sz w:val="24"/>
          <w:szCs w:val="24"/>
        </w:rPr>
        <w:t>1.43%</w:t>
      </w:r>
      <w:r>
        <w:rPr>
          <w:color w:val="000000"/>
          <w:sz w:val="24"/>
          <w:szCs w:val="24"/>
        </w:rPr>
        <w:t>，但仍处于较低水平。较低的通胀也给后续的货币政策提供了较好的基础。</w:t>
      </w:r>
    </w:p>
    <w:p w:rsidR="00FC6FE0" w:rsidRDefault="00BE05A1">
      <w:pPr>
        <w:spacing w:before="29" w:line="288" w:lineRule="auto"/>
        <w:ind w:firstLineChars="200" w:firstLine="480"/>
        <w:rPr>
          <w:color w:val="000000"/>
          <w:sz w:val="24"/>
          <w:szCs w:val="24"/>
        </w:rPr>
      </w:pPr>
      <w:r>
        <w:rPr>
          <w:color w:val="000000"/>
          <w:sz w:val="24"/>
          <w:szCs w:val="24"/>
        </w:rPr>
        <w:t>本报告期内，债券市场受权益市场的扰动尤为明显，跷跷板效应在一季度显示地较为明显。债券市场在一季度呈现了完全倒</w:t>
      </w:r>
      <w:r>
        <w:rPr>
          <w:color w:val="000000"/>
          <w:sz w:val="24"/>
          <w:szCs w:val="24"/>
        </w:rPr>
        <w:t>V</w:t>
      </w:r>
      <w:r>
        <w:rPr>
          <w:color w:val="000000"/>
          <w:sz w:val="24"/>
          <w:szCs w:val="24"/>
        </w:rPr>
        <w:t>字形走势。在</w:t>
      </w:r>
      <w:r>
        <w:rPr>
          <w:color w:val="000000"/>
          <w:sz w:val="24"/>
          <w:szCs w:val="24"/>
        </w:rPr>
        <w:t>1</w:t>
      </w:r>
      <w:r>
        <w:rPr>
          <w:color w:val="000000"/>
          <w:sz w:val="24"/>
          <w:szCs w:val="24"/>
        </w:rPr>
        <w:t>、</w:t>
      </w:r>
      <w:r>
        <w:rPr>
          <w:color w:val="000000"/>
          <w:sz w:val="24"/>
          <w:szCs w:val="24"/>
        </w:rPr>
        <w:t>2</w:t>
      </w:r>
      <w:r>
        <w:rPr>
          <w:color w:val="000000"/>
          <w:sz w:val="24"/>
          <w:szCs w:val="24"/>
        </w:rPr>
        <w:t>月份，由于经济数据表现不佳，市场对未来经济的担忧，以及对货币政策的预期，使债券收益率在</w:t>
      </w:r>
      <w:r>
        <w:rPr>
          <w:color w:val="000000"/>
          <w:sz w:val="24"/>
          <w:szCs w:val="24"/>
        </w:rPr>
        <w:t>1</w:t>
      </w:r>
      <w:r>
        <w:rPr>
          <w:color w:val="000000"/>
          <w:sz w:val="24"/>
          <w:szCs w:val="24"/>
        </w:rPr>
        <w:t>、</w:t>
      </w:r>
      <w:r>
        <w:rPr>
          <w:color w:val="000000"/>
          <w:sz w:val="24"/>
          <w:szCs w:val="24"/>
        </w:rPr>
        <w:t>2</w:t>
      </w:r>
      <w:r>
        <w:rPr>
          <w:color w:val="000000"/>
          <w:sz w:val="24"/>
          <w:szCs w:val="24"/>
        </w:rPr>
        <w:t>月份大幅下行。</w:t>
      </w:r>
      <w:r>
        <w:rPr>
          <w:color w:val="000000"/>
          <w:sz w:val="24"/>
          <w:szCs w:val="24"/>
        </w:rPr>
        <w:t>2015</w:t>
      </w:r>
      <w:r>
        <w:rPr>
          <w:color w:val="000000"/>
          <w:sz w:val="24"/>
          <w:szCs w:val="24"/>
        </w:rPr>
        <w:t>年第一期</w:t>
      </w:r>
      <w:r>
        <w:rPr>
          <w:color w:val="000000"/>
          <w:sz w:val="24"/>
          <w:szCs w:val="24"/>
        </w:rPr>
        <w:t>10</w:t>
      </w:r>
      <w:r>
        <w:rPr>
          <w:color w:val="000000"/>
          <w:sz w:val="24"/>
          <w:szCs w:val="24"/>
        </w:rPr>
        <w:t>年国开债（</w:t>
      </w:r>
      <w:r>
        <w:rPr>
          <w:color w:val="000000"/>
          <w:sz w:val="24"/>
          <w:szCs w:val="24"/>
        </w:rPr>
        <w:t>150205</w:t>
      </w:r>
      <w:r>
        <w:rPr>
          <w:color w:val="000000"/>
          <w:sz w:val="24"/>
          <w:szCs w:val="24"/>
        </w:rPr>
        <w:t>）在</w:t>
      </w:r>
      <w:r>
        <w:rPr>
          <w:color w:val="000000"/>
          <w:sz w:val="24"/>
          <w:szCs w:val="24"/>
        </w:rPr>
        <w:t>2</w:t>
      </w:r>
      <w:r>
        <w:rPr>
          <w:color w:val="000000"/>
          <w:sz w:val="24"/>
          <w:szCs w:val="24"/>
        </w:rPr>
        <w:t>月初发行票面为</w:t>
      </w:r>
      <w:r>
        <w:rPr>
          <w:color w:val="000000"/>
          <w:sz w:val="24"/>
          <w:szCs w:val="24"/>
        </w:rPr>
        <w:t>3.81%</w:t>
      </w:r>
      <w:r>
        <w:rPr>
          <w:color w:val="000000"/>
          <w:sz w:val="24"/>
          <w:szCs w:val="24"/>
        </w:rPr>
        <w:t>，在</w:t>
      </w:r>
      <w:r>
        <w:rPr>
          <w:color w:val="000000"/>
          <w:sz w:val="24"/>
          <w:szCs w:val="24"/>
        </w:rPr>
        <w:t>2</w:t>
      </w:r>
      <w:r>
        <w:rPr>
          <w:color w:val="000000"/>
          <w:sz w:val="24"/>
          <w:szCs w:val="24"/>
        </w:rPr>
        <w:t>月中上旬收益一度下行至</w:t>
      </w:r>
      <w:r>
        <w:rPr>
          <w:color w:val="000000"/>
          <w:sz w:val="24"/>
          <w:szCs w:val="24"/>
        </w:rPr>
        <w:t>3.65%</w:t>
      </w:r>
      <w:r>
        <w:rPr>
          <w:color w:val="000000"/>
          <w:sz w:val="24"/>
          <w:szCs w:val="24"/>
        </w:rPr>
        <w:t>附近，但在</w:t>
      </w:r>
      <w:r>
        <w:rPr>
          <w:color w:val="000000"/>
          <w:sz w:val="24"/>
          <w:szCs w:val="24"/>
        </w:rPr>
        <w:t>2</w:t>
      </w:r>
      <w:r>
        <w:rPr>
          <w:color w:val="000000"/>
          <w:sz w:val="24"/>
          <w:szCs w:val="24"/>
        </w:rPr>
        <w:t>月下旬降准之后，收益率开始逐步回升，上行至</w:t>
      </w:r>
      <w:r>
        <w:rPr>
          <w:color w:val="000000"/>
          <w:sz w:val="24"/>
          <w:szCs w:val="24"/>
        </w:rPr>
        <w:t>4.2%</w:t>
      </w:r>
      <w:r>
        <w:rPr>
          <w:color w:val="000000"/>
          <w:sz w:val="24"/>
          <w:szCs w:val="24"/>
        </w:rPr>
        <w:t>左右。</w:t>
      </w:r>
      <w:r>
        <w:rPr>
          <w:color w:val="000000"/>
          <w:sz w:val="24"/>
          <w:szCs w:val="24"/>
        </w:rPr>
        <w:t>2</w:t>
      </w:r>
      <w:r>
        <w:rPr>
          <w:color w:val="000000"/>
          <w:sz w:val="24"/>
          <w:szCs w:val="24"/>
        </w:rPr>
        <w:t>月下旬至整个</w:t>
      </w:r>
      <w:r>
        <w:rPr>
          <w:color w:val="000000"/>
          <w:sz w:val="24"/>
          <w:szCs w:val="24"/>
        </w:rPr>
        <w:t>3</w:t>
      </w:r>
      <w:r>
        <w:rPr>
          <w:color w:val="000000"/>
          <w:sz w:val="24"/>
          <w:szCs w:val="24"/>
        </w:rPr>
        <w:t>月份，由于</w:t>
      </w:r>
      <w:r>
        <w:rPr>
          <w:color w:val="000000"/>
          <w:sz w:val="24"/>
          <w:szCs w:val="24"/>
        </w:rPr>
        <w:t>IPO</w:t>
      </w:r>
      <w:r>
        <w:rPr>
          <w:color w:val="000000"/>
          <w:sz w:val="24"/>
          <w:szCs w:val="24"/>
        </w:rPr>
        <w:t>新股回报较高以及权益资产的良好表现，债券市场承受较大的压力，机构在资产配置时，债券资产的配置也受到一定挤压，债市的需求端受到一定的影响；除了需求受压之外，供给端是造成</w:t>
      </w:r>
      <w:r>
        <w:rPr>
          <w:color w:val="000000"/>
          <w:sz w:val="24"/>
          <w:szCs w:val="24"/>
        </w:rPr>
        <w:t>3</w:t>
      </w:r>
      <w:r>
        <w:rPr>
          <w:color w:val="000000"/>
          <w:sz w:val="24"/>
          <w:szCs w:val="24"/>
        </w:rPr>
        <w:t>月债市承压的最主要原因。政府债务置换将增加一万亿的利率产品，市场担心完全会由商业银行自行承担。从央行货币政策的连贯性上看，目前时点，大幅宽松的可能性仍较低，因此利率产品供给增加给债券市场增加了许多不确定因素，债券收益率也因此大幅上升。本报告期内，中债总财富指数上涨</w:t>
      </w:r>
      <w:r>
        <w:rPr>
          <w:color w:val="000000"/>
          <w:sz w:val="24"/>
          <w:szCs w:val="24"/>
        </w:rPr>
        <w:t>0.32%</w:t>
      </w:r>
      <w:r>
        <w:rPr>
          <w:color w:val="000000"/>
          <w:sz w:val="24"/>
          <w:szCs w:val="24"/>
        </w:rPr>
        <w:t>，绝大部分收益发生在</w:t>
      </w:r>
      <w:r>
        <w:rPr>
          <w:color w:val="000000"/>
          <w:sz w:val="24"/>
          <w:szCs w:val="24"/>
        </w:rPr>
        <w:t>1</w:t>
      </w:r>
      <w:r>
        <w:rPr>
          <w:color w:val="000000"/>
          <w:sz w:val="24"/>
          <w:szCs w:val="24"/>
        </w:rPr>
        <w:t>月份及</w:t>
      </w:r>
      <w:r>
        <w:rPr>
          <w:color w:val="000000"/>
          <w:sz w:val="24"/>
          <w:szCs w:val="24"/>
        </w:rPr>
        <w:t>2</w:t>
      </w:r>
      <w:r>
        <w:rPr>
          <w:color w:val="000000"/>
          <w:sz w:val="24"/>
          <w:szCs w:val="24"/>
        </w:rPr>
        <w:t>月上半月。</w:t>
      </w:r>
    </w:p>
    <w:p w:rsidR="00FC6FE0" w:rsidRDefault="00BE05A1">
      <w:pPr>
        <w:spacing w:before="29" w:line="288" w:lineRule="auto"/>
        <w:ind w:firstLineChars="200" w:firstLine="480"/>
        <w:rPr>
          <w:color w:val="000000"/>
          <w:sz w:val="24"/>
          <w:szCs w:val="24"/>
        </w:rPr>
      </w:pPr>
      <w:r>
        <w:rPr>
          <w:color w:val="000000"/>
          <w:sz w:val="24"/>
          <w:szCs w:val="24"/>
        </w:rPr>
        <w:t>本基金本报告期内债券仓位逐渐降低，基金净值贡献主要来自于组合内债券票息收入以及部分权益类资产的收益。由于组合在一季度对债券持仓组合进行了一定调整，将组合内流动性较弱的品种调整出组合，调整过程给基金净值带来了一定的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对债券市场而言，权益市场以及对供给的担忧是短期压制债券市场的最大两个因素；但通胀处于较低水平以及经济增长仍然疲弱对债券市场都有较强支撑，从这个层面上看，我们对货币政策仍可以有一定期待。总体而言，我们对二季度债券市场仍持中性偏谨慎观点，以十年期国开债为代表的长端收益率预计在</w:t>
      </w:r>
      <w:r w:rsidRPr="00414345">
        <w:rPr>
          <w:color w:val="000000"/>
          <w:sz w:val="24"/>
          <w:szCs w:val="24"/>
        </w:rPr>
        <w:t>3.9—4.4</w:t>
      </w:r>
      <w:r w:rsidRPr="00414345">
        <w:rPr>
          <w:color w:val="000000"/>
          <w:sz w:val="24"/>
          <w:szCs w:val="24"/>
        </w:rPr>
        <w:t>之间宽幅震荡，各种因素的互相干扰或将导致二季度债券收益率波动加大，同时也会增加债券市场的交易性机会。组合管理方面，本组合计划保持较短的久期，同时将增加交易性的仓位；另一方面，可转债等权益性资产持仓有可能仍为组合在二季度的收益的主要来源。</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1.162</w:t>
      </w:r>
      <w:r w:rsidRPr="00414345">
        <w:rPr>
          <w:color w:val="000000"/>
          <w:sz w:val="24"/>
          <w:szCs w:val="24"/>
        </w:rPr>
        <w:t>元，本报告期份额净值增长率为</w:t>
      </w:r>
      <w:r w:rsidRPr="00414345">
        <w:rPr>
          <w:color w:val="000000"/>
          <w:sz w:val="24"/>
          <w:szCs w:val="24"/>
        </w:rPr>
        <w:t>0.78%</w:t>
      </w:r>
      <w:r w:rsidRPr="00414345">
        <w:rPr>
          <w:color w:val="000000"/>
          <w:sz w:val="24"/>
          <w:szCs w:val="24"/>
        </w:rPr>
        <w:t>，同期业绩比较基准增长率为</w:t>
      </w:r>
      <w:r w:rsidRPr="00414345">
        <w:rPr>
          <w:color w:val="000000"/>
          <w:sz w:val="24"/>
          <w:szCs w:val="24"/>
        </w:rPr>
        <w:t>-0.61%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9,036,000.00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9,036,000.00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156,529,683.60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156,529,683.60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16,389,398.56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8.86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3,060,463.33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185,015,545.49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9,036,000.00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9,036,000.00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C6FE0">
        <w:trPr>
          <w:jc w:val="center"/>
        </w:trPr>
        <w:tc>
          <w:tcPr>
            <w:tcW w:w="855" w:type="dxa"/>
            <w:vAlign w:val="center"/>
          </w:tcPr>
          <w:p w:rsidR="00FC6FE0" w:rsidRDefault="00BE05A1">
            <w:pPr>
              <w:jc w:val="center"/>
            </w:pPr>
            <w:r>
              <w:rPr>
                <w:color w:val="000000"/>
                <w:sz w:val="24"/>
                <w:szCs w:val="24"/>
              </w:rPr>
              <w:t>1</w:t>
            </w:r>
          </w:p>
        </w:tc>
        <w:tc>
          <w:tcPr>
            <w:tcW w:w="1334" w:type="dxa"/>
            <w:vAlign w:val="center"/>
          </w:tcPr>
          <w:p w:rsidR="00FC6FE0" w:rsidRDefault="00BE05A1">
            <w:pPr>
              <w:jc w:val="center"/>
            </w:pPr>
            <w:r>
              <w:rPr>
                <w:color w:val="000000"/>
                <w:sz w:val="24"/>
                <w:szCs w:val="24"/>
              </w:rPr>
              <w:t>601989</w:t>
            </w:r>
          </w:p>
        </w:tc>
        <w:tc>
          <w:tcPr>
            <w:tcW w:w="1777" w:type="dxa"/>
            <w:vAlign w:val="center"/>
          </w:tcPr>
          <w:p w:rsidR="00FC6FE0" w:rsidRDefault="00BE05A1">
            <w:pPr>
              <w:jc w:val="center"/>
            </w:pPr>
            <w:r>
              <w:rPr>
                <w:color w:val="000000"/>
                <w:sz w:val="24"/>
                <w:szCs w:val="24"/>
              </w:rPr>
              <w:t>中国重工</w:t>
            </w:r>
          </w:p>
        </w:tc>
        <w:tc>
          <w:tcPr>
            <w:tcW w:w="1334" w:type="dxa"/>
            <w:vAlign w:val="center"/>
          </w:tcPr>
          <w:p w:rsidR="00FC6FE0" w:rsidRDefault="00BE05A1">
            <w:pPr>
              <w:jc w:val="right"/>
            </w:pPr>
            <w:r>
              <w:rPr>
                <w:color w:val="000000"/>
                <w:sz w:val="24"/>
                <w:szCs w:val="24"/>
              </w:rPr>
              <w:t>900,000</w:t>
            </w:r>
          </w:p>
        </w:tc>
        <w:tc>
          <w:tcPr>
            <w:tcW w:w="1924" w:type="dxa"/>
            <w:vAlign w:val="center"/>
          </w:tcPr>
          <w:p w:rsidR="00FC6FE0" w:rsidRDefault="00BE05A1">
            <w:pPr>
              <w:jc w:val="right"/>
            </w:pPr>
            <w:r>
              <w:rPr>
                <w:color w:val="000000"/>
                <w:sz w:val="24"/>
                <w:szCs w:val="24"/>
              </w:rPr>
              <w:t>9,036,000.00</w:t>
            </w:r>
          </w:p>
        </w:tc>
        <w:tc>
          <w:tcPr>
            <w:tcW w:w="1644" w:type="dxa"/>
            <w:vAlign w:val="center"/>
          </w:tcPr>
          <w:p w:rsidR="00FC6FE0" w:rsidRDefault="00BE05A1">
            <w:pPr>
              <w:jc w:val="right"/>
            </w:pPr>
            <w:r>
              <w:rPr>
                <w:color w:val="000000"/>
                <w:sz w:val="24"/>
                <w:szCs w:val="24"/>
              </w:rPr>
              <w:t>8.16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29,548,000.00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26.67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29,548,000.00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26.67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97,514,683.60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88.03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29,467,000.00</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26.60</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156,529,683.60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141.30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C6FE0">
        <w:trPr>
          <w:jc w:val="center"/>
        </w:trPr>
        <w:tc>
          <w:tcPr>
            <w:tcW w:w="850" w:type="dxa"/>
            <w:vAlign w:val="center"/>
          </w:tcPr>
          <w:p w:rsidR="00FC6FE0" w:rsidRDefault="00BE05A1">
            <w:pPr>
              <w:jc w:val="center"/>
            </w:pPr>
            <w:r>
              <w:rPr>
                <w:color w:val="000000"/>
                <w:sz w:val="24"/>
                <w:szCs w:val="24"/>
              </w:rPr>
              <w:t>1</w:t>
            </w:r>
          </w:p>
        </w:tc>
        <w:tc>
          <w:tcPr>
            <w:tcW w:w="1475" w:type="dxa"/>
            <w:vAlign w:val="center"/>
          </w:tcPr>
          <w:p w:rsidR="00FC6FE0" w:rsidRDefault="00BE05A1">
            <w:pPr>
              <w:jc w:val="center"/>
            </w:pPr>
            <w:r>
              <w:rPr>
                <w:color w:val="000000"/>
                <w:sz w:val="24"/>
                <w:szCs w:val="24"/>
              </w:rPr>
              <w:t>122826</w:t>
            </w:r>
          </w:p>
        </w:tc>
        <w:tc>
          <w:tcPr>
            <w:tcW w:w="1769" w:type="dxa"/>
            <w:vAlign w:val="center"/>
          </w:tcPr>
          <w:p w:rsidR="00FC6FE0" w:rsidRDefault="00BE05A1">
            <w:pPr>
              <w:jc w:val="center"/>
            </w:pPr>
            <w:r>
              <w:rPr>
                <w:color w:val="000000"/>
                <w:sz w:val="24"/>
                <w:szCs w:val="24"/>
              </w:rPr>
              <w:t>11</w:t>
            </w:r>
            <w:r>
              <w:rPr>
                <w:color w:val="000000"/>
                <w:sz w:val="24"/>
                <w:szCs w:val="24"/>
              </w:rPr>
              <w:t>北港债</w:t>
            </w:r>
          </w:p>
        </w:tc>
        <w:tc>
          <w:tcPr>
            <w:tcW w:w="1387" w:type="dxa"/>
            <w:vAlign w:val="center"/>
          </w:tcPr>
          <w:p w:rsidR="00FC6FE0" w:rsidRDefault="00BE05A1">
            <w:pPr>
              <w:jc w:val="right"/>
            </w:pPr>
            <w:r>
              <w:rPr>
                <w:color w:val="000000"/>
                <w:sz w:val="24"/>
                <w:szCs w:val="24"/>
              </w:rPr>
              <w:t>200,000</w:t>
            </w:r>
          </w:p>
        </w:tc>
        <w:tc>
          <w:tcPr>
            <w:tcW w:w="2150" w:type="dxa"/>
            <w:vAlign w:val="center"/>
          </w:tcPr>
          <w:p w:rsidR="00FC6FE0" w:rsidRDefault="00BE05A1">
            <w:pPr>
              <w:jc w:val="right"/>
            </w:pPr>
            <w:r>
              <w:rPr>
                <w:color w:val="000000"/>
                <w:sz w:val="24"/>
                <w:szCs w:val="24"/>
              </w:rPr>
              <w:t>20,300,000.00</w:t>
            </w:r>
          </w:p>
        </w:tc>
        <w:tc>
          <w:tcPr>
            <w:tcW w:w="1237" w:type="dxa"/>
            <w:vAlign w:val="center"/>
          </w:tcPr>
          <w:p w:rsidR="00FC6FE0" w:rsidRDefault="00BE05A1">
            <w:pPr>
              <w:jc w:val="right"/>
            </w:pPr>
            <w:r>
              <w:rPr>
                <w:color w:val="000000"/>
                <w:sz w:val="24"/>
                <w:szCs w:val="24"/>
              </w:rPr>
              <w:t>18.32</w:t>
            </w:r>
          </w:p>
        </w:tc>
      </w:tr>
      <w:tr w:rsidR="00FC6FE0">
        <w:trPr>
          <w:jc w:val="center"/>
        </w:trPr>
        <w:tc>
          <w:tcPr>
            <w:tcW w:w="850" w:type="dxa"/>
            <w:vAlign w:val="center"/>
          </w:tcPr>
          <w:p w:rsidR="00FC6FE0" w:rsidRDefault="00BE05A1">
            <w:pPr>
              <w:jc w:val="center"/>
            </w:pPr>
            <w:r>
              <w:rPr>
                <w:color w:val="000000"/>
                <w:sz w:val="24"/>
                <w:szCs w:val="24"/>
              </w:rPr>
              <w:t>2</w:t>
            </w:r>
          </w:p>
        </w:tc>
        <w:tc>
          <w:tcPr>
            <w:tcW w:w="1475" w:type="dxa"/>
            <w:vAlign w:val="center"/>
          </w:tcPr>
          <w:p w:rsidR="00FC6FE0" w:rsidRDefault="00BE05A1">
            <w:pPr>
              <w:jc w:val="center"/>
            </w:pPr>
            <w:r>
              <w:rPr>
                <w:color w:val="000000"/>
                <w:sz w:val="24"/>
                <w:szCs w:val="24"/>
              </w:rPr>
              <w:t>150203</w:t>
            </w:r>
          </w:p>
        </w:tc>
        <w:tc>
          <w:tcPr>
            <w:tcW w:w="1769" w:type="dxa"/>
            <w:vAlign w:val="center"/>
          </w:tcPr>
          <w:p w:rsidR="00FC6FE0" w:rsidRDefault="00BE05A1">
            <w:pPr>
              <w:jc w:val="center"/>
            </w:pPr>
            <w:r>
              <w:rPr>
                <w:color w:val="000000"/>
                <w:sz w:val="24"/>
                <w:szCs w:val="24"/>
              </w:rPr>
              <w:t>15</w:t>
            </w:r>
            <w:r>
              <w:rPr>
                <w:color w:val="000000"/>
                <w:sz w:val="24"/>
                <w:szCs w:val="24"/>
              </w:rPr>
              <w:t>国开</w:t>
            </w:r>
            <w:r>
              <w:rPr>
                <w:color w:val="000000"/>
                <w:sz w:val="24"/>
                <w:szCs w:val="24"/>
              </w:rPr>
              <w:t>03</w:t>
            </w:r>
          </w:p>
        </w:tc>
        <w:tc>
          <w:tcPr>
            <w:tcW w:w="1387" w:type="dxa"/>
            <w:vAlign w:val="center"/>
          </w:tcPr>
          <w:p w:rsidR="00FC6FE0" w:rsidRDefault="00BE05A1">
            <w:pPr>
              <w:jc w:val="right"/>
            </w:pPr>
            <w:r>
              <w:rPr>
                <w:color w:val="000000"/>
                <w:sz w:val="24"/>
                <w:szCs w:val="24"/>
              </w:rPr>
              <w:t>200,000</w:t>
            </w:r>
          </w:p>
        </w:tc>
        <w:tc>
          <w:tcPr>
            <w:tcW w:w="2150" w:type="dxa"/>
            <w:vAlign w:val="center"/>
          </w:tcPr>
          <w:p w:rsidR="00FC6FE0" w:rsidRDefault="00BE05A1">
            <w:pPr>
              <w:jc w:val="right"/>
            </w:pPr>
            <w:r>
              <w:rPr>
                <w:color w:val="000000"/>
                <w:sz w:val="24"/>
                <w:szCs w:val="24"/>
              </w:rPr>
              <w:t>19,548,000.00</w:t>
            </w:r>
          </w:p>
        </w:tc>
        <w:tc>
          <w:tcPr>
            <w:tcW w:w="1237" w:type="dxa"/>
            <w:vAlign w:val="center"/>
          </w:tcPr>
          <w:p w:rsidR="00FC6FE0" w:rsidRDefault="00BE05A1">
            <w:pPr>
              <w:jc w:val="right"/>
            </w:pPr>
            <w:r>
              <w:rPr>
                <w:color w:val="000000"/>
                <w:sz w:val="24"/>
                <w:szCs w:val="24"/>
              </w:rPr>
              <w:t>17.65</w:t>
            </w:r>
          </w:p>
        </w:tc>
      </w:tr>
      <w:tr w:rsidR="00FC6FE0">
        <w:trPr>
          <w:jc w:val="center"/>
        </w:trPr>
        <w:tc>
          <w:tcPr>
            <w:tcW w:w="850" w:type="dxa"/>
            <w:vAlign w:val="center"/>
          </w:tcPr>
          <w:p w:rsidR="00FC6FE0" w:rsidRDefault="00BE05A1">
            <w:pPr>
              <w:jc w:val="center"/>
            </w:pPr>
            <w:r>
              <w:rPr>
                <w:color w:val="000000"/>
                <w:sz w:val="24"/>
                <w:szCs w:val="24"/>
              </w:rPr>
              <w:t>3</w:t>
            </w:r>
          </w:p>
        </w:tc>
        <w:tc>
          <w:tcPr>
            <w:tcW w:w="1475" w:type="dxa"/>
            <w:vAlign w:val="center"/>
          </w:tcPr>
          <w:p w:rsidR="00FC6FE0" w:rsidRDefault="00BE05A1">
            <w:pPr>
              <w:jc w:val="center"/>
            </w:pPr>
            <w:r>
              <w:rPr>
                <w:color w:val="000000"/>
                <w:sz w:val="24"/>
                <w:szCs w:val="24"/>
              </w:rPr>
              <w:t>1382136</w:t>
            </w:r>
          </w:p>
        </w:tc>
        <w:tc>
          <w:tcPr>
            <w:tcW w:w="1769" w:type="dxa"/>
            <w:vAlign w:val="center"/>
          </w:tcPr>
          <w:p w:rsidR="00FC6FE0" w:rsidRDefault="00BE05A1">
            <w:pPr>
              <w:jc w:val="center"/>
            </w:pPr>
            <w:r>
              <w:rPr>
                <w:color w:val="000000"/>
                <w:sz w:val="24"/>
                <w:szCs w:val="24"/>
              </w:rPr>
              <w:t>13</w:t>
            </w:r>
            <w:r>
              <w:rPr>
                <w:color w:val="000000"/>
                <w:sz w:val="24"/>
                <w:szCs w:val="24"/>
              </w:rPr>
              <w:t>乌兰煤</w:t>
            </w:r>
            <w:r>
              <w:rPr>
                <w:color w:val="000000"/>
                <w:sz w:val="24"/>
                <w:szCs w:val="24"/>
              </w:rPr>
              <w:t>MTN1</w:t>
            </w:r>
          </w:p>
        </w:tc>
        <w:tc>
          <w:tcPr>
            <w:tcW w:w="1387" w:type="dxa"/>
            <w:vAlign w:val="center"/>
          </w:tcPr>
          <w:p w:rsidR="00FC6FE0" w:rsidRDefault="00BE05A1">
            <w:pPr>
              <w:jc w:val="right"/>
            </w:pPr>
            <w:r>
              <w:rPr>
                <w:color w:val="000000"/>
                <w:sz w:val="24"/>
                <w:szCs w:val="24"/>
              </w:rPr>
              <w:t>200,000</w:t>
            </w:r>
          </w:p>
        </w:tc>
        <w:tc>
          <w:tcPr>
            <w:tcW w:w="2150" w:type="dxa"/>
            <w:vAlign w:val="center"/>
          </w:tcPr>
          <w:p w:rsidR="00FC6FE0" w:rsidRDefault="00BE05A1">
            <w:pPr>
              <w:jc w:val="right"/>
            </w:pPr>
            <w:r>
              <w:rPr>
                <w:color w:val="000000"/>
                <w:sz w:val="24"/>
                <w:szCs w:val="24"/>
              </w:rPr>
              <w:t>19,474,000.00</w:t>
            </w:r>
          </w:p>
        </w:tc>
        <w:tc>
          <w:tcPr>
            <w:tcW w:w="1237" w:type="dxa"/>
            <w:vAlign w:val="center"/>
          </w:tcPr>
          <w:p w:rsidR="00FC6FE0" w:rsidRDefault="00BE05A1">
            <w:pPr>
              <w:jc w:val="right"/>
            </w:pPr>
            <w:r>
              <w:rPr>
                <w:color w:val="000000"/>
                <w:sz w:val="24"/>
                <w:szCs w:val="24"/>
              </w:rPr>
              <w:t>17.58</w:t>
            </w:r>
          </w:p>
        </w:tc>
      </w:tr>
      <w:tr w:rsidR="00FC6FE0">
        <w:trPr>
          <w:jc w:val="center"/>
        </w:trPr>
        <w:tc>
          <w:tcPr>
            <w:tcW w:w="850" w:type="dxa"/>
            <w:vAlign w:val="center"/>
          </w:tcPr>
          <w:p w:rsidR="00FC6FE0" w:rsidRDefault="00BE05A1">
            <w:pPr>
              <w:jc w:val="center"/>
            </w:pPr>
            <w:r>
              <w:rPr>
                <w:color w:val="000000"/>
                <w:sz w:val="24"/>
                <w:szCs w:val="24"/>
              </w:rPr>
              <w:t>4</w:t>
            </w:r>
          </w:p>
        </w:tc>
        <w:tc>
          <w:tcPr>
            <w:tcW w:w="1475" w:type="dxa"/>
            <w:vAlign w:val="center"/>
          </w:tcPr>
          <w:p w:rsidR="00FC6FE0" w:rsidRDefault="00BE05A1">
            <w:pPr>
              <w:jc w:val="center"/>
            </w:pPr>
            <w:r>
              <w:rPr>
                <w:color w:val="000000"/>
                <w:sz w:val="24"/>
                <w:szCs w:val="24"/>
              </w:rPr>
              <w:t>124517</w:t>
            </w:r>
          </w:p>
        </w:tc>
        <w:tc>
          <w:tcPr>
            <w:tcW w:w="1769" w:type="dxa"/>
            <w:vAlign w:val="center"/>
          </w:tcPr>
          <w:p w:rsidR="00FC6FE0" w:rsidRDefault="00BE05A1">
            <w:pPr>
              <w:jc w:val="center"/>
            </w:pPr>
            <w:r>
              <w:rPr>
                <w:color w:val="000000"/>
                <w:sz w:val="24"/>
                <w:szCs w:val="24"/>
              </w:rPr>
              <w:t>14</w:t>
            </w:r>
            <w:r>
              <w:rPr>
                <w:color w:val="000000"/>
                <w:sz w:val="24"/>
                <w:szCs w:val="24"/>
              </w:rPr>
              <w:t>怀化</w:t>
            </w:r>
            <w:r>
              <w:rPr>
                <w:color w:val="000000"/>
                <w:sz w:val="24"/>
                <w:szCs w:val="24"/>
              </w:rPr>
              <w:t>02</w:t>
            </w:r>
          </w:p>
        </w:tc>
        <w:tc>
          <w:tcPr>
            <w:tcW w:w="1387" w:type="dxa"/>
            <w:vAlign w:val="center"/>
          </w:tcPr>
          <w:p w:rsidR="00FC6FE0" w:rsidRDefault="00BE05A1">
            <w:pPr>
              <w:jc w:val="right"/>
            </w:pPr>
            <w:r>
              <w:rPr>
                <w:color w:val="000000"/>
                <w:sz w:val="24"/>
                <w:szCs w:val="24"/>
              </w:rPr>
              <w:t>160,000</w:t>
            </w:r>
          </w:p>
        </w:tc>
        <w:tc>
          <w:tcPr>
            <w:tcW w:w="2150" w:type="dxa"/>
            <w:vAlign w:val="center"/>
          </w:tcPr>
          <w:p w:rsidR="00FC6FE0" w:rsidRDefault="00BE05A1">
            <w:pPr>
              <w:jc w:val="right"/>
            </w:pPr>
            <w:r>
              <w:rPr>
                <w:color w:val="000000"/>
                <w:sz w:val="24"/>
                <w:szCs w:val="24"/>
              </w:rPr>
              <w:t>17,166,400.00</w:t>
            </w:r>
          </w:p>
        </w:tc>
        <w:tc>
          <w:tcPr>
            <w:tcW w:w="1237" w:type="dxa"/>
            <w:vAlign w:val="center"/>
          </w:tcPr>
          <w:p w:rsidR="00FC6FE0" w:rsidRDefault="00BE05A1">
            <w:pPr>
              <w:jc w:val="right"/>
            </w:pPr>
            <w:r>
              <w:rPr>
                <w:color w:val="000000"/>
                <w:sz w:val="24"/>
                <w:szCs w:val="24"/>
              </w:rPr>
              <w:t>15.50</w:t>
            </w:r>
          </w:p>
        </w:tc>
      </w:tr>
      <w:tr w:rsidR="00FC6FE0">
        <w:trPr>
          <w:jc w:val="center"/>
        </w:trPr>
        <w:tc>
          <w:tcPr>
            <w:tcW w:w="850" w:type="dxa"/>
            <w:vAlign w:val="center"/>
          </w:tcPr>
          <w:p w:rsidR="00FC6FE0" w:rsidRDefault="00BE05A1">
            <w:pPr>
              <w:jc w:val="center"/>
            </w:pPr>
            <w:r>
              <w:rPr>
                <w:color w:val="000000"/>
                <w:sz w:val="24"/>
                <w:szCs w:val="24"/>
              </w:rPr>
              <w:t>5</w:t>
            </w:r>
          </w:p>
        </w:tc>
        <w:tc>
          <w:tcPr>
            <w:tcW w:w="1475" w:type="dxa"/>
            <w:vAlign w:val="center"/>
          </w:tcPr>
          <w:p w:rsidR="00FC6FE0" w:rsidRDefault="00BE05A1">
            <w:pPr>
              <w:jc w:val="center"/>
            </w:pPr>
            <w:r>
              <w:rPr>
                <w:color w:val="000000"/>
                <w:sz w:val="24"/>
                <w:szCs w:val="24"/>
              </w:rPr>
              <w:t>122302</w:t>
            </w:r>
          </w:p>
        </w:tc>
        <w:tc>
          <w:tcPr>
            <w:tcW w:w="1769" w:type="dxa"/>
            <w:vAlign w:val="center"/>
          </w:tcPr>
          <w:p w:rsidR="00FC6FE0" w:rsidRDefault="00BE05A1">
            <w:pPr>
              <w:jc w:val="center"/>
            </w:pPr>
            <w:r>
              <w:rPr>
                <w:color w:val="000000"/>
                <w:sz w:val="24"/>
                <w:szCs w:val="24"/>
              </w:rPr>
              <w:t>13</w:t>
            </w:r>
            <w:r>
              <w:rPr>
                <w:color w:val="000000"/>
                <w:sz w:val="24"/>
                <w:szCs w:val="24"/>
              </w:rPr>
              <w:t>天房债</w:t>
            </w:r>
          </w:p>
        </w:tc>
        <w:tc>
          <w:tcPr>
            <w:tcW w:w="1387" w:type="dxa"/>
            <w:vAlign w:val="center"/>
          </w:tcPr>
          <w:p w:rsidR="00FC6FE0" w:rsidRDefault="00BE05A1">
            <w:pPr>
              <w:jc w:val="right"/>
            </w:pPr>
            <w:r>
              <w:rPr>
                <w:color w:val="000000"/>
                <w:sz w:val="24"/>
                <w:szCs w:val="24"/>
              </w:rPr>
              <w:t>100,000</w:t>
            </w:r>
          </w:p>
        </w:tc>
        <w:tc>
          <w:tcPr>
            <w:tcW w:w="2150" w:type="dxa"/>
            <w:vAlign w:val="center"/>
          </w:tcPr>
          <w:p w:rsidR="00FC6FE0" w:rsidRDefault="00BE05A1">
            <w:pPr>
              <w:jc w:val="right"/>
            </w:pPr>
            <w:r>
              <w:rPr>
                <w:color w:val="000000"/>
                <w:sz w:val="24"/>
                <w:szCs w:val="24"/>
              </w:rPr>
              <w:t>10,585,000.00</w:t>
            </w:r>
          </w:p>
        </w:tc>
        <w:tc>
          <w:tcPr>
            <w:tcW w:w="1237" w:type="dxa"/>
            <w:vAlign w:val="center"/>
          </w:tcPr>
          <w:p w:rsidR="00FC6FE0" w:rsidRDefault="00BE05A1">
            <w:pPr>
              <w:jc w:val="right"/>
            </w:pPr>
            <w:r>
              <w:rPr>
                <w:color w:val="000000"/>
                <w:sz w:val="24"/>
                <w:szCs w:val="24"/>
              </w:rPr>
              <w:t>9.55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32,440.41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2,965,204.99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62,817.93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3,060,463.33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bookmarkStart w:id="0" w:name="_GoBack"/>
      <w:bookmarkEnd w:id="0"/>
      <w:r w:rsidRPr="00414345">
        <w:rPr>
          <w:color w:val="000000"/>
          <w:sz w:val="24"/>
          <w:szCs w:val="24"/>
        </w:rPr>
        <w:t>。</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118,796,383.24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27,497,035.11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50,935,809.46</w:t>
            </w:r>
          </w:p>
        </w:tc>
      </w:tr>
      <w:tr w:rsidR="004061AC" w:rsidRPr="00414345" w:rsidTr="002F16BB">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2F16BB">
        <w:trPr>
          <w:jc w:val="center"/>
        </w:trPr>
        <w:tc>
          <w:tcPr>
            <w:tcW w:w="4609" w:type="dxa"/>
            <w:tcBorders>
              <w:top w:val="single" w:sz="8" w:space="0" w:color="000000"/>
              <w:left w:val="single" w:sz="8" w:space="0" w:color="000000"/>
              <w:bottom w:val="single" w:sz="4" w:space="0" w:color="auto"/>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4" w:space="0" w:color="auto"/>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95,357,608.89</w:t>
            </w:r>
          </w:p>
        </w:tc>
      </w:tr>
    </w:tbl>
    <w:p w:rsidR="00FC6FE0" w:rsidRDefault="00BE05A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FC6FE0" w:rsidRDefault="00BE05A1">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C6FE0" w:rsidRDefault="00BE05A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FC6FE0" w:rsidRDefault="00BE05A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FC6FE0" w:rsidRDefault="00BE05A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FC6FE0" w:rsidRDefault="00BE05A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FC6FE0" w:rsidRDefault="00BE05A1">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FC6FE0" w:rsidRDefault="00BE05A1">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FC6FE0" w:rsidRDefault="00BE05A1">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C6FE0" w:rsidRDefault="00BE05A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221" w:rsidRDefault="00BA4221" w:rsidP="00876D65">
      <w:r>
        <w:separator/>
      </w:r>
    </w:p>
  </w:endnote>
  <w:endnote w:type="continuationSeparator" w:id="0">
    <w:p w:rsidR="00BA4221" w:rsidRDefault="00BA422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BA4221">
      <w:rPr>
        <w:noProof/>
        <w:kern w:val="0"/>
        <w:szCs w:val="21"/>
      </w:rPr>
      <w:t>1</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BA4221">
      <w:rPr>
        <w:noProof/>
        <w:kern w:val="0"/>
        <w:szCs w:val="21"/>
      </w:rPr>
      <w:t>1</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221" w:rsidRDefault="00BA4221" w:rsidP="00876D65">
      <w:r>
        <w:separator/>
      </w:r>
    </w:p>
  </w:footnote>
  <w:footnote w:type="continuationSeparator" w:id="0">
    <w:p w:rsidR="00BA4221" w:rsidRDefault="00BA422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2F16BB"/>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1327"/>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4221"/>
    <w:rsid w:val="00BA604D"/>
    <w:rsid w:val="00BB5DA7"/>
    <w:rsid w:val="00BB5E0E"/>
    <w:rsid w:val="00BC14B3"/>
    <w:rsid w:val="00BC216C"/>
    <w:rsid w:val="00BC4585"/>
    <w:rsid w:val="00BC50F1"/>
    <w:rsid w:val="00BC73E5"/>
    <w:rsid w:val="00BD0031"/>
    <w:rsid w:val="00BD70E0"/>
    <w:rsid w:val="00BD7473"/>
    <w:rsid w:val="00BD7703"/>
    <w:rsid w:val="00BE05A1"/>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6FE0"/>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BF084F-9E68-4096-B3C7-7B86AA4F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BFF9-4A15-490F-9D8D-BF777BA0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1</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561</cp:revision>
  <dcterms:created xsi:type="dcterms:W3CDTF">2012-10-16T06:07:00Z</dcterms:created>
  <dcterms:modified xsi:type="dcterms:W3CDTF">2015-04-16T02:24:00Z</dcterms:modified>
</cp:coreProperties>
</file>