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2015</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2015</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二〇一五年四月二十一日</w:t>
      </w:r>
    </w:p>
    <w:p w:rsidR="00220542" w:rsidRPr="0036023B" w:rsidRDefault="00220542" w:rsidP="00960253">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F94EE9" w:rsidRDefault="009C6611">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94EE9" w:rsidRDefault="009C6611">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94EE9" w:rsidRDefault="009C661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94EE9" w:rsidRDefault="009C661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94EE9" w:rsidRDefault="009C6611">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2015</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1,486,524,362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71C15" w:rsidRPr="0036023B" w:rsidTr="00E71C15">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(2015</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-2015</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E71C15" w:rsidRPr="0036023B" w:rsidTr="00E71C15">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185,433,303.71</w:t>
            </w:r>
          </w:p>
        </w:tc>
      </w:tr>
      <w:tr w:rsidR="00E71C15" w:rsidRPr="0036023B" w:rsidTr="00E71C15">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152,707,615.97</w:t>
            </w:r>
          </w:p>
        </w:tc>
      </w:tr>
      <w:tr w:rsidR="00E71C15" w:rsidRPr="0036023B" w:rsidTr="00E71C15">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0.0843</w:t>
            </w:r>
          </w:p>
        </w:tc>
      </w:tr>
      <w:tr w:rsidR="00E71C15" w:rsidRPr="0036023B" w:rsidTr="00E71C15">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1,744,320,498.62</w:t>
            </w:r>
          </w:p>
        </w:tc>
      </w:tr>
      <w:tr w:rsidR="00E71C15" w:rsidRPr="0036023B" w:rsidTr="00E71C15">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1.173</w:t>
            </w:r>
          </w:p>
        </w:tc>
      </w:tr>
    </w:tbl>
    <w:p w:rsidR="00F94EE9" w:rsidRDefault="009C661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F94EE9">
        <w:trPr>
          <w:jc w:val="center"/>
        </w:trPr>
        <w:tc>
          <w:tcPr>
            <w:tcW w:w="1469" w:type="dxa"/>
            <w:vAlign w:val="center"/>
          </w:tcPr>
          <w:p w:rsidR="00F94EE9" w:rsidRDefault="009C6611">
            <w:pPr>
              <w:jc w:val="left"/>
            </w:pPr>
            <w:r>
              <w:rPr>
                <w:color w:val="000000"/>
                <w:sz w:val="24"/>
              </w:rPr>
              <w:t>过去三个月</w:t>
            </w:r>
          </w:p>
        </w:tc>
        <w:tc>
          <w:tcPr>
            <w:tcW w:w="1150" w:type="dxa"/>
            <w:vAlign w:val="center"/>
          </w:tcPr>
          <w:p w:rsidR="00F94EE9" w:rsidRDefault="009C6611">
            <w:pPr>
              <w:jc w:val="center"/>
            </w:pPr>
            <w:r>
              <w:rPr>
                <w:color w:val="000000"/>
                <w:sz w:val="24"/>
              </w:rPr>
              <w:t>9.73%</w:t>
            </w:r>
          </w:p>
        </w:tc>
        <w:tc>
          <w:tcPr>
            <w:tcW w:w="1223" w:type="dxa"/>
            <w:vAlign w:val="center"/>
          </w:tcPr>
          <w:p w:rsidR="00F94EE9" w:rsidRDefault="009C6611">
            <w:pPr>
              <w:jc w:val="center"/>
            </w:pPr>
            <w:r>
              <w:rPr>
                <w:color w:val="000000"/>
                <w:sz w:val="24"/>
              </w:rPr>
              <w:t>2.08%</w:t>
            </w:r>
          </w:p>
        </w:tc>
        <w:tc>
          <w:tcPr>
            <w:tcW w:w="1244" w:type="dxa"/>
            <w:vAlign w:val="center"/>
          </w:tcPr>
          <w:p w:rsidR="00F94EE9" w:rsidRDefault="009C6611">
            <w:pPr>
              <w:jc w:val="center"/>
            </w:pPr>
            <w:r>
              <w:rPr>
                <w:color w:val="000000"/>
                <w:sz w:val="24"/>
              </w:rPr>
              <w:t>9.37%</w:t>
            </w:r>
          </w:p>
        </w:tc>
        <w:tc>
          <w:tcPr>
            <w:tcW w:w="1251" w:type="dxa"/>
            <w:vAlign w:val="center"/>
          </w:tcPr>
          <w:p w:rsidR="00F94EE9" w:rsidRDefault="009C6611">
            <w:pPr>
              <w:jc w:val="center"/>
            </w:pPr>
            <w:r>
              <w:rPr>
                <w:color w:val="000000"/>
                <w:sz w:val="24"/>
              </w:rPr>
              <w:t>2.09%</w:t>
            </w:r>
          </w:p>
        </w:tc>
        <w:tc>
          <w:tcPr>
            <w:tcW w:w="1263" w:type="dxa"/>
            <w:vAlign w:val="center"/>
          </w:tcPr>
          <w:p w:rsidR="00F94EE9" w:rsidRDefault="009C6611">
            <w:pPr>
              <w:jc w:val="center"/>
            </w:pPr>
            <w:r>
              <w:rPr>
                <w:color w:val="000000"/>
                <w:sz w:val="24"/>
              </w:rPr>
              <w:t>0.36%</w:t>
            </w:r>
          </w:p>
        </w:tc>
        <w:tc>
          <w:tcPr>
            <w:tcW w:w="1268" w:type="dxa"/>
            <w:vAlign w:val="center"/>
          </w:tcPr>
          <w:p w:rsidR="00F94EE9" w:rsidRDefault="009C6611">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2015</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F94EE9">
        <w:trPr>
          <w:jc w:val="center"/>
        </w:trPr>
        <w:tc>
          <w:tcPr>
            <w:tcW w:w="846" w:type="dxa"/>
            <w:vAlign w:val="center"/>
          </w:tcPr>
          <w:p w:rsidR="00F94EE9" w:rsidRDefault="009C6611">
            <w:pPr>
              <w:jc w:val="center"/>
            </w:pPr>
            <w:r>
              <w:rPr>
                <w:color w:val="000000"/>
                <w:sz w:val="24"/>
              </w:rPr>
              <w:t>蔡铮</w:t>
            </w:r>
          </w:p>
        </w:tc>
        <w:tc>
          <w:tcPr>
            <w:tcW w:w="845" w:type="dxa"/>
            <w:vAlign w:val="center"/>
          </w:tcPr>
          <w:p w:rsidR="00F94EE9" w:rsidRDefault="009C6611">
            <w:pPr>
              <w:jc w:val="center"/>
            </w:pPr>
            <w:r>
              <w:rPr>
                <w:color w:val="000000"/>
                <w:sz w:val="24"/>
              </w:rPr>
              <w:t>本基金及其联接基金、交银深证</w:t>
            </w:r>
            <w:r>
              <w:rPr>
                <w:color w:val="000000"/>
                <w:sz w:val="24"/>
              </w:rPr>
              <w:t>300</w:t>
            </w:r>
            <w:r>
              <w:rPr>
                <w:color w:val="000000"/>
                <w:sz w:val="24"/>
              </w:rPr>
              <w:lastRenderedPageBreak/>
              <w:t>价值</w:t>
            </w:r>
            <w:r>
              <w:rPr>
                <w:color w:val="000000"/>
                <w:sz w:val="24"/>
              </w:rPr>
              <w:t>ETF</w:t>
            </w:r>
            <w:r>
              <w:rPr>
                <w:color w:val="000000"/>
                <w:sz w:val="24"/>
              </w:rPr>
              <w:t>及其联接基金、交银沪深</w:t>
            </w:r>
            <w:r>
              <w:rPr>
                <w:color w:val="000000"/>
                <w:sz w:val="24"/>
              </w:rPr>
              <w:t>300</w:t>
            </w:r>
            <w:r>
              <w:rPr>
                <w:color w:val="000000"/>
                <w:sz w:val="24"/>
              </w:rPr>
              <w:t>分层等权指数基金</w:t>
            </w:r>
            <w:r w:rsidR="002962BA">
              <w:rPr>
                <w:rFonts w:hint="eastAsia"/>
                <w:color w:val="000000"/>
                <w:sz w:val="24"/>
              </w:rPr>
              <w:t>、</w:t>
            </w:r>
            <w:r w:rsidR="002962BA" w:rsidRPr="00957B6D">
              <w:rPr>
                <w:rFonts w:hint="eastAsia"/>
                <w:color w:val="000000"/>
                <w:sz w:val="24"/>
              </w:rPr>
              <w:t>交银国证新能源指数分级基金</w:t>
            </w:r>
            <w:r w:rsidR="00205FCB">
              <w:rPr>
                <w:rFonts w:hint="eastAsia"/>
                <w:color w:val="000000"/>
                <w:sz w:val="24"/>
              </w:rPr>
              <w:t>的</w:t>
            </w:r>
            <w:r>
              <w:rPr>
                <w:color w:val="000000"/>
                <w:sz w:val="24"/>
              </w:rPr>
              <w:t>基金经理，公司量化投资部助理总经理</w:t>
            </w:r>
          </w:p>
        </w:tc>
        <w:tc>
          <w:tcPr>
            <w:tcW w:w="1549" w:type="dxa"/>
            <w:vAlign w:val="center"/>
          </w:tcPr>
          <w:p w:rsidR="00F94EE9" w:rsidRDefault="009C6611">
            <w:pPr>
              <w:jc w:val="center"/>
            </w:pPr>
            <w:r>
              <w:rPr>
                <w:color w:val="000000"/>
                <w:sz w:val="24"/>
              </w:rPr>
              <w:lastRenderedPageBreak/>
              <w:t>2012-12-27</w:t>
            </w:r>
          </w:p>
        </w:tc>
        <w:tc>
          <w:tcPr>
            <w:tcW w:w="1548" w:type="dxa"/>
            <w:vAlign w:val="center"/>
          </w:tcPr>
          <w:p w:rsidR="00F94EE9" w:rsidRDefault="009C6611">
            <w:pPr>
              <w:jc w:val="center"/>
            </w:pPr>
            <w:r>
              <w:rPr>
                <w:color w:val="000000"/>
                <w:sz w:val="24"/>
              </w:rPr>
              <w:t>-</w:t>
            </w:r>
          </w:p>
        </w:tc>
        <w:tc>
          <w:tcPr>
            <w:tcW w:w="1407" w:type="dxa"/>
            <w:vAlign w:val="center"/>
          </w:tcPr>
          <w:p w:rsidR="00F94EE9" w:rsidRDefault="009C6611">
            <w:pPr>
              <w:jc w:val="center"/>
            </w:pPr>
            <w:r>
              <w:rPr>
                <w:color w:val="000000"/>
                <w:sz w:val="24"/>
              </w:rPr>
              <w:t>6</w:t>
            </w:r>
            <w:r>
              <w:rPr>
                <w:color w:val="000000"/>
                <w:sz w:val="24"/>
              </w:rPr>
              <w:t>年</w:t>
            </w:r>
          </w:p>
        </w:tc>
        <w:tc>
          <w:tcPr>
            <w:tcW w:w="2673" w:type="dxa"/>
            <w:vAlign w:val="center"/>
          </w:tcPr>
          <w:p w:rsidR="00F94EE9" w:rsidRDefault="009C6611">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F94EE9" w:rsidRDefault="009C661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94EE9" w:rsidRDefault="009C6611">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94EE9" w:rsidRDefault="009C661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w:t>
      </w:r>
      <w:r w:rsidRPr="0036023B">
        <w:rPr>
          <w:color w:val="000000"/>
          <w:sz w:val="24"/>
        </w:rPr>
        <w:t>,</w:t>
      </w:r>
      <w:r w:rsidRPr="0036023B">
        <w:rPr>
          <w:color w:val="000000"/>
          <w:sz w:val="24"/>
        </w:rPr>
        <w:t>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F94EE9" w:rsidRDefault="009C6611">
      <w:pPr>
        <w:spacing w:before="29" w:line="288" w:lineRule="auto"/>
        <w:ind w:firstLineChars="200" w:firstLine="480"/>
        <w:rPr>
          <w:color w:val="000000"/>
          <w:sz w:val="24"/>
        </w:rPr>
      </w:pPr>
      <w:r>
        <w:rPr>
          <w:color w:val="000000"/>
          <w:sz w:val="24"/>
        </w:rPr>
        <w:t>2015</w:t>
      </w:r>
      <w:r>
        <w:rPr>
          <w:color w:val="000000"/>
          <w:sz w:val="24"/>
        </w:rPr>
        <w:t>年第一季度，国内经济增速依旧低迷，经济基本面对资本市场的支持力度较为有限。但随着无风险利率下行预期和居民大类资产配置对风险资产的偏好，市场维持着自去年第四季度以来的强势行情。市场结构分化比较显著，代表结构转型和技术进步的投资标的表现突出。作为跟踪基准指数的指数基金，在本季度获得较为可喜的涨幅。</w:t>
      </w:r>
    </w:p>
    <w:p w:rsidR="00D33924" w:rsidRPr="0036023B" w:rsidRDefault="000820A8" w:rsidP="0099526C">
      <w:pPr>
        <w:spacing w:before="29" w:line="288" w:lineRule="auto"/>
        <w:ind w:firstLineChars="200" w:firstLine="480"/>
        <w:rPr>
          <w:color w:val="000000"/>
          <w:sz w:val="24"/>
        </w:rPr>
      </w:pPr>
      <w:r w:rsidRPr="0036023B">
        <w:rPr>
          <w:color w:val="000000"/>
          <w:sz w:val="24"/>
        </w:rPr>
        <w:t>展望未来一个季度，在微刺激的经济政策背景下，预计货币政策将逐渐趋于宽松，预计股市将持续震荡向上。在整体政策着力于改革与结构调整的大趋势下，市场或将进入良性有序的可持续发展阶段。</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2015</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日，本基金份额净值</w:t>
      </w:r>
      <w:r w:rsidRPr="0036023B">
        <w:rPr>
          <w:color w:val="000000"/>
          <w:sz w:val="24"/>
        </w:rPr>
        <w:t>1.173</w:t>
      </w:r>
      <w:r w:rsidRPr="0036023B">
        <w:rPr>
          <w:color w:val="000000"/>
          <w:sz w:val="24"/>
        </w:rPr>
        <w:t>元，本报告期份额净值增长率为</w:t>
      </w:r>
      <w:r w:rsidRPr="0036023B">
        <w:rPr>
          <w:color w:val="000000"/>
          <w:sz w:val="24"/>
        </w:rPr>
        <w:t>9.73%</w:t>
      </w:r>
      <w:r w:rsidRPr="0036023B">
        <w:rPr>
          <w:color w:val="000000"/>
          <w:sz w:val="24"/>
        </w:rPr>
        <w:t>，同期业绩比较基准增长率为</w:t>
      </w:r>
      <w:r w:rsidRPr="0036023B">
        <w:rPr>
          <w:color w:val="000000"/>
          <w:sz w:val="24"/>
        </w:rPr>
        <w:t>9.37%</w:t>
      </w:r>
      <w:r w:rsidRPr="0036023B">
        <w:rPr>
          <w:color w:val="000000"/>
          <w:sz w:val="24"/>
        </w:rPr>
        <w:t>。本报告期内本基金的日均跟踪偏离度为</w:t>
      </w:r>
      <w:r w:rsidRPr="0036023B">
        <w:rPr>
          <w:color w:val="000000"/>
          <w:sz w:val="24"/>
        </w:rPr>
        <w:t>0.04%</w:t>
      </w:r>
      <w:r w:rsidRPr="0036023B">
        <w:rPr>
          <w:color w:val="000000"/>
          <w:sz w:val="24"/>
        </w:rPr>
        <w:t>，跟踪误差为</w:t>
      </w:r>
      <w:r w:rsidRPr="0036023B">
        <w:rPr>
          <w:color w:val="000000"/>
          <w:sz w:val="24"/>
        </w:rPr>
        <w:t>0.05%</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lastRenderedPageBreak/>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1,734,911,930.09</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99.37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1,734,911,930.09</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99.37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10,226,392.76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0.59</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712,136.12</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1,745,850,458.97</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注：本表权益投资股票项中含可退替代款估值增值，而</w:t>
      </w:r>
      <w:r w:rsidRPr="0036023B">
        <w:rPr>
          <w:color w:val="000000"/>
          <w:sz w:val="24"/>
        </w:rPr>
        <w:t>5.2.2</w:t>
      </w:r>
      <w:r w:rsidRPr="0036023B">
        <w:rPr>
          <w:color w:val="000000"/>
          <w:sz w:val="24"/>
        </w:rPr>
        <w:t>合计项中不含可退替代款估值增值，因此二者存在上述差异。</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3,936,389.15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0.23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68,075,761.76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3.90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347,360,212.80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19.91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64,990,002.93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3.73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112,581,525.33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6.45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lastRenderedPageBreak/>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21,494,501.52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1.23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50,653,834.72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2.90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54,983,255.79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3.15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940,683,383.03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53.93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53,378,911.60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3.06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16,776,641.46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1,734,914,420.09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99.46</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F94EE9">
        <w:trPr>
          <w:jc w:val="center"/>
        </w:trPr>
        <w:tc>
          <w:tcPr>
            <w:tcW w:w="850" w:type="dxa"/>
            <w:vAlign w:val="center"/>
          </w:tcPr>
          <w:p w:rsidR="00F94EE9" w:rsidRDefault="009C6611">
            <w:pPr>
              <w:jc w:val="center"/>
            </w:pPr>
            <w:r>
              <w:rPr>
                <w:color w:val="000000"/>
                <w:sz w:val="24"/>
              </w:rPr>
              <w:t>1</w:t>
            </w:r>
          </w:p>
        </w:tc>
        <w:tc>
          <w:tcPr>
            <w:tcW w:w="1327" w:type="dxa"/>
            <w:vAlign w:val="center"/>
          </w:tcPr>
          <w:p w:rsidR="00F94EE9" w:rsidRDefault="009C6611">
            <w:pPr>
              <w:jc w:val="center"/>
            </w:pPr>
            <w:r>
              <w:rPr>
                <w:color w:val="000000"/>
                <w:sz w:val="24"/>
              </w:rPr>
              <w:t>601318</w:t>
            </w:r>
          </w:p>
        </w:tc>
        <w:tc>
          <w:tcPr>
            <w:tcW w:w="1769" w:type="dxa"/>
            <w:vAlign w:val="center"/>
          </w:tcPr>
          <w:p w:rsidR="00F94EE9" w:rsidRDefault="009C6611">
            <w:pPr>
              <w:jc w:val="center"/>
            </w:pPr>
            <w:r>
              <w:rPr>
                <w:color w:val="000000"/>
                <w:sz w:val="24"/>
              </w:rPr>
              <w:t>中国平安</w:t>
            </w:r>
          </w:p>
        </w:tc>
        <w:tc>
          <w:tcPr>
            <w:tcW w:w="1327" w:type="dxa"/>
            <w:vAlign w:val="center"/>
          </w:tcPr>
          <w:p w:rsidR="00F94EE9" w:rsidRDefault="009C6611">
            <w:pPr>
              <w:jc w:val="right"/>
            </w:pPr>
            <w:r>
              <w:rPr>
                <w:color w:val="000000"/>
                <w:sz w:val="24"/>
              </w:rPr>
              <w:t>1,765,640</w:t>
            </w:r>
          </w:p>
        </w:tc>
        <w:tc>
          <w:tcPr>
            <w:tcW w:w="1915" w:type="dxa"/>
            <w:vAlign w:val="center"/>
          </w:tcPr>
          <w:p w:rsidR="00F94EE9" w:rsidRDefault="009C6611">
            <w:pPr>
              <w:jc w:val="right"/>
            </w:pPr>
            <w:r>
              <w:rPr>
                <w:color w:val="000000"/>
                <w:sz w:val="24"/>
              </w:rPr>
              <w:t>138,143,673.60</w:t>
            </w:r>
          </w:p>
        </w:tc>
        <w:tc>
          <w:tcPr>
            <w:tcW w:w="1680" w:type="dxa"/>
            <w:vAlign w:val="center"/>
          </w:tcPr>
          <w:p w:rsidR="00F94EE9" w:rsidRDefault="009C6611">
            <w:pPr>
              <w:jc w:val="right"/>
            </w:pPr>
            <w:r>
              <w:rPr>
                <w:color w:val="000000"/>
                <w:sz w:val="24"/>
              </w:rPr>
              <w:t>7.92</w:t>
            </w:r>
          </w:p>
        </w:tc>
      </w:tr>
      <w:tr w:rsidR="00F94EE9">
        <w:trPr>
          <w:jc w:val="center"/>
        </w:trPr>
        <w:tc>
          <w:tcPr>
            <w:tcW w:w="850" w:type="dxa"/>
            <w:vAlign w:val="center"/>
          </w:tcPr>
          <w:p w:rsidR="00F94EE9" w:rsidRDefault="009C6611">
            <w:pPr>
              <w:jc w:val="center"/>
            </w:pPr>
            <w:r>
              <w:rPr>
                <w:color w:val="000000"/>
                <w:sz w:val="24"/>
              </w:rPr>
              <w:t>2</w:t>
            </w:r>
          </w:p>
        </w:tc>
        <w:tc>
          <w:tcPr>
            <w:tcW w:w="1327" w:type="dxa"/>
            <w:vAlign w:val="center"/>
          </w:tcPr>
          <w:p w:rsidR="00F94EE9" w:rsidRDefault="009C6611">
            <w:pPr>
              <w:jc w:val="center"/>
            </w:pPr>
            <w:r>
              <w:rPr>
                <w:color w:val="000000"/>
                <w:sz w:val="24"/>
              </w:rPr>
              <w:t>600016</w:t>
            </w:r>
          </w:p>
        </w:tc>
        <w:tc>
          <w:tcPr>
            <w:tcW w:w="1769" w:type="dxa"/>
            <w:vAlign w:val="center"/>
          </w:tcPr>
          <w:p w:rsidR="00F94EE9" w:rsidRDefault="009C6611">
            <w:pPr>
              <w:jc w:val="center"/>
            </w:pPr>
            <w:r>
              <w:rPr>
                <w:color w:val="000000"/>
                <w:sz w:val="24"/>
              </w:rPr>
              <w:t>民生银行</w:t>
            </w:r>
          </w:p>
        </w:tc>
        <w:tc>
          <w:tcPr>
            <w:tcW w:w="1327" w:type="dxa"/>
            <w:vAlign w:val="center"/>
          </w:tcPr>
          <w:p w:rsidR="00F94EE9" w:rsidRDefault="009C6611">
            <w:pPr>
              <w:jc w:val="right"/>
            </w:pPr>
            <w:r>
              <w:rPr>
                <w:color w:val="000000"/>
                <w:sz w:val="24"/>
              </w:rPr>
              <w:t>9,280,867</w:t>
            </w:r>
          </w:p>
        </w:tc>
        <w:tc>
          <w:tcPr>
            <w:tcW w:w="1915" w:type="dxa"/>
            <w:vAlign w:val="center"/>
          </w:tcPr>
          <w:p w:rsidR="00F94EE9" w:rsidRDefault="009C6611">
            <w:pPr>
              <w:jc w:val="right"/>
            </w:pPr>
            <w:r>
              <w:rPr>
                <w:color w:val="000000"/>
                <w:sz w:val="24"/>
              </w:rPr>
              <w:t>90,024,409.90</w:t>
            </w:r>
          </w:p>
        </w:tc>
        <w:tc>
          <w:tcPr>
            <w:tcW w:w="1680" w:type="dxa"/>
            <w:vAlign w:val="center"/>
          </w:tcPr>
          <w:p w:rsidR="00F94EE9" w:rsidRDefault="009C6611">
            <w:pPr>
              <w:jc w:val="right"/>
            </w:pPr>
            <w:r>
              <w:rPr>
                <w:color w:val="000000"/>
                <w:sz w:val="24"/>
              </w:rPr>
              <w:t>5.16</w:t>
            </w:r>
          </w:p>
        </w:tc>
      </w:tr>
      <w:tr w:rsidR="00F94EE9">
        <w:trPr>
          <w:jc w:val="center"/>
        </w:trPr>
        <w:tc>
          <w:tcPr>
            <w:tcW w:w="850" w:type="dxa"/>
            <w:vAlign w:val="center"/>
          </w:tcPr>
          <w:p w:rsidR="00F94EE9" w:rsidRDefault="009C6611">
            <w:pPr>
              <w:jc w:val="center"/>
            </w:pPr>
            <w:r>
              <w:rPr>
                <w:color w:val="000000"/>
                <w:sz w:val="24"/>
              </w:rPr>
              <w:t>3</w:t>
            </w:r>
          </w:p>
        </w:tc>
        <w:tc>
          <w:tcPr>
            <w:tcW w:w="1327" w:type="dxa"/>
            <w:vAlign w:val="center"/>
          </w:tcPr>
          <w:p w:rsidR="00F94EE9" w:rsidRDefault="009C6611">
            <w:pPr>
              <w:jc w:val="center"/>
            </w:pPr>
            <w:r>
              <w:rPr>
                <w:color w:val="000000"/>
                <w:sz w:val="24"/>
              </w:rPr>
              <w:t>600030</w:t>
            </w:r>
          </w:p>
        </w:tc>
        <w:tc>
          <w:tcPr>
            <w:tcW w:w="1769" w:type="dxa"/>
            <w:vAlign w:val="center"/>
          </w:tcPr>
          <w:p w:rsidR="00F94EE9" w:rsidRDefault="009C6611">
            <w:pPr>
              <w:jc w:val="center"/>
            </w:pPr>
            <w:r>
              <w:rPr>
                <w:color w:val="000000"/>
                <w:sz w:val="24"/>
              </w:rPr>
              <w:t>中信证券</w:t>
            </w:r>
          </w:p>
        </w:tc>
        <w:tc>
          <w:tcPr>
            <w:tcW w:w="1327" w:type="dxa"/>
            <w:vAlign w:val="center"/>
          </w:tcPr>
          <w:p w:rsidR="00F94EE9" w:rsidRDefault="009C6611">
            <w:pPr>
              <w:jc w:val="right"/>
            </w:pPr>
            <w:r>
              <w:rPr>
                <w:color w:val="000000"/>
                <w:sz w:val="24"/>
              </w:rPr>
              <w:t>2,683,907</w:t>
            </w:r>
          </w:p>
        </w:tc>
        <w:tc>
          <w:tcPr>
            <w:tcW w:w="1915" w:type="dxa"/>
            <w:vAlign w:val="center"/>
          </w:tcPr>
          <w:p w:rsidR="00F94EE9" w:rsidRDefault="009C6611">
            <w:pPr>
              <w:jc w:val="right"/>
            </w:pPr>
            <w:r>
              <w:rPr>
                <w:color w:val="000000"/>
                <w:sz w:val="24"/>
              </w:rPr>
              <w:t>88,085,827.74</w:t>
            </w:r>
          </w:p>
        </w:tc>
        <w:tc>
          <w:tcPr>
            <w:tcW w:w="1680" w:type="dxa"/>
            <w:vAlign w:val="center"/>
          </w:tcPr>
          <w:p w:rsidR="00F94EE9" w:rsidRDefault="009C6611">
            <w:pPr>
              <w:jc w:val="right"/>
            </w:pPr>
            <w:r>
              <w:rPr>
                <w:color w:val="000000"/>
                <w:sz w:val="24"/>
              </w:rPr>
              <w:t>5.05</w:t>
            </w:r>
          </w:p>
        </w:tc>
      </w:tr>
      <w:tr w:rsidR="00F94EE9">
        <w:trPr>
          <w:jc w:val="center"/>
        </w:trPr>
        <w:tc>
          <w:tcPr>
            <w:tcW w:w="850" w:type="dxa"/>
            <w:vAlign w:val="center"/>
          </w:tcPr>
          <w:p w:rsidR="00F94EE9" w:rsidRDefault="009C6611">
            <w:pPr>
              <w:jc w:val="center"/>
            </w:pPr>
            <w:r>
              <w:rPr>
                <w:color w:val="000000"/>
                <w:sz w:val="24"/>
              </w:rPr>
              <w:t>4</w:t>
            </w:r>
          </w:p>
        </w:tc>
        <w:tc>
          <w:tcPr>
            <w:tcW w:w="1327" w:type="dxa"/>
            <w:vAlign w:val="center"/>
          </w:tcPr>
          <w:p w:rsidR="00F94EE9" w:rsidRDefault="009C6611">
            <w:pPr>
              <w:jc w:val="center"/>
            </w:pPr>
            <w:r>
              <w:rPr>
                <w:color w:val="000000"/>
                <w:sz w:val="24"/>
              </w:rPr>
              <w:t>600036</w:t>
            </w:r>
          </w:p>
        </w:tc>
        <w:tc>
          <w:tcPr>
            <w:tcW w:w="1769" w:type="dxa"/>
            <w:vAlign w:val="center"/>
          </w:tcPr>
          <w:p w:rsidR="00F94EE9" w:rsidRDefault="009C6611">
            <w:pPr>
              <w:jc w:val="center"/>
            </w:pPr>
            <w:r>
              <w:rPr>
                <w:color w:val="000000"/>
                <w:sz w:val="24"/>
              </w:rPr>
              <w:t>招商银行</w:t>
            </w:r>
          </w:p>
        </w:tc>
        <w:tc>
          <w:tcPr>
            <w:tcW w:w="1327" w:type="dxa"/>
            <w:vAlign w:val="center"/>
          </w:tcPr>
          <w:p w:rsidR="00F94EE9" w:rsidRDefault="009C6611">
            <w:pPr>
              <w:jc w:val="right"/>
            </w:pPr>
            <w:r>
              <w:rPr>
                <w:color w:val="000000"/>
                <w:sz w:val="24"/>
              </w:rPr>
              <w:t>5,646,682</w:t>
            </w:r>
          </w:p>
        </w:tc>
        <w:tc>
          <w:tcPr>
            <w:tcW w:w="1915" w:type="dxa"/>
            <w:vAlign w:val="center"/>
          </w:tcPr>
          <w:p w:rsidR="00F94EE9" w:rsidRDefault="009C6611">
            <w:pPr>
              <w:jc w:val="right"/>
            </w:pPr>
            <w:r>
              <w:rPr>
                <w:color w:val="000000"/>
                <w:sz w:val="24"/>
              </w:rPr>
              <w:t>87,918,838.74</w:t>
            </w:r>
          </w:p>
        </w:tc>
        <w:tc>
          <w:tcPr>
            <w:tcW w:w="1680" w:type="dxa"/>
            <w:vAlign w:val="center"/>
          </w:tcPr>
          <w:p w:rsidR="00F94EE9" w:rsidRDefault="009C6611">
            <w:pPr>
              <w:jc w:val="right"/>
            </w:pPr>
            <w:r>
              <w:rPr>
                <w:color w:val="000000"/>
                <w:sz w:val="24"/>
              </w:rPr>
              <w:t>5.04</w:t>
            </w:r>
          </w:p>
        </w:tc>
      </w:tr>
      <w:tr w:rsidR="00F94EE9">
        <w:trPr>
          <w:jc w:val="center"/>
        </w:trPr>
        <w:tc>
          <w:tcPr>
            <w:tcW w:w="850" w:type="dxa"/>
            <w:vAlign w:val="center"/>
          </w:tcPr>
          <w:p w:rsidR="00F94EE9" w:rsidRDefault="009C6611">
            <w:pPr>
              <w:jc w:val="center"/>
            </w:pPr>
            <w:r>
              <w:rPr>
                <w:color w:val="000000"/>
                <w:sz w:val="24"/>
              </w:rPr>
              <w:t>5</w:t>
            </w:r>
          </w:p>
        </w:tc>
        <w:tc>
          <w:tcPr>
            <w:tcW w:w="1327" w:type="dxa"/>
            <w:vAlign w:val="center"/>
          </w:tcPr>
          <w:p w:rsidR="00F94EE9" w:rsidRDefault="009C6611">
            <w:pPr>
              <w:jc w:val="center"/>
            </w:pPr>
            <w:r>
              <w:rPr>
                <w:color w:val="000000"/>
                <w:sz w:val="24"/>
              </w:rPr>
              <w:t>601166</w:t>
            </w:r>
          </w:p>
        </w:tc>
        <w:tc>
          <w:tcPr>
            <w:tcW w:w="1769" w:type="dxa"/>
            <w:vAlign w:val="center"/>
          </w:tcPr>
          <w:p w:rsidR="00F94EE9" w:rsidRDefault="009C6611">
            <w:pPr>
              <w:jc w:val="center"/>
            </w:pPr>
            <w:r>
              <w:rPr>
                <w:color w:val="000000"/>
                <w:sz w:val="24"/>
              </w:rPr>
              <w:t>兴业银行</w:t>
            </w:r>
          </w:p>
        </w:tc>
        <w:tc>
          <w:tcPr>
            <w:tcW w:w="1327" w:type="dxa"/>
            <w:vAlign w:val="center"/>
          </w:tcPr>
          <w:p w:rsidR="00F94EE9" w:rsidRDefault="009C6611">
            <w:pPr>
              <w:jc w:val="right"/>
            </w:pPr>
            <w:r>
              <w:rPr>
                <w:color w:val="000000"/>
                <w:sz w:val="24"/>
              </w:rPr>
              <w:t>3,928,962</w:t>
            </w:r>
          </w:p>
        </w:tc>
        <w:tc>
          <w:tcPr>
            <w:tcW w:w="1915" w:type="dxa"/>
            <w:vAlign w:val="center"/>
          </w:tcPr>
          <w:p w:rsidR="00F94EE9" w:rsidRDefault="009C6611">
            <w:pPr>
              <w:jc w:val="right"/>
            </w:pPr>
            <w:r>
              <w:rPr>
                <w:color w:val="000000"/>
                <w:sz w:val="24"/>
              </w:rPr>
              <w:t>72,135,742.32</w:t>
            </w:r>
          </w:p>
        </w:tc>
        <w:tc>
          <w:tcPr>
            <w:tcW w:w="1680" w:type="dxa"/>
            <w:vAlign w:val="center"/>
          </w:tcPr>
          <w:p w:rsidR="00F94EE9" w:rsidRDefault="009C6611">
            <w:pPr>
              <w:jc w:val="right"/>
            </w:pPr>
            <w:r>
              <w:rPr>
                <w:color w:val="000000"/>
                <w:sz w:val="24"/>
              </w:rPr>
              <w:t>4.14</w:t>
            </w:r>
          </w:p>
        </w:tc>
      </w:tr>
      <w:tr w:rsidR="00F94EE9">
        <w:trPr>
          <w:jc w:val="center"/>
        </w:trPr>
        <w:tc>
          <w:tcPr>
            <w:tcW w:w="850" w:type="dxa"/>
            <w:vAlign w:val="center"/>
          </w:tcPr>
          <w:p w:rsidR="00F94EE9" w:rsidRDefault="009C6611">
            <w:pPr>
              <w:jc w:val="center"/>
            </w:pPr>
            <w:r>
              <w:rPr>
                <w:color w:val="000000"/>
                <w:sz w:val="24"/>
              </w:rPr>
              <w:t>6</w:t>
            </w:r>
          </w:p>
        </w:tc>
        <w:tc>
          <w:tcPr>
            <w:tcW w:w="1327" w:type="dxa"/>
            <w:vAlign w:val="center"/>
          </w:tcPr>
          <w:p w:rsidR="00F94EE9" w:rsidRDefault="009C6611">
            <w:pPr>
              <w:jc w:val="center"/>
            </w:pPr>
            <w:r>
              <w:rPr>
                <w:color w:val="000000"/>
                <w:sz w:val="24"/>
              </w:rPr>
              <w:t>600837</w:t>
            </w:r>
          </w:p>
        </w:tc>
        <w:tc>
          <w:tcPr>
            <w:tcW w:w="1769" w:type="dxa"/>
            <w:vAlign w:val="center"/>
          </w:tcPr>
          <w:p w:rsidR="00F94EE9" w:rsidRDefault="009C6611">
            <w:pPr>
              <w:jc w:val="center"/>
            </w:pPr>
            <w:r>
              <w:rPr>
                <w:color w:val="000000"/>
                <w:sz w:val="24"/>
              </w:rPr>
              <w:t>海通证券</w:t>
            </w:r>
          </w:p>
        </w:tc>
        <w:tc>
          <w:tcPr>
            <w:tcW w:w="1327" w:type="dxa"/>
            <w:vAlign w:val="center"/>
          </w:tcPr>
          <w:p w:rsidR="00F94EE9" w:rsidRDefault="009C6611">
            <w:pPr>
              <w:jc w:val="right"/>
            </w:pPr>
            <w:r>
              <w:rPr>
                <w:color w:val="000000"/>
                <w:sz w:val="24"/>
              </w:rPr>
              <w:t>2,758,579</w:t>
            </w:r>
          </w:p>
        </w:tc>
        <w:tc>
          <w:tcPr>
            <w:tcW w:w="1915" w:type="dxa"/>
            <w:vAlign w:val="center"/>
          </w:tcPr>
          <w:p w:rsidR="00F94EE9" w:rsidRDefault="009C6611">
            <w:pPr>
              <w:jc w:val="right"/>
            </w:pPr>
            <w:r>
              <w:rPr>
                <w:color w:val="000000"/>
                <w:sz w:val="24"/>
              </w:rPr>
              <w:t>64,578,334.39</w:t>
            </w:r>
          </w:p>
        </w:tc>
        <w:tc>
          <w:tcPr>
            <w:tcW w:w="1680" w:type="dxa"/>
            <w:vAlign w:val="center"/>
          </w:tcPr>
          <w:p w:rsidR="00F94EE9" w:rsidRDefault="009C6611">
            <w:pPr>
              <w:jc w:val="right"/>
            </w:pPr>
            <w:r>
              <w:rPr>
                <w:color w:val="000000"/>
                <w:sz w:val="24"/>
              </w:rPr>
              <w:t>3.70</w:t>
            </w:r>
          </w:p>
        </w:tc>
      </w:tr>
      <w:tr w:rsidR="00F94EE9">
        <w:trPr>
          <w:jc w:val="center"/>
        </w:trPr>
        <w:tc>
          <w:tcPr>
            <w:tcW w:w="850" w:type="dxa"/>
            <w:vAlign w:val="center"/>
          </w:tcPr>
          <w:p w:rsidR="00F94EE9" w:rsidRDefault="009C6611">
            <w:pPr>
              <w:jc w:val="center"/>
            </w:pPr>
            <w:r>
              <w:rPr>
                <w:color w:val="000000"/>
                <w:sz w:val="24"/>
              </w:rPr>
              <w:t>7</w:t>
            </w:r>
          </w:p>
        </w:tc>
        <w:tc>
          <w:tcPr>
            <w:tcW w:w="1327" w:type="dxa"/>
            <w:vAlign w:val="center"/>
          </w:tcPr>
          <w:p w:rsidR="00F94EE9" w:rsidRDefault="009C6611">
            <w:pPr>
              <w:jc w:val="center"/>
            </w:pPr>
            <w:r>
              <w:rPr>
                <w:color w:val="000000"/>
                <w:sz w:val="24"/>
              </w:rPr>
              <w:t>600000</w:t>
            </w:r>
          </w:p>
        </w:tc>
        <w:tc>
          <w:tcPr>
            <w:tcW w:w="1769" w:type="dxa"/>
            <w:vAlign w:val="center"/>
          </w:tcPr>
          <w:p w:rsidR="00F94EE9" w:rsidRDefault="009C6611">
            <w:pPr>
              <w:jc w:val="center"/>
            </w:pPr>
            <w:r>
              <w:rPr>
                <w:color w:val="000000"/>
                <w:sz w:val="24"/>
              </w:rPr>
              <w:t>浦发银行</w:t>
            </w:r>
          </w:p>
        </w:tc>
        <w:tc>
          <w:tcPr>
            <w:tcW w:w="1327" w:type="dxa"/>
            <w:vAlign w:val="center"/>
          </w:tcPr>
          <w:p w:rsidR="00F94EE9" w:rsidRDefault="009C6611">
            <w:pPr>
              <w:jc w:val="right"/>
            </w:pPr>
            <w:r>
              <w:rPr>
                <w:color w:val="000000"/>
                <w:sz w:val="24"/>
              </w:rPr>
              <w:t>3,823,085</w:t>
            </w:r>
          </w:p>
        </w:tc>
        <w:tc>
          <w:tcPr>
            <w:tcW w:w="1915" w:type="dxa"/>
            <w:vAlign w:val="center"/>
          </w:tcPr>
          <w:p w:rsidR="00F94EE9" w:rsidRDefault="009C6611">
            <w:pPr>
              <w:jc w:val="right"/>
            </w:pPr>
            <w:r>
              <w:rPr>
                <w:color w:val="000000"/>
                <w:sz w:val="24"/>
              </w:rPr>
              <w:t>60,366,512.15</w:t>
            </w:r>
          </w:p>
        </w:tc>
        <w:tc>
          <w:tcPr>
            <w:tcW w:w="1680" w:type="dxa"/>
            <w:vAlign w:val="center"/>
          </w:tcPr>
          <w:p w:rsidR="00F94EE9" w:rsidRDefault="009C6611">
            <w:pPr>
              <w:jc w:val="right"/>
            </w:pPr>
            <w:r>
              <w:rPr>
                <w:color w:val="000000"/>
                <w:sz w:val="24"/>
              </w:rPr>
              <w:t>3.46</w:t>
            </w:r>
          </w:p>
        </w:tc>
      </w:tr>
      <w:tr w:rsidR="00F94EE9">
        <w:trPr>
          <w:jc w:val="center"/>
        </w:trPr>
        <w:tc>
          <w:tcPr>
            <w:tcW w:w="850" w:type="dxa"/>
            <w:vAlign w:val="center"/>
          </w:tcPr>
          <w:p w:rsidR="00F94EE9" w:rsidRDefault="009C6611">
            <w:pPr>
              <w:jc w:val="center"/>
            </w:pPr>
            <w:r>
              <w:rPr>
                <w:color w:val="000000"/>
                <w:sz w:val="24"/>
              </w:rPr>
              <w:t>8</w:t>
            </w:r>
          </w:p>
        </w:tc>
        <w:tc>
          <w:tcPr>
            <w:tcW w:w="1327" w:type="dxa"/>
            <w:vAlign w:val="center"/>
          </w:tcPr>
          <w:p w:rsidR="00F94EE9" w:rsidRDefault="009C6611">
            <w:pPr>
              <w:jc w:val="center"/>
            </w:pPr>
            <w:r>
              <w:rPr>
                <w:color w:val="000000"/>
                <w:sz w:val="24"/>
              </w:rPr>
              <w:t>601668</w:t>
            </w:r>
          </w:p>
        </w:tc>
        <w:tc>
          <w:tcPr>
            <w:tcW w:w="1769" w:type="dxa"/>
            <w:vAlign w:val="center"/>
          </w:tcPr>
          <w:p w:rsidR="00F94EE9" w:rsidRDefault="009C6611">
            <w:pPr>
              <w:jc w:val="center"/>
            </w:pPr>
            <w:r>
              <w:rPr>
                <w:color w:val="000000"/>
                <w:sz w:val="24"/>
              </w:rPr>
              <w:t>中国建筑</w:t>
            </w:r>
          </w:p>
        </w:tc>
        <w:tc>
          <w:tcPr>
            <w:tcW w:w="1327" w:type="dxa"/>
            <w:vAlign w:val="center"/>
          </w:tcPr>
          <w:p w:rsidR="00F94EE9" w:rsidRDefault="009C6611">
            <w:pPr>
              <w:jc w:val="right"/>
            </w:pPr>
            <w:r>
              <w:rPr>
                <w:color w:val="000000"/>
                <w:sz w:val="24"/>
              </w:rPr>
              <w:t>5,119,546</w:t>
            </w:r>
          </w:p>
        </w:tc>
        <w:tc>
          <w:tcPr>
            <w:tcW w:w="1915" w:type="dxa"/>
            <w:vAlign w:val="center"/>
          </w:tcPr>
          <w:p w:rsidR="00F94EE9" w:rsidRDefault="009C6611">
            <w:pPr>
              <w:jc w:val="right"/>
            </w:pPr>
            <w:r>
              <w:rPr>
                <w:color w:val="000000"/>
                <w:sz w:val="24"/>
              </w:rPr>
              <w:t>39,266,917.82</w:t>
            </w:r>
          </w:p>
        </w:tc>
        <w:tc>
          <w:tcPr>
            <w:tcW w:w="1680" w:type="dxa"/>
            <w:vAlign w:val="center"/>
          </w:tcPr>
          <w:p w:rsidR="00F94EE9" w:rsidRDefault="009C6611">
            <w:pPr>
              <w:jc w:val="right"/>
            </w:pPr>
            <w:r>
              <w:rPr>
                <w:color w:val="000000"/>
                <w:sz w:val="24"/>
              </w:rPr>
              <w:t>2.25</w:t>
            </w:r>
          </w:p>
        </w:tc>
      </w:tr>
      <w:tr w:rsidR="00F94EE9">
        <w:trPr>
          <w:jc w:val="center"/>
        </w:trPr>
        <w:tc>
          <w:tcPr>
            <w:tcW w:w="850" w:type="dxa"/>
            <w:vAlign w:val="center"/>
          </w:tcPr>
          <w:p w:rsidR="00F94EE9" w:rsidRDefault="009C6611">
            <w:pPr>
              <w:jc w:val="center"/>
            </w:pPr>
            <w:r>
              <w:rPr>
                <w:color w:val="000000"/>
                <w:sz w:val="24"/>
              </w:rPr>
              <w:t>9</w:t>
            </w:r>
          </w:p>
        </w:tc>
        <w:tc>
          <w:tcPr>
            <w:tcW w:w="1327" w:type="dxa"/>
            <w:vAlign w:val="center"/>
          </w:tcPr>
          <w:p w:rsidR="00F94EE9" w:rsidRDefault="009C6611">
            <w:pPr>
              <w:jc w:val="center"/>
            </w:pPr>
            <w:r>
              <w:rPr>
                <w:color w:val="000000"/>
                <w:sz w:val="24"/>
              </w:rPr>
              <w:t>601601</w:t>
            </w:r>
          </w:p>
        </w:tc>
        <w:tc>
          <w:tcPr>
            <w:tcW w:w="1769" w:type="dxa"/>
            <w:vAlign w:val="center"/>
          </w:tcPr>
          <w:p w:rsidR="00F94EE9" w:rsidRDefault="009C6611">
            <w:pPr>
              <w:jc w:val="center"/>
            </w:pPr>
            <w:r>
              <w:rPr>
                <w:color w:val="000000"/>
                <w:sz w:val="24"/>
              </w:rPr>
              <w:t>中国太保</w:t>
            </w:r>
          </w:p>
        </w:tc>
        <w:tc>
          <w:tcPr>
            <w:tcW w:w="1327" w:type="dxa"/>
            <w:vAlign w:val="center"/>
          </w:tcPr>
          <w:p w:rsidR="00F94EE9" w:rsidRDefault="009C6611">
            <w:pPr>
              <w:jc w:val="right"/>
            </w:pPr>
            <w:r>
              <w:rPr>
                <w:color w:val="000000"/>
                <w:sz w:val="24"/>
              </w:rPr>
              <w:t>1,082,134</w:t>
            </w:r>
          </w:p>
        </w:tc>
        <w:tc>
          <w:tcPr>
            <w:tcW w:w="1915" w:type="dxa"/>
            <w:vAlign w:val="center"/>
          </w:tcPr>
          <w:p w:rsidR="00F94EE9" w:rsidRDefault="009C6611">
            <w:pPr>
              <w:jc w:val="right"/>
            </w:pPr>
            <w:r>
              <w:rPr>
                <w:color w:val="000000"/>
                <w:sz w:val="24"/>
              </w:rPr>
              <w:t>36,684,342.60</w:t>
            </w:r>
          </w:p>
        </w:tc>
        <w:tc>
          <w:tcPr>
            <w:tcW w:w="1680" w:type="dxa"/>
            <w:vAlign w:val="center"/>
          </w:tcPr>
          <w:p w:rsidR="00F94EE9" w:rsidRDefault="009C6611">
            <w:pPr>
              <w:jc w:val="right"/>
            </w:pPr>
            <w:r>
              <w:rPr>
                <w:color w:val="000000"/>
                <w:sz w:val="24"/>
              </w:rPr>
              <w:t>2.10</w:t>
            </w:r>
          </w:p>
        </w:tc>
      </w:tr>
      <w:tr w:rsidR="00F94EE9">
        <w:trPr>
          <w:jc w:val="center"/>
        </w:trPr>
        <w:tc>
          <w:tcPr>
            <w:tcW w:w="850" w:type="dxa"/>
            <w:vAlign w:val="center"/>
          </w:tcPr>
          <w:p w:rsidR="00F94EE9" w:rsidRDefault="009C6611">
            <w:pPr>
              <w:jc w:val="center"/>
            </w:pPr>
            <w:r>
              <w:rPr>
                <w:color w:val="000000"/>
                <w:sz w:val="24"/>
              </w:rPr>
              <w:t>10</w:t>
            </w:r>
          </w:p>
        </w:tc>
        <w:tc>
          <w:tcPr>
            <w:tcW w:w="1327" w:type="dxa"/>
            <w:vAlign w:val="center"/>
          </w:tcPr>
          <w:p w:rsidR="00F94EE9" w:rsidRDefault="009C6611">
            <w:pPr>
              <w:jc w:val="center"/>
            </w:pPr>
            <w:r>
              <w:rPr>
                <w:color w:val="000000"/>
                <w:sz w:val="24"/>
              </w:rPr>
              <w:t>601988</w:t>
            </w:r>
          </w:p>
        </w:tc>
        <w:tc>
          <w:tcPr>
            <w:tcW w:w="1769" w:type="dxa"/>
            <w:vAlign w:val="center"/>
          </w:tcPr>
          <w:p w:rsidR="00F94EE9" w:rsidRDefault="009C6611">
            <w:pPr>
              <w:jc w:val="center"/>
            </w:pPr>
            <w:r>
              <w:rPr>
                <w:color w:val="000000"/>
                <w:sz w:val="24"/>
              </w:rPr>
              <w:t>中国银行</w:t>
            </w:r>
          </w:p>
        </w:tc>
        <w:tc>
          <w:tcPr>
            <w:tcW w:w="1327" w:type="dxa"/>
            <w:vAlign w:val="center"/>
          </w:tcPr>
          <w:p w:rsidR="00F94EE9" w:rsidRDefault="009C6611">
            <w:pPr>
              <w:jc w:val="right"/>
            </w:pPr>
            <w:r>
              <w:rPr>
                <w:color w:val="000000"/>
                <w:sz w:val="24"/>
              </w:rPr>
              <w:t>7,400,268</w:t>
            </w:r>
          </w:p>
        </w:tc>
        <w:tc>
          <w:tcPr>
            <w:tcW w:w="1915" w:type="dxa"/>
            <w:vAlign w:val="center"/>
          </w:tcPr>
          <w:p w:rsidR="00F94EE9" w:rsidRDefault="009C6611">
            <w:pPr>
              <w:jc w:val="right"/>
            </w:pPr>
            <w:r>
              <w:rPr>
                <w:color w:val="000000"/>
                <w:sz w:val="24"/>
              </w:rPr>
              <w:t>32,413,173.84</w:t>
            </w:r>
          </w:p>
        </w:tc>
        <w:tc>
          <w:tcPr>
            <w:tcW w:w="1680" w:type="dxa"/>
            <w:vAlign w:val="center"/>
          </w:tcPr>
          <w:p w:rsidR="00F94EE9" w:rsidRDefault="009C6611">
            <w:pPr>
              <w:jc w:val="right"/>
            </w:pPr>
            <w:r>
              <w:rPr>
                <w:color w:val="000000"/>
                <w:sz w:val="24"/>
              </w:rPr>
              <w:t>1.86</w:t>
            </w:r>
          </w:p>
        </w:tc>
      </w:tr>
    </w:tbl>
    <w:p w:rsidR="000625A6" w:rsidRDefault="000625A6" w:rsidP="0099526C">
      <w:pPr>
        <w:spacing w:before="29" w:line="288" w:lineRule="auto"/>
        <w:rPr>
          <w:b/>
          <w:sz w:val="24"/>
        </w:rPr>
      </w:pPr>
      <w:r w:rsidRPr="0036023B">
        <w:rPr>
          <w:b/>
          <w:color w:val="000000"/>
          <w:kern w:val="0"/>
          <w:sz w:val="24"/>
        </w:rPr>
        <w:lastRenderedPageBreak/>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2962BA" w:rsidRPr="00957B6D" w:rsidRDefault="002962BA" w:rsidP="00957B6D">
      <w:pPr>
        <w:autoSpaceDE w:val="0"/>
        <w:autoSpaceDN w:val="0"/>
        <w:adjustRightInd w:val="0"/>
        <w:spacing w:before="29" w:line="288" w:lineRule="auto"/>
        <w:jc w:val="left"/>
        <w:rPr>
          <w:color w:val="000000"/>
          <w:sz w:val="24"/>
        </w:rPr>
      </w:pPr>
      <w:r w:rsidRPr="00957B6D">
        <w:rPr>
          <w:rFonts w:hint="eastAsia"/>
          <w:color w:val="000000"/>
          <w:sz w:val="24"/>
        </w:rPr>
        <w:t>本基金本报告期末未持有积极投资的股票。</w:t>
      </w:r>
    </w:p>
    <w:p w:rsidR="002962BA" w:rsidRPr="002962BA" w:rsidRDefault="002962BA"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E71C15" w:rsidRPr="00957B6D" w:rsidRDefault="008119CB" w:rsidP="00957B6D">
      <w:pPr>
        <w:autoSpaceDE w:val="0"/>
        <w:autoSpaceDN w:val="0"/>
        <w:adjustRightInd w:val="0"/>
        <w:spacing w:before="29" w:line="288" w:lineRule="auto"/>
        <w:jc w:val="left"/>
        <w:rPr>
          <w:color w:val="000000"/>
          <w:kern w:val="0"/>
          <w:sz w:val="24"/>
        </w:rPr>
      </w:pPr>
      <w:r w:rsidRPr="008119CB">
        <w:rPr>
          <w:color w:val="000000"/>
          <w:kern w:val="0"/>
          <w:sz w:val="24"/>
        </w:rPr>
        <w:t>5.11.1</w:t>
      </w:r>
      <w:r w:rsidR="00E71C15" w:rsidRPr="00957B6D">
        <w:rPr>
          <w:rFonts w:hint="eastAsia"/>
          <w:color w:val="000000"/>
          <w:kern w:val="0"/>
          <w:sz w:val="24"/>
        </w:rPr>
        <w:t>报告期内本基金投资的前十名证券的发行主体除中信证券（证券代码：</w:t>
      </w:r>
      <w:r w:rsidR="00E71C15" w:rsidRPr="00957B6D">
        <w:rPr>
          <w:color w:val="000000"/>
          <w:kern w:val="0"/>
          <w:sz w:val="24"/>
        </w:rPr>
        <w:t>600030</w:t>
      </w:r>
      <w:r w:rsidR="00E71C15" w:rsidRPr="00957B6D">
        <w:rPr>
          <w:rFonts w:hint="eastAsia"/>
          <w:color w:val="000000"/>
          <w:kern w:val="0"/>
          <w:sz w:val="24"/>
        </w:rPr>
        <w:t>）、海通证券（证券代码：</w:t>
      </w:r>
      <w:r w:rsidR="00E71C15" w:rsidRPr="00957B6D">
        <w:rPr>
          <w:color w:val="000000"/>
          <w:kern w:val="0"/>
          <w:sz w:val="24"/>
        </w:rPr>
        <w:t>600837</w:t>
      </w:r>
      <w:r w:rsidR="00E71C15" w:rsidRPr="00957B6D">
        <w:rPr>
          <w:rFonts w:hint="eastAsia"/>
          <w:color w:val="000000"/>
          <w:kern w:val="0"/>
          <w:sz w:val="24"/>
        </w:rPr>
        <w:t>）外，未出现被监管部门立案调查，或在报告编制日前一年内受到公开谴责、处罚的情形。</w:t>
      </w:r>
    </w:p>
    <w:p w:rsidR="00E71C15" w:rsidRPr="00957B6D" w:rsidRDefault="00E71C15" w:rsidP="00957B6D">
      <w:pPr>
        <w:autoSpaceDE w:val="0"/>
        <w:autoSpaceDN w:val="0"/>
        <w:adjustRightInd w:val="0"/>
        <w:spacing w:before="29" w:line="288" w:lineRule="auto"/>
        <w:jc w:val="left"/>
        <w:rPr>
          <w:color w:val="000000"/>
          <w:kern w:val="0"/>
          <w:sz w:val="24"/>
        </w:rPr>
      </w:pPr>
      <w:r w:rsidRPr="00957B6D">
        <w:rPr>
          <w:rFonts w:hint="eastAsia"/>
          <w:color w:val="000000"/>
          <w:kern w:val="0"/>
          <w:sz w:val="24"/>
        </w:rPr>
        <w:t>报告期内本基金投资的前十名证券之一中信证券（证券代码：</w:t>
      </w:r>
      <w:r w:rsidRPr="00957B6D">
        <w:rPr>
          <w:color w:val="000000"/>
          <w:kern w:val="0"/>
          <w:sz w:val="24"/>
        </w:rPr>
        <w:t>600030</w:t>
      </w:r>
      <w:r w:rsidRPr="00957B6D">
        <w:rPr>
          <w:rFonts w:hint="eastAsia"/>
          <w:color w:val="000000"/>
          <w:kern w:val="0"/>
          <w:sz w:val="24"/>
        </w:rPr>
        <w:t>）于</w:t>
      </w:r>
      <w:r w:rsidRPr="00957B6D">
        <w:rPr>
          <w:color w:val="000000"/>
          <w:kern w:val="0"/>
          <w:sz w:val="24"/>
        </w:rPr>
        <w:t>2015</w:t>
      </w:r>
      <w:r w:rsidRPr="00957B6D">
        <w:rPr>
          <w:rFonts w:hint="eastAsia"/>
          <w:color w:val="000000"/>
          <w:kern w:val="0"/>
          <w:sz w:val="24"/>
        </w:rPr>
        <w:t>年</w:t>
      </w:r>
      <w:r w:rsidRPr="00957B6D">
        <w:rPr>
          <w:color w:val="000000"/>
          <w:kern w:val="0"/>
          <w:sz w:val="24"/>
        </w:rPr>
        <w:t>1</w:t>
      </w:r>
      <w:r w:rsidRPr="00957B6D">
        <w:rPr>
          <w:rFonts w:hint="eastAsia"/>
          <w:color w:val="000000"/>
          <w:kern w:val="0"/>
          <w:sz w:val="24"/>
        </w:rPr>
        <w:t>月</w:t>
      </w:r>
      <w:r w:rsidRPr="00957B6D">
        <w:rPr>
          <w:color w:val="000000"/>
          <w:kern w:val="0"/>
          <w:sz w:val="24"/>
        </w:rPr>
        <w:t>18</w:t>
      </w:r>
      <w:r w:rsidRPr="00957B6D">
        <w:rPr>
          <w:rFonts w:hint="eastAsia"/>
          <w:color w:val="000000"/>
          <w:kern w:val="0"/>
          <w:sz w:val="24"/>
        </w:rPr>
        <w:t>日公告，公司因存在为到期融资融券合约展期的问题，被中国证监会采取暂停新开融资融券客户信用账户</w:t>
      </w:r>
      <w:r w:rsidRPr="00957B6D">
        <w:rPr>
          <w:color w:val="000000"/>
          <w:kern w:val="0"/>
          <w:sz w:val="24"/>
        </w:rPr>
        <w:t>3</w:t>
      </w:r>
      <w:r w:rsidRPr="00957B6D">
        <w:rPr>
          <w:rFonts w:hint="eastAsia"/>
          <w:color w:val="000000"/>
          <w:kern w:val="0"/>
          <w:sz w:val="24"/>
        </w:rPr>
        <w:t>个月的行政监管措施。</w:t>
      </w:r>
    </w:p>
    <w:p w:rsidR="00E71C15" w:rsidRPr="00957B6D" w:rsidRDefault="00E71C15" w:rsidP="00957B6D">
      <w:pPr>
        <w:autoSpaceDE w:val="0"/>
        <w:autoSpaceDN w:val="0"/>
        <w:adjustRightInd w:val="0"/>
        <w:spacing w:before="29" w:line="288" w:lineRule="auto"/>
        <w:jc w:val="left"/>
        <w:rPr>
          <w:color w:val="000000"/>
          <w:kern w:val="0"/>
          <w:sz w:val="24"/>
        </w:rPr>
      </w:pPr>
      <w:r w:rsidRPr="00957B6D">
        <w:rPr>
          <w:rFonts w:hint="eastAsia"/>
          <w:color w:val="000000"/>
          <w:kern w:val="0"/>
          <w:sz w:val="24"/>
        </w:rPr>
        <w:t>报告期内本基金投资的前十名证券之一海通证券（证券代码：</w:t>
      </w:r>
      <w:r w:rsidRPr="00957B6D">
        <w:rPr>
          <w:color w:val="000000"/>
          <w:kern w:val="0"/>
          <w:sz w:val="24"/>
        </w:rPr>
        <w:t>600837</w:t>
      </w:r>
      <w:r w:rsidRPr="00957B6D">
        <w:rPr>
          <w:rFonts w:hint="eastAsia"/>
          <w:color w:val="000000"/>
          <w:kern w:val="0"/>
          <w:sz w:val="24"/>
        </w:rPr>
        <w:t>）于</w:t>
      </w:r>
      <w:r w:rsidRPr="00957B6D">
        <w:rPr>
          <w:color w:val="000000"/>
          <w:kern w:val="0"/>
          <w:sz w:val="24"/>
        </w:rPr>
        <w:t>2015</w:t>
      </w:r>
      <w:r w:rsidRPr="00957B6D">
        <w:rPr>
          <w:rFonts w:hint="eastAsia"/>
          <w:color w:val="000000"/>
          <w:kern w:val="0"/>
          <w:sz w:val="24"/>
        </w:rPr>
        <w:t>年</w:t>
      </w:r>
      <w:r w:rsidRPr="00957B6D">
        <w:rPr>
          <w:color w:val="000000"/>
          <w:kern w:val="0"/>
          <w:sz w:val="24"/>
        </w:rPr>
        <w:t>1</w:t>
      </w:r>
      <w:r w:rsidRPr="00957B6D">
        <w:rPr>
          <w:rFonts w:hint="eastAsia"/>
          <w:color w:val="000000"/>
          <w:kern w:val="0"/>
          <w:sz w:val="24"/>
        </w:rPr>
        <w:t>月</w:t>
      </w:r>
      <w:r w:rsidRPr="00957B6D">
        <w:rPr>
          <w:color w:val="000000"/>
          <w:kern w:val="0"/>
          <w:sz w:val="24"/>
        </w:rPr>
        <w:t>19</w:t>
      </w:r>
      <w:r w:rsidRPr="00957B6D">
        <w:rPr>
          <w:rFonts w:hint="eastAsia"/>
          <w:color w:val="000000"/>
          <w:kern w:val="0"/>
          <w:sz w:val="24"/>
        </w:rPr>
        <w:t>日公告，公司因存在违规为到期融资融券合约展期问题，被中国证监会采取暂停新开融</w:t>
      </w:r>
      <w:r w:rsidRPr="00957B6D">
        <w:rPr>
          <w:rFonts w:hint="eastAsia"/>
          <w:color w:val="000000"/>
          <w:kern w:val="0"/>
          <w:sz w:val="24"/>
        </w:rPr>
        <w:lastRenderedPageBreak/>
        <w:t>资融券客户信用账户</w:t>
      </w:r>
      <w:r w:rsidRPr="00957B6D">
        <w:rPr>
          <w:color w:val="000000"/>
          <w:kern w:val="0"/>
          <w:sz w:val="24"/>
        </w:rPr>
        <w:t>3</w:t>
      </w:r>
      <w:r w:rsidRPr="00957B6D">
        <w:rPr>
          <w:rFonts w:hint="eastAsia"/>
          <w:color w:val="000000"/>
          <w:kern w:val="0"/>
          <w:sz w:val="24"/>
        </w:rPr>
        <w:t>个月的行政监管措施。</w:t>
      </w:r>
    </w:p>
    <w:p w:rsidR="00E71C15" w:rsidRPr="00957B6D" w:rsidRDefault="00E71C15" w:rsidP="00957B6D">
      <w:pPr>
        <w:autoSpaceDE w:val="0"/>
        <w:autoSpaceDN w:val="0"/>
        <w:adjustRightInd w:val="0"/>
        <w:spacing w:before="29" w:line="288" w:lineRule="auto"/>
        <w:jc w:val="left"/>
        <w:rPr>
          <w:color w:val="000000"/>
          <w:kern w:val="0"/>
          <w:sz w:val="24"/>
        </w:rPr>
      </w:pPr>
      <w:r w:rsidRPr="00957B6D">
        <w:rPr>
          <w:rFonts w:hint="eastAsia"/>
          <w:color w:val="000000"/>
          <w:kern w:val="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21,504.74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687,600.18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2,082.90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948.30</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712,136.12</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本基金本报告期末指数投资前十名股票中不存在流通受限的情况。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1,895,524,362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1,653,000,000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2,062,000,000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1,486,524,362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960253">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504432"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影响投资者决策的其他重要信息</w:t>
      </w:r>
    </w:p>
    <w:p w:rsidR="00F94EE9" w:rsidRDefault="009C6611">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220542" w:rsidRPr="0036023B" w:rsidRDefault="007C1A93" w:rsidP="0099526C">
      <w:pPr>
        <w:spacing w:before="29" w:line="288" w:lineRule="auto"/>
        <w:ind w:firstLineChars="200" w:firstLine="480"/>
        <w:rPr>
          <w:color w:val="000000"/>
          <w:sz w:val="24"/>
        </w:rPr>
      </w:pPr>
      <w:r w:rsidRPr="0036023B">
        <w:rPr>
          <w:color w:val="000000"/>
          <w:sz w:val="24"/>
        </w:rPr>
        <w:t>2015</w:t>
      </w:r>
      <w:r w:rsidRPr="0036023B">
        <w:rPr>
          <w:color w:val="000000"/>
          <w:sz w:val="24"/>
        </w:rPr>
        <w:t>年</w:t>
      </w:r>
      <w:r w:rsidRPr="0036023B">
        <w:rPr>
          <w:color w:val="000000"/>
          <w:sz w:val="24"/>
        </w:rPr>
        <w:t>3</w:t>
      </w:r>
      <w:r w:rsidRPr="0036023B">
        <w:rPr>
          <w:color w:val="000000"/>
          <w:sz w:val="24"/>
        </w:rPr>
        <w:t>月</w:t>
      </w:r>
      <w:r w:rsidRPr="0036023B">
        <w:rPr>
          <w:color w:val="000000"/>
          <w:sz w:val="24"/>
        </w:rPr>
        <w:t>19</w:t>
      </w:r>
      <w:r w:rsidRPr="0036023B">
        <w:rPr>
          <w:color w:val="000000"/>
          <w:sz w:val="24"/>
        </w:rPr>
        <w:t>日当日进行的上述相关调整对前一估值日各基金资产净值的影响不超过</w:t>
      </w:r>
      <w:r w:rsidRPr="0036023B">
        <w:rPr>
          <w:color w:val="000000"/>
          <w:sz w:val="24"/>
        </w:rPr>
        <w:t>0.50%</w:t>
      </w:r>
      <w:r w:rsidRPr="0036023B">
        <w:rPr>
          <w:color w:val="000000"/>
          <w:sz w:val="24"/>
        </w:rPr>
        <w:t>。</w:t>
      </w:r>
    </w:p>
    <w:p w:rsidR="00BF5A17" w:rsidRPr="0036023B" w:rsidRDefault="00BF5A17" w:rsidP="0099526C">
      <w:pPr>
        <w:spacing w:before="29" w:line="288" w:lineRule="auto"/>
        <w:ind w:firstLineChars="200" w:firstLine="480"/>
        <w:rPr>
          <w:color w:val="000000"/>
          <w:sz w:val="24"/>
        </w:rPr>
      </w:pPr>
    </w:p>
    <w:p w:rsidR="00981CE6" w:rsidRPr="00405A85"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F94EE9" w:rsidRDefault="009C6611">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F94EE9" w:rsidRDefault="009C6611">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F94EE9" w:rsidRDefault="009C6611">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F94EE9" w:rsidRDefault="009C6611">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F94EE9" w:rsidRDefault="009C6611">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F94EE9" w:rsidRDefault="009C6611">
      <w:pPr>
        <w:spacing w:before="29" w:line="288" w:lineRule="auto"/>
        <w:ind w:firstLineChars="200" w:firstLine="480"/>
        <w:rPr>
          <w:color w:val="000000"/>
          <w:sz w:val="24"/>
        </w:rPr>
      </w:pPr>
      <w:r>
        <w:rPr>
          <w:color w:val="000000"/>
          <w:sz w:val="24"/>
        </w:rPr>
        <w:lastRenderedPageBreak/>
        <w:t>6</w:t>
      </w:r>
      <w:r>
        <w:rPr>
          <w:color w:val="000000"/>
          <w:sz w:val="24"/>
        </w:rPr>
        <w:t>、基金管理人业务资格批件、营业执照；</w:t>
      </w:r>
    </w:p>
    <w:p w:rsidR="00F94EE9" w:rsidRDefault="009C6611">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F94EE9" w:rsidRDefault="009C661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AAB" w:rsidRDefault="00535AAB">
      <w:r>
        <w:separator/>
      </w:r>
    </w:p>
  </w:endnote>
  <w:endnote w:type="continuationSeparator" w:id="0">
    <w:p w:rsidR="00535AAB" w:rsidRDefault="0053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2F18BE">
      <w:rPr>
        <w:kern w:val="0"/>
        <w:szCs w:val="21"/>
      </w:rPr>
      <w:fldChar w:fldCharType="begin"/>
    </w:r>
    <w:r>
      <w:rPr>
        <w:kern w:val="0"/>
        <w:szCs w:val="21"/>
      </w:rPr>
      <w:instrText xml:space="preserve"> PAGE </w:instrText>
    </w:r>
    <w:r w:rsidR="002F18BE">
      <w:rPr>
        <w:kern w:val="0"/>
        <w:szCs w:val="21"/>
      </w:rPr>
      <w:fldChar w:fldCharType="separate"/>
    </w:r>
    <w:r w:rsidR="00957B6D">
      <w:rPr>
        <w:noProof/>
        <w:kern w:val="0"/>
        <w:szCs w:val="21"/>
      </w:rPr>
      <w:t>1</w:t>
    </w:r>
    <w:r w:rsidR="002F18BE">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2F18BE">
      <w:rPr>
        <w:kern w:val="0"/>
        <w:szCs w:val="21"/>
      </w:rPr>
      <w:fldChar w:fldCharType="begin"/>
    </w:r>
    <w:r>
      <w:rPr>
        <w:kern w:val="0"/>
        <w:szCs w:val="21"/>
      </w:rPr>
      <w:instrText xml:space="preserve"> NUMPAGES </w:instrText>
    </w:r>
    <w:r w:rsidR="002F18BE">
      <w:rPr>
        <w:kern w:val="0"/>
        <w:szCs w:val="21"/>
      </w:rPr>
      <w:fldChar w:fldCharType="separate"/>
    </w:r>
    <w:r w:rsidR="00957B6D">
      <w:rPr>
        <w:noProof/>
        <w:kern w:val="0"/>
        <w:szCs w:val="21"/>
      </w:rPr>
      <w:t>12</w:t>
    </w:r>
    <w:r w:rsidR="002F18BE">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2F18BE">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AAB" w:rsidRDefault="00535AAB">
      <w:r>
        <w:separator/>
      </w:r>
    </w:p>
  </w:footnote>
  <w:footnote w:type="continuationSeparator" w:id="0">
    <w:p w:rsidR="00535AAB" w:rsidRDefault="00535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5FCB"/>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2BA"/>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25F"/>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4B1"/>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5AAB"/>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56372"/>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4567"/>
    <w:rsid w:val="009547A9"/>
    <w:rsid w:val="009548FE"/>
    <w:rsid w:val="00956F0B"/>
    <w:rsid w:val="00957466"/>
    <w:rsid w:val="00957B6D"/>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611"/>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5CB"/>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15"/>
    <w:rsid w:val="00E71C6B"/>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4EE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8668304-CAAA-446D-8795-DBB44181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353582647">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24768806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1058</Words>
  <Characters>6034</Characters>
  <Application>Microsoft Office Word</Application>
  <DocSecurity>0</DocSecurity>
  <Lines>50</Lines>
  <Paragraphs>14</Paragraphs>
  <ScaleCrop>false</ScaleCrop>
  <Company>TRT. Ltd. Co.</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383</cp:revision>
  <cp:lastPrinted>2007-07-19T00:46:00Z</cp:lastPrinted>
  <dcterms:created xsi:type="dcterms:W3CDTF">2012-11-21T04:46:00Z</dcterms:created>
  <dcterms:modified xsi:type="dcterms:W3CDTF">2015-04-16T02:18:00Z</dcterms:modified>
</cp:coreProperties>
</file>