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E9F" w:rsidRPr="0036023B" w:rsidRDefault="00074E9F" w:rsidP="0099526C">
      <w:pPr>
        <w:autoSpaceDE w:val="0"/>
        <w:autoSpaceDN w:val="0"/>
        <w:adjustRightInd w:val="0"/>
        <w:spacing w:before="29" w:line="288" w:lineRule="auto"/>
        <w:jc w:val="left"/>
        <w:rPr>
          <w:color w:val="000000"/>
          <w:kern w:val="0"/>
          <w:sz w:val="24"/>
        </w:rPr>
      </w:pPr>
      <w:bookmarkStart w:id="0" w:name="_GoBack"/>
      <w:bookmarkEnd w:id="0"/>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24"/>
        </w:rPr>
      </w:pPr>
    </w:p>
    <w:p w:rsidR="00074E9F" w:rsidRPr="0036023B" w:rsidRDefault="00074E9F" w:rsidP="0099526C">
      <w:pPr>
        <w:autoSpaceDE w:val="0"/>
        <w:autoSpaceDN w:val="0"/>
        <w:adjustRightInd w:val="0"/>
        <w:spacing w:before="29" w:line="288" w:lineRule="auto"/>
        <w:jc w:val="left"/>
        <w:rPr>
          <w:color w:val="000000"/>
          <w:kern w:val="0"/>
          <w:sz w:val="36"/>
          <w:szCs w:val="36"/>
        </w:rPr>
      </w:pPr>
    </w:p>
    <w:p w:rsidR="008D7EF7" w:rsidRPr="00BD3DFE" w:rsidRDefault="008D7EF7" w:rsidP="0099526C">
      <w:pPr>
        <w:spacing w:before="29" w:line="288" w:lineRule="auto"/>
        <w:jc w:val="center"/>
        <w:rPr>
          <w:b/>
          <w:sz w:val="36"/>
          <w:szCs w:val="36"/>
        </w:rPr>
      </w:pPr>
      <w:r w:rsidRPr="00BD3DFE">
        <w:rPr>
          <w:b/>
          <w:sz w:val="36"/>
          <w:szCs w:val="36"/>
        </w:rPr>
        <w:t>上证</w:t>
      </w:r>
      <w:r w:rsidRPr="00BD3DFE">
        <w:rPr>
          <w:b/>
          <w:sz w:val="36"/>
          <w:szCs w:val="36"/>
        </w:rPr>
        <w:t>180</w:t>
      </w:r>
      <w:r w:rsidRPr="00BD3DFE">
        <w:rPr>
          <w:b/>
          <w:sz w:val="36"/>
          <w:szCs w:val="36"/>
        </w:rPr>
        <w:t>公司治理交易型开放式指数证券投资基金</w:t>
      </w:r>
    </w:p>
    <w:p w:rsidR="008D7EF7" w:rsidRPr="00BD3DFE" w:rsidRDefault="008D7EF7" w:rsidP="0099526C">
      <w:pPr>
        <w:spacing w:before="29" w:line="288" w:lineRule="auto"/>
        <w:jc w:val="center"/>
        <w:rPr>
          <w:b/>
          <w:sz w:val="36"/>
          <w:szCs w:val="36"/>
        </w:rPr>
      </w:pPr>
      <w:r w:rsidRPr="00BD3DFE">
        <w:rPr>
          <w:b/>
          <w:sz w:val="36"/>
          <w:szCs w:val="36"/>
        </w:rPr>
        <w:t>2014</w:t>
      </w:r>
      <w:r w:rsidRPr="00BD3DFE">
        <w:rPr>
          <w:b/>
          <w:sz w:val="36"/>
          <w:szCs w:val="36"/>
        </w:rPr>
        <w:t>年第</w:t>
      </w:r>
      <w:r w:rsidRPr="00BD3DFE">
        <w:rPr>
          <w:b/>
          <w:sz w:val="36"/>
          <w:szCs w:val="36"/>
        </w:rPr>
        <w:t>4</w:t>
      </w:r>
      <w:r w:rsidRPr="00BD3DFE">
        <w:rPr>
          <w:b/>
          <w:sz w:val="36"/>
          <w:szCs w:val="36"/>
        </w:rPr>
        <w:t>季度报告</w:t>
      </w:r>
    </w:p>
    <w:p w:rsidR="00074E9F" w:rsidRPr="00BD3DFE" w:rsidRDefault="005C0A04" w:rsidP="0099526C">
      <w:pPr>
        <w:spacing w:before="29" w:line="288" w:lineRule="auto"/>
        <w:jc w:val="center"/>
        <w:rPr>
          <w:b/>
          <w:sz w:val="36"/>
          <w:szCs w:val="36"/>
        </w:rPr>
      </w:pPr>
      <w:r w:rsidRPr="00BD3DFE">
        <w:rPr>
          <w:b/>
          <w:sz w:val="36"/>
          <w:szCs w:val="36"/>
        </w:rPr>
        <w:t>2014</w:t>
      </w:r>
      <w:r w:rsidRPr="00BD3DFE">
        <w:rPr>
          <w:b/>
          <w:sz w:val="36"/>
          <w:szCs w:val="36"/>
        </w:rPr>
        <w:t>年</w:t>
      </w:r>
      <w:r w:rsidRPr="00BD3DFE">
        <w:rPr>
          <w:b/>
          <w:sz w:val="36"/>
          <w:szCs w:val="36"/>
        </w:rPr>
        <w:t>12</w:t>
      </w:r>
      <w:r w:rsidRPr="00BD3DFE">
        <w:rPr>
          <w:b/>
          <w:sz w:val="36"/>
          <w:szCs w:val="36"/>
        </w:rPr>
        <w:t>月</w:t>
      </w:r>
      <w:r w:rsidRPr="00BD3DFE">
        <w:rPr>
          <w:b/>
          <w:sz w:val="36"/>
          <w:szCs w:val="36"/>
        </w:rPr>
        <w:t>31</w:t>
      </w:r>
      <w:r w:rsidRPr="00BD3DFE">
        <w:rPr>
          <w:b/>
          <w:sz w:val="36"/>
          <w:szCs w:val="36"/>
        </w:rPr>
        <w:t>日</w:t>
      </w: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99526C"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jc w:val="center"/>
        <w:rPr>
          <w:b/>
          <w:color w:val="000000"/>
          <w:sz w:val="24"/>
        </w:rPr>
      </w:pPr>
    </w:p>
    <w:p w:rsidR="00074E9F" w:rsidRPr="0036023B" w:rsidRDefault="00074E9F" w:rsidP="0099526C">
      <w:pPr>
        <w:spacing w:before="29" w:line="288" w:lineRule="auto"/>
        <w:rPr>
          <w:b/>
          <w:color w:val="000000"/>
          <w:sz w:val="24"/>
        </w:rPr>
      </w:pP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基金管理人：</w:t>
      </w:r>
      <w:r w:rsidR="008F4AAB" w:rsidRPr="00BD3DFE">
        <w:rPr>
          <w:b/>
          <w:color w:val="000000"/>
          <w:sz w:val="24"/>
        </w:rPr>
        <w:t>交银施罗德基金管理有限公司</w:t>
      </w:r>
    </w:p>
    <w:p w:rsidR="00F204CD" w:rsidRPr="00BD3DFE" w:rsidRDefault="00074E9F" w:rsidP="0099526C">
      <w:pPr>
        <w:spacing w:before="29" w:line="288" w:lineRule="auto"/>
        <w:ind w:firstLineChars="900" w:firstLine="2168"/>
        <w:rPr>
          <w:b/>
          <w:color w:val="000000"/>
          <w:sz w:val="24"/>
        </w:rPr>
      </w:pPr>
      <w:r w:rsidRPr="00BD3DFE">
        <w:rPr>
          <w:b/>
          <w:color w:val="000000"/>
          <w:sz w:val="24"/>
        </w:rPr>
        <w:t>基金托管人：</w:t>
      </w:r>
      <w:r w:rsidR="008F4AAB" w:rsidRPr="00BD3DFE">
        <w:rPr>
          <w:b/>
          <w:color w:val="000000"/>
          <w:sz w:val="24"/>
        </w:rPr>
        <w:t>中国农业银行股份有限公司</w:t>
      </w:r>
    </w:p>
    <w:p w:rsidR="00074E9F" w:rsidRPr="00BD3DFE" w:rsidRDefault="00074E9F" w:rsidP="0099526C">
      <w:pPr>
        <w:spacing w:before="29" w:line="288" w:lineRule="auto"/>
        <w:ind w:firstLineChars="900" w:firstLine="2168"/>
        <w:rPr>
          <w:b/>
          <w:color w:val="000000"/>
          <w:sz w:val="24"/>
        </w:rPr>
        <w:sectPr w:rsidR="00074E9F" w:rsidRPr="00BD3DFE" w:rsidSect="00385786">
          <w:headerReference w:type="default" r:id="rId7"/>
          <w:footerReference w:type="default" r:id="rId8"/>
          <w:pgSz w:w="11926" w:h="15840"/>
          <w:pgMar w:top="1418" w:right="1440" w:bottom="851" w:left="1440" w:header="851" w:footer="992" w:gutter="0"/>
          <w:cols w:space="720"/>
          <w:noEndnote/>
        </w:sectPr>
      </w:pPr>
      <w:r w:rsidRPr="00BD3DFE">
        <w:rPr>
          <w:b/>
          <w:color w:val="000000"/>
          <w:sz w:val="24"/>
        </w:rPr>
        <w:t>报告送出日期：</w:t>
      </w:r>
      <w:r w:rsidR="00665677" w:rsidRPr="00BD3DFE">
        <w:rPr>
          <w:b/>
          <w:color w:val="000000"/>
          <w:sz w:val="24"/>
        </w:rPr>
        <w:t>二〇一五年一月二十二日</w:t>
      </w:r>
    </w:p>
    <w:p w:rsidR="00220542" w:rsidRPr="0036023B" w:rsidRDefault="00220542" w:rsidP="004E1A18">
      <w:pPr>
        <w:pStyle w:val="1"/>
        <w:spacing w:beforeLines="100" w:before="312" w:afterLines="100" w:after="312" w:line="288" w:lineRule="auto"/>
        <w:jc w:val="center"/>
        <w:rPr>
          <w:b w:val="0"/>
          <w:color w:val="000000"/>
          <w:kern w:val="0"/>
          <w:sz w:val="24"/>
          <w:szCs w:val="24"/>
        </w:rPr>
      </w:pPr>
      <w:r w:rsidRPr="0036023B">
        <w:rPr>
          <w:color w:val="000000"/>
          <w:kern w:val="0"/>
          <w:sz w:val="24"/>
          <w:szCs w:val="24"/>
        </w:rPr>
        <w:lastRenderedPageBreak/>
        <w:t xml:space="preserve">§1  </w:t>
      </w:r>
      <w:r w:rsidRPr="0036023B">
        <w:rPr>
          <w:color w:val="000000"/>
          <w:kern w:val="0"/>
          <w:sz w:val="24"/>
          <w:szCs w:val="24"/>
        </w:rPr>
        <w:t>重要提示</w:t>
      </w:r>
    </w:p>
    <w:p w:rsidR="00F73B61" w:rsidRDefault="00544342">
      <w:pPr>
        <w:spacing w:before="29" w:line="288" w:lineRule="auto"/>
        <w:ind w:firstLineChars="200" w:firstLine="480"/>
        <w:rPr>
          <w:color w:val="000000"/>
          <w:sz w:val="24"/>
        </w:rPr>
      </w:pPr>
      <w:r>
        <w:rPr>
          <w:color w:val="000000"/>
          <w:sz w:val="24"/>
        </w:rPr>
        <w:t>基金管理人的董事会及董事保证本报告所载资料不存在虚假记载、误导性陈述或重大遗漏，并对其内容的真实性、准确性和完整性承担个别及连带责任。</w:t>
      </w:r>
      <w:r>
        <w:rPr>
          <w:color w:val="000000"/>
          <w:sz w:val="24"/>
        </w:rPr>
        <w:t xml:space="preserve"> </w:t>
      </w:r>
    </w:p>
    <w:p w:rsidR="00F73B61" w:rsidRDefault="00544342">
      <w:pPr>
        <w:spacing w:before="29" w:line="288" w:lineRule="auto"/>
        <w:ind w:firstLineChars="200" w:firstLine="480"/>
        <w:rPr>
          <w:color w:val="000000"/>
          <w:sz w:val="24"/>
        </w:rPr>
      </w:pPr>
      <w:r>
        <w:rPr>
          <w:color w:val="000000"/>
          <w:sz w:val="24"/>
        </w:rPr>
        <w:t>基金托管人中国农业银行股份有限公司根据本基金合同规定，于</w:t>
      </w:r>
      <w:r>
        <w:rPr>
          <w:color w:val="000000"/>
          <w:sz w:val="24"/>
        </w:rPr>
        <w:t>2015</w:t>
      </w:r>
      <w:r>
        <w:rPr>
          <w:color w:val="000000"/>
          <w:sz w:val="24"/>
        </w:rPr>
        <w:t>年</w:t>
      </w:r>
      <w:r>
        <w:rPr>
          <w:color w:val="000000"/>
          <w:sz w:val="24"/>
        </w:rPr>
        <w:t>1</w:t>
      </w:r>
      <w:r>
        <w:rPr>
          <w:color w:val="000000"/>
          <w:sz w:val="24"/>
        </w:rPr>
        <w:t>月</w:t>
      </w:r>
      <w:r>
        <w:rPr>
          <w:color w:val="000000"/>
          <w:sz w:val="24"/>
        </w:rPr>
        <w:t>21</w:t>
      </w:r>
      <w:r>
        <w:rPr>
          <w:color w:val="000000"/>
          <w:sz w:val="24"/>
        </w:rPr>
        <w:t>日复核了本报告中的财务指标、净值表现和投资组合报告等内容，保证复核内容不存在虚假记载、误导性陈述或者重大遗漏。</w:t>
      </w:r>
      <w:r>
        <w:rPr>
          <w:color w:val="000000"/>
          <w:sz w:val="24"/>
        </w:rPr>
        <w:t xml:space="preserve"> </w:t>
      </w:r>
    </w:p>
    <w:p w:rsidR="00F73B61" w:rsidRDefault="00544342">
      <w:pPr>
        <w:spacing w:before="29" w:line="288" w:lineRule="auto"/>
        <w:ind w:firstLineChars="200" w:firstLine="480"/>
        <w:rPr>
          <w:color w:val="000000"/>
          <w:sz w:val="24"/>
        </w:rPr>
      </w:pPr>
      <w:r>
        <w:rPr>
          <w:color w:val="000000"/>
          <w:sz w:val="24"/>
        </w:rPr>
        <w:t>基金管理人承诺以诚实信用、勤勉尽责的原则管理和运用基金资产，但不保证基金一定盈利。</w:t>
      </w:r>
      <w:r>
        <w:rPr>
          <w:color w:val="000000"/>
          <w:sz w:val="24"/>
        </w:rPr>
        <w:t xml:space="preserve"> </w:t>
      </w:r>
    </w:p>
    <w:p w:rsidR="00F73B61" w:rsidRDefault="00544342">
      <w:pPr>
        <w:spacing w:before="29" w:line="288" w:lineRule="auto"/>
        <w:ind w:firstLineChars="200" w:firstLine="480"/>
        <w:rPr>
          <w:color w:val="000000"/>
          <w:sz w:val="24"/>
        </w:rPr>
      </w:pPr>
      <w:r>
        <w:rPr>
          <w:color w:val="000000"/>
          <w:sz w:val="24"/>
        </w:rPr>
        <w:t>基金的过往业绩并不代表其未来表现。投资有风险，投资者在作出投资决策前应仔细阅读本基金的招募说明书。</w:t>
      </w:r>
      <w:r>
        <w:rPr>
          <w:color w:val="000000"/>
          <w:sz w:val="24"/>
        </w:rPr>
        <w:t xml:space="preserve"> </w:t>
      </w:r>
    </w:p>
    <w:p w:rsidR="00F73B61" w:rsidRDefault="00544342">
      <w:pPr>
        <w:spacing w:before="29" w:line="288" w:lineRule="auto"/>
        <w:ind w:firstLineChars="200" w:firstLine="480"/>
        <w:rPr>
          <w:color w:val="000000"/>
          <w:sz w:val="24"/>
        </w:rPr>
      </w:pPr>
      <w:r>
        <w:rPr>
          <w:color w:val="000000"/>
          <w:sz w:val="24"/>
        </w:rPr>
        <w:t>本报告中财务资料未经审计。</w:t>
      </w:r>
      <w:r>
        <w:rPr>
          <w:color w:val="000000"/>
          <w:sz w:val="24"/>
        </w:rPr>
        <w:t xml:space="preserve"> </w:t>
      </w:r>
    </w:p>
    <w:p w:rsidR="00220542" w:rsidRPr="0036023B" w:rsidRDefault="000820A8" w:rsidP="0099526C">
      <w:pPr>
        <w:spacing w:before="29" w:line="288" w:lineRule="auto"/>
        <w:ind w:firstLineChars="200" w:firstLine="480"/>
        <w:rPr>
          <w:color w:val="000000"/>
          <w:sz w:val="24"/>
        </w:rPr>
      </w:pPr>
      <w:r w:rsidRPr="0036023B">
        <w:rPr>
          <w:color w:val="000000"/>
          <w:sz w:val="24"/>
        </w:rPr>
        <w:t>本报告期自</w:t>
      </w:r>
      <w:r w:rsidRPr="0036023B">
        <w:rPr>
          <w:color w:val="000000"/>
          <w:sz w:val="24"/>
        </w:rPr>
        <w:t>2014</w:t>
      </w:r>
      <w:r w:rsidRPr="0036023B">
        <w:rPr>
          <w:color w:val="000000"/>
          <w:sz w:val="24"/>
        </w:rPr>
        <w:t>年</w:t>
      </w:r>
      <w:r w:rsidRPr="0036023B">
        <w:rPr>
          <w:color w:val="000000"/>
          <w:sz w:val="24"/>
        </w:rPr>
        <w:t>10</w:t>
      </w:r>
      <w:r w:rsidRPr="0036023B">
        <w:rPr>
          <w:color w:val="000000"/>
          <w:sz w:val="24"/>
        </w:rPr>
        <w:t>月</w:t>
      </w:r>
      <w:r w:rsidRPr="0036023B">
        <w:rPr>
          <w:color w:val="000000"/>
          <w:sz w:val="24"/>
        </w:rPr>
        <w:t>1</w:t>
      </w:r>
      <w:r w:rsidRPr="0036023B">
        <w:rPr>
          <w:color w:val="000000"/>
          <w:sz w:val="24"/>
        </w:rPr>
        <w:t>日起至</w:t>
      </w:r>
      <w:r w:rsidRPr="0036023B">
        <w:rPr>
          <w:color w:val="000000"/>
          <w:sz w:val="24"/>
        </w:rPr>
        <w:t>12</w:t>
      </w:r>
      <w:r w:rsidRPr="0036023B">
        <w:rPr>
          <w:color w:val="000000"/>
          <w:sz w:val="24"/>
        </w:rPr>
        <w:t>月</w:t>
      </w:r>
      <w:r w:rsidRPr="0036023B">
        <w:rPr>
          <w:color w:val="000000"/>
          <w:sz w:val="24"/>
        </w:rPr>
        <w:t>31</w:t>
      </w:r>
      <w:r w:rsidRPr="0036023B">
        <w:rPr>
          <w:color w:val="000000"/>
          <w:sz w:val="24"/>
        </w:rPr>
        <w:t>日止。</w:t>
      </w:r>
    </w:p>
    <w:p w:rsidR="008F5E2D" w:rsidRPr="0036023B" w:rsidRDefault="008F5E2D" w:rsidP="0099526C">
      <w:pPr>
        <w:spacing w:before="29" w:line="288" w:lineRule="auto"/>
        <w:ind w:firstLineChars="200" w:firstLine="480"/>
        <w:rPr>
          <w:color w:val="000000"/>
          <w:sz w:val="24"/>
        </w:rPr>
      </w:pPr>
    </w:p>
    <w:p w:rsidR="00220542" w:rsidRPr="0036023B"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§2  </w:t>
      </w:r>
      <w:r w:rsidRPr="0036023B">
        <w:rPr>
          <w:color w:val="000000"/>
          <w:kern w:val="0"/>
          <w:sz w:val="24"/>
          <w:szCs w:val="24"/>
        </w:rPr>
        <w:t>基金产品概况</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24"/>
        <w:gridCol w:w="5844"/>
      </w:tblGrid>
      <w:tr w:rsidR="000820A8" w:rsidRPr="0036023B" w:rsidTr="00CF5CF0">
        <w:trPr>
          <w:jc w:val="center"/>
        </w:trPr>
        <w:tc>
          <w:tcPr>
            <w:tcW w:w="2835" w:type="dxa"/>
            <w:vAlign w:val="center"/>
          </w:tcPr>
          <w:p w:rsidR="000820A8" w:rsidRPr="0036023B" w:rsidRDefault="000820A8" w:rsidP="0099526C">
            <w:pPr>
              <w:adjustRightInd w:val="0"/>
              <w:spacing w:before="29" w:line="288" w:lineRule="auto"/>
              <w:ind w:left="17"/>
              <w:jc w:val="left"/>
              <w:rPr>
                <w:kern w:val="0"/>
                <w:sz w:val="24"/>
              </w:rPr>
            </w:pPr>
            <w:r w:rsidRPr="0036023B">
              <w:rPr>
                <w:kern w:val="0"/>
                <w:sz w:val="24"/>
              </w:rPr>
              <w:t>基金简称</w:t>
            </w:r>
          </w:p>
        </w:tc>
        <w:tc>
          <w:tcPr>
            <w:tcW w:w="5479" w:type="dxa"/>
            <w:vAlign w:val="center"/>
          </w:tcPr>
          <w:p w:rsidR="000820A8" w:rsidRPr="0036023B" w:rsidRDefault="000820A8" w:rsidP="0099526C">
            <w:pPr>
              <w:adjustRightInd w:val="0"/>
              <w:spacing w:before="29" w:line="288" w:lineRule="auto"/>
              <w:ind w:left="17"/>
              <w:jc w:val="left"/>
              <w:rPr>
                <w:color w:val="000000"/>
                <w:kern w:val="0"/>
                <w:sz w:val="24"/>
              </w:rPr>
            </w:pPr>
            <w:r w:rsidRPr="0036023B">
              <w:rPr>
                <w:color w:val="000000"/>
                <w:kern w:val="0"/>
                <w:sz w:val="24"/>
              </w:rPr>
              <w:t>交银上证</w:t>
            </w:r>
            <w:r w:rsidRPr="0036023B">
              <w:rPr>
                <w:color w:val="000000"/>
                <w:kern w:val="0"/>
                <w:sz w:val="24"/>
              </w:rPr>
              <w:t>180</w:t>
            </w:r>
            <w:r w:rsidRPr="0036023B">
              <w:rPr>
                <w:color w:val="000000"/>
                <w:kern w:val="0"/>
                <w:sz w:val="24"/>
              </w:rPr>
              <w:t>公司治理</w:t>
            </w:r>
            <w:r w:rsidRPr="0036023B">
              <w:rPr>
                <w:color w:val="000000"/>
                <w:kern w:val="0"/>
                <w:sz w:val="24"/>
              </w:rPr>
              <w:t>ETF</w:t>
            </w:r>
          </w:p>
        </w:tc>
      </w:tr>
      <w:tr w:rsidR="00277C30" w:rsidRPr="0036023B" w:rsidTr="00CF5CF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277C30" w:rsidRPr="0036023B" w:rsidRDefault="00277C30" w:rsidP="0099526C">
            <w:pPr>
              <w:adjustRightInd w:val="0"/>
              <w:spacing w:before="29" w:line="288" w:lineRule="auto"/>
              <w:ind w:left="17"/>
              <w:jc w:val="left"/>
              <w:rPr>
                <w:kern w:val="0"/>
                <w:sz w:val="24"/>
              </w:rPr>
            </w:pPr>
            <w:r>
              <w:rPr>
                <w:rFonts w:hint="eastAsia"/>
                <w:kern w:val="0"/>
                <w:sz w:val="24"/>
              </w:rPr>
              <w:t>场内简称</w:t>
            </w:r>
          </w:p>
        </w:tc>
        <w:tc>
          <w:tcPr>
            <w:tcW w:w="5479" w:type="dxa"/>
            <w:tcBorders>
              <w:top w:val="single" w:sz="4" w:space="0" w:color="auto"/>
              <w:left w:val="single" w:sz="4" w:space="0" w:color="auto"/>
              <w:bottom w:val="single" w:sz="4" w:space="0" w:color="auto"/>
              <w:right w:val="single" w:sz="4" w:space="0" w:color="auto"/>
            </w:tcBorders>
            <w:vAlign w:val="center"/>
            <w:hideMark/>
          </w:tcPr>
          <w:p w:rsidR="00277C30" w:rsidRPr="0036023B" w:rsidRDefault="00277C30" w:rsidP="0099526C">
            <w:pPr>
              <w:adjustRightInd w:val="0"/>
              <w:spacing w:before="29" w:line="288" w:lineRule="auto"/>
              <w:ind w:left="17"/>
              <w:jc w:val="left"/>
              <w:rPr>
                <w:color w:val="000000"/>
                <w:kern w:val="0"/>
                <w:sz w:val="24"/>
              </w:rPr>
            </w:pPr>
            <w:r w:rsidRPr="0036023B">
              <w:rPr>
                <w:color w:val="000000"/>
                <w:sz w:val="24"/>
              </w:rPr>
              <w:t>治理</w:t>
            </w:r>
            <w:r w:rsidRPr="0036023B">
              <w:rPr>
                <w:color w:val="000000"/>
                <w:sz w:val="24"/>
              </w:rPr>
              <w:t>ETF</w:t>
            </w:r>
          </w:p>
        </w:tc>
      </w:tr>
      <w:tr w:rsidR="00CD319D" w:rsidRPr="0036023B" w:rsidTr="00CF5CF0">
        <w:trPr>
          <w:jc w:val="center"/>
        </w:trPr>
        <w:tc>
          <w:tcPr>
            <w:tcW w:w="2835"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kern w:val="0"/>
                <w:sz w:val="24"/>
              </w:rPr>
            </w:pPr>
            <w:r w:rsidRPr="0036023B">
              <w:rPr>
                <w:kern w:val="0"/>
                <w:sz w:val="24"/>
              </w:rPr>
              <w:t>基金主代码</w:t>
            </w:r>
          </w:p>
        </w:tc>
        <w:tc>
          <w:tcPr>
            <w:tcW w:w="5479" w:type="dxa"/>
            <w:tcBorders>
              <w:top w:val="single" w:sz="4" w:space="0" w:color="auto"/>
              <w:left w:val="single" w:sz="4" w:space="0" w:color="auto"/>
              <w:bottom w:val="single" w:sz="4" w:space="0" w:color="auto"/>
              <w:right w:val="single" w:sz="4" w:space="0" w:color="auto"/>
            </w:tcBorders>
            <w:vAlign w:val="center"/>
            <w:hideMark/>
          </w:tcPr>
          <w:p w:rsidR="00CD319D" w:rsidRPr="0036023B" w:rsidRDefault="00CD319D" w:rsidP="0099526C">
            <w:pPr>
              <w:adjustRightInd w:val="0"/>
              <w:spacing w:before="29" w:line="288" w:lineRule="auto"/>
              <w:ind w:left="17"/>
              <w:jc w:val="left"/>
              <w:rPr>
                <w:color w:val="000000"/>
                <w:kern w:val="0"/>
                <w:sz w:val="24"/>
              </w:rPr>
            </w:pPr>
            <w:r w:rsidRPr="0036023B">
              <w:rPr>
                <w:color w:val="000000"/>
                <w:kern w:val="0"/>
                <w:sz w:val="24"/>
              </w:rPr>
              <w:t>510010</w:t>
            </w:r>
          </w:p>
        </w:tc>
      </w:tr>
      <w:tr w:rsidR="00E57F92" w:rsidRPr="0036023B" w:rsidTr="00CF5CF0">
        <w:trPr>
          <w:jc w:val="center"/>
        </w:trPr>
        <w:tc>
          <w:tcPr>
            <w:tcW w:w="2835" w:type="dxa"/>
            <w:tcBorders>
              <w:top w:val="single" w:sz="4" w:space="0" w:color="auto"/>
              <w:left w:val="single" w:sz="4" w:space="0" w:color="auto"/>
              <w:bottom w:val="single" w:sz="4" w:space="0" w:color="auto"/>
              <w:right w:val="single" w:sz="4" w:space="0" w:color="auto"/>
            </w:tcBorders>
            <w:vAlign w:val="center"/>
          </w:tcPr>
          <w:p w:rsidR="00E57F92" w:rsidRPr="0036023B" w:rsidRDefault="00E57F92" w:rsidP="0099526C">
            <w:pPr>
              <w:adjustRightInd w:val="0"/>
              <w:spacing w:before="29" w:line="288" w:lineRule="auto"/>
              <w:ind w:left="17"/>
              <w:jc w:val="left"/>
              <w:rPr>
                <w:kern w:val="0"/>
                <w:sz w:val="24"/>
              </w:rPr>
            </w:pPr>
            <w:r w:rsidRPr="0036023B">
              <w:rPr>
                <w:kern w:val="0"/>
                <w:sz w:val="24"/>
              </w:rPr>
              <w:t>交易代码</w:t>
            </w:r>
          </w:p>
        </w:tc>
        <w:tc>
          <w:tcPr>
            <w:tcW w:w="5479" w:type="dxa"/>
            <w:tcBorders>
              <w:top w:val="single" w:sz="4" w:space="0" w:color="auto"/>
              <w:left w:val="single" w:sz="4" w:space="0" w:color="auto"/>
              <w:bottom w:val="single" w:sz="4" w:space="0" w:color="auto"/>
              <w:right w:val="single" w:sz="4" w:space="0" w:color="auto"/>
            </w:tcBorders>
            <w:vAlign w:val="center"/>
          </w:tcPr>
          <w:p w:rsidR="00E57F92" w:rsidRPr="0036023B" w:rsidRDefault="00072E4F" w:rsidP="0099526C">
            <w:pPr>
              <w:adjustRightInd w:val="0"/>
              <w:spacing w:before="29" w:line="288" w:lineRule="auto"/>
              <w:ind w:left="17"/>
              <w:jc w:val="left"/>
              <w:rPr>
                <w:color w:val="000000"/>
                <w:kern w:val="0"/>
                <w:sz w:val="24"/>
              </w:rPr>
            </w:pPr>
            <w:r w:rsidRPr="0036023B">
              <w:rPr>
                <w:kern w:val="0"/>
                <w:sz w:val="24"/>
              </w:rPr>
              <w:t>510010</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基金运作方式</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交易型开放式</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基金合同生效日</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2009</w:t>
            </w:r>
            <w:r w:rsidRPr="0036023B">
              <w:rPr>
                <w:color w:val="000000"/>
                <w:kern w:val="0"/>
                <w:sz w:val="24"/>
              </w:rPr>
              <w:t>年</w:t>
            </w:r>
            <w:r w:rsidRPr="0036023B">
              <w:rPr>
                <w:color w:val="000000"/>
                <w:kern w:val="0"/>
                <w:sz w:val="24"/>
              </w:rPr>
              <w:t>9</w:t>
            </w:r>
            <w:r w:rsidRPr="0036023B">
              <w:rPr>
                <w:color w:val="000000"/>
                <w:kern w:val="0"/>
                <w:sz w:val="24"/>
              </w:rPr>
              <w:t>月</w:t>
            </w:r>
            <w:r w:rsidRPr="0036023B">
              <w:rPr>
                <w:color w:val="000000"/>
                <w:kern w:val="0"/>
                <w:sz w:val="24"/>
              </w:rPr>
              <w:t>25</w:t>
            </w:r>
            <w:r w:rsidRPr="0036023B">
              <w:rPr>
                <w:color w:val="000000"/>
                <w:kern w:val="0"/>
                <w:sz w:val="24"/>
              </w:rPr>
              <w:t>日</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报告期末基金份额总额</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1,895,524,362</w:t>
            </w:r>
            <w:r w:rsidRPr="0036023B">
              <w:rPr>
                <w:color w:val="000000"/>
                <w:kern w:val="0"/>
                <w:sz w:val="24"/>
              </w:rPr>
              <w:t>份</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投资目标</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紧密跟踪标的指数，追求跟踪偏离度与跟踪误差最小化。</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投资策略</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本基金采用完全复制法，跟踪上证</w:t>
            </w:r>
            <w:r w:rsidRPr="0036023B">
              <w:rPr>
                <w:color w:val="000000"/>
                <w:kern w:val="0"/>
                <w:sz w:val="24"/>
              </w:rPr>
              <w:t>180</w:t>
            </w:r>
            <w:r w:rsidRPr="0036023B">
              <w:rPr>
                <w:color w:val="000000"/>
                <w:kern w:val="0"/>
                <w:sz w:val="24"/>
              </w:rPr>
              <w:t>公司治理指数，以完全按照标的指数成份股组成及其权重构建基金股票投资组合为原则，进行被动式指数化投资。股票在投资组合中的权重原则上根据标的指数成份股及其权重的变动而进行相应调整。但在因特殊情况（如流动性不足等）导致无法获得足够数量的股票时，基金管理人将搭配使用其他合理方法进行适当的替代。</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业绩比较基准</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上证</w:t>
            </w:r>
            <w:r w:rsidRPr="0036023B">
              <w:rPr>
                <w:color w:val="000000"/>
                <w:kern w:val="0"/>
                <w:sz w:val="24"/>
              </w:rPr>
              <w:t>180</w:t>
            </w:r>
            <w:r w:rsidRPr="0036023B">
              <w:rPr>
                <w:color w:val="000000"/>
                <w:kern w:val="0"/>
                <w:sz w:val="24"/>
              </w:rPr>
              <w:t>公司治理指数</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风险收益特征</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本基金属股票基金，风险与收益高于混合基金、债券</w:t>
            </w:r>
            <w:r w:rsidRPr="0036023B">
              <w:rPr>
                <w:color w:val="000000"/>
                <w:kern w:val="0"/>
                <w:sz w:val="24"/>
              </w:rPr>
              <w:lastRenderedPageBreak/>
              <w:t>基金与货币市场基金。本基金为指数型基金，紧密跟踪标的指数，具有和标的指数所代表的股票市场相似的风险收益特征，属于证券投资基金中风险较高、收益较高的品种。</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lastRenderedPageBreak/>
              <w:t>基金管理人</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交银施罗德基金管理有限公司</w:t>
            </w:r>
          </w:p>
        </w:tc>
      </w:tr>
      <w:tr w:rsidR="00E57F92" w:rsidRPr="0036023B" w:rsidTr="00CF5CF0">
        <w:trPr>
          <w:jc w:val="center"/>
        </w:trPr>
        <w:tc>
          <w:tcPr>
            <w:tcW w:w="2835" w:type="dxa"/>
            <w:vAlign w:val="center"/>
          </w:tcPr>
          <w:p w:rsidR="00E57F92" w:rsidRPr="0036023B" w:rsidRDefault="00E57F92" w:rsidP="0099526C">
            <w:pPr>
              <w:adjustRightInd w:val="0"/>
              <w:spacing w:before="29" w:line="288" w:lineRule="auto"/>
              <w:ind w:left="17"/>
              <w:jc w:val="left"/>
              <w:rPr>
                <w:sz w:val="24"/>
              </w:rPr>
            </w:pPr>
            <w:r w:rsidRPr="0036023B">
              <w:rPr>
                <w:kern w:val="0"/>
                <w:sz w:val="24"/>
              </w:rPr>
              <w:t>基金托管人</w:t>
            </w:r>
          </w:p>
        </w:tc>
        <w:tc>
          <w:tcPr>
            <w:tcW w:w="5479" w:type="dxa"/>
            <w:vAlign w:val="center"/>
          </w:tcPr>
          <w:p w:rsidR="00E57F92" w:rsidRPr="0036023B" w:rsidRDefault="00E57F92" w:rsidP="0099526C">
            <w:pPr>
              <w:adjustRightInd w:val="0"/>
              <w:spacing w:before="29" w:line="288" w:lineRule="auto"/>
              <w:ind w:left="17"/>
              <w:jc w:val="left"/>
              <w:rPr>
                <w:color w:val="000000"/>
                <w:sz w:val="24"/>
              </w:rPr>
            </w:pPr>
            <w:r w:rsidRPr="0036023B">
              <w:rPr>
                <w:color w:val="000000"/>
                <w:kern w:val="0"/>
                <w:sz w:val="24"/>
              </w:rPr>
              <w:t>中国农业银行股份有限公司</w:t>
            </w:r>
          </w:p>
        </w:tc>
      </w:tr>
    </w:tbl>
    <w:p w:rsidR="00F73B61" w:rsidRDefault="00544342">
      <w:pPr>
        <w:autoSpaceDE w:val="0"/>
        <w:autoSpaceDN w:val="0"/>
        <w:adjustRightInd w:val="0"/>
        <w:spacing w:before="29" w:line="288" w:lineRule="auto"/>
        <w:jc w:val="left"/>
        <w:rPr>
          <w:color w:val="000000"/>
          <w:sz w:val="24"/>
        </w:rPr>
      </w:pPr>
      <w:r>
        <w:rPr>
          <w:color w:val="000000"/>
          <w:sz w:val="24"/>
        </w:rPr>
        <w:t>注：本表所列的基金主代码</w:t>
      </w:r>
      <w:r>
        <w:rPr>
          <w:color w:val="000000"/>
          <w:sz w:val="24"/>
        </w:rPr>
        <w:t>510010</w:t>
      </w:r>
      <w:r>
        <w:rPr>
          <w:color w:val="000000"/>
          <w:sz w:val="24"/>
        </w:rPr>
        <w:t>为本基金二级市场交易代码，本基金一级市场申购赎回代码为</w:t>
      </w:r>
      <w:r>
        <w:rPr>
          <w:color w:val="000000"/>
          <w:sz w:val="24"/>
        </w:rPr>
        <w:t>510011</w:t>
      </w:r>
      <w:r>
        <w:rPr>
          <w:color w:val="000000"/>
          <w:sz w:val="24"/>
        </w:rPr>
        <w:t>。</w:t>
      </w:r>
    </w:p>
    <w:p w:rsidR="008F5E2D" w:rsidRPr="0036023B" w:rsidRDefault="008F5E2D" w:rsidP="0099526C">
      <w:pPr>
        <w:autoSpaceDE w:val="0"/>
        <w:autoSpaceDN w:val="0"/>
        <w:adjustRightInd w:val="0"/>
        <w:spacing w:before="29" w:line="288" w:lineRule="auto"/>
        <w:jc w:val="left"/>
        <w:rPr>
          <w:color w:val="000000"/>
          <w:kern w:val="0"/>
          <w:sz w:val="24"/>
        </w:rPr>
      </w:pPr>
    </w:p>
    <w:p w:rsidR="00220542" w:rsidRPr="0036023B"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§3  </w:t>
      </w:r>
      <w:r w:rsidRPr="0036023B">
        <w:rPr>
          <w:color w:val="000000"/>
          <w:kern w:val="0"/>
          <w:sz w:val="24"/>
          <w:szCs w:val="24"/>
        </w:rPr>
        <w:t>主要财务指标和基金净值表现</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3.1 </w:t>
      </w:r>
      <w:r w:rsidRPr="0036023B">
        <w:rPr>
          <w:b/>
          <w:color w:val="000000"/>
          <w:kern w:val="0"/>
          <w:sz w:val="24"/>
        </w:rPr>
        <w:t>主要财务指标</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单位：人民币元</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7"/>
        <w:gridCol w:w="5261"/>
      </w:tblGrid>
      <w:tr w:rsidR="00FC245A" w:rsidRPr="0036023B" w:rsidTr="00FC245A">
        <w:trPr>
          <w:jc w:val="center"/>
        </w:trPr>
        <w:tc>
          <w:tcPr>
            <w:tcW w:w="3402" w:type="dxa"/>
            <w:vAlign w:val="center"/>
          </w:tcPr>
          <w:p w:rsidR="000820A8" w:rsidRPr="0036023B" w:rsidRDefault="000820A8" w:rsidP="0099526C">
            <w:pPr>
              <w:adjustRightInd w:val="0"/>
              <w:spacing w:before="29" w:line="288" w:lineRule="auto"/>
              <w:ind w:left="17"/>
              <w:jc w:val="center"/>
              <w:rPr>
                <w:kern w:val="0"/>
                <w:sz w:val="24"/>
              </w:rPr>
            </w:pPr>
            <w:r w:rsidRPr="0036023B">
              <w:rPr>
                <w:kern w:val="0"/>
                <w:sz w:val="24"/>
              </w:rPr>
              <w:t>主要财务指标</w:t>
            </w:r>
          </w:p>
        </w:tc>
        <w:tc>
          <w:tcPr>
            <w:tcW w:w="4962" w:type="dxa"/>
            <w:vAlign w:val="center"/>
          </w:tcPr>
          <w:p w:rsidR="00225421" w:rsidRPr="0036023B" w:rsidRDefault="00225421" w:rsidP="0099526C">
            <w:pPr>
              <w:adjustRightInd w:val="0"/>
              <w:spacing w:before="29" w:line="288" w:lineRule="auto"/>
              <w:ind w:left="17"/>
              <w:jc w:val="center"/>
              <w:rPr>
                <w:color w:val="000000"/>
                <w:sz w:val="24"/>
              </w:rPr>
            </w:pPr>
            <w:r w:rsidRPr="0036023B">
              <w:rPr>
                <w:color w:val="000000"/>
                <w:sz w:val="24"/>
              </w:rPr>
              <w:t>报告期</w:t>
            </w:r>
          </w:p>
          <w:p w:rsidR="000820A8" w:rsidRPr="0036023B" w:rsidRDefault="00225421" w:rsidP="0099526C">
            <w:pPr>
              <w:adjustRightInd w:val="0"/>
              <w:spacing w:before="29" w:line="288" w:lineRule="auto"/>
              <w:ind w:left="17"/>
              <w:jc w:val="center"/>
              <w:rPr>
                <w:color w:val="000000"/>
                <w:sz w:val="24"/>
              </w:rPr>
            </w:pPr>
            <w:r w:rsidRPr="0036023B">
              <w:rPr>
                <w:color w:val="000000"/>
                <w:sz w:val="24"/>
              </w:rPr>
              <w:t>(2014</w:t>
            </w:r>
            <w:r w:rsidRPr="0036023B">
              <w:rPr>
                <w:color w:val="000000"/>
                <w:sz w:val="24"/>
              </w:rPr>
              <w:t>年</w:t>
            </w:r>
            <w:r w:rsidRPr="0036023B">
              <w:rPr>
                <w:color w:val="000000"/>
                <w:sz w:val="24"/>
              </w:rPr>
              <w:t>10</w:t>
            </w:r>
            <w:r w:rsidRPr="0036023B">
              <w:rPr>
                <w:color w:val="000000"/>
                <w:sz w:val="24"/>
              </w:rPr>
              <w:t>月</w:t>
            </w:r>
            <w:r w:rsidRPr="0036023B">
              <w:rPr>
                <w:color w:val="000000"/>
                <w:sz w:val="24"/>
              </w:rPr>
              <w:t>1</w:t>
            </w:r>
            <w:r w:rsidRPr="0036023B">
              <w:rPr>
                <w:color w:val="000000"/>
                <w:sz w:val="24"/>
              </w:rPr>
              <w:t>日</w:t>
            </w:r>
            <w:r w:rsidRPr="0036023B">
              <w:rPr>
                <w:color w:val="000000"/>
                <w:sz w:val="24"/>
              </w:rPr>
              <w:t>-2014</w:t>
            </w:r>
            <w:r w:rsidRPr="0036023B">
              <w:rPr>
                <w:color w:val="000000"/>
                <w:sz w:val="24"/>
              </w:rPr>
              <w:t>年</w:t>
            </w:r>
            <w:r w:rsidRPr="0036023B">
              <w:rPr>
                <w:color w:val="000000"/>
                <w:sz w:val="24"/>
              </w:rPr>
              <w:t>12</w:t>
            </w:r>
            <w:r w:rsidRPr="0036023B">
              <w:rPr>
                <w:color w:val="000000"/>
                <w:sz w:val="24"/>
              </w:rPr>
              <w:t>月</w:t>
            </w:r>
            <w:r w:rsidRPr="0036023B">
              <w:rPr>
                <w:color w:val="000000"/>
                <w:sz w:val="24"/>
              </w:rPr>
              <w:t>31</w:t>
            </w:r>
            <w:r w:rsidRPr="0036023B">
              <w:rPr>
                <w:color w:val="000000"/>
                <w:sz w:val="24"/>
              </w:rPr>
              <w:t>日</w:t>
            </w:r>
            <w:r w:rsidRPr="0036023B">
              <w:rPr>
                <w:color w:val="000000"/>
                <w:sz w:val="24"/>
              </w:rPr>
              <w:t>)</w:t>
            </w:r>
          </w:p>
        </w:tc>
      </w:tr>
      <w:tr w:rsidR="00FC245A" w:rsidRPr="0036023B" w:rsidTr="00FC245A">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1.</w:t>
            </w:r>
            <w:r w:rsidRPr="0036023B">
              <w:rPr>
                <w:kern w:val="0"/>
                <w:sz w:val="24"/>
              </w:rPr>
              <w:t>本期已实现收益</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532,407,244.62</w:t>
            </w:r>
          </w:p>
        </w:tc>
      </w:tr>
      <w:tr w:rsidR="00FC245A" w:rsidRPr="0036023B" w:rsidTr="00FC245A">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2.</w:t>
            </w:r>
            <w:r w:rsidRPr="0036023B">
              <w:rPr>
                <w:kern w:val="0"/>
                <w:sz w:val="24"/>
              </w:rPr>
              <w:t>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908,862,083.54</w:t>
            </w:r>
          </w:p>
        </w:tc>
      </w:tr>
      <w:tr w:rsidR="00FC245A" w:rsidRPr="0036023B" w:rsidTr="00FC245A">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3.</w:t>
            </w:r>
            <w:r w:rsidRPr="0036023B">
              <w:rPr>
                <w:kern w:val="0"/>
                <w:sz w:val="24"/>
              </w:rPr>
              <w:t>加权平均基金份额本期利润</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0.3735</w:t>
            </w:r>
          </w:p>
        </w:tc>
      </w:tr>
      <w:tr w:rsidR="00FC245A" w:rsidRPr="0036023B" w:rsidTr="00FC245A">
        <w:trPr>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4.</w:t>
            </w:r>
            <w:r w:rsidRPr="0036023B">
              <w:rPr>
                <w:kern w:val="0"/>
                <w:sz w:val="24"/>
              </w:rPr>
              <w:t>期末基金资产净值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2,026,435,361.07</w:t>
            </w:r>
          </w:p>
        </w:tc>
      </w:tr>
      <w:tr w:rsidR="00FC245A" w:rsidRPr="0036023B" w:rsidTr="00FC245A">
        <w:trPr>
          <w:trHeight w:val="158"/>
          <w:jc w:val="center"/>
        </w:trPr>
        <w:tc>
          <w:tcPr>
            <w:tcW w:w="3402" w:type="dxa"/>
            <w:vAlign w:val="center"/>
          </w:tcPr>
          <w:p w:rsidR="000820A8" w:rsidRPr="0036023B" w:rsidRDefault="000820A8" w:rsidP="0099526C">
            <w:pPr>
              <w:adjustRightInd w:val="0"/>
              <w:spacing w:before="29" w:line="288" w:lineRule="auto"/>
              <w:ind w:left="17"/>
              <w:rPr>
                <w:kern w:val="0"/>
                <w:sz w:val="24"/>
              </w:rPr>
            </w:pPr>
            <w:r w:rsidRPr="0036023B">
              <w:rPr>
                <w:kern w:val="0"/>
                <w:sz w:val="24"/>
              </w:rPr>
              <w:t>5.</w:t>
            </w:r>
            <w:r w:rsidRPr="0036023B">
              <w:rPr>
                <w:kern w:val="0"/>
                <w:sz w:val="24"/>
              </w:rPr>
              <w:t>期末基金份额净值</w:t>
            </w:r>
          </w:p>
        </w:tc>
        <w:tc>
          <w:tcPr>
            <w:tcW w:w="4962" w:type="dxa"/>
            <w:vAlign w:val="center"/>
          </w:tcPr>
          <w:p w:rsidR="000820A8" w:rsidRPr="0036023B" w:rsidRDefault="000820A8" w:rsidP="0099526C">
            <w:pPr>
              <w:adjustRightInd w:val="0"/>
              <w:spacing w:before="29" w:line="288" w:lineRule="auto"/>
              <w:ind w:left="17"/>
              <w:jc w:val="right"/>
              <w:rPr>
                <w:color w:val="000000"/>
                <w:sz w:val="24"/>
              </w:rPr>
            </w:pPr>
            <w:r w:rsidRPr="0036023B">
              <w:rPr>
                <w:color w:val="000000"/>
                <w:sz w:val="24"/>
              </w:rPr>
              <w:t>1.069</w:t>
            </w:r>
          </w:p>
        </w:tc>
      </w:tr>
    </w:tbl>
    <w:p w:rsidR="00F73B61" w:rsidRDefault="00544342">
      <w:pPr>
        <w:autoSpaceDE w:val="0"/>
        <w:autoSpaceDN w:val="0"/>
        <w:adjustRightInd w:val="0"/>
        <w:spacing w:before="29" w:line="288" w:lineRule="auto"/>
        <w:jc w:val="left"/>
        <w:rPr>
          <w:color w:val="000000"/>
          <w:sz w:val="24"/>
        </w:rPr>
      </w:pPr>
      <w:r>
        <w:rPr>
          <w:color w:val="000000"/>
          <w:sz w:val="24"/>
        </w:rPr>
        <w:t>注：</w:t>
      </w:r>
      <w:r>
        <w:rPr>
          <w:color w:val="000000"/>
          <w:sz w:val="24"/>
        </w:rPr>
        <w:t>1</w:t>
      </w:r>
      <w:r>
        <w:rPr>
          <w:color w:val="000000"/>
          <w:sz w:val="24"/>
        </w:rPr>
        <w:t>、上述基金业绩指标不包括持有人认购或交易基金的各项费用，计入费用后的实际收益水平要低于所列数字；</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 xml:space="preserve">    2</w:t>
      </w:r>
      <w:r w:rsidRPr="0036023B">
        <w:rPr>
          <w:color w:val="000000"/>
          <w:sz w:val="24"/>
        </w:rPr>
        <w:t>、本期已实现收益指基金本期利息收入、投资收益、其他收入（不含公允价值变动收益）扣除相关费用后的余额，本期利润为本期已实现收益加上本期公允价值变动收益。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3.2 </w:t>
      </w:r>
      <w:r w:rsidRPr="0036023B">
        <w:rPr>
          <w:b/>
          <w:color w:val="000000"/>
          <w:kern w:val="0"/>
          <w:sz w:val="24"/>
        </w:rPr>
        <w:t>基金净值表现</w:t>
      </w:r>
    </w:p>
    <w:p w:rsidR="00220542" w:rsidRPr="0036023B" w:rsidRDefault="00220542"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3.2.1</w:t>
        </w:r>
      </w:smartTag>
      <w:r w:rsidRPr="0036023B">
        <w:rPr>
          <w:b/>
          <w:color w:val="000000"/>
          <w:kern w:val="0"/>
          <w:sz w:val="24"/>
        </w:rPr>
        <w:t>本报告期基金份额净值增长率及其与同期业绩比较基准收益率的比较</w:t>
      </w:r>
    </w:p>
    <w:tbl>
      <w:tblPr>
        <w:tblStyle w:val="af7"/>
        <w:tblW w:w="8868" w:type="dxa"/>
        <w:jc w:val="center"/>
        <w:tblLayout w:type="fixed"/>
        <w:tblCellMar>
          <w:top w:w="57" w:type="dxa"/>
          <w:bottom w:w="57" w:type="dxa"/>
        </w:tblCellMar>
        <w:tblLook w:val="04A0" w:firstRow="1" w:lastRow="0" w:firstColumn="1" w:lastColumn="0" w:noHBand="0" w:noVBand="1"/>
      </w:tblPr>
      <w:tblGrid>
        <w:gridCol w:w="1469"/>
        <w:gridCol w:w="1150"/>
        <w:gridCol w:w="1223"/>
        <w:gridCol w:w="1244"/>
        <w:gridCol w:w="1251"/>
        <w:gridCol w:w="1263"/>
        <w:gridCol w:w="1268"/>
      </w:tblGrid>
      <w:tr w:rsidR="000820A8" w:rsidRPr="0036023B" w:rsidTr="00F343C8">
        <w:trPr>
          <w:jc w:val="center"/>
        </w:trPr>
        <w:tc>
          <w:tcPr>
            <w:tcW w:w="1395"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阶段</w:t>
            </w:r>
          </w:p>
        </w:tc>
        <w:tc>
          <w:tcPr>
            <w:tcW w:w="109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w:t>
            </w:r>
            <w:r w:rsidRPr="0036023B">
              <w:rPr>
                <w:rFonts w:hAnsi="宋体"/>
                <w:color w:val="000000"/>
                <w:sz w:val="24"/>
              </w:rPr>
              <w:t>①</w:t>
            </w:r>
          </w:p>
        </w:tc>
        <w:tc>
          <w:tcPr>
            <w:tcW w:w="116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净值增长率标准差</w:t>
            </w:r>
            <w:r w:rsidRPr="0036023B">
              <w:rPr>
                <w:rFonts w:hAnsi="宋体"/>
                <w:color w:val="000000"/>
                <w:sz w:val="24"/>
              </w:rPr>
              <w:t>②</w:t>
            </w:r>
          </w:p>
        </w:tc>
        <w:tc>
          <w:tcPr>
            <w:tcW w:w="1181"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w:t>
            </w:r>
            <w:r w:rsidRPr="0036023B">
              <w:rPr>
                <w:rFonts w:hAnsi="宋体"/>
                <w:color w:val="000000"/>
                <w:sz w:val="24"/>
              </w:rPr>
              <w:t>③</w:t>
            </w:r>
          </w:p>
        </w:tc>
        <w:tc>
          <w:tcPr>
            <w:tcW w:w="1188"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业绩比较基准收益率标准差</w:t>
            </w:r>
            <w:r w:rsidRPr="0036023B">
              <w:rPr>
                <w:rFonts w:hAnsi="宋体"/>
                <w:color w:val="000000"/>
                <w:sz w:val="24"/>
              </w:rPr>
              <w:t>④</w:t>
            </w:r>
          </w:p>
        </w:tc>
        <w:tc>
          <w:tcPr>
            <w:tcW w:w="1199"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①</w:t>
            </w:r>
            <w:r w:rsidRPr="0036023B">
              <w:rPr>
                <w:color w:val="000000"/>
                <w:sz w:val="24"/>
              </w:rPr>
              <w:t>-</w:t>
            </w:r>
            <w:r w:rsidRPr="0036023B">
              <w:rPr>
                <w:rFonts w:hAnsi="宋体"/>
                <w:color w:val="000000"/>
                <w:sz w:val="24"/>
              </w:rPr>
              <w:t>③</w:t>
            </w:r>
          </w:p>
        </w:tc>
        <w:tc>
          <w:tcPr>
            <w:tcW w:w="1204"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rFonts w:hAnsi="宋体"/>
                <w:color w:val="000000"/>
                <w:sz w:val="24"/>
              </w:rPr>
              <w:t>②</w:t>
            </w:r>
            <w:r w:rsidRPr="0036023B">
              <w:rPr>
                <w:color w:val="000000"/>
                <w:sz w:val="24"/>
              </w:rPr>
              <w:t>-</w:t>
            </w:r>
            <w:r w:rsidRPr="0036023B">
              <w:rPr>
                <w:rFonts w:hAnsi="宋体"/>
                <w:color w:val="000000"/>
                <w:sz w:val="24"/>
              </w:rPr>
              <w:t>④</w:t>
            </w:r>
          </w:p>
        </w:tc>
      </w:tr>
      <w:tr w:rsidR="00F73B61">
        <w:trPr>
          <w:jc w:val="center"/>
        </w:trPr>
        <w:tc>
          <w:tcPr>
            <w:tcW w:w="1469" w:type="dxa"/>
            <w:vAlign w:val="center"/>
          </w:tcPr>
          <w:p w:rsidR="00F73B61" w:rsidRDefault="00544342">
            <w:pPr>
              <w:jc w:val="left"/>
            </w:pPr>
            <w:r>
              <w:rPr>
                <w:color w:val="000000"/>
                <w:sz w:val="24"/>
              </w:rPr>
              <w:t>过去三个月</w:t>
            </w:r>
          </w:p>
        </w:tc>
        <w:tc>
          <w:tcPr>
            <w:tcW w:w="1150" w:type="dxa"/>
            <w:vAlign w:val="center"/>
          </w:tcPr>
          <w:p w:rsidR="00F73B61" w:rsidRDefault="00544342">
            <w:pPr>
              <w:jc w:val="center"/>
            </w:pPr>
            <w:r>
              <w:rPr>
                <w:color w:val="000000"/>
                <w:sz w:val="24"/>
              </w:rPr>
              <w:t>57.90%</w:t>
            </w:r>
          </w:p>
        </w:tc>
        <w:tc>
          <w:tcPr>
            <w:tcW w:w="1223" w:type="dxa"/>
            <w:vAlign w:val="center"/>
          </w:tcPr>
          <w:p w:rsidR="00F73B61" w:rsidRDefault="00544342">
            <w:pPr>
              <w:jc w:val="center"/>
            </w:pPr>
            <w:r>
              <w:rPr>
                <w:color w:val="000000"/>
                <w:sz w:val="24"/>
              </w:rPr>
              <w:t>1.95%</w:t>
            </w:r>
          </w:p>
        </w:tc>
        <w:tc>
          <w:tcPr>
            <w:tcW w:w="1244" w:type="dxa"/>
            <w:vAlign w:val="center"/>
          </w:tcPr>
          <w:p w:rsidR="00F73B61" w:rsidRDefault="00544342">
            <w:pPr>
              <w:jc w:val="center"/>
            </w:pPr>
            <w:r>
              <w:rPr>
                <w:color w:val="000000"/>
                <w:sz w:val="24"/>
              </w:rPr>
              <w:t>58.23%</w:t>
            </w:r>
          </w:p>
        </w:tc>
        <w:tc>
          <w:tcPr>
            <w:tcW w:w="1251" w:type="dxa"/>
            <w:vAlign w:val="center"/>
          </w:tcPr>
          <w:p w:rsidR="00F73B61" w:rsidRDefault="00544342">
            <w:pPr>
              <w:jc w:val="center"/>
            </w:pPr>
            <w:r>
              <w:rPr>
                <w:color w:val="000000"/>
                <w:sz w:val="24"/>
              </w:rPr>
              <w:t>1.97%</w:t>
            </w:r>
          </w:p>
        </w:tc>
        <w:tc>
          <w:tcPr>
            <w:tcW w:w="1263" w:type="dxa"/>
            <w:vAlign w:val="center"/>
          </w:tcPr>
          <w:p w:rsidR="00F73B61" w:rsidRDefault="00544342">
            <w:pPr>
              <w:jc w:val="center"/>
            </w:pPr>
            <w:r>
              <w:rPr>
                <w:color w:val="000000"/>
                <w:sz w:val="24"/>
              </w:rPr>
              <w:t>-0.33%</w:t>
            </w:r>
          </w:p>
        </w:tc>
        <w:tc>
          <w:tcPr>
            <w:tcW w:w="1268" w:type="dxa"/>
            <w:vAlign w:val="center"/>
          </w:tcPr>
          <w:p w:rsidR="00F73B61" w:rsidRDefault="00544342">
            <w:pPr>
              <w:jc w:val="center"/>
            </w:pPr>
            <w:r>
              <w:rPr>
                <w:color w:val="000000"/>
                <w:sz w:val="24"/>
              </w:rPr>
              <w:t>-0.02%</w:t>
            </w:r>
          </w:p>
        </w:tc>
      </w:tr>
    </w:tbl>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spacing w:before="29" w:line="288" w:lineRule="auto"/>
        <w:rPr>
          <w:b/>
          <w:color w:val="000000"/>
          <w:kern w:val="0"/>
          <w:sz w:val="24"/>
        </w:rPr>
      </w:pPr>
      <w:r w:rsidRPr="0036023B">
        <w:rPr>
          <w:b/>
          <w:color w:val="000000"/>
          <w:kern w:val="0"/>
          <w:sz w:val="24"/>
        </w:rPr>
        <w:lastRenderedPageBreak/>
        <w:t>3.2.</w:t>
      </w:r>
      <w:r w:rsidR="003149AB" w:rsidRPr="0036023B">
        <w:rPr>
          <w:b/>
          <w:color w:val="000000"/>
          <w:kern w:val="0"/>
          <w:sz w:val="24"/>
        </w:rPr>
        <w:t>2</w:t>
      </w:r>
      <w:r w:rsidR="00471291">
        <w:rPr>
          <w:rFonts w:hint="eastAsia"/>
          <w:b/>
          <w:color w:val="000000"/>
          <w:kern w:val="0"/>
          <w:sz w:val="24"/>
        </w:rPr>
        <w:t xml:space="preserve"> </w:t>
      </w:r>
      <w:r w:rsidR="00471291" w:rsidRPr="00554D95">
        <w:rPr>
          <w:rFonts w:hint="eastAsia"/>
          <w:b/>
          <w:color w:val="000000"/>
          <w:kern w:val="0"/>
          <w:sz w:val="24"/>
        </w:rPr>
        <w:t>自基金合同生效以来</w:t>
      </w:r>
      <w:r w:rsidR="00CA6E44" w:rsidRPr="0036023B">
        <w:rPr>
          <w:b/>
          <w:bCs/>
          <w:color w:val="000000"/>
          <w:sz w:val="24"/>
        </w:rPr>
        <w:t>基金份额累计净值增长率变动及其与同期业绩比较基准收益率变动的比较</w:t>
      </w:r>
    </w:p>
    <w:p w:rsidR="00CE3519" w:rsidRPr="0036023B" w:rsidRDefault="00CE3519" w:rsidP="0099526C">
      <w:pPr>
        <w:spacing w:before="29" w:line="288" w:lineRule="auto"/>
        <w:jc w:val="center"/>
        <w:rPr>
          <w:sz w:val="24"/>
        </w:rPr>
      </w:pPr>
      <w:r w:rsidRPr="0036023B">
        <w:rPr>
          <w:sz w:val="24"/>
        </w:rPr>
        <w:t>上证</w:t>
      </w:r>
      <w:r w:rsidRPr="0036023B">
        <w:rPr>
          <w:sz w:val="24"/>
        </w:rPr>
        <w:t>180</w:t>
      </w:r>
      <w:r w:rsidRPr="0036023B">
        <w:rPr>
          <w:sz w:val="24"/>
        </w:rPr>
        <w:t>公司治理交易型开放式指数证券投资基金</w:t>
      </w:r>
    </w:p>
    <w:p w:rsidR="00CE3519" w:rsidRPr="0036023B" w:rsidRDefault="006839B5" w:rsidP="0099526C">
      <w:pPr>
        <w:pStyle w:val="a5"/>
        <w:snapToGrid w:val="0"/>
        <w:spacing w:before="29" w:line="288" w:lineRule="auto"/>
        <w:jc w:val="center"/>
        <w:rPr>
          <w:rFonts w:ascii="Times New Roman" w:hAnsi="Times New Roman"/>
          <w:color w:val="000000"/>
          <w:sz w:val="24"/>
          <w:szCs w:val="24"/>
        </w:rPr>
      </w:pPr>
      <w:r w:rsidRPr="0036023B">
        <w:rPr>
          <w:rFonts w:ascii="Times New Roman" w:hAnsi="Times New Roman"/>
          <w:color w:val="000000"/>
          <w:sz w:val="24"/>
          <w:szCs w:val="24"/>
        </w:rPr>
        <w:t>份额累计净值增长率与业绩比较基准收益率历史走势对比图</w:t>
      </w:r>
    </w:p>
    <w:p w:rsidR="00202885" w:rsidRPr="0036023B" w:rsidRDefault="00202885" w:rsidP="0099526C">
      <w:pPr>
        <w:spacing w:before="29" w:line="288" w:lineRule="auto"/>
        <w:jc w:val="center"/>
        <w:rPr>
          <w:sz w:val="24"/>
        </w:rPr>
      </w:pPr>
      <w:r w:rsidRPr="0036023B">
        <w:rPr>
          <w:color w:val="000000"/>
          <w:kern w:val="0"/>
          <w:sz w:val="24"/>
        </w:rPr>
        <w:t>（</w:t>
      </w:r>
      <w:r w:rsidR="005C0A04" w:rsidRPr="0036023B">
        <w:rPr>
          <w:color w:val="000000"/>
          <w:kern w:val="0"/>
          <w:sz w:val="24"/>
        </w:rPr>
        <w:t>2009</w:t>
      </w:r>
      <w:r w:rsidR="005C0A04" w:rsidRPr="0036023B">
        <w:rPr>
          <w:color w:val="000000"/>
          <w:kern w:val="0"/>
          <w:sz w:val="24"/>
        </w:rPr>
        <w:t>年</w:t>
      </w:r>
      <w:r w:rsidR="005C0A04" w:rsidRPr="0036023B">
        <w:rPr>
          <w:color w:val="000000"/>
          <w:kern w:val="0"/>
          <w:sz w:val="24"/>
        </w:rPr>
        <w:t>9</w:t>
      </w:r>
      <w:r w:rsidR="005C0A04" w:rsidRPr="0036023B">
        <w:rPr>
          <w:color w:val="000000"/>
          <w:kern w:val="0"/>
          <w:sz w:val="24"/>
        </w:rPr>
        <w:t>月</w:t>
      </w:r>
      <w:r w:rsidR="005C0A04" w:rsidRPr="0036023B">
        <w:rPr>
          <w:color w:val="000000"/>
          <w:kern w:val="0"/>
          <w:sz w:val="24"/>
        </w:rPr>
        <w:t>25</w:t>
      </w:r>
      <w:r w:rsidR="005C0A04" w:rsidRPr="0036023B">
        <w:rPr>
          <w:color w:val="000000"/>
          <w:kern w:val="0"/>
          <w:sz w:val="24"/>
        </w:rPr>
        <w:t>日</w:t>
      </w:r>
      <w:r w:rsidRPr="0036023B">
        <w:rPr>
          <w:color w:val="000000"/>
          <w:kern w:val="0"/>
          <w:sz w:val="24"/>
        </w:rPr>
        <w:t>至</w:t>
      </w:r>
      <w:r w:rsidRPr="0036023B">
        <w:rPr>
          <w:color w:val="000000"/>
          <w:kern w:val="0"/>
          <w:sz w:val="24"/>
        </w:rPr>
        <w:t>2014</w:t>
      </w:r>
      <w:r w:rsidRPr="0036023B">
        <w:rPr>
          <w:color w:val="000000"/>
          <w:kern w:val="0"/>
          <w:sz w:val="24"/>
        </w:rPr>
        <w:t>年</w:t>
      </w:r>
      <w:r w:rsidRPr="0036023B">
        <w:rPr>
          <w:color w:val="000000"/>
          <w:kern w:val="0"/>
          <w:sz w:val="24"/>
        </w:rPr>
        <w:t>12</w:t>
      </w:r>
      <w:r w:rsidRPr="0036023B">
        <w:rPr>
          <w:color w:val="000000"/>
          <w:kern w:val="0"/>
          <w:sz w:val="24"/>
        </w:rPr>
        <w:t>月</w:t>
      </w:r>
      <w:r w:rsidRPr="0036023B">
        <w:rPr>
          <w:color w:val="000000"/>
          <w:kern w:val="0"/>
          <w:sz w:val="24"/>
        </w:rPr>
        <w:t>31</w:t>
      </w:r>
      <w:r w:rsidRPr="0036023B">
        <w:rPr>
          <w:color w:val="000000"/>
          <w:kern w:val="0"/>
          <w:sz w:val="24"/>
        </w:rPr>
        <w:t>日）</w:t>
      </w:r>
    </w:p>
    <w:p w:rsidR="00CE3519" w:rsidRPr="0036023B" w:rsidRDefault="00740469" w:rsidP="0099526C">
      <w:pPr>
        <w:tabs>
          <w:tab w:val="left" w:pos="1800"/>
        </w:tabs>
        <w:spacing w:before="29" w:line="288" w:lineRule="auto"/>
        <w:jc w:val="center"/>
        <w:rPr>
          <w:color w:val="000000"/>
          <w:sz w:val="24"/>
        </w:rPr>
      </w:pPr>
      <w:r w:rsidRPr="0036023B">
        <w:rPr>
          <w:noProof/>
          <w:color w:val="000000"/>
          <w:sz w:val="24"/>
        </w:rPr>
        <w:drawing>
          <wp:inline distT="0" distB="0" distL="0" distR="0">
            <wp:extent cx="5731510" cy="3356610"/>
            <wp:effectExtent l="19050" t="0" r="2540" b="0"/>
            <wp:docPr id="3" name="图片 2" descr="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走势图1.jpg"/>
                    <pic:cNvPicPr/>
                  </pic:nvPicPr>
                  <pic:blipFill>
                    <a:blip r:embed="rId9" cstate="print"/>
                    <a:stretch>
                      <a:fillRect/>
                    </a:stretch>
                  </pic:blipFill>
                  <pic:spPr>
                    <a:xfrm>
                      <a:off x="0" y="0"/>
                      <a:ext cx="5731510" cy="3356610"/>
                    </a:xfrm>
                    <a:prstGeom prst="rect">
                      <a:avLst/>
                    </a:prstGeom>
                  </pic:spPr>
                </pic:pic>
              </a:graphicData>
            </a:graphic>
          </wp:inline>
        </w:drawing>
      </w:r>
    </w:p>
    <w:p w:rsidR="00CE3519" w:rsidRPr="0036023B" w:rsidRDefault="00CE3519" w:rsidP="0099526C">
      <w:pPr>
        <w:autoSpaceDE w:val="0"/>
        <w:autoSpaceDN w:val="0"/>
        <w:adjustRightInd w:val="0"/>
        <w:spacing w:before="29" w:line="288" w:lineRule="auto"/>
        <w:jc w:val="left"/>
        <w:rPr>
          <w:color w:val="000000"/>
          <w:sz w:val="24"/>
        </w:rPr>
      </w:pPr>
      <w:r w:rsidRPr="0036023B">
        <w:rPr>
          <w:color w:val="000000"/>
          <w:sz w:val="24"/>
        </w:rPr>
        <w:t>注：本基金建仓期为自基金合同生效日起的</w:t>
      </w:r>
      <w:r w:rsidRPr="0036023B">
        <w:rPr>
          <w:color w:val="000000"/>
          <w:sz w:val="24"/>
        </w:rPr>
        <w:t>3</w:t>
      </w:r>
      <w:r w:rsidRPr="0036023B">
        <w:rPr>
          <w:color w:val="000000"/>
          <w:sz w:val="24"/>
        </w:rPr>
        <w:t>个月。截至建仓期结束，本基金各项资产配置比例符合基金合同及招募说明书有关投资比例的约定。</w:t>
      </w:r>
    </w:p>
    <w:p w:rsidR="006C1D5C" w:rsidRPr="0036023B" w:rsidRDefault="006C1D5C" w:rsidP="0099526C">
      <w:pPr>
        <w:tabs>
          <w:tab w:val="left" w:pos="1800"/>
        </w:tabs>
        <w:spacing w:before="29" w:line="288" w:lineRule="auto"/>
        <w:rPr>
          <w:color w:val="000000"/>
          <w:sz w:val="24"/>
        </w:rPr>
      </w:pPr>
    </w:p>
    <w:p w:rsidR="00220542" w:rsidRPr="0036023B"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§4  </w:t>
      </w:r>
      <w:r w:rsidRPr="0036023B">
        <w:rPr>
          <w:color w:val="000000"/>
          <w:kern w:val="0"/>
          <w:sz w:val="24"/>
          <w:szCs w:val="24"/>
        </w:rPr>
        <w:t>管理人报告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4.1 </w:t>
      </w:r>
      <w:r w:rsidRPr="0036023B">
        <w:rPr>
          <w:b/>
          <w:color w:val="000000"/>
          <w:kern w:val="0"/>
          <w:sz w:val="24"/>
        </w:rPr>
        <w:t>基金经理（或基金经理小组）简介</w:t>
      </w:r>
    </w:p>
    <w:tbl>
      <w:tblPr>
        <w:tblW w:w="88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A0" w:firstRow="1" w:lastRow="0" w:firstColumn="1" w:lastColumn="0" w:noHBand="0" w:noVBand="0"/>
      </w:tblPr>
      <w:tblGrid>
        <w:gridCol w:w="846"/>
        <w:gridCol w:w="845"/>
        <w:gridCol w:w="1549"/>
        <w:gridCol w:w="1548"/>
        <w:gridCol w:w="1407"/>
        <w:gridCol w:w="2673"/>
      </w:tblGrid>
      <w:tr w:rsidR="000820A8" w:rsidRPr="0036023B" w:rsidTr="00E73ABA">
        <w:trPr>
          <w:trHeight w:val="292"/>
          <w:jc w:val="center"/>
        </w:trPr>
        <w:tc>
          <w:tcPr>
            <w:tcW w:w="851"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姓名</w:t>
            </w:r>
          </w:p>
        </w:tc>
        <w:tc>
          <w:tcPr>
            <w:tcW w:w="850"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职务</w:t>
            </w:r>
          </w:p>
        </w:tc>
        <w:tc>
          <w:tcPr>
            <w:tcW w:w="3119" w:type="dxa"/>
            <w:gridSpan w:val="2"/>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任本基金的基金经理期限</w:t>
            </w:r>
          </w:p>
        </w:tc>
        <w:tc>
          <w:tcPr>
            <w:tcW w:w="1417" w:type="dxa"/>
            <w:vMerge w:val="restart"/>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证券从业年限</w:t>
            </w:r>
          </w:p>
        </w:tc>
        <w:tc>
          <w:tcPr>
            <w:tcW w:w="2694" w:type="dxa"/>
            <w:vMerge w:val="restart"/>
            <w:vAlign w:val="center"/>
          </w:tcPr>
          <w:p w:rsidR="000820A8" w:rsidRPr="0036023B" w:rsidRDefault="000820A8" w:rsidP="0099526C">
            <w:pPr>
              <w:widowControl/>
              <w:spacing w:before="29" w:line="288" w:lineRule="auto"/>
              <w:ind w:left="17"/>
              <w:jc w:val="center"/>
              <w:rPr>
                <w:color w:val="000000"/>
                <w:kern w:val="0"/>
                <w:sz w:val="24"/>
              </w:rPr>
            </w:pPr>
            <w:r w:rsidRPr="0036023B">
              <w:rPr>
                <w:color w:val="000000"/>
                <w:kern w:val="0"/>
                <w:sz w:val="24"/>
              </w:rPr>
              <w:t>说明</w:t>
            </w:r>
          </w:p>
        </w:tc>
      </w:tr>
      <w:tr w:rsidR="000820A8" w:rsidRPr="0036023B" w:rsidTr="00E73ABA">
        <w:trPr>
          <w:jc w:val="center"/>
        </w:trPr>
        <w:tc>
          <w:tcPr>
            <w:tcW w:w="851" w:type="dxa"/>
            <w:vMerge/>
            <w:vAlign w:val="center"/>
          </w:tcPr>
          <w:p w:rsidR="000820A8" w:rsidRPr="0036023B" w:rsidRDefault="000820A8" w:rsidP="0099526C">
            <w:pPr>
              <w:widowControl/>
              <w:spacing w:before="29" w:line="288" w:lineRule="auto"/>
              <w:jc w:val="left"/>
              <w:rPr>
                <w:color w:val="000000"/>
                <w:kern w:val="0"/>
                <w:sz w:val="24"/>
              </w:rPr>
            </w:pPr>
          </w:p>
        </w:tc>
        <w:tc>
          <w:tcPr>
            <w:tcW w:w="850" w:type="dxa"/>
            <w:vMerge/>
            <w:vAlign w:val="center"/>
          </w:tcPr>
          <w:p w:rsidR="000820A8" w:rsidRPr="0036023B" w:rsidRDefault="000820A8" w:rsidP="0099526C">
            <w:pPr>
              <w:widowControl/>
              <w:spacing w:before="29" w:line="288" w:lineRule="auto"/>
              <w:jc w:val="left"/>
              <w:rPr>
                <w:color w:val="000000"/>
                <w:kern w:val="0"/>
                <w:sz w:val="24"/>
              </w:rPr>
            </w:pPr>
          </w:p>
        </w:tc>
        <w:tc>
          <w:tcPr>
            <w:tcW w:w="1560"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任职日期</w:t>
            </w:r>
          </w:p>
        </w:tc>
        <w:tc>
          <w:tcPr>
            <w:tcW w:w="1559" w:type="dxa"/>
            <w:vAlign w:val="center"/>
          </w:tcPr>
          <w:p w:rsidR="000820A8" w:rsidRPr="0036023B" w:rsidRDefault="000820A8"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离任日期</w:t>
            </w:r>
          </w:p>
        </w:tc>
        <w:tc>
          <w:tcPr>
            <w:tcW w:w="1417" w:type="dxa"/>
            <w:vMerge/>
            <w:vAlign w:val="center"/>
          </w:tcPr>
          <w:p w:rsidR="000820A8" w:rsidRPr="0036023B" w:rsidRDefault="000820A8" w:rsidP="0099526C">
            <w:pPr>
              <w:widowControl/>
              <w:spacing w:before="29" w:line="288" w:lineRule="auto"/>
              <w:jc w:val="left"/>
              <w:rPr>
                <w:color w:val="000000"/>
                <w:kern w:val="0"/>
                <w:sz w:val="24"/>
              </w:rPr>
            </w:pPr>
          </w:p>
        </w:tc>
        <w:tc>
          <w:tcPr>
            <w:tcW w:w="2694" w:type="dxa"/>
            <w:vMerge/>
            <w:vAlign w:val="center"/>
          </w:tcPr>
          <w:p w:rsidR="000820A8" w:rsidRPr="0036023B" w:rsidRDefault="000820A8" w:rsidP="0099526C">
            <w:pPr>
              <w:widowControl/>
              <w:spacing w:before="29" w:line="288" w:lineRule="auto"/>
              <w:jc w:val="left"/>
              <w:rPr>
                <w:color w:val="000000"/>
                <w:kern w:val="0"/>
                <w:sz w:val="24"/>
              </w:rPr>
            </w:pPr>
          </w:p>
        </w:tc>
      </w:tr>
      <w:tr w:rsidR="00F73B61">
        <w:trPr>
          <w:jc w:val="center"/>
        </w:trPr>
        <w:tc>
          <w:tcPr>
            <w:tcW w:w="846" w:type="dxa"/>
            <w:vAlign w:val="center"/>
          </w:tcPr>
          <w:p w:rsidR="00F73B61" w:rsidRDefault="00544342">
            <w:pPr>
              <w:jc w:val="center"/>
            </w:pPr>
            <w:r>
              <w:rPr>
                <w:color w:val="000000"/>
                <w:sz w:val="24"/>
              </w:rPr>
              <w:t>蔡铮</w:t>
            </w:r>
          </w:p>
        </w:tc>
        <w:tc>
          <w:tcPr>
            <w:tcW w:w="845" w:type="dxa"/>
            <w:vAlign w:val="center"/>
          </w:tcPr>
          <w:p w:rsidR="00F73B61" w:rsidRDefault="00544342">
            <w:pPr>
              <w:jc w:val="center"/>
            </w:pPr>
            <w:r>
              <w:rPr>
                <w:color w:val="000000"/>
                <w:sz w:val="24"/>
              </w:rPr>
              <w:t>本基金及其联接基金、交银深证</w:t>
            </w:r>
            <w:r>
              <w:rPr>
                <w:color w:val="000000"/>
                <w:sz w:val="24"/>
              </w:rPr>
              <w:t>300</w:t>
            </w:r>
            <w:r>
              <w:rPr>
                <w:color w:val="000000"/>
                <w:sz w:val="24"/>
              </w:rPr>
              <w:t>价值</w:t>
            </w:r>
            <w:r>
              <w:rPr>
                <w:color w:val="000000"/>
                <w:sz w:val="24"/>
              </w:rPr>
              <w:t>ETF</w:t>
            </w:r>
            <w:r>
              <w:rPr>
                <w:color w:val="000000"/>
                <w:sz w:val="24"/>
              </w:rPr>
              <w:t>及其联接基金、交银沪深</w:t>
            </w:r>
            <w:r>
              <w:rPr>
                <w:color w:val="000000"/>
                <w:sz w:val="24"/>
              </w:rPr>
              <w:t>300</w:t>
            </w:r>
            <w:r>
              <w:rPr>
                <w:color w:val="000000"/>
                <w:sz w:val="24"/>
              </w:rPr>
              <w:t>分层等权指数基金基金经理，公司量化投资部助理总经理</w:t>
            </w:r>
          </w:p>
        </w:tc>
        <w:tc>
          <w:tcPr>
            <w:tcW w:w="1549" w:type="dxa"/>
            <w:vAlign w:val="center"/>
          </w:tcPr>
          <w:p w:rsidR="00F73B61" w:rsidRDefault="00544342">
            <w:pPr>
              <w:jc w:val="center"/>
            </w:pPr>
            <w:r>
              <w:rPr>
                <w:color w:val="000000"/>
                <w:sz w:val="24"/>
              </w:rPr>
              <w:t>2012-12-27</w:t>
            </w:r>
          </w:p>
        </w:tc>
        <w:tc>
          <w:tcPr>
            <w:tcW w:w="1548" w:type="dxa"/>
            <w:vAlign w:val="center"/>
          </w:tcPr>
          <w:p w:rsidR="00F73B61" w:rsidRDefault="00544342">
            <w:pPr>
              <w:jc w:val="center"/>
            </w:pPr>
            <w:r>
              <w:rPr>
                <w:color w:val="000000"/>
                <w:sz w:val="24"/>
              </w:rPr>
              <w:t>-</w:t>
            </w:r>
          </w:p>
        </w:tc>
        <w:tc>
          <w:tcPr>
            <w:tcW w:w="1407" w:type="dxa"/>
            <w:vAlign w:val="center"/>
          </w:tcPr>
          <w:p w:rsidR="00F73B61" w:rsidRDefault="00544342">
            <w:pPr>
              <w:jc w:val="center"/>
            </w:pPr>
            <w:r>
              <w:rPr>
                <w:color w:val="000000"/>
                <w:sz w:val="24"/>
              </w:rPr>
              <w:t>5</w:t>
            </w:r>
            <w:r>
              <w:rPr>
                <w:color w:val="000000"/>
                <w:sz w:val="24"/>
              </w:rPr>
              <w:t>年</w:t>
            </w:r>
          </w:p>
        </w:tc>
        <w:tc>
          <w:tcPr>
            <w:tcW w:w="2673" w:type="dxa"/>
            <w:vAlign w:val="center"/>
          </w:tcPr>
          <w:p w:rsidR="00F73B61" w:rsidRDefault="00544342">
            <w:r>
              <w:rPr>
                <w:color w:val="000000"/>
                <w:sz w:val="24"/>
              </w:rPr>
              <w:t>蔡铮先生，复旦大学电子工程硕士。历任瑞士银行香港分行分析员。</w:t>
            </w:r>
            <w:r>
              <w:rPr>
                <w:color w:val="000000"/>
                <w:sz w:val="24"/>
              </w:rPr>
              <w:t>2009</w:t>
            </w:r>
            <w:r>
              <w:rPr>
                <w:color w:val="000000"/>
                <w:sz w:val="24"/>
              </w:rPr>
              <w:t>年加入交银施罗德基金管理有限公司，历任投资研究部数量分析师、基金经理助理。</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注：基金经理（或基金经理小组）期后变动（如有）敬请关注基金管理人发布的相关公告。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4.2</w:t>
      </w:r>
      <w:r w:rsidR="00385786" w:rsidRPr="0036023B">
        <w:rPr>
          <w:b/>
          <w:color w:val="000000"/>
          <w:kern w:val="0"/>
          <w:sz w:val="24"/>
        </w:rPr>
        <w:t xml:space="preserve"> </w:t>
      </w:r>
      <w:r w:rsidR="00BA4BD3" w:rsidRPr="0036023B">
        <w:rPr>
          <w:b/>
          <w:bCs/>
          <w:color w:val="000000"/>
          <w:sz w:val="24"/>
        </w:rPr>
        <w:t>管理人对报告期内本基金运作遵规守信情况的说明</w:t>
      </w:r>
    </w:p>
    <w:p w:rsidR="00220542" w:rsidRPr="0036023B" w:rsidRDefault="000820A8" w:rsidP="0099526C">
      <w:pPr>
        <w:spacing w:before="29" w:line="288" w:lineRule="auto"/>
        <w:ind w:firstLineChars="200" w:firstLine="480"/>
        <w:rPr>
          <w:color w:val="000000"/>
          <w:sz w:val="24"/>
        </w:rPr>
      </w:pPr>
      <w:r w:rsidRPr="0036023B">
        <w:rPr>
          <w:color w:val="000000"/>
          <w:sz w:val="24"/>
        </w:rPr>
        <w:t>在报告期内，本基金管理人严格遵循了《中华人民共和国证券投资基金法》、基金合同和其他相关法律法规的规定，并本着诚实信用、勤勉尽责的原则管理和运用基金资产，基金投资管理符合有关法律法规和基金合同的规定，为基金持有人谋求最大利益。</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4.3 </w:t>
      </w:r>
      <w:r w:rsidRPr="0036023B">
        <w:rPr>
          <w:b/>
          <w:color w:val="000000"/>
          <w:kern w:val="0"/>
          <w:sz w:val="24"/>
        </w:rPr>
        <w:t>公平交易专项说明</w:t>
      </w:r>
    </w:p>
    <w:p w:rsidR="00EB0BF5" w:rsidRPr="0036023B" w:rsidRDefault="00EB0BF5" w:rsidP="0099526C">
      <w:pPr>
        <w:spacing w:before="29" w:line="288" w:lineRule="auto"/>
        <w:rPr>
          <w:sz w:val="24"/>
        </w:rPr>
      </w:pPr>
      <w:smartTag w:uri="urn:schemas-microsoft-com:office:smarttags" w:element="chsdate">
        <w:smartTagPr>
          <w:attr w:name="IsROCDate" w:val="False"/>
          <w:attr w:name="IsLunarDate" w:val="False"/>
          <w:attr w:name="Day" w:val="30"/>
          <w:attr w:name="Month" w:val="12"/>
          <w:attr w:name="Year" w:val="1899"/>
        </w:smartTagPr>
        <w:r w:rsidRPr="0036023B">
          <w:rPr>
            <w:sz w:val="24"/>
          </w:rPr>
          <w:t>4.3.1</w:t>
        </w:r>
      </w:smartTag>
      <w:r w:rsidRPr="0036023B">
        <w:rPr>
          <w:sz w:val="24"/>
        </w:rPr>
        <w:t>公平交易制度的执行情况</w:t>
      </w:r>
    </w:p>
    <w:p w:rsidR="00F73B61" w:rsidRDefault="00544342">
      <w:pPr>
        <w:spacing w:before="29" w:line="288" w:lineRule="auto"/>
        <w:ind w:firstLineChars="200" w:firstLine="480"/>
        <w:rPr>
          <w:color w:val="000000"/>
          <w:sz w:val="24"/>
        </w:rPr>
      </w:pPr>
      <w:r>
        <w:rPr>
          <w:color w:val="000000"/>
          <w:sz w:val="24"/>
        </w:rPr>
        <w:t>本公司制定了严格的投资控制制度和公平交易监控制度来保证旗下基金运作的公平，旗下所管理的所有资产组合，包括证券投资基金和特定客户资产管理专户均严格遵循制度进行公平交易。</w:t>
      </w:r>
    </w:p>
    <w:p w:rsidR="00F73B61" w:rsidRDefault="00544342">
      <w:pPr>
        <w:spacing w:before="29" w:line="288" w:lineRule="auto"/>
        <w:ind w:firstLineChars="200" w:firstLine="480"/>
        <w:rPr>
          <w:color w:val="000000"/>
          <w:sz w:val="24"/>
        </w:rPr>
      </w:pPr>
      <w:r>
        <w:rPr>
          <w:color w:val="000000"/>
          <w:sz w:val="24"/>
        </w:rPr>
        <w:t>公司建立资源共享的投资研究信息平台，确保各投资组合在获得投资信息、投资建议和实施投资决策方面享有公平的机会。公司在交易执行环节实行集中交易制度，建立公平的交易分配制度。对于交易所公开竞价交易，遵循</w:t>
      </w:r>
      <w:r>
        <w:rPr>
          <w:color w:val="000000"/>
          <w:sz w:val="24"/>
        </w:rPr>
        <w:t>“</w:t>
      </w:r>
      <w:r>
        <w:rPr>
          <w:color w:val="000000"/>
          <w:sz w:val="24"/>
        </w:rPr>
        <w:t>时间优先、价格优先、比例分配</w:t>
      </w:r>
      <w:r>
        <w:rPr>
          <w:color w:val="000000"/>
          <w:sz w:val="24"/>
        </w:rPr>
        <w:t>”</w:t>
      </w:r>
      <w:r>
        <w:rPr>
          <w:color w:val="000000"/>
          <w:sz w:val="24"/>
        </w:rPr>
        <w:t>的原则，全部通过交易系统进行比例分配；对于非集中竞价交易、以公司名义进行的场外交易，遵循</w:t>
      </w:r>
      <w:r>
        <w:rPr>
          <w:color w:val="000000"/>
          <w:sz w:val="24"/>
        </w:rPr>
        <w:t>“</w:t>
      </w:r>
      <w:r>
        <w:rPr>
          <w:color w:val="000000"/>
          <w:sz w:val="24"/>
        </w:rPr>
        <w:t>价格优先、比例分配</w:t>
      </w:r>
      <w:r>
        <w:rPr>
          <w:color w:val="000000"/>
          <w:sz w:val="24"/>
        </w:rPr>
        <w:t>”</w:t>
      </w:r>
      <w:r>
        <w:rPr>
          <w:color w:val="000000"/>
          <w:sz w:val="24"/>
        </w:rPr>
        <w:t>的原则按事前独立确定的投资方案对交易结果进行分配。</w:t>
      </w:r>
    </w:p>
    <w:p w:rsidR="00F73B61" w:rsidRDefault="00544342">
      <w:pPr>
        <w:spacing w:before="29" w:line="288" w:lineRule="auto"/>
        <w:ind w:firstLineChars="200" w:firstLine="480"/>
        <w:rPr>
          <w:color w:val="000000"/>
          <w:sz w:val="24"/>
        </w:rPr>
      </w:pPr>
      <w:r>
        <w:rPr>
          <w:color w:val="000000"/>
          <w:sz w:val="24"/>
        </w:rPr>
        <w:t>公司中央交易室和风险管理部进行日常投资交易行为监控，风险管理部负责对各账户公平交易进行事后分析，于每季度和每年度分别对公司管理的不同投资组合的整体收益率差异、分投资类别的收益率差异以及不同时间窗口同向交易的交易价差进行分析，通过分析评估和信息披露来加强对公平交易过程和结果的监督。</w:t>
      </w:r>
    </w:p>
    <w:p w:rsidR="00EB0BF5" w:rsidRPr="0036023B" w:rsidRDefault="000820A8" w:rsidP="0099526C">
      <w:pPr>
        <w:spacing w:before="29" w:line="288" w:lineRule="auto"/>
        <w:ind w:firstLineChars="200" w:firstLine="480"/>
        <w:rPr>
          <w:color w:val="000000"/>
          <w:sz w:val="24"/>
        </w:rPr>
      </w:pPr>
      <w:r w:rsidRPr="0036023B">
        <w:rPr>
          <w:color w:val="000000"/>
          <w:sz w:val="24"/>
        </w:rPr>
        <w:t>报告期内本公司严格执行公平交易制度，公平对待旗下各投资组合，未发现任何违反公平交易的行为。</w:t>
      </w:r>
    </w:p>
    <w:p w:rsidR="00EB0BF5" w:rsidRPr="0036023B" w:rsidRDefault="00EB0BF5" w:rsidP="0099526C">
      <w:pPr>
        <w:spacing w:before="29" w:line="288" w:lineRule="auto"/>
        <w:rPr>
          <w:sz w:val="24"/>
        </w:rPr>
      </w:pPr>
      <w:r w:rsidRPr="0036023B">
        <w:rPr>
          <w:sz w:val="24"/>
        </w:rPr>
        <w:t>4.3.</w:t>
      </w:r>
      <w:r w:rsidR="003347EF" w:rsidRPr="0036023B">
        <w:rPr>
          <w:sz w:val="24"/>
        </w:rPr>
        <w:t>2</w:t>
      </w:r>
      <w:r w:rsidRPr="0036023B">
        <w:rPr>
          <w:sz w:val="24"/>
        </w:rPr>
        <w:t>异常交易行为的专项说明</w:t>
      </w:r>
    </w:p>
    <w:p w:rsidR="00EB0BF5" w:rsidRPr="0036023B" w:rsidRDefault="000820A8" w:rsidP="0099526C">
      <w:pPr>
        <w:spacing w:before="29" w:line="288" w:lineRule="auto"/>
        <w:ind w:firstLineChars="200" w:firstLine="480"/>
        <w:rPr>
          <w:color w:val="000000"/>
          <w:sz w:val="24"/>
        </w:rPr>
      </w:pPr>
      <w:r w:rsidRPr="0036023B">
        <w:rPr>
          <w:color w:val="000000"/>
          <w:sz w:val="24"/>
        </w:rPr>
        <w:t>本基金于本报告期内不存在异常交易行为。本报告期内</w:t>
      </w:r>
      <w:r w:rsidRPr="0036023B">
        <w:rPr>
          <w:color w:val="000000"/>
          <w:sz w:val="24"/>
        </w:rPr>
        <w:t>,</w:t>
      </w:r>
      <w:r w:rsidRPr="0036023B">
        <w:rPr>
          <w:color w:val="000000"/>
          <w:sz w:val="24"/>
        </w:rPr>
        <w:t>本公司管理的所有投资组合参与的交易所公开竞价同日反向交易成交较少的单边交易量没有超过该证券当日总成交量</w:t>
      </w:r>
      <w:r w:rsidRPr="0036023B">
        <w:rPr>
          <w:color w:val="000000"/>
          <w:sz w:val="24"/>
        </w:rPr>
        <w:t>5%</w:t>
      </w:r>
      <w:r w:rsidRPr="0036023B">
        <w:rPr>
          <w:color w:val="000000"/>
          <w:sz w:val="24"/>
        </w:rPr>
        <w:t>的情形，本基金与本公司管理的其他投资组合在不同时间窗下（如日内、</w:t>
      </w:r>
      <w:r w:rsidRPr="0036023B">
        <w:rPr>
          <w:color w:val="000000"/>
          <w:sz w:val="24"/>
        </w:rPr>
        <w:t>3</w:t>
      </w:r>
      <w:r w:rsidRPr="0036023B">
        <w:rPr>
          <w:color w:val="000000"/>
          <w:sz w:val="24"/>
        </w:rPr>
        <w:t>日内、</w:t>
      </w:r>
      <w:r w:rsidRPr="0036023B">
        <w:rPr>
          <w:color w:val="000000"/>
          <w:sz w:val="24"/>
        </w:rPr>
        <w:t>5</w:t>
      </w:r>
      <w:r w:rsidRPr="0036023B">
        <w:rPr>
          <w:color w:val="000000"/>
          <w:sz w:val="24"/>
        </w:rPr>
        <w:t>日内）同向交易的交易价差未出现异常。</w:t>
      </w:r>
    </w:p>
    <w:p w:rsidR="00220542" w:rsidRPr="0036023B" w:rsidRDefault="00220542"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 xml:space="preserve">4.4 </w:t>
      </w:r>
      <w:r w:rsidRPr="0036023B">
        <w:rPr>
          <w:rFonts w:hAnsi="宋体"/>
          <w:b/>
          <w:bCs/>
          <w:color w:val="000000"/>
          <w:sz w:val="24"/>
        </w:rPr>
        <w:t>报告期内基金的投资策略和运作分析</w:t>
      </w:r>
    </w:p>
    <w:p w:rsidR="00F73B61" w:rsidRDefault="00544342">
      <w:pPr>
        <w:spacing w:before="29" w:line="288" w:lineRule="auto"/>
        <w:ind w:firstLineChars="200" w:firstLine="480"/>
        <w:rPr>
          <w:color w:val="000000"/>
          <w:sz w:val="24"/>
        </w:rPr>
      </w:pPr>
      <w:r>
        <w:rPr>
          <w:color w:val="000000"/>
          <w:sz w:val="24"/>
        </w:rPr>
        <w:t>2014</w:t>
      </w:r>
      <w:r>
        <w:rPr>
          <w:color w:val="000000"/>
          <w:sz w:val="24"/>
        </w:rPr>
        <w:t>年四季度资本市场表现相当强劲，大小盘分化严重，代表低估值蓝筹股的指数表现较为突出，增量资金入市引发的低估值板块价值重估是市场表现的主要线索。本基金为跟踪基准指数的指数基金，在本报告期内获得较为可喜的上涨。</w:t>
      </w:r>
    </w:p>
    <w:p w:rsidR="00D33924" w:rsidRPr="0036023B" w:rsidRDefault="000820A8" w:rsidP="0099526C">
      <w:pPr>
        <w:spacing w:before="29" w:line="288" w:lineRule="auto"/>
        <w:ind w:firstLineChars="200" w:firstLine="480"/>
        <w:rPr>
          <w:color w:val="000000"/>
          <w:sz w:val="24"/>
        </w:rPr>
      </w:pPr>
      <w:r w:rsidRPr="0036023B">
        <w:rPr>
          <w:color w:val="000000"/>
          <w:sz w:val="24"/>
        </w:rPr>
        <w:t>展望未来，在微刺激的经济政策背景下，预计货币政策仍将保持相对稳定，经济增速较为平稳，股市在温和的外部环境下预计整体风险不大。在整体政策着力于改革与结构调整的大趋势下，预期市场或仍将延续价值修复的过程。</w:t>
      </w:r>
    </w:p>
    <w:p w:rsidR="008F5E2D" w:rsidRPr="0036023B" w:rsidRDefault="008F5E2D" w:rsidP="0099526C">
      <w:pPr>
        <w:spacing w:before="29" w:line="288" w:lineRule="auto"/>
        <w:ind w:firstLineChars="200" w:firstLine="480"/>
        <w:rPr>
          <w:color w:val="000000"/>
          <w:sz w:val="24"/>
        </w:rPr>
      </w:pPr>
    </w:p>
    <w:p w:rsidR="00D33924" w:rsidRPr="0036023B" w:rsidRDefault="00324373" w:rsidP="0099526C">
      <w:pPr>
        <w:spacing w:before="29" w:line="288" w:lineRule="auto"/>
        <w:rPr>
          <w:sz w:val="24"/>
        </w:rPr>
      </w:pPr>
      <w:r w:rsidRPr="0036023B">
        <w:rPr>
          <w:b/>
          <w:color w:val="000000"/>
          <w:kern w:val="0"/>
          <w:sz w:val="24"/>
        </w:rPr>
        <w:t>4.5</w:t>
      </w:r>
      <w:r w:rsidR="00385786" w:rsidRPr="0036023B">
        <w:rPr>
          <w:b/>
          <w:color w:val="000000"/>
          <w:kern w:val="0"/>
          <w:sz w:val="24"/>
        </w:rPr>
        <w:t xml:space="preserve"> </w:t>
      </w:r>
      <w:r w:rsidRPr="0036023B">
        <w:rPr>
          <w:b/>
          <w:color w:val="000000"/>
          <w:kern w:val="0"/>
          <w:sz w:val="24"/>
        </w:rPr>
        <w:t>报告期内基金的业绩表现</w:t>
      </w:r>
    </w:p>
    <w:p w:rsidR="00D33924" w:rsidRPr="0036023B" w:rsidRDefault="000820A8" w:rsidP="0099526C">
      <w:pPr>
        <w:spacing w:before="29" w:line="288" w:lineRule="auto"/>
        <w:ind w:firstLineChars="200" w:firstLine="480"/>
        <w:rPr>
          <w:color w:val="000000"/>
          <w:sz w:val="24"/>
        </w:rPr>
      </w:pPr>
      <w:r w:rsidRPr="0036023B">
        <w:rPr>
          <w:color w:val="000000"/>
          <w:sz w:val="24"/>
        </w:rPr>
        <w:t>截至</w:t>
      </w:r>
      <w:r w:rsidRPr="0036023B">
        <w:rPr>
          <w:color w:val="000000"/>
          <w:sz w:val="24"/>
        </w:rPr>
        <w:t>2014</w:t>
      </w:r>
      <w:r w:rsidRPr="0036023B">
        <w:rPr>
          <w:color w:val="000000"/>
          <w:sz w:val="24"/>
        </w:rPr>
        <w:t>年</w:t>
      </w:r>
      <w:r w:rsidRPr="0036023B">
        <w:rPr>
          <w:color w:val="000000"/>
          <w:sz w:val="24"/>
        </w:rPr>
        <w:t>12</w:t>
      </w:r>
      <w:r w:rsidRPr="0036023B">
        <w:rPr>
          <w:color w:val="000000"/>
          <w:sz w:val="24"/>
        </w:rPr>
        <w:t>月</w:t>
      </w:r>
      <w:r w:rsidRPr="0036023B">
        <w:rPr>
          <w:color w:val="000000"/>
          <w:sz w:val="24"/>
        </w:rPr>
        <w:t>31</w:t>
      </w:r>
      <w:r w:rsidRPr="0036023B">
        <w:rPr>
          <w:color w:val="000000"/>
          <w:sz w:val="24"/>
        </w:rPr>
        <w:t>日，本基金份额净值</w:t>
      </w:r>
      <w:r w:rsidRPr="0036023B">
        <w:rPr>
          <w:color w:val="000000"/>
          <w:sz w:val="24"/>
        </w:rPr>
        <w:t>1.069</w:t>
      </w:r>
      <w:r w:rsidRPr="0036023B">
        <w:rPr>
          <w:color w:val="000000"/>
          <w:sz w:val="24"/>
        </w:rPr>
        <w:t>元，本报告期份额净值增长率为</w:t>
      </w:r>
      <w:r w:rsidRPr="0036023B">
        <w:rPr>
          <w:color w:val="000000"/>
          <w:sz w:val="24"/>
        </w:rPr>
        <w:t>57.90%</w:t>
      </w:r>
      <w:r w:rsidRPr="0036023B">
        <w:rPr>
          <w:color w:val="000000"/>
          <w:sz w:val="24"/>
        </w:rPr>
        <w:t>，同期业绩比较基准增长率为</w:t>
      </w:r>
      <w:r w:rsidRPr="0036023B">
        <w:rPr>
          <w:color w:val="000000"/>
          <w:sz w:val="24"/>
        </w:rPr>
        <w:t>58.23%</w:t>
      </w:r>
      <w:r w:rsidRPr="0036023B">
        <w:rPr>
          <w:color w:val="000000"/>
          <w:sz w:val="24"/>
        </w:rPr>
        <w:t>。本报告期内本基金的日均跟踪偏离度为</w:t>
      </w:r>
      <w:r w:rsidRPr="0036023B">
        <w:rPr>
          <w:color w:val="000000"/>
          <w:sz w:val="24"/>
        </w:rPr>
        <w:t>0.07%</w:t>
      </w:r>
      <w:r w:rsidRPr="0036023B">
        <w:rPr>
          <w:color w:val="000000"/>
          <w:sz w:val="24"/>
        </w:rPr>
        <w:t>，跟踪误差为</w:t>
      </w:r>
      <w:r w:rsidRPr="0036023B">
        <w:rPr>
          <w:color w:val="000000"/>
          <w:sz w:val="24"/>
        </w:rPr>
        <w:t>0.09%</w:t>
      </w:r>
      <w:r w:rsidRPr="0036023B">
        <w:rPr>
          <w:color w:val="000000"/>
          <w:sz w:val="24"/>
        </w:rPr>
        <w:t>。</w:t>
      </w:r>
    </w:p>
    <w:p w:rsidR="00511B6A" w:rsidRPr="0036023B" w:rsidRDefault="00511B6A" w:rsidP="0099526C">
      <w:pPr>
        <w:spacing w:before="29" w:line="288" w:lineRule="auto"/>
        <w:ind w:firstLineChars="200" w:firstLine="480"/>
        <w:rPr>
          <w:color w:val="000000"/>
          <w:sz w:val="24"/>
        </w:rPr>
      </w:pPr>
    </w:p>
    <w:p w:rsidR="00842C93" w:rsidRPr="002070B4" w:rsidRDefault="00842C93" w:rsidP="00842C93">
      <w:pPr>
        <w:autoSpaceDE w:val="0"/>
        <w:autoSpaceDN w:val="0"/>
        <w:adjustRightInd w:val="0"/>
        <w:spacing w:before="29" w:line="288" w:lineRule="auto"/>
        <w:jc w:val="left"/>
        <w:rPr>
          <w:b/>
          <w:color w:val="000000"/>
          <w:kern w:val="0"/>
          <w:sz w:val="24"/>
        </w:rPr>
      </w:pPr>
      <w:r w:rsidRPr="002070B4">
        <w:rPr>
          <w:b/>
          <w:color w:val="000000"/>
          <w:kern w:val="0"/>
          <w:sz w:val="24"/>
        </w:rPr>
        <w:t>4</w:t>
      </w:r>
      <w:r w:rsidRPr="002070B4">
        <w:rPr>
          <w:rFonts w:hint="eastAsia"/>
          <w:b/>
          <w:color w:val="000000"/>
          <w:kern w:val="0"/>
          <w:sz w:val="24"/>
        </w:rPr>
        <w:t>.6</w:t>
      </w:r>
      <w:r w:rsidRPr="002070B4">
        <w:rPr>
          <w:rFonts w:hint="eastAsia"/>
          <w:b/>
          <w:color w:val="000000"/>
          <w:kern w:val="0"/>
          <w:sz w:val="24"/>
        </w:rPr>
        <w:t>报告期内基金持有人数或基金资产净值预警说明</w:t>
      </w:r>
    </w:p>
    <w:p w:rsidR="00842C93" w:rsidRDefault="00842C93" w:rsidP="00842C93">
      <w:pPr>
        <w:spacing w:before="29" w:line="288" w:lineRule="auto"/>
        <w:ind w:firstLineChars="200" w:firstLine="480"/>
        <w:rPr>
          <w:color w:val="000000"/>
          <w:sz w:val="24"/>
        </w:rPr>
      </w:pPr>
      <w:r w:rsidRPr="002070B4">
        <w:rPr>
          <w:color w:val="000000"/>
          <w:sz w:val="24"/>
        </w:rPr>
        <w:t>本基金本报告期内无需预警说明。</w:t>
      </w:r>
    </w:p>
    <w:p w:rsidR="008F5E2D" w:rsidRPr="0036023B" w:rsidRDefault="008F5E2D" w:rsidP="0099526C">
      <w:pPr>
        <w:spacing w:before="29" w:line="288" w:lineRule="auto"/>
        <w:ind w:firstLineChars="200" w:firstLine="480"/>
        <w:rPr>
          <w:color w:val="000000"/>
          <w:sz w:val="24"/>
        </w:rPr>
      </w:pPr>
    </w:p>
    <w:p w:rsidR="00220542" w:rsidRPr="0036023B"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§5  </w:t>
      </w:r>
      <w:r w:rsidRPr="0036023B">
        <w:rPr>
          <w:color w:val="000000"/>
          <w:kern w:val="0"/>
          <w:sz w:val="24"/>
          <w:szCs w:val="24"/>
        </w:rPr>
        <w:t>投资组合报告</w:t>
      </w: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5.1 </w:t>
      </w:r>
      <w:r w:rsidRPr="0036023B">
        <w:rPr>
          <w:b/>
          <w:color w:val="000000"/>
          <w:kern w:val="0"/>
          <w:sz w:val="24"/>
        </w:rPr>
        <w:t>报告期末基金资产组合情况</w:t>
      </w:r>
    </w:p>
    <w:tbl>
      <w:tblPr>
        <w:tblStyle w:val="af7"/>
        <w:tblW w:w="8868" w:type="dxa"/>
        <w:jc w:val="center"/>
        <w:tblLayout w:type="fixed"/>
        <w:tblLook w:val="04A0" w:firstRow="1" w:lastRow="0" w:firstColumn="1" w:lastColumn="0" w:noHBand="0" w:noVBand="1"/>
      </w:tblPr>
      <w:tblGrid>
        <w:gridCol w:w="749"/>
        <w:gridCol w:w="3491"/>
        <w:gridCol w:w="2948"/>
        <w:gridCol w:w="1680"/>
      </w:tblGrid>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349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项目</w:t>
            </w:r>
          </w:p>
        </w:tc>
        <w:tc>
          <w:tcPr>
            <w:tcW w:w="2948"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金额</w:t>
            </w:r>
            <w:r w:rsidR="00120183" w:rsidRPr="0036023B">
              <w:rPr>
                <w:color w:val="000000"/>
                <w:kern w:val="0"/>
                <w:sz w:val="24"/>
              </w:rPr>
              <w:t>（元）</w:t>
            </w:r>
          </w:p>
        </w:tc>
        <w:tc>
          <w:tcPr>
            <w:tcW w:w="1680"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占基金总资产的比例</w:t>
            </w:r>
            <w:r w:rsidR="00120183" w:rsidRPr="0036023B">
              <w:rPr>
                <w:color w:val="000000"/>
                <w:kern w:val="0"/>
                <w:sz w:val="24"/>
              </w:rPr>
              <w:t>（％）</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1</w:t>
            </w: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权益投资</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2,008,335,799.47</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99.01</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其中：股票</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2,008,335,799.47</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99.01</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2</w:t>
            </w: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固定收益投资</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其中：债券</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p>
        </w:tc>
        <w:tc>
          <w:tcPr>
            <w:tcW w:w="3491" w:type="dxa"/>
            <w:vAlign w:val="center"/>
          </w:tcPr>
          <w:p w:rsidR="000820A8" w:rsidRPr="0036023B" w:rsidRDefault="000820A8" w:rsidP="0099526C">
            <w:pPr>
              <w:autoSpaceDE w:val="0"/>
              <w:autoSpaceDN w:val="0"/>
              <w:adjustRightInd w:val="0"/>
              <w:spacing w:before="29" w:line="288" w:lineRule="auto"/>
              <w:ind w:firstLineChars="300" w:firstLine="720"/>
              <w:jc w:val="left"/>
              <w:rPr>
                <w:color w:val="000000"/>
                <w:sz w:val="24"/>
              </w:rPr>
            </w:pPr>
            <w:r w:rsidRPr="0036023B">
              <w:rPr>
                <w:color w:val="000000"/>
                <w:sz w:val="24"/>
              </w:rPr>
              <w:t>资产支持证券</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EA1AA4" w:rsidRPr="0036023B" w:rsidTr="00781A66">
        <w:trPr>
          <w:jc w:val="center"/>
        </w:trPr>
        <w:tc>
          <w:tcPr>
            <w:tcW w:w="749" w:type="dxa"/>
            <w:vAlign w:val="center"/>
          </w:tcPr>
          <w:p w:rsidR="00EA1AA4" w:rsidRPr="0036023B" w:rsidRDefault="00EA1AA4" w:rsidP="0099526C">
            <w:pPr>
              <w:spacing w:before="29" w:line="288" w:lineRule="auto"/>
              <w:ind w:left="17"/>
              <w:jc w:val="center"/>
              <w:rPr>
                <w:color w:val="000000"/>
                <w:sz w:val="24"/>
              </w:rPr>
            </w:pPr>
            <w:r w:rsidRPr="0036023B">
              <w:rPr>
                <w:color w:val="000000"/>
                <w:sz w:val="24"/>
              </w:rPr>
              <w:t>3</w:t>
            </w:r>
          </w:p>
        </w:tc>
        <w:tc>
          <w:tcPr>
            <w:tcW w:w="3491" w:type="dxa"/>
            <w:vAlign w:val="center"/>
          </w:tcPr>
          <w:p w:rsidR="00EA1AA4" w:rsidRPr="0036023B" w:rsidRDefault="00EA1AA4" w:rsidP="0099526C">
            <w:pPr>
              <w:spacing w:before="29" w:line="288" w:lineRule="auto"/>
              <w:ind w:left="17"/>
              <w:jc w:val="left"/>
              <w:rPr>
                <w:color w:val="000000"/>
                <w:sz w:val="24"/>
              </w:rPr>
            </w:pPr>
            <w:r w:rsidRPr="0036023B">
              <w:rPr>
                <w:rFonts w:hAnsi="宋体"/>
                <w:color w:val="000000"/>
                <w:sz w:val="24"/>
              </w:rPr>
              <w:t>贵金属投资</w:t>
            </w:r>
          </w:p>
        </w:tc>
        <w:tc>
          <w:tcPr>
            <w:tcW w:w="2948"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c>
          <w:tcPr>
            <w:tcW w:w="1680" w:type="dxa"/>
            <w:vAlign w:val="center"/>
          </w:tcPr>
          <w:p w:rsidR="00EA1AA4" w:rsidRPr="0036023B" w:rsidRDefault="00EA1AA4" w:rsidP="0099526C">
            <w:pPr>
              <w:spacing w:before="29" w:line="288" w:lineRule="auto"/>
              <w:ind w:left="17"/>
              <w:jc w:val="right"/>
              <w:rPr>
                <w:color w:val="000000"/>
                <w:sz w:val="24"/>
              </w:rPr>
            </w:pPr>
            <w:r w:rsidRPr="0036023B">
              <w:rPr>
                <w:rFonts w:eastAsiaTheme="minorEastAsia"/>
                <w:color w:val="000000"/>
                <w:sz w:val="24"/>
              </w:rPr>
              <w:t>-</w:t>
            </w:r>
          </w:p>
        </w:tc>
      </w:tr>
      <w:tr w:rsidR="000820A8" w:rsidRPr="0036023B" w:rsidTr="00781A66">
        <w:trPr>
          <w:jc w:val="center"/>
        </w:trPr>
        <w:tc>
          <w:tcPr>
            <w:tcW w:w="749"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4</w:t>
            </w: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金融衍生品投资</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781A66">
        <w:trPr>
          <w:jc w:val="center"/>
        </w:trPr>
        <w:tc>
          <w:tcPr>
            <w:tcW w:w="749"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5</w:t>
            </w: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买入返售金融资产</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781A66">
        <w:trPr>
          <w:jc w:val="center"/>
        </w:trPr>
        <w:tc>
          <w:tcPr>
            <w:tcW w:w="749" w:type="dxa"/>
            <w:vAlign w:val="center"/>
          </w:tcPr>
          <w:p w:rsidR="000820A8" w:rsidRPr="0036023B" w:rsidRDefault="000820A8" w:rsidP="0099526C">
            <w:pPr>
              <w:spacing w:before="29" w:line="288" w:lineRule="auto"/>
              <w:ind w:left="17"/>
              <w:jc w:val="center"/>
              <w:rPr>
                <w:color w:val="000000"/>
                <w:sz w:val="24"/>
              </w:rPr>
            </w:pP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其中：买断式回购的买入返售金融资产</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w:t>
            </w:r>
          </w:p>
        </w:tc>
      </w:tr>
      <w:tr w:rsidR="000820A8" w:rsidRPr="0036023B" w:rsidTr="00781A66">
        <w:trPr>
          <w:jc w:val="center"/>
        </w:trPr>
        <w:tc>
          <w:tcPr>
            <w:tcW w:w="749" w:type="dxa"/>
            <w:vAlign w:val="center"/>
          </w:tcPr>
          <w:p w:rsidR="000820A8" w:rsidRPr="0036023B" w:rsidRDefault="00EA1AA4" w:rsidP="0099526C">
            <w:pPr>
              <w:spacing w:before="29" w:line="288" w:lineRule="auto"/>
              <w:ind w:left="17"/>
              <w:jc w:val="center"/>
              <w:rPr>
                <w:color w:val="000000"/>
                <w:sz w:val="24"/>
              </w:rPr>
            </w:pPr>
            <w:r w:rsidRPr="0036023B">
              <w:rPr>
                <w:color w:val="000000"/>
                <w:sz w:val="24"/>
              </w:rPr>
              <w:t>6</w:t>
            </w:r>
          </w:p>
        </w:tc>
        <w:tc>
          <w:tcPr>
            <w:tcW w:w="3491" w:type="dxa"/>
            <w:vAlign w:val="center"/>
          </w:tcPr>
          <w:p w:rsidR="000820A8" w:rsidRPr="0036023B" w:rsidRDefault="000820A8" w:rsidP="0099526C">
            <w:pPr>
              <w:spacing w:before="29" w:line="288" w:lineRule="auto"/>
              <w:ind w:left="17"/>
              <w:jc w:val="left"/>
              <w:rPr>
                <w:sz w:val="24"/>
              </w:rPr>
            </w:pPr>
            <w:r w:rsidRPr="0036023B">
              <w:rPr>
                <w:color w:val="000000"/>
                <w:sz w:val="24"/>
              </w:rPr>
              <w:t>银行存款和结算备付金合计</w:t>
            </w:r>
          </w:p>
        </w:tc>
        <w:tc>
          <w:tcPr>
            <w:tcW w:w="2948"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19,223,309.89</w:t>
            </w:r>
          </w:p>
        </w:tc>
        <w:tc>
          <w:tcPr>
            <w:tcW w:w="1680" w:type="dxa"/>
            <w:vAlign w:val="center"/>
          </w:tcPr>
          <w:p w:rsidR="000820A8" w:rsidRPr="0036023B" w:rsidRDefault="000820A8" w:rsidP="0099526C">
            <w:pPr>
              <w:spacing w:before="29" w:line="288" w:lineRule="auto"/>
              <w:ind w:left="17"/>
              <w:jc w:val="right"/>
              <w:rPr>
                <w:color w:val="000000"/>
                <w:sz w:val="24"/>
              </w:rPr>
            </w:pPr>
            <w:r w:rsidRPr="0036023B">
              <w:rPr>
                <w:color w:val="000000"/>
                <w:sz w:val="24"/>
              </w:rPr>
              <w:t>0.95</w:t>
            </w:r>
          </w:p>
        </w:tc>
      </w:tr>
      <w:tr w:rsidR="00781A66" w:rsidRPr="0036023B" w:rsidTr="00781A66">
        <w:trPr>
          <w:jc w:val="center"/>
        </w:trPr>
        <w:tc>
          <w:tcPr>
            <w:tcW w:w="749" w:type="dxa"/>
            <w:vAlign w:val="center"/>
          </w:tcPr>
          <w:p w:rsidR="00781A66" w:rsidRPr="0036023B" w:rsidRDefault="00781A66" w:rsidP="0099526C">
            <w:pPr>
              <w:spacing w:before="29" w:line="288" w:lineRule="auto"/>
              <w:ind w:left="17"/>
              <w:jc w:val="center"/>
              <w:rPr>
                <w:color w:val="000000"/>
                <w:sz w:val="24"/>
              </w:rPr>
            </w:pPr>
            <w:r w:rsidRPr="0036023B">
              <w:rPr>
                <w:rFonts w:eastAsiaTheme="minorEastAsia"/>
                <w:color w:val="000000"/>
                <w:sz w:val="24"/>
              </w:rPr>
              <w:t>7</w:t>
            </w:r>
          </w:p>
        </w:tc>
        <w:tc>
          <w:tcPr>
            <w:tcW w:w="3491" w:type="dxa"/>
            <w:vAlign w:val="center"/>
          </w:tcPr>
          <w:p w:rsidR="00781A66" w:rsidRPr="0036023B" w:rsidRDefault="00781A66" w:rsidP="0099526C">
            <w:pPr>
              <w:spacing w:before="29" w:line="288" w:lineRule="auto"/>
              <w:jc w:val="left"/>
              <w:rPr>
                <w:sz w:val="24"/>
              </w:rPr>
            </w:pPr>
            <w:r w:rsidRPr="0036023B">
              <w:rPr>
                <w:color w:val="000000"/>
                <w:sz w:val="24"/>
              </w:rPr>
              <w:t>其他资产</w:t>
            </w:r>
          </w:p>
        </w:tc>
        <w:tc>
          <w:tcPr>
            <w:tcW w:w="2948" w:type="dxa"/>
            <w:vAlign w:val="center"/>
          </w:tcPr>
          <w:p w:rsidR="00AD3177" w:rsidRDefault="00AD3177" w:rsidP="00985FE4">
            <w:pPr>
              <w:spacing w:before="29" w:line="288" w:lineRule="auto"/>
              <w:ind w:left="17"/>
              <w:jc w:val="right"/>
              <w:rPr>
                <w:color w:val="000000"/>
                <w:sz w:val="24"/>
              </w:rPr>
            </w:pPr>
            <w:r w:rsidRPr="00985FE4">
              <w:rPr>
                <w:color w:val="000000"/>
                <w:sz w:val="24"/>
              </w:rPr>
              <w:t>765,908.67</w:t>
            </w:r>
          </w:p>
        </w:tc>
        <w:tc>
          <w:tcPr>
            <w:tcW w:w="1680" w:type="dxa"/>
            <w:vAlign w:val="center"/>
          </w:tcPr>
          <w:p w:rsidR="00781A66" w:rsidRPr="0036023B" w:rsidRDefault="00781A66" w:rsidP="0099526C">
            <w:pPr>
              <w:spacing w:before="29" w:line="288" w:lineRule="auto"/>
              <w:jc w:val="right"/>
              <w:rPr>
                <w:color w:val="000000"/>
                <w:sz w:val="24"/>
              </w:rPr>
            </w:pPr>
            <w:r w:rsidRPr="0036023B">
              <w:rPr>
                <w:color w:val="000000"/>
                <w:sz w:val="24"/>
              </w:rPr>
              <w:t>0.04</w:t>
            </w:r>
          </w:p>
        </w:tc>
      </w:tr>
      <w:tr w:rsidR="00781A66" w:rsidRPr="0036023B" w:rsidTr="00781A66">
        <w:trPr>
          <w:jc w:val="center"/>
        </w:trPr>
        <w:tc>
          <w:tcPr>
            <w:tcW w:w="749" w:type="dxa"/>
            <w:vAlign w:val="center"/>
          </w:tcPr>
          <w:p w:rsidR="00781A66" w:rsidRPr="0036023B" w:rsidRDefault="00781A66" w:rsidP="0099526C">
            <w:pPr>
              <w:spacing w:before="29" w:line="288" w:lineRule="auto"/>
              <w:ind w:left="17"/>
              <w:jc w:val="center"/>
              <w:rPr>
                <w:color w:val="000000"/>
                <w:sz w:val="24"/>
              </w:rPr>
            </w:pPr>
            <w:r w:rsidRPr="0036023B">
              <w:rPr>
                <w:color w:val="000000"/>
                <w:sz w:val="24"/>
              </w:rPr>
              <w:t>8</w:t>
            </w:r>
          </w:p>
        </w:tc>
        <w:tc>
          <w:tcPr>
            <w:tcW w:w="3491" w:type="dxa"/>
            <w:vAlign w:val="center"/>
          </w:tcPr>
          <w:p w:rsidR="00781A66" w:rsidRPr="0036023B" w:rsidRDefault="00781A66" w:rsidP="0099526C">
            <w:pPr>
              <w:spacing w:before="29" w:line="288" w:lineRule="auto"/>
              <w:jc w:val="left"/>
              <w:rPr>
                <w:sz w:val="24"/>
              </w:rPr>
            </w:pPr>
            <w:r w:rsidRPr="0036023B">
              <w:rPr>
                <w:color w:val="000000"/>
                <w:sz w:val="24"/>
              </w:rPr>
              <w:t>合计</w:t>
            </w:r>
          </w:p>
        </w:tc>
        <w:tc>
          <w:tcPr>
            <w:tcW w:w="2948" w:type="dxa"/>
            <w:vAlign w:val="center"/>
          </w:tcPr>
          <w:p w:rsidR="00AD3177" w:rsidRDefault="00AD3177" w:rsidP="00985FE4">
            <w:pPr>
              <w:spacing w:before="29" w:line="288" w:lineRule="auto"/>
              <w:ind w:left="17"/>
              <w:jc w:val="right"/>
              <w:rPr>
                <w:color w:val="000000"/>
                <w:sz w:val="24"/>
              </w:rPr>
            </w:pPr>
            <w:r w:rsidRPr="00985FE4">
              <w:rPr>
                <w:color w:val="000000"/>
                <w:sz w:val="24"/>
              </w:rPr>
              <w:t>2,028,325,018.03</w:t>
            </w:r>
          </w:p>
        </w:tc>
        <w:tc>
          <w:tcPr>
            <w:tcW w:w="1680" w:type="dxa"/>
            <w:vAlign w:val="center"/>
          </w:tcPr>
          <w:p w:rsidR="00781A66" w:rsidRPr="0036023B" w:rsidRDefault="00781A66" w:rsidP="0099526C">
            <w:pPr>
              <w:spacing w:before="29" w:line="288" w:lineRule="auto"/>
              <w:jc w:val="right"/>
              <w:rPr>
                <w:color w:val="000000"/>
                <w:sz w:val="24"/>
              </w:rPr>
            </w:pPr>
            <w:r w:rsidRPr="0036023B">
              <w:rPr>
                <w:color w:val="000000"/>
                <w:sz w:val="24"/>
              </w:rPr>
              <w:t>100.00</w:t>
            </w:r>
          </w:p>
        </w:tc>
      </w:tr>
    </w:tbl>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注：本表权益投资股票项中含可退替代款估值增值，而</w:t>
      </w:r>
      <w:r w:rsidRPr="0036023B">
        <w:rPr>
          <w:color w:val="000000"/>
          <w:sz w:val="24"/>
        </w:rPr>
        <w:t>5.2.2</w:t>
      </w:r>
      <w:r w:rsidRPr="0036023B">
        <w:rPr>
          <w:color w:val="000000"/>
          <w:sz w:val="24"/>
        </w:rPr>
        <w:t>合计项中不含可退替代款估值增值，因此二者存在上述差异。</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5.2 </w:t>
      </w:r>
      <w:r w:rsidRPr="0036023B">
        <w:rPr>
          <w:b/>
          <w:color w:val="000000"/>
          <w:kern w:val="0"/>
          <w:sz w:val="24"/>
        </w:rPr>
        <w:t>报告期末按行业分类的股票投资组合</w:t>
      </w: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5.2.1</w:t>
        </w:r>
      </w:smartTag>
      <w:r w:rsidR="00693D86" w:rsidRPr="0036023B">
        <w:rPr>
          <w:b/>
          <w:color w:val="000000"/>
          <w:kern w:val="0"/>
          <w:sz w:val="24"/>
        </w:rPr>
        <w:t xml:space="preserve"> </w:t>
      </w:r>
      <w:r w:rsidRPr="0036023B">
        <w:rPr>
          <w:b/>
          <w:color w:val="000000"/>
          <w:kern w:val="0"/>
          <w:sz w:val="24"/>
        </w:rPr>
        <w:t>积极投资按行业分类的股票投资组合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532F26" w:rsidRPr="0036023B" w:rsidRDefault="00532F26" w:rsidP="0099526C">
      <w:pPr>
        <w:autoSpaceDE w:val="0"/>
        <w:autoSpaceDN w:val="0"/>
        <w:adjustRightInd w:val="0"/>
        <w:spacing w:before="29" w:line="288" w:lineRule="auto"/>
        <w:jc w:val="left"/>
        <w:rPr>
          <w:color w:val="000000"/>
          <w:sz w:val="24"/>
        </w:rPr>
      </w:pPr>
    </w:p>
    <w:p w:rsidR="004318F0" w:rsidRPr="0036023B" w:rsidRDefault="004318F0" w:rsidP="0099526C">
      <w:pPr>
        <w:autoSpaceDE w:val="0"/>
        <w:autoSpaceDN w:val="0"/>
        <w:adjustRightInd w:val="0"/>
        <w:spacing w:before="29" w:line="288" w:lineRule="auto"/>
        <w:jc w:val="left"/>
        <w:rPr>
          <w:b/>
          <w:color w:val="000000"/>
          <w:kern w:val="0"/>
          <w:sz w:val="24"/>
        </w:rPr>
      </w:pPr>
      <w:smartTag w:uri="urn:schemas-microsoft-com:office:smarttags" w:element="chsdate">
        <w:smartTagPr>
          <w:attr w:name="Year" w:val="1899"/>
          <w:attr w:name="Month" w:val="12"/>
          <w:attr w:name="Day" w:val="30"/>
          <w:attr w:name="IsLunarDate" w:val="False"/>
          <w:attr w:name="IsROCDate" w:val="False"/>
        </w:smartTagPr>
        <w:r w:rsidRPr="0036023B">
          <w:rPr>
            <w:b/>
            <w:color w:val="000000"/>
            <w:kern w:val="0"/>
            <w:sz w:val="24"/>
          </w:rPr>
          <w:t>5.2.2</w:t>
        </w:r>
      </w:smartTag>
      <w:r w:rsidR="008F5ACF" w:rsidRPr="0036023B">
        <w:rPr>
          <w:b/>
          <w:color w:val="000000"/>
          <w:kern w:val="0"/>
          <w:sz w:val="24"/>
        </w:rPr>
        <w:t xml:space="preserve"> </w:t>
      </w:r>
      <w:r w:rsidRPr="0036023B">
        <w:rPr>
          <w:b/>
          <w:color w:val="000000"/>
          <w:kern w:val="0"/>
          <w:sz w:val="24"/>
        </w:rPr>
        <w:t>指数投资按行业分类的股票投资组合</w:t>
      </w:r>
    </w:p>
    <w:tbl>
      <w:tblPr>
        <w:tblW w:w="8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5"/>
        <w:gridCol w:w="3452"/>
        <w:gridCol w:w="2897"/>
        <w:gridCol w:w="1674"/>
      </w:tblGrid>
      <w:tr w:rsidR="00091560" w:rsidRPr="0036023B" w:rsidTr="00A93D16">
        <w:trPr>
          <w:trHeight w:val="390"/>
          <w:jc w:val="center"/>
        </w:trPr>
        <w:tc>
          <w:tcPr>
            <w:tcW w:w="845" w:type="dxa"/>
            <w:tcBorders>
              <w:top w:val="single" w:sz="4" w:space="0" w:color="000000"/>
              <w:left w:val="single" w:sz="4" w:space="0" w:color="000000"/>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代码</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行业类别</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djustRightInd w:val="0"/>
              <w:snapToGrid w:val="0"/>
              <w:spacing w:before="29" w:line="288" w:lineRule="auto"/>
              <w:jc w:val="center"/>
              <w:rPr>
                <w:sz w:val="24"/>
              </w:rPr>
            </w:pPr>
            <w:r w:rsidRPr="0036023B">
              <w:rPr>
                <w:sz w:val="24"/>
              </w:rPr>
              <w:t>公允价值（元）</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占基金资产净值比例（％）</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A</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农、林、牧、渔业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4,484,225.12</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utoSpaceDE w:val="0"/>
              <w:autoSpaceDN w:val="0"/>
              <w:adjustRightInd w:val="0"/>
              <w:spacing w:before="29" w:line="288" w:lineRule="auto"/>
              <w:ind w:left="15"/>
              <w:jc w:val="right"/>
              <w:rPr>
                <w:sz w:val="24"/>
              </w:rPr>
            </w:pPr>
            <w:r w:rsidRPr="0036023B">
              <w:rPr>
                <w:sz w:val="24"/>
              </w:rPr>
              <w:t>0.22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B</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采矿业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E75942">
            <w:pPr>
              <w:spacing w:before="29" w:line="288" w:lineRule="auto"/>
              <w:jc w:val="right"/>
              <w:rPr>
                <w:sz w:val="24"/>
              </w:rPr>
            </w:pPr>
            <w:r w:rsidRPr="0036023B">
              <w:rPr>
                <w:sz w:val="24"/>
              </w:rPr>
              <w:t>90,950,033.59</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E75942">
            <w:pPr>
              <w:spacing w:before="29" w:line="288" w:lineRule="auto"/>
              <w:jc w:val="right"/>
              <w:rPr>
                <w:sz w:val="24"/>
              </w:rPr>
            </w:pPr>
            <w:r w:rsidRPr="0036023B">
              <w:rPr>
                <w:sz w:val="24"/>
              </w:rPr>
              <w:t>4.49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C</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制造业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340,162,900.10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16.79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D</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电力、热力、燃气及水生产和供应业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82,599,982.66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4.08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E</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建筑业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127,133,576.55</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6.27</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F</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批发和零售业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20,765,829.38</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1.02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G</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交通运输、仓储和邮政业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62,828,392.80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3.10</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H</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sz w:val="24"/>
              </w:rPr>
            </w:pPr>
            <w:r w:rsidRPr="0036023B">
              <w:rPr>
                <w:sz w:val="24"/>
              </w:rPr>
              <w:t>住宿和餐饮业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D0685A">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sz w:val="24"/>
              </w:rPr>
            </w:pPr>
            <w:r w:rsidRPr="0036023B">
              <w:rPr>
                <w:sz w:val="24"/>
              </w:rPr>
              <w:t>I</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D0685A">
            <w:pPr>
              <w:adjustRightInd w:val="0"/>
              <w:snapToGrid w:val="0"/>
              <w:spacing w:before="29" w:line="288" w:lineRule="auto"/>
              <w:rPr>
                <w:sz w:val="24"/>
              </w:rPr>
            </w:pPr>
            <w:r w:rsidRPr="0036023B">
              <w:rPr>
                <w:sz w:val="24"/>
              </w:rPr>
              <w:t>信息传输、软件和信息技术服务业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49,534,476.51</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2.44</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J</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金融业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1,150,849,383.00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56.79</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K</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房地产业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62,423,711.36</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3.08</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L</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租赁和商务服务业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M</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科学研究和技术服务业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N</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水利、环境和公共设施管理业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O</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居民服务、修理和其他服务业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P</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教育</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Q</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卫生和社会工作</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R</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文化、体育和娱乐业</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16,585,964.40</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0.82</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r w:rsidRPr="0036023B">
              <w:rPr>
                <w:color w:val="000000"/>
                <w:sz w:val="24"/>
              </w:rPr>
              <w:t>S</w:t>
            </w: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综合</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w:t>
            </w:r>
          </w:p>
        </w:tc>
      </w:tr>
      <w:tr w:rsidR="00091560" w:rsidRPr="0036023B" w:rsidTr="00A93D16">
        <w:trPr>
          <w:trHeight w:val="285"/>
          <w:jc w:val="center"/>
        </w:trPr>
        <w:tc>
          <w:tcPr>
            <w:tcW w:w="845"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adjustRightInd w:val="0"/>
              <w:snapToGrid w:val="0"/>
              <w:spacing w:before="29" w:line="288" w:lineRule="auto"/>
              <w:jc w:val="center"/>
              <w:rPr>
                <w:color w:val="000000"/>
                <w:sz w:val="24"/>
              </w:rPr>
            </w:pPr>
          </w:p>
        </w:tc>
        <w:tc>
          <w:tcPr>
            <w:tcW w:w="3452" w:type="dxa"/>
            <w:tcBorders>
              <w:top w:val="single" w:sz="4" w:space="0" w:color="000000"/>
              <w:left w:val="single" w:sz="4" w:space="0" w:color="000000"/>
              <w:bottom w:val="single" w:sz="4" w:space="0" w:color="000000"/>
              <w:right w:val="single" w:sz="4" w:space="0" w:color="auto"/>
            </w:tcBorders>
            <w:tcMar>
              <w:top w:w="15" w:type="dxa"/>
              <w:bottom w:w="0" w:type="dxa"/>
            </w:tcMar>
            <w:vAlign w:val="center"/>
          </w:tcPr>
          <w:p w:rsidR="00091560" w:rsidRPr="0036023B" w:rsidRDefault="00091560" w:rsidP="0099526C">
            <w:pPr>
              <w:adjustRightInd w:val="0"/>
              <w:snapToGrid w:val="0"/>
              <w:spacing w:before="29" w:line="288" w:lineRule="auto"/>
              <w:rPr>
                <w:color w:val="000000"/>
                <w:sz w:val="24"/>
              </w:rPr>
            </w:pPr>
            <w:r w:rsidRPr="0036023B">
              <w:rPr>
                <w:color w:val="000000"/>
                <w:sz w:val="24"/>
              </w:rPr>
              <w:t>合计</w:t>
            </w:r>
          </w:p>
        </w:tc>
        <w:tc>
          <w:tcPr>
            <w:tcW w:w="2897" w:type="dxa"/>
            <w:tcBorders>
              <w:top w:val="single" w:sz="4" w:space="0" w:color="000000"/>
              <w:left w:val="single" w:sz="4" w:space="0" w:color="auto"/>
              <w:bottom w:val="single" w:sz="4" w:space="0" w:color="000000"/>
              <w:right w:val="single" w:sz="4" w:space="0" w:color="000000"/>
            </w:tcBorders>
            <w:vAlign w:val="center"/>
          </w:tcPr>
          <w:p w:rsidR="00091560" w:rsidRPr="0036023B" w:rsidRDefault="00091560" w:rsidP="0099526C">
            <w:pPr>
              <w:spacing w:before="29" w:line="288" w:lineRule="auto"/>
              <w:jc w:val="right"/>
              <w:rPr>
                <w:sz w:val="24"/>
              </w:rPr>
            </w:pPr>
            <w:r w:rsidRPr="0036023B">
              <w:rPr>
                <w:sz w:val="24"/>
              </w:rPr>
              <w:t>2,008,318,475.47</w:t>
            </w:r>
          </w:p>
        </w:tc>
        <w:tc>
          <w:tcPr>
            <w:tcW w:w="1674" w:type="dxa"/>
            <w:tcBorders>
              <w:top w:val="single" w:sz="4" w:space="0" w:color="000000"/>
              <w:left w:val="single" w:sz="4" w:space="0" w:color="000000"/>
              <w:bottom w:val="single" w:sz="4" w:space="0" w:color="000000"/>
              <w:right w:val="single" w:sz="4" w:space="0" w:color="000000"/>
            </w:tcBorders>
            <w:tcMar>
              <w:top w:w="15" w:type="dxa"/>
              <w:bottom w:w="0" w:type="dxa"/>
            </w:tcMar>
            <w:vAlign w:val="center"/>
          </w:tcPr>
          <w:p w:rsidR="00091560" w:rsidRPr="0036023B" w:rsidRDefault="00091560" w:rsidP="0099526C">
            <w:pPr>
              <w:spacing w:before="29" w:line="288" w:lineRule="auto"/>
              <w:jc w:val="right"/>
              <w:rPr>
                <w:sz w:val="24"/>
              </w:rPr>
            </w:pPr>
            <w:r w:rsidRPr="0036023B">
              <w:rPr>
                <w:sz w:val="24"/>
              </w:rPr>
              <w:t>99.11</w:t>
            </w:r>
          </w:p>
        </w:tc>
      </w:tr>
    </w:tbl>
    <w:p w:rsidR="004318F0" w:rsidRPr="0036023B" w:rsidRDefault="004318F0" w:rsidP="0099526C">
      <w:pPr>
        <w:autoSpaceDE w:val="0"/>
        <w:autoSpaceDN w:val="0"/>
        <w:adjustRightInd w:val="0"/>
        <w:spacing w:before="29" w:line="288" w:lineRule="auto"/>
        <w:jc w:val="left"/>
        <w:rPr>
          <w:color w:val="00000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5.3</w:t>
      </w:r>
      <w:r w:rsidR="009B2D8E" w:rsidRPr="0036023B">
        <w:rPr>
          <w:b/>
          <w:color w:val="000000"/>
          <w:kern w:val="0"/>
          <w:sz w:val="24"/>
        </w:rPr>
        <w:t xml:space="preserve"> </w:t>
      </w:r>
      <w:r w:rsidR="009D585F" w:rsidRPr="0036023B">
        <w:rPr>
          <w:b/>
          <w:color w:val="000000"/>
          <w:kern w:val="0"/>
          <w:sz w:val="24"/>
        </w:rPr>
        <w:t>报告期末按公允价值占基金资产净值比例大小的股票投资明细</w:t>
      </w:r>
    </w:p>
    <w:p w:rsidR="00C22C7D" w:rsidRPr="0036023B" w:rsidRDefault="000625A6" w:rsidP="0099526C">
      <w:pPr>
        <w:spacing w:before="29" w:line="288" w:lineRule="auto"/>
        <w:rPr>
          <w:b/>
          <w:sz w:val="24"/>
        </w:rPr>
      </w:pPr>
      <w:r w:rsidRPr="0036023B">
        <w:rPr>
          <w:b/>
          <w:color w:val="000000"/>
          <w:kern w:val="0"/>
          <w:sz w:val="24"/>
        </w:rPr>
        <w:t>5.3.1</w:t>
      </w:r>
      <w:r w:rsidR="00A34B04" w:rsidRPr="0036023B">
        <w:rPr>
          <w:b/>
          <w:color w:val="000000"/>
          <w:kern w:val="0"/>
          <w:sz w:val="24"/>
        </w:rPr>
        <w:t xml:space="preserve"> </w:t>
      </w:r>
      <w:r w:rsidR="009D585F" w:rsidRPr="0036023B">
        <w:rPr>
          <w:b/>
          <w:color w:val="000000"/>
          <w:kern w:val="0"/>
          <w:sz w:val="24"/>
        </w:rPr>
        <w:t>报告期末指数投资按公允价值占基金资产净值比例大小排序的前十名股票投资明细</w:t>
      </w:r>
    </w:p>
    <w:tbl>
      <w:tblPr>
        <w:tblStyle w:val="af7"/>
        <w:tblW w:w="8868" w:type="dxa"/>
        <w:jc w:val="center"/>
        <w:tblLayout w:type="fixed"/>
        <w:tblCellMar>
          <w:top w:w="57" w:type="dxa"/>
          <w:bottom w:w="57" w:type="dxa"/>
        </w:tblCellMar>
        <w:tblLook w:val="04A0" w:firstRow="1" w:lastRow="0" w:firstColumn="1" w:lastColumn="0" w:noHBand="0" w:noVBand="1"/>
      </w:tblPr>
      <w:tblGrid>
        <w:gridCol w:w="850"/>
        <w:gridCol w:w="1327"/>
        <w:gridCol w:w="1769"/>
        <w:gridCol w:w="1327"/>
        <w:gridCol w:w="1915"/>
        <w:gridCol w:w="1680"/>
      </w:tblGrid>
      <w:tr w:rsidR="000820A8" w:rsidRPr="0036023B" w:rsidTr="00792CEB">
        <w:trPr>
          <w:jc w:val="center"/>
        </w:trPr>
        <w:tc>
          <w:tcPr>
            <w:tcW w:w="817"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序号</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股票代码</w:t>
            </w:r>
          </w:p>
        </w:tc>
        <w:tc>
          <w:tcPr>
            <w:tcW w:w="1701"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股票名称</w:t>
            </w:r>
          </w:p>
        </w:tc>
        <w:tc>
          <w:tcPr>
            <w:tcW w:w="127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数量</w:t>
            </w:r>
            <w:r w:rsidR="009C6D27" w:rsidRPr="0036023B">
              <w:rPr>
                <w:color w:val="000000"/>
                <w:kern w:val="0"/>
                <w:sz w:val="24"/>
              </w:rPr>
              <w:t>（股）</w:t>
            </w:r>
          </w:p>
        </w:tc>
        <w:tc>
          <w:tcPr>
            <w:tcW w:w="1842" w:type="dxa"/>
            <w:vAlign w:val="center"/>
          </w:tcPr>
          <w:p w:rsidR="000820A8" w:rsidRPr="0036023B" w:rsidRDefault="000820A8" w:rsidP="0099526C">
            <w:pPr>
              <w:autoSpaceDE w:val="0"/>
              <w:autoSpaceDN w:val="0"/>
              <w:adjustRightInd w:val="0"/>
              <w:spacing w:before="29" w:line="288" w:lineRule="auto"/>
              <w:ind w:left="17"/>
              <w:jc w:val="center"/>
              <w:rPr>
                <w:color w:val="000000"/>
                <w:sz w:val="24"/>
              </w:rPr>
            </w:pPr>
            <w:r w:rsidRPr="0036023B">
              <w:rPr>
                <w:color w:val="000000"/>
                <w:sz w:val="24"/>
              </w:rPr>
              <w:t>公允价值</w:t>
            </w:r>
            <w:r w:rsidRPr="0036023B">
              <w:rPr>
                <w:color w:val="000000"/>
                <w:sz w:val="24"/>
              </w:rPr>
              <w:t>(</w:t>
            </w:r>
            <w:r w:rsidRPr="0036023B">
              <w:rPr>
                <w:color w:val="000000"/>
                <w:sz w:val="24"/>
              </w:rPr>
              <w:t>元</w:t>
            </w:r>
            <w:r w:rsidRPr="0036023B">
              <w:rPr>
                <w:color w:val="000000"/>
                <w:sz w:val="24"/>
              </w:rPr>
              <w:t>)</w:t>
            </w:r>
          </w:p>
        </w:tc>
        <w:tc>
          <w:tcPr>
            <w:tcW w:w="1616" w:type="dxa"/>
            <w:vAlign w:val="center"/>
          </w:tcPr>
          <w:p w:rsidR="000820A8" w:rsidRPr="0036023B" w:rsidRDefault="000820A8" w:rsidP="0099526C">
            <w:pPr>
              <w:spacing w:before="29" w:line="288" w:lineRule="auto"/>
              <w:ind w:left="17"/>
              <w:jc w:val="center"/>
              <w:rPr>
                <w:color w:val="000000"/>
                <w:sz w:val="24"/>
              </w:rPr>
            </w:pPr>
            <w:r w:rsidRPr="0036023B">
              <w:rPr>
                <w:color w:val="000000"/>
                <w:sz w:val="24"/>
              </w:rPr>
              <w:t>占基金资产净值比例</w:t>
            </w:r>
            <w:r w:rsidR="009C6D27" w:rsidRPr="0036023B">
              <w:rPr>
                <w:color w:val="000000"/>
                <w:kern w:val="0"/>
                <w:sz w:val="24"/>
              </w:rPr>
              <w:t>（％）</w:t>
            </w:r>
          </w:p>
        </w:tc>
      </w:tr>
      <w:tr w:rsidR="00F73B61">
        <w:trPr>
          <w:jc w:val="center"/>
        </w:trPr>
        <w:tc>
          <w:tcPr>
            <w:tcW w:w="850" w:type="dxa"/>
            <w:vAlign w:val="center"/>
          </w:tcPr>
          <w:p w:rsidR="00F73B61" w:rsidRDefault="00544342">
            <w:pPr>
              <w:jc w:val="center"/>
            </w:pPr>
            <w:r>
              <w:rPr>
                <w:color w:val="000000"/>
                <w:sz w:val="24"/>
              </w:rPr>
              <w:t>1</w:t>
            </w:r>
          </w:p>
        </w:tc>
        <w:tc>
          <w:tcPr>
            <w:tcW w:w="1327" w:type="dxa"/>
            <w:vAlign w:val="center"/>
          </w:tcPr>
          <w:p w:rsidR="00F73B61" w:rsidRDefault="00544342">
            <w:pPr>
              <w:jc w:val="center"/>
            </w:pPr>
            <w:r>
              <w:rPr>
                <w:color w:val="000000"/>
                <w:sz w:val="24"/>
              </w:rPr>
              <w:t>601318</w:t>
            </w:r>
          </w:p>
        </w:tc>
        <w:tc>
          <w:tcPr>
            <w:tcW w:w="1769" w:type="dxa"/>
            <w:vAlign w:val="center"/>
          </w:tcPr>
          <w:p w:rsidR="00F73B61" w:rsidRDefault="00544342">
            <w:pPr>
              <w:jc w:val="center"/>
            </w:pPr>
            <w:r>
              <w:rPr>
                <w:color w:val="000000"/>
                <w:sz w:val="24"/>
              </w:rPr>
              <w:t>中国平安</w:t>
            </w:r>
          </w:p>
        </w:tc>
        <w:tc>
          <w:tcPr>
            <w:tcW w:w="1327" w:type="dxa"/>
            <w:vAlign w:val="center"/>
          </w:tcPr>
          <w:p w:rsidR="00F73B61" w:rsidRDefault="00544342">
            <w:pPr>
              <w:jc w:val="right"/>
            </w:pPr>
            <w:r>
              <w:rPr>
                <w:color w:val="000000"/>
                <w:sz w:val="24"/>
              </w:rPr>
              <w:t>2,116,948</w:t>
            </w:r>
          </w:p>
        </w:tc>
        <w:tc>
          <w:tcPr>
            <w:tcW w:w="1915" w:type="dxa"/>
            <w:vAlign w:val="center"/>
          </w:tcPr>
          <w:p w:rsidR="00F73B61" w:rsidRDefault="00544342">
            <w:pPr>
              <w:jc w:val="right"/>
            </w:pPr>
            <w:r>
              <w:rPr>
                <w:color w:val="000000"/>
                <w:sz w:val="24"/>
              </w:rPr>
              <w:t>158,157,185.08</w:t>
            </w:r>
          </w:p>
        </w:tc>
        <w:tc>
          <w:tcPr>
            <w:tcW w:w="1680" w:type="dxa"/>
            <w:vAlign w:val="center"/>
          </w:tcPr>
          <w:p w:rsidR="00F73B61" w:rsidRDefault="00544342">
            <w:pPr>
              <w:jc w:val="right"/>
            </w:pPr>
            <w:r>
              <w:rPr>
                <w:color w:val="000000"/>
                <w:sz w:val="24"/>
              </w:rPr>
              <w:t>7.80</w:t>
            </w:r>
          </w:p>
        </w:tc>
      </w:tr>
      <w:tr w:rsidR="00F73B61">
        <w:trPr>
          <w:jc w:val="center"/>
        </w:trPr>
        <w:tc>
          <w:tcPr>
            <w:tcW w:w="850" w:type="dxa"/>
            <w:vAlign w:val="center"/>
          </w:tcPr>
          <w:p w:rsidR="00F73B61" w:rsidRDefault="00544342">
            <w:pPr>
              <w:jc w:val="center"/>
            </w:pPr>
            <w:r>
              <w:rPr>
                <w:color w:val="000000"/>
                <w:sz w:val="24"/>
              </w:rPr>
              <w:t>2</w:t>
            </w:r>
          </w:p>
        </w:tc>
        <w:tc>
          <w:tcPr>
            <w:tcW w:w="1327" w:type="dxa"/>
            <w:vAlign w:val="center"/>
          </w:tcPr>
          <w:p w:rsidR="00F73B61" w:rsidRDefault="00544342">
            <w:pPr>
              <w:jc w:val="center"/>
            </w:pPr>
            <w:r>
              <w:rPr>
                <w:color w:val="000000"/>
                <w:sz w:val="24"/>
              </w:rPr>
              <w:t>600016</w:t>
            </w:r>
          </w:p>
        </w:tc>
        <w:tc>
          <w:tcPr>
            <w:tcW w:w="1769" w:type="dxa"/>
            <w:vAlign w:val="center"/>
          </w:tcPr>
          <w:p w:rsidR="00F73B61" w:rsidRDefault="00544342">
            <w:pPr>
              <w:jc w:val="center"/>
            </w:pPr>
            <w:r>
              <w:rPr>
                <w:color w:val="000000"/>
                <w:sz w:val="24"/>
              </w:rPr>
              <w:t>民生银行</w:t>
            </w:r>
          </w:p>
        </w:tc>
        <w:tc>
          <w:tcPr>
            <w:tcW w:w="1327" w:type="dxa"/>
            <w:vAlign w:val="center"/>
          </w:tcPr>
          <w:p w:rsidR="00F73B61" w:rsidRDefault="00544342">
            <w:pPr>
              <w:jc w:val="right"/>
            </w:pPr>
            <w:r>
              <w:rPr>
                <w:color w:val="000000"/>
                <w:sz w:val="24"/>
              </w:rPr>
              <w:t>11,949,866</w:t>
            </w:r>
          </w:p>
        </w:tc>
        <w:tc>
          <w:tcPr>
            <w:tcW w:w="1915" w:type="dxa"/>
            <w:vAlign w:val="center"/>
          </w:tcPr>
          <w:p w:rsidR="00F73B61" w:rsidRDefault="00544342">
            <w:pPr>
              <w:jc w:val="right"/>
            </w:pPr>
            <w:r>
              <w:rPr>
                <w:color w:val="000000"/>
                <w:sz w:val="24"/>
              </w:rPr>
              <w:t>130,014,542.08</w:t>
            </w:r>
          </w:p>
        </w:tc>
        <w:tc>
          <w:tcPr>
            <w:tcW w:w="1680" w:type="dxa"/>
            <w:vAlign w:val="center"/>
          </w:tcPr>
          <w:p w:rsidR="00F73B61" w:rsidRDefault="00544342">
            <w:pPr>
              <w:jc w:val="right"/>
            </w:pPr>
            <w:r>
              <w:rPr>
                <w:color w:val="000000"/>
                <w:sz w:val="24"/>
              </w:rPr>
              <w:t>6.42</w:t>
            </w:r>
          </w:p>
        </w:tc>
      </w:tr>
      <w:tr w:rsidR="00F73B61">
        <w:trPr>
          <w:jc w:val="center"/>
        </w:trPr>
        <w:tc>
          <w:tcPr>
            <w:tcW w:w="850" w:type="dxa"/>
            <w:vAlign w:val="center"/>
          </w:tcPr>
          <w:p w:rsidR="00F73B61" w:rsidRDefault="00544342">
            <w:pPr>
              <w:jc w:val="center"/>
            </w:pPr>
            <w:r>
              <w:rPr>
                <w:color w:val="000000"/>
                <w:sz w:val="24"/>
              </w:rPr>
              <w:t>3</w:t>
            </w:r>
          </w:p>
        </w:tc>
        <w:tc>
          <w:tcPr>
            <w:tcW w:w="1327" w:type="dxa"/>
            <w:vAlign w:val="center"/>
          </w:tcPr>
          <w:p w:rsidR="00F73B61" w:rsidRDefault="00544342">
            <w:pPr>
              <w:jc w:val="center"/>
            </w:pPr>
            <w:r>
              <w:rPr>
                <w:color w:val="000000"/>
                <w:sz w:val="24"/>
              </w:rPr>
              <w:t>600036</w:t>
            </w:r>
          </w:p>
        </w:tc>
        <w:tc>
          <w:tcPr>
            <w:tcW w:w="1769" w:type="dxa"/>
            <w:vAlign w:val="center"/>
          </w:tcPr>
          <w:p w:rsidR="00F73B61" w:rsidRDefault="00544342">
            <w:pPr>
              <w:jc w:val="center"/>
            </w:pPr>
            <w:r>
              <w:rPr>
                <w:color w:val="000000"/>
                <w:sz w:val="24"/>
              </w:rPr>
              <w:t>招商银行</w:t>
            </w:r>
          </w:p>
        </w:tc>
        <w:tc>
          <w:tcPr>
            <w:tcW w:w="1327" w:type="dxa"/>
            <w:vAlign w:val="center"/>
          </w:tcPr>
          <w:p w:rsidR="00F73B61" w:rsidRDefault="00544342">
            <w:pPr>
              <w:jc w:val="right"/>
            </w:pPr>
            <w:r>
              <w:rPr>
                <w:color w:val="000000"/>
                <w:sz w:val="24"/>
              </w:rPr>
              <w:t>7,286,000</w:t>
            </w:r>
          </w:p>
        </w:tc>
        <w:tc>
          <w:tcPr>
            <w:tcW w:w="1915" w:type="dxa"/>
            <w:vAlign w:val="center"/>
          </w:tcPr>
          <w:p w:rsidR="00F73B61" w:rsidRDefault="00544342">
            <w:pPr>
              <w:jc w:val="right"/>
            </w:pPr>
            <w:r>
              <w:rPr>
                <w:color w:val="000000"/>
                <w:sz w:val="24"/>
              </w:rPr>
              <w:t>120,874,740.00</w:t>
            </w:r>
          </w:p>
        </w:tc>
        <w:tc>
          <w:tcPr>
            <w:tcW w:w="1680" w:type="dxa"/>
            <w:vAlign w:val="center"/>
          </w:tcPr>
          <w:p w:rsidR="00F73B61" w:rsidRDefault="00544342">
            <w:pPr>
              <w:jc w:val="right"/>
            </w:pPr>
            <w:r>
              <w:rPr>
                <w:color w:val="000000"/>
                <w:sz w:val="24"/>
              </w:rPr>
              <w:t>5.96</w:t>
            </w:r>
          </w:p>
        </w:tc>
      </w:tr>
      <w:tr w:rsidR="00F73B61">
        <w:trPr>
          <w:jc w:val="center"/>
        </w:trPr>
        <w:tc>
          <w:tcPr>
            <w:tcW w:w="850" w:type="dxa"/>
            <w:vAlign w:val="center"/>
          </w:tcPr>
          <w:p w:rsidR="00F73B61" w:rsidRDefault="00544342">
            <w:pPr>
              <w:jc w:val="center"/>
            </w:pPr>
            <w:r>
              <w:rPr>
                <w:color w:val="000000"/>
                <w:sz w:val="24"/>
              </w:rPr>
              <w:t>4</w:t>
            </w:r>
          </w:p>
        </w:tc>
        <w:tc>
          <w:tcPr>
            <w:tcW w:w="1327" w:type="dxa"/>
            <w:vAlign w:val="center"/>
          </w:tcPr>
          <w:p w:rsidR="00F73B61" w:rsidRDefault="00544342">
            <w:pPr>
              <w:jc w:val="center"/>
            </w:pPr>
            <w:r>
              <w:rPr>
                <w:color w:val="000000"/>
                <w:sz w:val="24"/>
              </w:rPr>
              <w:t>600030</w:t>
            </w:r>
          </w:p>
        </w:tc>
        <w:tc>
          <w:tcPr>
            <w:tcW w:w="1769" w:type="dxa"/>
            <w:vAlign w:val="center"/>
          </w:tcPr>
          <w:p w:rsidR="00F73B61" w:rsidRDefault="00544342">
            <w:pPr>
              <w:jc w:val="center"/>
            </w:pPr>
            <w:r>
              <w:rPr>
                <w:color w:val="000000"/>
                <w:sz w:val="24"/>
              </w:rPr>
              <w:t>中信证券</w:t>
            </w:r>
          </w:p>
        </w:tc>
        <w:tc>
          <w:tcPr>
            <w:tcW w:w="1327" w:type="dxa"/>
            <w:vAlign w:val="center"/>
          </w:tcPr>
          <w:p w:rsidR="00F73B61" w:rsidRDefault="00544342">
            <w:pPr>
              <w:jc w:val="right"/>
            </w:pPr>
            <w:r>
              <w:rPr>
                <w:color w:val="000000"/>
                <w:sz w:val="24"/>
              </w:rPr>
              <w:t>3,381,683</w:t>
            </w:r>
          </w:p>
        </w:tc>
        <w:tc>
          <w:tcPr>
            <w:tcW w:w="1915" w:type="dxa"/>
            <w:vAlign w:val="center"/>
          </w:tcPr>
          <w:p w:rsidR="00F73B61" w:rsidRDefault="00544342">
            <w:pPr>
              <w:jc w:val="right"/>
            </w:pPr>
            <w:r>
              <w:rPr>
                <w:color w:val="000000"/>
                <w:sz w:val="24"/>
              </w:rPr>
              <w:t>114,639,053.70</w:t>
            </w:r>
          </w:p>
        </w:tc>
        <w:tc>
          <w:tcPr>
            <w:tcW w:w="1680" w:type="dxa"/>
            <w:vAlign w:val="center"/>
          </w:tcPr>
          <w:p w:rsidR="00F73B61" w:rsidRDefault="00544342">
            <w:pPr>
              <w:jc w:val="right"/>
            </w:pPr>
            <w:r>
              <w:rPr>
                <w:color w:val="000000"/>
                <w:sz w:val="24"/>
              </w:rPr>
              <w:t>5.66</w:t>
            </w:r>
          </w:p>
        </w:tc>
      </w:tr>
      <w:tr w:rsidR="00F73B61">
        <w:trPr>
          <w:jc w:val="center"/>
        </w:trPr>
        <w:tc>
          <w:tcPr>
            <w:tcW w:w="850" w:type="dxa"/>
            <w:vAlign w:val="center"/>
          </w:tcPr>
          <w:p w:rsidR="00F73B61" w:rsidRDefault="00544342">
            <w:pPr>
              <w:jc w:val="center"/>
            </w:pPr>
            <w:r>
              <w:rPr>
                <w:color w:val="000000"/>
                <w:sz w:val="24"/>
              </w:rPr>
              <w:t>5</w:t>
            </w:r>
          </w:p>
        </w:tc>
        <w:tc>
          <w:tcPr>
            <w:tcW w:w="1327" w:type="dxa"/>
            <w:vAlign w:val="center"/>
          </w:tcPr>
          <w:p w:rsidR="00F73B61" w:rsidRDefault="00544342">
            <w:pPr>
              <w:jc w:val="center"/>
            </w:pPr>
            <w:r>
              <w:rPr>
                <w:color w:val="000000"/>
                <w:sz w:val="24"/>
              </w:rPr>
              <w:t>600837</w:t>
            </w:r>
          </w:p>
        </w:tc>
        <w:tc>
          <w:tcPr>
            <w:tcW w:w="1769" w:type="dxa"/>
            <w:vAlign w:val="center"/>
          </w:tcPr>
          <w:p w:rsidR="00F73B61" w:rsidRDefault="00544342">
            <w:pPr>
              <w:jc w:val="center"/>
            </w:pPr>
            <w:r>
              <w:rPr>
                <w:color w:val="000000"/>
                <w:sz w:val="24"/>
              </w:rPr>
              <w:t>海通证券</w:t>
            </w:r>
          </w:p>
        </w:tc>
        <w:tc>
          <w:tcPr>
            <w:tcW w:w="1327" w:type="dxa"/>
            <w:vAlign w:val="center"/>
          </w:tcPr>
          <w:p w:rsidR="00F73B61" w:rsidRDefault="00544342">
            <w:pPr>
              <w:jc w:val="right"/>
            </w:pPr>
            <w:r>
              <w:rPr>
                <w:color w:val="000000"/>
                <w:sz w:val="24"/>
              </w:rPr>
              <w:t>3,573,028</w:t>
            </w:r>
          </w:p>
        </w:tc>
        <w:tc>
          <w:tcPr>
            <w:tcW w:w="1915" w:type="dxa"/>
            <w:vAlign w:val="center"/>
          </w:tcPr>
          <w:p w:rsidR="00F73B61" w:rsidRDefault="00544342">
            <w:pPr>
              <w:jc w:val="right"/>
            </w:pPr>
            <w:r>
              <w:rPr>
                <w:color w:val="000000"/>
                <w:sz w:val="24"/>
              </w:rPr>
              <w:t>85,967,053.68</w:t>
            </w:r>
          </w:p>
        </w:tc>
        <w:tc>
          <w:tcPr>
            <w:tcW w:w="1680" w:type="dxa"/>
            <w:vAlign w:val="center"/>
          </w:tcPr>
          <w:p w:rsidR="00F73B61" w:rsidRDefault="00544342">
            <w:pPr>
              <w:jc w:val="right"/>
            </w:pPr>
            <w:r>
              <w:rPr>
                <w:color w:val="000000"/>
                <w:sz w:val="24"/>
              </w:rPr>
              <w:t>4.24</w:t>
            </w:r>
          </w:p>
        </w:tc>
      </w:tr>
      <w:tr w:rsidR="00F73B61">
        <w:trPr>
          <w:jc w:val="center"/>
        </w:trPr>
        <w:tc>
          <w:tcPr>
            <w:tcW w:w="850" w:type="dxa"/>
            <w:vAlign w:val="center"/>
          </w:tcPr>
          <w:p w:rsidR="00F73B61" w:rsidRDefault="00544342">
            <w:pPr>
              <w:jc w:val="center"/>
            </w:pPr>
            <w:r>
              <w:rPr>
                <w:color w:val="000000"/>
                <w:sz w:val="24"/>
              </w:rPr>
              <w:t>6</w:t>
            </w:r>
          </w:p>
        </w:tc>
        <w:tc>
          <w:tcPr>
            <w:tcW w:w="1327" w:type="dxa"/>
            <w:vAlign w:val="center"/>
          </w:tcPr>
          <w:p w:rsidR="00F73B61" w:rsidRDefault="00544342">
            <w:pPr>
              <w:jc w:val="center"/>
            </w:pPr>
            <w:r>
              <w:rPr>
                <w:color w:val="000000"/>
                <w:sz w:val="24"/>
              </w:rPr>
              <w:t>601166</w:t>
            </w:r>
          </w:p>
        </w:tc>
        <w:tc>
          <w:tcPr>
            <w:tcW w:w="1769" w:type="dxa"/>
            <w:vAlign w:val="center"/>
          </w:tcPr>
          <w:p w:rsidR="00F73B61" w:rsidRDefault="00544342">
            <w:pPr>
              <w:jc w:val="center"/>
            </w:pPr>
            <w:r>
              <w:rPr>
                <w:color w:val="000000"/>
                <w:sz w:val="24"/>
              </w:rPr>
              <w:t>兴业银行</w:t>
            </w:r>
          </w:p>
        </w:tc>
        <w:tc>
          <w:tcPr>
            <w:tcW w:w="1327" w:type="dxa"/>
            <w:vAlign w:val="center"/>
          </w:tcPr>
          <w:p w:rsidR="00F73B61" w:rsidRDefault="00544342">
            <w:pPr>
              <w:jc w:val="right"/>
            </w:pPr>
            <w:r>
              <w:rPr>
                <w:color w:val="000000"/>
                <w:sz w:val="24"/>
              </w:rPr>
              <w:t>5,047,091</w:t>
            </w:r>
          </w:p>
        </w:tc>
        <w:tc>
          <w:tcPr>
            <w:tcW w:w="1915" w:type="dxa"/>
            <w:vAlign w:val="center"/>
          </w:tcPr>
          <w:p w:rsidR="00F73B61" w:rsidRDefault="00544342">
            <w:pPr>
              <w:jc w:val="right"/>
            </w:pPr>
            <w:r>
              <w:rPr>
                <w:color w:val="000000"/>
                <w:sz w:val="24"/>
              </w:rPr>
              <w:t>83,277,001.50</w:t>
            </w:r>
          </w:p>
        </w:tc>
        <w:tc>
          <w:tcPr>
            <w:tcW w:w="1680" w:type="dxa"/>
            <w:vAlign w:val="center"/>
          </w:tcPr>
          <w:p w:rsidR="00F73B61" w:rsidRDefault="00544342">
            <w:pPr>
              <w:jc w:val="right"/>
            </w:pPr>
            <w:r>
              <w:rPr>
                <w:color w:val="000000"/>
                <w:sz w:val="24"/>
              </w:rPr>
              <w:t>4.11</w:t>
            </w:r>
          </w:p>
        </w:tc>
      </w:tr>
      <w:tr w:rsidR="00F73B61">
        <w:trPr>
          <w:jc w:val="center"/>
        </w:trPr>
        <w:tc>
          <w:tcPr>
            <w:tcW w:w="850" w:type="dxa"/>
            <w:vAlign w:val="center"/>
          </w:tcPr>
          <w:p w:rsidR="00F73B61" w:rsidRDefault="00544342">
            <w:pPr>
              <w:jc w:val="center"/>
            </w:pPr>
            <w:r>
              <w:rPr>
                <w:color w:val="000000"/>
                <w:sz w:val="24"/>
              </w:rPr>
              <w:t>7</w:t>
            </w:r>
          </w:p>
        </w:tc>
        <w:tc>
          <w:tcPr>
            <w:tcW w:w="1327" w:type="dxa"/>
            <w:vAlign w:val="center"/>
          </w:tcPr>
          <w:p w:rsidR="00F73B61" w:rsidRDefault="00544342">
            <w:pPr>
              <w:jc w:val="center"/>
            </w:pPr>
            <w:r>
              <w:rPr>
                <w:color w:val="000000"/>
                <w:sz w:val="24"/>
              </w:rPr>
              <w:t>600000</w:t>
            </w:r>
          </w:p>
        </w:tc>
        <w:tc>
          <w:tcPr>
            <w:tcW w:w="1769" w:type="dxa"/>
            <w:vAlign w:val="center"/>
          </w:tcPr>
          <w:p w:rsidR="00F73B61" w:rsidRDefault="00544342">
            <w:pPr>
              <w:jc w:val="center"/>
            </w:pPr>
            <w:r>
              <w:rPr>
                <w:color w:val="000000"/>
                <w:sz w:val="24"/>
              </w:rPr>
              <w:t>浦发银行</w:t>
            </w:r>
          </w:p>
        </w:tc>
        <w:tc>
          <w:tcPr>
            <w:tcW w:w="1327" w:type="dxa"/>
            <w:vAlign w:val="center"/>
          </w:tcPr>
          <w:p w:rsidR="00F73B61" w:rsidRDefault="00544342">
            <w:pPr>
              <w:jc w:val="right"/>
            </w:pPr>
            <w:r>
              <w:rPr>
                <w:color w:val="000000"/>
                <w:sz w:val="24"/>
              </w:rPr>
              <w:t>4,948,211</w:t>
            </w:r>
          </w:p>
        </w:tc>
        <w:tc>
          <w:tcPr>
            <w:tcW w:w="1915" w:type="dxa"/>
            <w:vAlign w:val="center"/>
          </w:tcPr>
          <w:p w:rsidR="00F73B61" w:rsidRDefault="00544342">
            <w:pPr>
              <w:jc w:val="right"/>
            </w:pPr>
            <w:r>
              <w:rPr>
                <w:color w:val="000000"/>
                <w:sz w:val="24"/>
              </w:rPr>
              <w:t>77,637,430.59</w:t>
            </w:r>
          </w:p>
        </w:tc>
        <w:tc>
          <w:tcPr>
            <w:tcW w:w="1680" w:type="dxa"/>
            <w:vAlign w:val="center"/>
          </w:tcPr>
          <w:p w:rsidR="00F73B61" w:rsidRDefault="00544342">
            <w:pPr>
              <w:jc w:val="right"/>
            </w:pPr>
            <w:r>
              <w:rPr>
                <w:color w:val="000000"/>
                <w:sz w:val="24"/>
              </w:rPr>
              <w:t>3.83</w:t>
            </w:r>
          </w:p>
        </w:tc>
      </w:tr>
      <w:tr w:rsidR="00F73B61">
        <w:trPr>
          <w:jc w:val="center"/>
        </w:trPr>
        <w:tc>
          <w:tcPr>
            <w:tcW w:w="850" w:type="dxa"/>
            <w:vAlign w:val="center"/>
          </w:tcPr>
          <w:p w:rsidR="00F73B61" w:rsidRDefault="00544342">
            <w:pPr>
              <w:jc w:val="center"/>
            </w:pPr>
            <w:r>
              <w:rPr>
                <w:color w:val="000000"/>
                <w:sz w:val="24"/>
              </w:rPr>
              <w:t>8</w:t>
            </w:r>
          </w:p>
        </w:tc>
        <w:tc>
          <w:tcPr>
            <w:tcW w:w="1327" w:type="dxa"/>
            <w:vAlign w:val="center"/>
          </w:tcPr>
          <w:p w:rsidR="00F73B61" w:rsidRDefault="00544342">
            <w:pPr>
              <w:jc w:val="center"/>
            </w:pPr>
            <w:r>
              <w:rPr>
                <w:color w:val="000000"/>
                <w:sz w:val="24"/>
              </w:rPr>
              <w:t>601668</w:t>
            </w:r>
          </w:p>
        </w:tc>
        <w:tc>
          <w:tcPr>
            <w:tcW w:w="1769" w:type="dxa"/>
            <w:vAlign w:val="center"/>
          </w:tcPr>
          <w:p w:rsidR="00F73B61" w:rsidRDefault="00544342">
            <w:pPr>
              <w:jc w:val="center"/>
            </w:pPr>
            <w:r>
              <w:rPr>
                <w:color w:val="000000"/>
                <w:sz w:val="24"/>
              </w:rPr>
              <w:t>中国建筑</w:t>
            </w:r>
          </w:p>
        </w:tc>
        <w:tc>
          <w:tcPr>
            <w:tcW w:w="1327" w:type="dxa"/>
            <w:vAlign w:val="center"/>
          </w:tcPr>
          <w:p w:rsidR="00F73B61" w:rsidRDefault="00544342">
            <w:pPr>
              <w:jc w:val="right"/>
            </w:pPr>
            <w:r>
              <w:rPr>
                <w:color w:val="000000"/>
                <w:sz w:val="24"/>
              </w:rPr>
              <w:t>6,618,855</w:t>
            </w:r>
          </w:p>
        </w:tc>
        <w:tc>
          <w:tcPr>
            <w:tcW w:w="1915" w:type="dxa"/>
            <w:vAlign w:val="center"/>
          </w:tcPr>
          <w:p w:rsidR="00F73B61" w:rsidRDefault="00544342">
            <w:pPr>
              <w:jc w:val="right"/>
            </w:pPr>
            <w:r>
              <w:rPr>
                <w:color w:val="000000"/>
                <w:sz w:val="24"/>
              </w:rPr>
              <w:t>48,185,264.40</w:t>
            </w:r>
          </w:p>
        </w:tc>
        <w:tc>
          <w:tcPr>
            <w:tcW w:w="1680" w:type="dxa"/>
            <w:vAlign w:val="center"/>
          </w:tcPr>
          <w:p w:rsidR="00F73B61" w:rsidRDefault="00544342">
            <w:pPr>
              <w:jc w:val="right"/>
            </w:pPr>
            <w:r>
              <w:rPr>
                <w:color w:val="000000"/>
                <w:sz w:val="24"/>
              </w:rPr>
              <w:t>2.38</w:t>
            </w:r>
          </w:p>
        </w:tc>
      </w:tr>
      <w:tr w:rsidR="00F73B61">
        <w:trPr>
          <w:jc w:val="center"/>
        </w:trPr>
        <w:tc>
          <w:tcPr>
            <w:tcW w:w="850" w:type="dxa"/>
            <w:vAlign w:val="center"/>
          </w:tcPr>
          <w:p w:rsidR="00F73B61" w:rsidRDefault="00544342">
            <w:pPr>
              <w:jc w:val="center"/>
            </w:pPr>
            <w:r>
              <w:rPr>
                <w:color w:val="000000"/>
                <w:sz w:val="24"/>
              </w:rPr>
              <w:t>9</w:t>
            </w:r>
          </w:p>
        </w:tc>
        <w:tc>
          <w:tcPr>
            <w:tcW w:w="1327" w:type="dxa"/>
            <w:vAlign w:val="center"/>
          </w:tcPr>
          <w:p w:rsidR="00F73B61" w:rsidRDefault="00544342">
            <w:pPr>
              <w:jc w:val="center"/>
            </w:pPr>
            <w:r>
              <w:rPr>
                <w:color w:val="000000"/>
                <w:sz w:val="24"/>
              </w:rPr>
              <w:t>601601</w:t>
            </w:r>
          </w:p>
        </w:tc>
        <w:tc>
          <w:tcPr>
            <w:tcW w:w="1769" w:type="dxa"/>
            <w:vAlign w:val="center"/>
          </w:tcPr>
          <w:p w:rsidR="00F73B61" w:rsidRDefault="00544342">
            <w:pPr>
              <w:jc w:val="center"/>
            </w:pPr>
            <w:r>
              <w:rPr>
                <w:color w:val="000000"/>
                <w:sz w:val="24"/>
              </w:rPr>
              <w:t>中国太保</w:t>
            </w:r>
          </w:p>
        </w:tc>
        <w:tc>
          <w:tcPr>
            <w:tcW w:w="1327" w:type="dxa"/>
            <w:vAlign w:val="center"/>
          </w:tcPr>
          <w:p w:rsidR="00F73B61" w:rsidRDefault="00544342">
            <w:pPr>
              <w:jc w:val="right"/>
            </w:pPr>
            <w:r>
              <w:rPr>
                <w:color w:val="000000"/>
                <w:sz w:val="24"/>
              </w:rPr>
              <w:t>1,390,944</w:t>
            </w:r>
          </w:p>
        </w:tc>
        <w:tc>
          <w:tcPr>
            <w:tcW w:w="1915" w:type="dxa"/>
            <w:vAlign w:val="center"/>
          </w:tcPr>
          <w:p w:rsidR="00F73B61" w:rsidRDefault="00544342">
            <w:pPr>
              <w:jc w:val="right"/>
            </w:pPr>
            <w:r>
              <w:rPr>
                <w:color w:val="000000"/>
                <w:sz w:val="24"/>
              </w:rPr>
              <w:t>44,927,491.20</w:t>
            </w:r>
          </w:p>
        </w:tc>
        <w:tc>
          <w:tcPr>
            <w:tcW w:w="1680" w:type="dxa"/>
            <w:vAlign w:val="center"/>
          </w:tcPr>
          <w:p w:rsidR="00F73B61" w:rsidRDefault="00544342">
            <w:pPr>
              <w:jc w:val="right"/>
            </w:pPr>
            <w:r>
              <w:rPr>
                <w:color w:val="000000"/>
                <w:sz w:val="24"/>
              </w:rPr>
              <w:t>2.22</w:t>
            </w:r>
          </w:p>
        </w:tc>
      </w:tr>
      <w:tr w:rsidR="00F73B61">
        <w:trPr>
          <w:jc w:val="center"/>
        </w:trPr>
        <w:tc>
          <w:tcPr>
            <w:tcW w:w="850" w:type="dxa"/>
            <w:vAlign w:val="center"/>
          </w:tcPr>
          <w:p w:rsidR="00F73B61" w:rsidRDefault="00544342">
            <w:pPr>
              <w:jc w:val="center"/>
            </w:pPr>
            <w:r>
              <w:rPr>
                <w:color w:val="000000"/>
                <w:sz w:val="24"/>
              </w:rPr>
              <w:t>10</w:t>
            </w:r>
          </w:p>
        </w:tc>
        <w:tc>
          <w:tcPr>
            <w:tcW w:w="1327" w:type="dxa"/>
            <w:vAlign w:val="center"/>
          </w:tcPr>
          <w:p w:rsidR="00F73B61" w:rsidRDefault="00544342">
            <w:pPr>
              <w:jc w:val="center"/>
            </w:pPr>
            <w:r>
              <w:rPr>
                <w:color w:val="000000"/>
                <w:sz w:val="24"/>
              </w:rPr>
              <w:t>601818</w:t>
            </w:r>
          </w:p>
        </w:tc>
        <w:tc>
          <w:tcPr>
            <w:tcW w:w="1769" w:type="dxa"/>
            <w:vAlign w:val="center"/>
          </w:tcPr>
          <w:p w:rsidR="00F73B61" w:rsidRDefault="00544342">
            <w:pPr>
              <w:jc w:val="center"/>
            </w:pPr>
            <w:r>
              <w:rPr>
                <w:color w:val="000000"/>
                <w:sz w:val="24"/>
              </w:rPr>
              <w:t>光大银行</w:t>
            </w:r>
          </w:p>
        </w:tc>
        <w:tc>
          <w:tcPr>
            <w:tcW w:w="1327" w:type="dxa"/>
            <w:vAlign w:val="center"/>
          </w:tcPr>
          <w:p w:rsidR="00F73B61" w:rsidRDefault="00544342">
            <w:pPr>
              <w:jc w:val="right"/>
            </w:pPr>
            <w:r>
              <w:rPr>
                <w:color w:val="000000"/>
                <w:sz w:val="24"/>
              </w:rPr>
              <w:t>8,788,582</w:t>
            </w:r>
          </w:p>
        </w:tc>
        <w:tc>
          <w:tcPr>
            <w:tcW w:w="1915" w:type="dxa"/>
            <w:vAlign w:val="center"/>
          </w:tcPr>
          <w:p w:rsidR="00F73B61" w:rsidRDefault="00544342">
            <w:pPr>
              <w:jc w:val="right"/>
            </w:pPr>
            <w:r>
              <w:rPr>
                <w:color w:val="000000"/>
                <w:sz w:val="24"/>
              </w:rPr>
              <w:t>42,888,280.16</w:t>
            </w:r>
          </w:p>
        </w:tc>
        <w:tc>
          <w:tcPr>
            <w:tcW w:w="1680" w:type="dxa"/>
            <w:vAlign w:val="center"/>
          </w:tcPr>
          <w:p w:rsidR="00F73B61" w:rsidRDefault="00544342">
            <w:pPr>
              <w:jc w:val="right"/>
            </w:pPr>
            <w:r>
              <w:rPr>
                <w:color w:val="000000"/>
                <w:sz w:val="24"/>
              </w:rPr>
              <w:t>2.12</w:t>
            </w:r>
          </w:p>
        </w:tc>
      </w:tr>
    </w:tbl>
    <w:p w:rsidR="003C606C" w:rsidRPr="0036023B" w:rsidRDefault="003C606C" w:rsidP="0099526C">
      <w:pPr>
        <w:autoSpaceDE w:val="0"/>
        <w:autoSpaceDN w:val="0"/>
        <w:adjustRightInd w:val="0"/>
        <w:spacing w:before="29" w:line="288" w:lineRule="auto"/>
        <w:jc w:val="left"/>
        <w:rPr>
          <w:color w:val="000000"/>
          <w:sz w:val="24"/>
        </w:rPr>
      </w:pPr>
    </w:p>
    <w:p w:rsidR="000625A6" w:rsidRDefault="000625A6" w:rsidP="0099526C">
      <w:pPr>
        <w:spacing w:before="29" w:line="288" w:lineRule="auto"/>
        <w:rPr>
          <w:b/>
          <w:sz w:val="24"/>
        </w:rPr>
      </w:pPr>
      <w:r w:rsidRPr="0036023B">
        <w:rPr>
          <w:b/>
          <w:color w:val="000000"/>
          <w:kern w:val="0"/>
          <w:sz w:val="24"/>
        </w:rPr>
        <w:t>5.3.2</w:t>
      </w:r>
      <w:r w:rsidR="00A34B04" w:rsidRPr="0036023B">
        <w:rPr>
          <w:b/>
          <w:color w:val="000000"/>
          <w:kern w:val="0"/>
          <w:sz w:val="24"/>
        </w:rPr>
        <w:t xml:space="preserve"> </w:t>
      </w:r>
      <w:r w:rsidR="00693629" w:rsidRPr="0036023B">
        <w:rPr>
          <w:b/>
          <w:color w:val="000000"/>
          <w:kern w:val="0"/>
          <w:sz w:val="24"/>
        </w:rPr>
        <w:t>报告</w:t>
      </w:r>
      <w:r w:rsidR="005D44E4" w:rsidRPr="0036023B">
        <w:rPr>
          <w:b/>
          <w:color w:val="000000"/>
          <w:kern w:val="0"/>
          <w:sz w:val="24"/>
        </w:rPr>
        <w:t>期末</w:t>
      </w:r>
      <w:r w:rsidR="005D44E4" w:rsidRPr="0036023B">
        <w:rPr>
          <w:b/>
          <w:sz w:val="24"/>
        </w:rPr>
        <w:t>积极</w:t>
      </w:r>
      <w:r w:rsidRPr="0036023B">
        <w:rPr>
          <w:b/>
          <w:sz w:val="24"/>
        </w:rPr>
        <w:t>投资按公允价值占基金资产净值比例大小排序的前五名股票投资明细</w:t>
      </w:r>
    </w:p>
    <w:p w:rsidR="00D450A9" w:rsidRDefault="00AD3177" w:rsidP="00985FE4">
      <w:pPr>
        <w:autoSpaceDE w:val="0"/>
        <w:autoSpaceDN w:val="0"/>
        <w:adjustRightInd w:val="0"/>
        <w:spacing w:before="29" w:line="288" w:lineRule="auto"/>
        <w:jc w:val="left"/>
        <w:rPr>
          <w:color w:val="000000"/>
          <w:sz w:val="24"/>
        </w:rPr>
      </w:pPr>
      <w:r w:rsidRPr="00985FE4">
        <w:rPr>
          <w:rFonts w:hint="eastAsia"/>
          <w:color w:val="000000"/>
          <w:sz w:val="24"/>
        </w:rPr>
        <w:t>本基金本报告期末未持有积极投资的股票。</w:t>
      </w:r>
    </w:p>
    <w:p w:rsidR="00FC245A" w:rsidRPr="0036023B" w:rsidRDefault="00FC245A" w:rsidP="0099526C">
      <w:pPr>
        <w:spacing w:before="29" w:line="288" w:lineRule="auto"/>
        <w:rPr>
          <w:b/>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5.4 </w:t>
      </w:r>
      <w:r w:rsidRPr="0036023B">
        <w:rPr>
          <w:b/>
          <w:color w:val="000000"/>
          <w:kern w:val="0"/>
          <w:sz w:val="24"/>
        </w:rPr>
        <w:t>报告期末按债券品种分类的债券投资组合</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 xml:space="preserve">5.5 </w:t>
      </w:r>
      <w:r w:rsidR="009D3C04" w:rsidRPr="0036023B">
        <w:rPr>
          <w:b/>
          <w:color w:val="000000"/>
          <w:kern w:val="0"/>
          <w:sz w:val="24"/>
        </w:rPr>
        <w:t>报告期末按公允价值占基金资产净值比例大小排序</w:t>
      </w:r>
      <w:r w:rsidRPr="0036023B">
        <w:rPr>
          <w:b/>
          <w:color w:val="000000"/>
          <w:kern w:val="0"/>
          <w:sz w:val="24"/>
        </w:rPr>
        <w:t>的前五名债券投资明细</w:t>
      </w:r>
    </w:p>
    <w:p w:rsidR="00220542" w:rsidRPr="0036023B" w:rsidRDefault="000820A8" w:rsidP="0099526C">
      <w:pPr>
        <w:autoSpaceDE w:val="0"/>
        <w:autoSpaceDN w:val="0"/>
        <w:adjustRightInd w:val="0"/>
        <w:spacing w:before="29" w:line="288" w:lineRule="auto"/>
        <w:jc w:val="left"/>
        <w:rPr>
          <w:color w:val="000000"/>
          <w:sz w:val="24"/>
        </w:rPr>
      </w:pPr>
      <w:r w:rsidRPr="0036023B">
        <w:rPr>
          <w:color w:val="000000"/>
          <w:sz w:val="24"/>
        </w:rPr>
        <w:t>本基金本报告期末未持有债券。</w:t>
      </w:r>
    </w:p>
    <w:p w:rsidR="00220542" w:rsidRPr="0036023B" w:rsidRDefault="00220542" w:rsidP="0099526C">
      <w:pPr>
        <w:autoSpaceDE w:val="0"/>
        <w:autoSpaceDN w:val="0"/>
        <w:adjustRightInd w:val="0"/>
        <w:spacing w:before="29" w:line="288" w:lineRule="auto"/>
        <w:jc w:val="left"/>
        <w:rPr>
          <w:color w:val="000000"/>
          <w:kern w:val="0"/>
          <w:sz w:val="24"/>
        </w:rPr>
      </w:pPr>
    </w:p>
    <w:p w:rsidR="00220542" w:rsidRPr="0036023B" w:rsidRDefault="00220542" w:rsidP="0099526C">
      <w:pPr>
        <w:autoSpaceDE w:val="0"/>
        <w:autoSpaceDN w:val="0"/>
        <w:adjustRightInd w:val="0"/>
        <w:spacing w:before="29" w:line="288" w:lineRule="auto"/>
        <w:jc w:val="left"/>
        <w:rPr>
          <w:b/>
          <w:color w:val="000000"/>
          <w:kern w:val="0"/>
          <w:sz w:val="24"/>
        </w:rPr>
      </w:pPr>
      <w:r w:rsidRPr="0036023B">
        <w:rPr>
          <w:b/>
          <w:color w:val="000000"/>
          <w:kern w:val="0"/>
          <w:sz w:val="24"/>
        </w:rPr>
        <w:t>5.6</w:t>
      </w:r>
      <w:r w:rsidR="00C468C8" w:rsidRPr="0036023B">
        <w:rPr>
          <w:b/>
          <w:color w:val="000000"/>
          <w:kern w:val="0"/>
          <w:sz w:val="24"/>
        </w:rPr>
        <w:t xml:space="preserve"> </w:t>
      </w:r>
      <w:r w:rsidRPr="0036023B">
        <w:rPr>
          <w:b/>
          <w:color w:val="000000"/>
          <w:kern w:val="0"/>
          <w:sz w:val="24"/>
        </w:rPr>
        <w:t>报告期末按公允价值占基金资产净值比例大小排</w:t>
      </w:r>
      <w:r w:rsidR="009D3C04" w:rsidRPr="0036023B">
        <w:rPr>
          <w:b/>
          <w:color w:val="000000"/>
          <w:kern w:val="0"/>
          <w:sz w:val="24"/>
        </w:rPr>
        <w:t>序</w:t>
      </w:r>
      <w:r w:rsidRPr="0036023B">
        <w:rPr>
          <w:b/>
          <w:color w:val="000000"/>
          <w:kern w:val="0"/>
          <w:sz w:val="24"/>
        </w:rPr>
        <w:t>的前十名资产支持证券投资明细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本基金本报告期末未持有资产支持证券。</w:t>
      </w:r>
    </w:p>
    <w:p w:rsidR="00220542" w:rsidRPr="0036023B" w:rsidRDefault="00220542" w:rsidP="0099526C">
      <w:pPr>
        <w:autoSpaceDE w:val="0"/>
        <w:autoSpaceDN w:val="0"/>
        <w:adjustRightInd w:val="0"/>
        <w:spacing w:before="29" w:line="288" w:lineRule="auto"/>
        <w:jc w:val="left"/>
        <w:rPr>
          <w:color w:val="000000"/>
          <w:kern w:val="0"/>
          <w:sz w:val="24"/>
        </w:rPr>
      </w:pPr>
    </w:p>
    <w:p w:rsidR="00144D45" w:rsidRPr="0036023B" w:rsidRDefault="00144D45" w:rsidP="0099526C">
      <w:pPr>
        <w:autoSpaceDE w:val="0"/>
        <w:autoSpaceDN w:val="0"/>
        <w:adjustRightInd w:val="0"/>
        <w:spacing w:before="29" w:line="288" w:lineRule="auto"/>
        <w:jc w:val="left"/>
        <w:rPr>
          <w:color w:val="000000"/>
          <w:kern w:val="0"/>
          <w:sz w:val="24"/>
        </w:rPr>
      </w:pPr>
      <w:r w:rsidRPr="0036023B">
        <w:rPr>
          <w:b/>
          <w:bCs/>
          <w:color w:val="000000"/>
          <w:kern w:val="0"/>
          <w:sz w:val="24"/>
        </w:rPr>
        <w:t xml:space="preserve">5.7 </w:t>
      </w:r>
      <w:r w:rsidRPr="0036023B">
        <w:rPr>
          <w:rFonts w:hAnsi="宋体"/>
          <w:b/>
          <w:bCs/>
          <w:color w:val="000000"/>
          <w:kern w:val="0"/>
          <w:sz w:val="24"/>
        </w:rPr>
        <w:t>报告期末按公允价值占基金资产净值比例大小排序的前五名贵金属投资明细</w:t>
      </w:r>
    </w:p>
    <w:p w:rsidR="00144D45" w:rsidRPr="0036023B" w:rsidRDefault="004525C2" w:rsidP="0099526C">
      <w:pPr>
        <w:autoSpaceDE w:val="0"/>
        <w:autoSpaceDN w:val="0"/>
        <w:adjustRightInd w:val="0"/>
        <w:spacing w:before="29" w:line="288" w:lineRule="auto"/>
        <w:jc w:val="left"/>
        <w:rPr>
          <w:sz w:val="24"/>
        </w:rPr>
      </w:pPr>
      <w:r w:rsidRPr="0036023B">
        <w:rPr>
          <w:sz w:val="24"/>
        </w:rPr>
        <w:t>本基金本报告期末未持有贵金属。</w:t>
      </w:r>
    </w:p>
    <w:p w:rsidR="00000F0F" w:rsidRPr="0036023B" w:rsidRDefault="00000F0F" w:rsidP="0099526C">
      <w:pPr>
        <w:autoSpaceDE w:val="0"/>
        <w:autoSpaceDN w:val="0"/>
        <w:adjustRightInd w:val="0"/>
        <w:spacing w:before="29" w:line="288" w:lineRule="auto"/>
        <w:jc w:val="left"/>
        <w:rPr>
          <w:color w:val="000000"/>
          <w:kern w:val="0"/>
          <w:sz w:val="24"/>
        </w:rPr>
      </w:pPr>
    </w:p>
    <w:p w:rsidR="00220542" w:rsidRPr="0036023B" w:rsidRDefault="00BE1A80" w:rsidP="0099526C">
      <w:pPr>
        <w:autoSpaceDE w:val="0"/>
        <w:autoSpaceDN w:val="0"/>
        <w:adjustRightInd w:val="0"/>
        <w:spacing w:before="29" w:line="288" w:lineRule="auto"/>
        <w:jc w:val="left"/>
        <w:rPr>
          <w:b/>
          <w:color w:val="000000"/>
          <w:kern w:val="0"/>
          <w:sz w:val="24"/>
        </w:rPr>
      </w:pPr>
      <w:r w:rsidRPr="0036023B">
        <w:rPr>
          <w:b/>
          <w:color w:val="000000"/>
          <w:kern w:val="0"/>
          <w:sz w:val="24"/>
        </w:rPr>
        <w:t>5</w:t>
      </w:r>
      <w:r w:rsidR="00220542" w:rsidRPr="0036023B">
        <w:rPr>
          <w:b/>
          <w:color w:val="000000"/>
          <w:kern w:val="0"/>
          <w:sz w:val="24"/>
        </w:rPr>
        <w:t>.</w:t>
      </w:r>
      <w:r w:rsidR="008F60C5" w:rsidRPr="0036023B">
        <w:rPr>
          <w:b/>
          <w:color w:val="000000"/>
          <w:kern w:val="0"/>
          <w:sz w:val="24"/>
        </w:rPr>
        <w:t>8</w:t>
      </w:r>
      <w:r w:rsidR="006D32CA" w:rsidRPr="0036023B">
        <w:rPr>
          <w:b/>
          <w:color w:val="000000"/>
          <w:kern w:val="0"/>
          <w:sz w:val="24"/>
        </w:rPr>
        <w:t xml:space="preserve"> </w:t>
      </w:r>
      <w:r w:rsidR="00220542" w:rsidRPr="0036023B">
        <w:rPr>
          <w:b/>
          <w:bCs/>
          <w:color w:val="000000"/>
          <w:sz w:val="24"/>
        </w:rPr>
        <w:t>报告期末按公允价值占基金资产净值比例大小排</w:t>
      </w:r>
      <w:r w:rsidR="009D3C04" w:rsidRPr="0036023B">
        <w:rPr>
          <w:b/>
          <w:color w:val="000000"/>
          <w:kern w:val="0"/>
          <w:sz w:val="24"/>
        </w:rPr>
        <w:t>序</w:t>
      </w:r>
      <w:r w:rsidR="00220542" w:rsidRPr="0036023B">
        <w:rPr>
          <w:b/>
          <w:bCs/>
          <w:color w:val="000000"/>
          <w:sz w:val="24"/>
        </w:rPr>
        <w:t>的前五名权证投资明细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本基金本报告期末未持有权证。</w:t>
      </w:r>
    </w:p>
    <w:p w:rsidR="00220542" w:rsidRPr="0036023B" w:rsidRDefault="00220542" w:rsidP="0099526C">
      <w:pPr>
        <w:autoSpaceDE w:val="0"/>
        <w:autoSpaceDN w:val="0"/>
        <w:adjustRightInd w:val="0"/>
        <w:spacing w:before="29" w:line="288" w:lineRule="auto"/>
        <w:jc w:val="left"/>
        <w:rPr>
          <w:color w:val="000000"/>
          <w:kern w:val="0"/>
          <w:sz w:val="24"/>
        </w:rPr>
      </w:pPr>
    </w:p>
    <w:p w:rsidR="00295C5D" w:rsidRPr="0036023B" w:rsidRDefault="008F60C5" w:rsidP="0099526C">
      <w:pPr>
        <w:adjustRightInd w:val="0"/>
        <w:snapToGrid w:val="0"/>
        <w:spacing w:before="29" w:line="288" w:lineRule="auto"/>
        <w:rPr>
          <w:b/>
          <w:sz w:val="24"/>
        </w:rPr>
      </w:pPr>
      <w:r w:rsidRPr="0036023B">
        <w:rPr>
          <w:b/>
          <w:sz w:val="24"/>
        </w:rPr>
        <w:t>5.</w:t>
      </w:r>
      <w:r w:rsidR="004C5189" w:rsidRPr="0036023B">
        <w:rPr>
          <w:b/>
          <w:sz w:val="24"/>
        </w:rPr>
        <w:t>9</w:t>
      </w:r>
      <w:r w:rsidR="00C566D5" w:rsidRPr="0036023B">
        <w:rPr>
          <w:b/>
          <w:sz w:val="24"/>
        </w:rPr>
        <w:t xml:space="preserve"> </w:t>
      </w:r>
      <w:r w:rsidR="00295C5D" w:rsidRPr="0036023B">
        <w:rPr>
          <w:b/>
          <w:sz w:val="24"/>
        </w:rPr>
        <w:t>报告期末本基金投资的股指期货交易情况说明</w:t>
      </w:r>
    </w:p>
    <w:p w:rsidR="00295C5D" w:rsidRPr="0036023B" w:rsidRDefault="00BD7DB4" w:rsidP="0099526C">
      <w:pPr>
        <w:autoSpaceDE w:val="0"/>
        <w:autoSpaceDN w:val="0"/>
        <w:adjustRightInd w:val="0"/>
        <w:spacing w:before="29" w:line="288" w:lineRule="auto"/>
        <w:jc w:val="left"/>
        <w:rPr>
          <w:color w:val="000000"/>
          <w:sz w:val="24"/>
        </w:rPr>
      </w:pPr>
      <w:r w:rsidRPr="0036023B">
        <w:rPr>
          <w:color w:val="000000"/>
          <w:sz w:val="24"/>
        </w:rPr>
        <w:t>本基金本报告期末未持有股指期货。</w:t>
      </w:r>
    </w:p>
    <w:p w:rsidR="00BD7DB4" w:rsidRPr="0036023B" w:rsidRDefault="00BD7DB4" w:rsidP="0099526C">
      <w:pPr>
        <w:adjustRightInd w:val="0"/>
        <w:snapToGrid w:val="0"/>
        <w:spacing w:before="29" w:line="288" w:lineRule="auto"/>
        <w:rPr>
          <w:sz w:val="24"/>
        </w:rPr>
      </w:pPr>
    </w:p>
    <w:p w:rsidR="00076B5E" w:rsidRPr="0036023B" w:rsidRDefault="00B60D38" w:rsidP="0099526C">
      <w:pPr>
        <w:adjustRightInd w:val="0"/>
        <w:snapToGrid w:val="0"/>
        <w:spacing w:before="29" w:line="288" w:lineRule="auto"/>
        <w:rPr>
          <w:b/>
          <w:sz w:val="24"/>
        </w:rPr>
      </w:pPr>
      <w:r w:rsidRPr="0036023B">
        <w:rPr>
          <w:b/>
          <w:sz w:val="24"/>
        </w:rPr>
        <w:t>5.10</w:t>
      </w:r>
      <w:r w:rsidR="00DF7927" w:rsidRPr="0036023B">
        <w:rPr>
          <w:b/>
          <w:sz w:val="24"/>
        </w:rPr>
        <w:t xml:space="preserve"> </w:t>
      </w:r>
      <w:r w:rsidRPr="0036023B">
        <w:rPr>
          <w:b/>
          <w:sz w:val="24"/>
        </w:rPr>
        <w:t>报告期末本基金投资的国债期货交易情况说明</w:t>
      </w:r>
    </w:p>
    <w:p w:rsidR="00B60D38" w:rsidRPr="0036023B" w:rsidRDefault="00B60D38" w:rsidP="0099526C">
      <w:pPr>
        <w:autoSpaceDE w:val="0"/>
        <w:autoSpaceDN w:val="0"/>
        <w:adjustRightInd w:val="0"/>
        <w:spacing w:before="29" w:line="288" w:lineRule="auto"/>
        <w:jc w:val="left"/>
        <w:rPr>
          <w:color w:val="000000"/>
          <w:sz w:val="24"/>
        </w:rPr>
      </w:pPr>
      <w:r w:rsidRPr="0036023B">
        <w:rPr>
          <w:color w:val="000000"/>
          <w:sz w:val="24"/>
        </w:rPr>
        <w:t>本基金本报告期末未持有国债期货。</w:t>
      </w:r>
    </w:p>
    <w:p w:rsidR="005E5D80" w:rsidRPr="0036023B" w:rsidRDefault="005E5D80"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b/>
          <w:color w:val="000000"/>
          <w:kern w:val="0"/>
          <w:sz w:val="24"/>
        </w:rPr>
      </w:pPr>
      <w:r w:rsidRPr="0036023B">
        <w:rPr>
          <w:b/>
          <w:color w:val="000000"/>
          <w:kern w:val="0"/>
          <w:sz w:val="24"/>
        </w:rPr>
        <w:t>5.11</w:t>
      </w:r>
      <w:r w:rsidR="00153791" w:rsidRPr="0036023B">
        <w:rPr>
          <w:b/>
          <w:color w:val="000000"/>
          <w:kern w:val="0"/>
          <w:sz w:val="24"/>
        </w:rPr>
        <w:t xml:space="preserve"> </w:t>
      </w:r>
      <w:r w:rsidR="00220542" w:rsidRPr="0036023B">
        <w:rPr>
          <w:b/>
          <w:color w:val="000000"/>
          <w:kern w:val="0"/>
          <w:sz w:val="24"/>
        </w:rPr>
        <w:t>投资组合报告附注</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5.11.1</w:t>
      </w:r>
      <w:r w:rsidRPr="008119CB">
        <w:rPr>
          <w:color w:val="000000"/>
          <w:kern w:val="0"/>
          <w:sz w:val="24"/>
        </w:rPr>
        <w:t>报告期内本基金投资的前十名证券的发行主体未被监管部门立案调查，在本报告编制日前一年内本基金投资的前十名证券的发行主体未受到公开谴责和处罚。</w:t>
      </w:r>
    </w:p>
    <w:p w:rsidR="008119CB" w:rsidRPr="008119CB" w:rsidRDefault="008119CB" w:rsidP="00806B3B">
      <w:pPr>
        <w:autoSpaceDE w:val="0"/>
        <w:autoSpaceDN w:val="0"/>
        <w:adjustRightInd w:val="0"/>
        <w:spacing w:before="29" w:line="288" w:lineRule="auto"/>
        <w:jc w:val="left"/>
        <w:rPr>
          <w:color w:val="000000"/>
          <w:kern w:val="0"/>
          <w:sz w:val="24"/>
        </w:rPr>
      </w:pPr>
      <w:r w:rsidRPr="008119CB">
        <w:rPr>
          <w:color w:val="000000"/>
          <w:kern w:val="0"/>
          <w:sz w:val="24"/>
        </w:rPr>
        <w:t>5.11.2</w:t>
      </w:r>
      <w:r w:rsidRPr="008119CB">
        <w:rPr>
          <w:color w:val="000000"/>
          <w:kern w:val="0"/>
          <w:sz w:val="24"/>
        </w:rPr>
        <w:t>本基金投资的前十名股票中，没有超出基金合同规定的备选股票库之外的股票。</w:t>
      </w: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5.11.3</w:t>
      </w:r>
      <w:r w:rsidR="00153791" w:rsidRPr="0036023B">
        <w:rPr>
          <w:color w:val="000000"/>
          <w:kern w:val="0"/>
          <w:sz w:val="24"/>
        </w:rPr>
        <w:t xml:space="preserve"> </w:t>
      </w:r>
      <w:r w:rsidR="00220542" w:rsidRPr="0036023B">
        <w:rPr>
          <w:color w:val="000000"/>
          <w:kern w:val="0"/>
          <w:sz w:val="24"/>
        </w:rPr>
        <w:t>其他资产构成</w:t>
      </w:r>
    </w:p>
    <w:tbl>
      <w:tblPr>
        <w:tblStyle w:val="af7"/>
        <w:tblW w:w="8868" w:type="dxa"/>
        <w:jc w:val="center"/>
        <w:tblLayout w:type="fixed"/>
        <w:tblLook w:val="04A0" w:firstRow="1" w:lastRow="0" w:firstColumn="1" w:lastColumn="0" w:noHBand="0" w:noVBand="1"/>
      </w:tblPr>
      <w:tblGrid>
        <w:gridCol w:w="984"/>
        <w:gridCol w:w="2876"/>
        <w:gridCol w:w="5008"/>
      </w:tblGrid>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序号</w:t>
            </w:r>
          </w:p>
        </w:tc>
        <w:tc>
          <w:tcPr>
            <w:tcW w:w="2761"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名称</w:t>
            </w:r>
          </w:p>
        </w:tc>
        <w:tc>
          <w:tcPr>
            <w:tcW w:w="4808" w:type="dxa"/>
            <w:vAlign w:val="center"/>
          </w:tcPr>
          <w:p w:rsidR="0044398D" w:rsidRPr="0036023B" w:rsidRDefault="0044398D" w:rsidP="0099526C">
            <w:pPr>
              <w:autoSpaceDE w:val="0"/>
              <w:autoSpaceDN w:val="0"/>
              <w:adjustRightInd w:val="0"/>
              <w:spacing w:before="29" w:line="288" w:lineRule="auto"/>
              <w:ind w:left="17"/>
              <w:jc w:val="center"/>
              <w:rPr>
                <w:color w:val="000000"/>
                <w:kern w:val="0"/>
                <w:sz w:val="24"/>
              </w:rPr>
            </w:pPr>
            <w:r w:rsidRPr="0036023B">
              <w:rPr>
                <w:color w:val="000000"/>
                <w:kern w:val="0"/>
                <w:sz w:val="24"/>
              </w:rPr>
              <w:t>金额</w:t>
            </w:r>
            <w:r w:rsidR="005177A0" w:rsidRPr="0036023B">
              <w:rPr>
                <w:color w:val="000000"/>
                <w:kern w:val="0"/>
                <w:sz w:val="24"/>
              </w:rPr>
              <w:t>（元）</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kern w:val="0"/>
                <w:sz w:val="24"/>
              </w:rPr>
            </w:pPr>
            <w:r w:rsidRPr="0036023B">
              <w:rPr>
                <w:color w:val="000000"/>
                <w:sz w:val="24"/>
              </w:rPr>
              <w:t>1</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存出保证金</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18,235.16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2</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应收证券清算款</w:t>
            </w:r>
          </w:p>
        </w:tc>
        <w:tc>
          <w:tcPr>
            <w:tcW w:w="4808" w:type="dxa"/>
            <w:vAlign w:val="center"/>
          </w:tcPr>
          <w:p w:rsidR="0044398D" w:rsidRPr="0036023B" w:rsidRDefault="00AD3177" w:rsidP="0099526C">
            <w:pPr>
              <w:autoSpaceDE w:val="0"/>
              <w:autoSpaceDN w:val="0"/>
              <w:adjustRightInd w:val="0"/>
              <w:spacing w:before="29" w:line="288" w:lineRule="auto"/>
              <w:ind w:left="15"/>
              <w:jc w:val="right"/>
              <w:rPr>
                <w:color w:val="000000"/>
                <w:kern w:val="0"/>
                <w:sz w:val="24"/>
              </w:rPr>
            </w:pPr>
            <w:r w:rsidRPr="00985FE4">
              <w:rPr>
                <w:color w:val="000000"/>
                <w:kern w:val="0"/>
                <w:sz w:val="24"/>
              </w:rPr>
              <w:t>732,953.15</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3</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应收股利</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4</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应收利息</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2,663.46</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5</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应收申购款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4398D" w:rsidRPr="0036023B" w:rsidTr="00E1304C">
        <w:trPr>
          <w:jc w:val="center"/>
        </w:trPr>
        <w:tc>
          <w:tcPr>
            <w:tcW w:w="944" w:type="dxa"/>
            <w:vAlign w:val="center"/>
          </w:tcPr>
          <w:p w:rsidR="0044398D" w:rsidRPr="0036023B" w:rsidRDefault="0044398D" w:rsidP="0099526C">
            <w:pPr>
              <w:autoSpaceDE w:val="0"/>
              <w:autoSpaceDN w:val="0"/>
              <w:adjustRightInd w:val="0"/>
              <w:spacing w:before="29" w:line="288" w:lineRule="auto"/>
              <w:ind w:left="15"/>
              <w:jc w:val="center"/>
              <w:rPr>
                <w:color w:val="000000"/>
                <w:sz w:val="24"/>
              </w:rPr>
            </w:pPr>
            <w:r w:rsidRPr="0036023B">
              <w:rPr>
                <w:color w:val="000000"/>
                <w:sz w:val="24"/>
              </w:rPr>
              <w:t>6</w:t>
            </w:r>
          </w:p>
        </w:tc>
        <w:tc>
          <w:tcPr>
            <w:tcW w:w="2761" w:type="dxa"/>
            <w:vAlign w:val="center"/>
          </w:tcPr>
          <w:p w:rsidR="0044398D" w:rsidRPr="0036023B" w:rsidRDefault="0044398D"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其他应收款</w:t>
            </w:r>
          </w:p>
        </w:tc>
        <w:tc>
          <w:tcPr>
            <w:tcW w:w="4808" w:type="dxa"/>
            <w:vAlign w:val="center"/>
          </w:tcPr>
          <w:p w:rsidR="0044398D" w:rsidRPr="0036023B" w:rsidRDefault="0044398D" w:rsidP="0099526C">
            <w:pPr>
              <w:autoSpaceDE w:val="0"/>
              <w:autoSpaceDN w:val="0"/>
              <w:adjustRightInd w:val="0"/>
              <w:spacing w:before="29" w:line="288" w:lineRule="auto"/>
              <w:ind w:left="15"/>
              <w:jc w:val="right"/>
              <w:rPr>
                <w:color w:val="000000"/>
                <w:kern w:val="0"/>
                <w:sz w:val="24"/>
              </w:rPr>
            </w:pPr>
            <w:r w:rsidRPr="0036023B">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7</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待摊费用</w:t>
            </w:r>
          </w:p>
        </w:tc>
        <w:tc>
          <w:tcPr>
            <w:tcW w:w="4808" w:type="dxa"/>
            <w:vAlign w:val="center"/>
          </w:tcPr>
          <w:p w:rsidR="00435368" w:rsidRPr="00985FE4" w:rsidRDefault="00AD3177" w:rsidP="0099526C">
            <w:pPr>
              <w:autoSpaceDE w:val="0"/>
              <w:autoSpaceDN w:val="0"/>
              <w:adjustRightInd w:val="0"/>
              <w:spacing w:before="29" w:line="288" w:lineRule="auto"/>
              <w:ind w:left="15"/>
              <w:jc w:val="right"/>
              <w:rPr>
                <w:color w:val="000000"/>
                <w:kern w:val="0"/>
                <w:sz w:val="24"/>
              </w:rPr>
            </w:pPr>
            <w:r w:rsidRPr="00985FE4">
              <w:rPr>
                <w:color w:val="000000"/>
                <w:kern w:val="0"/>
                <w:sz w:val="24"/>
              </w:rPr>
              <w:t>-</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8</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其他</w:t>
            </w:r>
          </w:p>
        </w:tc>
        <w:tc>
          <w:tcPr>
            <w:tcW w:w="4808" w:type="dxa"/>
            <w:vAlign w:val="center"/>
          </w:tcPr>
          <w:p w:rsidR="00435368" w:rsidRPr="0036023B" w:rsidRDefault="00435368" w:rsidP="0099526C">
            <w:pPr>
              <w:autoSpaceDE w:val="0"/>
              <w:autoSpaceDN w:val="0"/>
              <w:adjustRightInd w:val="0"/>
              <w:spacing w:before="29" w:line="288" w:lineRule="auto"/>
              <w:ind w:left="15"/>
              <w:jc w:val="right"/>
              <w:rPr>
                <w:color w:val="000000"/>
                <w:kern w:val="0"/>
                <w:sz w:val="24"/>
              </w:rPr>
            </w:pPr>
            <w:r w:rsidRPr="0036023B">
              <w:rPr>
                <w:color w:val="000000"/>
                <w:kern w:val="0"/>
                <w:sz w:val="24"/>
              </w:rPr>
              <w:t>12,056.90</w:t>
            </w:r>
          </w:p>
        </w:tc>
      </w:tr>
      <w:tr w:rsidR="00435368" w:rsidRPr="0036023B" w:rsidTr="00E1304C">
        <w:trPr>
          <w:jc w:val="center"/>
        </w:trPr>
        <w:tc>
          <w:tcPr>
            <w:tcW w:w="944" w:type="dxa"/>
            <w:vAlign w:val="center"/>
          </w:tcPr>
          <w:p w:rsidR="00435368" w:rsidRPr="0036023B" w:rsidRDefault="00435368" w:rsidP="0099526C">
            <w:pPr>
              <w:autoSpaceDE w:val="0"/>
              <w:autoSpaceDN w:val="0"/>
              <w:adjustRightInd w:val="0"/>
              <w:spacing w:before="29" w:line="288" w:lineRule="auto"/>
              <w:ind w:left="15"/>
              <w:jc w:val="center"/>
              <w:rPr>
                <w:color w:val="000000"/>
                <w:sz w:val="24"/>
              </w:rPr>
            </w:pPr>
            <w:r w:rsidRPr="0036023B">
              <w:rPr>
                <w:color w:val="000000"/>
                <w:sz w:val="24"/>
              </w:rPr>
              <w:t>9</w:t>
            </w:r>
          </w:p>
        </w:tc>
        <w:tc>
          <w:tcPr>
            <w:tcW w:w="2761" w:type="dxa"/>
            <w:vAlign w:val="center"/>
          </w:tcPr>
          <w:p w:rsidR="00435368" w:rsidRPr="0036023B" w:rsidRDefault="00435368" w:rsidP="0099526C">
            <w:pPr>
              <w:autoSpaceDE w:val="0"/>
              <w:autoSpaceDN w:val="0"/>
              <w:adjustRightInd w:val="0"/>
              <w:spacing w:before="29" w:line="288" w:lineRule="auto"/>
              <w:ind w:left="15"/>
              <w:jc w:val="left"/>
              <w:rPr>
                <w:color w:val="000000"/>
                <w:kern w:val="0"/>
                <w:sz w:val="24"/>
              </w:rPr>
            </w:pPr>
            <w:r w:rsidRPr="0036023B">
              <w:rPr>
                <w:color w:val="000000"/>
                <w:kern w:val="0"/>
                <w:sz w:val="24"/>
              </w:rPr>
              <w:t>合计</w:t>
            </w:r>
          </w:p>
        </w:tc>
        <w:tc>
          <w:tcPr>
            <w:tcW w:w="4808" w:type="dxa"/>
            <w:vAlign w:val="center"/>
          </w:tcPr>
          <w:p w:rsidR="00435368" w:rsidRPr="0036023B" w:rsidRDefault="00AD3177" w:rsidP="0099526C">
            <w:pPr>
              <w:autoSpaceDE w:val="0"/>
              <w:autoSpaceDN w:val="0"/>
              <w:adjustRightInd w:val="0"/>
              <w:spacing w:before="29" w:line="288" w:lineRule="auto"/>
              <w:ind w:left="15"/>
              <w:jc w:val="right"/>
              <w:rPr>
                <w:color w:val="000000"/>
                <w:kern w:val="0"/>
                <w:sz w:val="24"/>
              </w:rPr>
            </w:pPr>
            <w:r w:rsidRPr="00985FE4">
              <w:rPr>
                <w:color w:val="000000"/>
                <w:kern w:val="0"/>
                <w:sz w:val="24"/>
              </w:rPr>
              <w:t>765,908.67</w:t>
            </w:r>
          </w:p>
        </w:tc>
      </w:tr>
    </w:tbl>
    <w:p w:rsidR="00EC32B2" w:rsidRPr="0036023B" w:rsidRDefault="00EC32B2" w:rsidP="0099526C">
      <w:pPr>
        <w:autoSpaceDE w:val="0"/>
        <w:autoSpaceDN w:val="0"/>
        <w:adjustRightInd w:val="0"/>
        <w:spacing w:before="29" w:line="288" w:lineRule="auto"/>
        <w:jc w:val="left"/>
        <w:rPr>
          <w:color w:val="000000"/>
          <w:sz w:val="24"/>
        </w:rPr>
      </w:pPr>
    </w:p>
    <w:p w:rsidR="00220542" w:rsidRPr="0036023B" w:rsidRDefault="004C5189" w:rsidP="0099526C">
      <w:pPr>
        <w:autoSpaceDE w:val="0"/>
        <w:autoSpaceDN w:val="0"/>
        <w:adjustRightInd w:val="0"/>
        <w:spacing w:before="29" w:line="288" w:lineRule="auto"/>
        <w:jc w:val="left"/>
        <w:rPr>
          <w:color w:val="000000"/>
          <w:kern w:val="0"/>
          <w:sz w:val="24"/>
        </w:rPr>
      </w:pPr>
      <w:r w:rsidRPr="0036023B">
        <w:rPr>
          <w:color w:val="000000"/>
          <w:kern w:val="0"/>
          <w:sz w:val="24"/>
        </w:rPr>
        <w:t>5.11.4</w:t>
      </w:r>
      <w:r w:rsidR="00846E4A" w:rsidRPr="0036023B">
        <w:rPr>
          <w:color w:val="000000"/>
          <w:kern w:val="0"/>
          <w:sz w:val="24"/>
        </w:rPr>
        <w:t xml:space="preserve"> </w:t>
      </w:r>
      <w:r w:rsidR="00220542" w:rsidRPr="0036023B">
        <w:rPr>
          <w:color w:val="000000"/>
          <w:kern w:val="0"/>
          <w:sz w:val="24"/>
        </w:rPr>
        <w:t>报告期末持有的处于转股期的可转换债券明细</w:t>
      </w:r>
    </w:p>
    <w:p w:rsidR="00220542"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本基金本报告期末未持有处于转股期的可转换债券。</w:t>
      </w:r>
    </w:p>
    <w:p w:rsidR="00EC32B2" w:rsidRPr="0036023B" w:rsidRDefault="00EC32B2" w:rsidP="0099526C">
      <w:pPr>
        <w:autoSpaceDE w:val="0"/>
        <w:autoSpaceDN w:val="0"/>
        <w:adjustRightInd w:val="0"/>
        <w:spacing w:before="29" w:line="288" w:lineRule="auto"/>
        <w:jc w:val="left"/>
        <w:rPr>
          <w:color w:val="000000"/>
          <w:sz w:val="24"/>
        </w:rPr>
      </w:pPr>
    </w:p>
    <w:p w:rsidR="00CF3CDE" w:rsidRPr="0036023B" w:rsidRDefault="00CF3CDE" w:rsidP="0099526C">
      <w:pPr>
        <w:spacing w:before="29" w:line="288" w:lineRule="auto"/>
        <w:rPr>
          <w:color w:val="000000"/>
          <w:kern w:val="0"/>
          <w:sz w:val="24"/>
        </w:rPr>
      </w:pPr>
      <w:r w:rsidRPr="0036023B">
        <w:rPr>
          <w:color w:val="000000"/>
          <w:kern w:val="0"/>
          <w:sz w:val="24"/>
        </w:rPr>
        <w:t>5.11.5</w:t>
      </w:r>
      <w:r w:rsidR="00846E4A" w:rsidRPr="0036023B">
        <w:rPr>
          <w:color w:val="000000"/>
          <w:kern w:val="0"/>
          <w:sz w:val="24"/>
        </w:rPr>
        <w:t xml:space="preserve"> </w:t>
      </w:r>
      <w:r w:rsidR="004917B4" w:rsidRPr="0036023B">
        <w:rPr>
          <w:color w:val="000000"/>
          <w:kern w:val="0"/>
          <w:sz w:val="24"/>
        </w:rPr>
        <w:t>报告期末投资的股票存在流通受限情况的说明</w:t>
      </w:r>
    </w:p>
    <w:p w:rsidR="005D44E4" w:rsidRPr="0036023B" w:rsidRDefault="00CF3CDE" w:rsidP="0099526C">
      <w:pPr>
        <w:spacing w:before="29" w:line="288" w:lineRule="auto"/>
        <w:rPr>
          <w:color w:val="000000"/>
          <w:kern w:val="0"/>
          <w:sz w:val="24"/>
        </w:rPr>
      </w:pPr>
      <w:r w:rsidRPr="0036023B">
        <w:rPr>
          <w:color w:val="000000"/>
          <w:kern w:val="0"/>
          <w:sz w:val="24"/>
        </w:rPr>
        <w:t>5.11.</w:t>
      </w:r>
      <w:r w:rsidR="004C5189" w:rsidRPr="0036023B">
        <w:rPr>
          <w:color w:val="000000"/>
          <w:kern w:val="0"/>
          <w:sz w:val="24"/>
        </w:rPr>
        <w:t>5</w:t>
      </w:r>
      <w:r w:rsidR="005D44E4" w:rsidRPr="0036023B">
        <w:rPr>
          <w:color w:val="000000"/>
          <w:kern w:val="0"/>
          <w:sz w:val="24"/>
        </w:rPr>
        <w:t>.</w:t>
      </w:r>
      <w:r w:rsidR="004C5189" w:rsidRPr="0036023B">
        <w:rPr>
          <w:color w:val="000000"/>
          <w:kern w:val="0"/>
          <w:sz w:val="24"/>
        </w:rPr>
        <w:t>1</w:t>
      </w:r>
      <w:r w:rsidR="00846E4A" w:rsidRPr="0036023B">
        <w:rPr>
          <w:color w:val="000000"/>
          <w:kern w:val="0"/>
          <w:sz w:val="24"/>
        </w:rPr>
        <w:t xml:space="preserve"> </w:t>
      </w:r>
      <w:r w:rsidR="00C51C36" w:rsidRPr="0036023B">
        <w:rPr>
          <w:bCs/>
          <w:color w:val="000000"/>
          <w:sz w:val="24"/>
        </w:rPr>
        <w:t>报告</w:t>
      </w:r>
      <w:r w:rsidR="00874F4B" w:rsidRPr="0036023B">
        <w:rPr>
          <w:sz w:val="24"/>
        </w:rPr>
        <w:t>期末指数投资前十名股票中存在流通受限情况的说明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本基金本报告期末指数投资前十名股票中不存在流通受限的情况。</w:t>
      </w:r>
    </w:p>
    <w:p w:rsidR="00EC32B2" w:rsidRPr="0036023B" w:rsidRDefault="00EC32B2" w:rsidP="0099526C">
      <w:pPr>
        <w:autoSpaceDE w:val="0"/>
        <w:autoSpaceDN w:val="0"/>
        <w:adjustRightInd w:val="0"/>
        <w:spacing w:before="29" w:line="288" w:lineRule="auto"/>
        <w:jc w:val="left"/>
        <w:rPr>
          <w:color w:val="000000"/>
          <w:sz w:val="24"/>
        </w:rPr>
      </w:pPr>
    </w:p>
    <w:p w:rsidR="005D44E4" w:rsidRPr="0036023B" w:rsidRDefault="00CF3CDE" w:rsidP="0099526C">
      <w:pPr>
        <w:spacing w:before="29" w:line="288" w:lineRule="auto"/>
        <w:rPr>
          <w:sz w:val="24"/>
        </w:rPr>
      </w:pPr>
      <w:r w:rsidRPr="0036023B">
        <w:rPr>
          <w:color w:val="000000"/>
          <w:kern w:val="0"/>
          <w:sz w:val="24"/>
        </w:rPr>
        <w:t>5.11.</w:t>
      </w:r>
      <w:r w:rsidR="004C5189" w:rsidRPr="0036023B">
        <w:rPr>
          <w:color w:val="000000"/>
          <w:kern w:val="0"/>
          <w:sz w:val="24"/>
        </w:rPr>
        <w:t>5.2</w:t>
      </w:r>
      <w:r w:rsidR="00846E4A" w:rsidRPr="0036023B">
        <w:rPr>
          <w:color w:val="000000"/>
          <w:kern w:val="0"/>
          <w:sz w:val="24"/>
        </w:rPr>
        <w:t xml:space="preserve"> </w:t>
      </w:r>
      <w:r w:rsidR="000F191F" w:rsidRPr="0036023B">
        <w:rPr>
          <w:bCs/>
          <w:color w:val="000000"/>
          <w:sz w:val="24"/>
        </w:rPr>
        <w:t>报告</w:t>
      </w:r>
      <w:r w:rsidR="005D44E4" w:rsidRPr="0036023B">
        <w:rPr>
          <w:sz w:val="24"/>
        </w:rPr>
        <w:t>期末积极投资前五名股票中存在流通受限情况的说明</w:t>
      </w:r>
    </w:p>
    <w:p w:rsidR="005D44E4" w:rsidRPr="0036023B" w:rsidRDefault="007C1A93" w:rsidP="0099526C">
      <w:pPr>
        <w:autoSpaceDE w:val="0"/>
        <w:autoSpaceDN w:val="0"/>
        <w:adjustRightInd w:val="0"/>
        <w:spacing w:before="29" w:line="288" w:lineRule="auto"/>
        <w:jc w:val="left"/>
        <w:rPr>
          <w:color w:val="000000"/>
          <w:sz w:val="24"/>
        </w:rPr>
      </w:pPr>
      <w:r w:rsidRPr="0036023B">
        <w:rPr>
          <w:color w:val="000000"/>
          <w:sz w:val="24"/>
        </w:rPr>
        <w:t>本基金本报告期末未持有积极投资的股票。</w:t>
      </w:r>
    </w:p>
    <w:p w:rsidR="004D1A45" w:rsidRPr="0036023B" w:rsidRDefault="004D1A45" w:rsidP="0099526C">
      <w:pPr>
        <w:spacing w:before="29" w:line="288" w:lineRule="auto"/>
        <w:rPr>
          <w:bCs/>
          <w:color w:val="000000"/>
          <w:sz w:val="24"/>
        </w:rPr>
      </w:pPr>
    </w:p>
    <w:p w:rsidR="00220542" w:rsidRPr="0036023B" w:rsidRDefault="004C5189" w:rsidP="0099526C">
      <w:pPr>
        <w:spacing w:before="29" w:line="288" w:lineRule="auto"/>
        <w:rPr>
          <w:color w:val="000000"/>
          <w:sz w:val="24"/>
        </w:rPr>
      </w:pPr>
      <w:r w:rsidRPr="0036023B">
        <w:rPr>
          <w:color w:val="000000"/>
          <w:sz w:val="24"/>
        </w:rPr>
        <w:t>5.11</w:t>
      </w:r>
      <w:r w:rsidR="00220542" w:rsidRPr="0036023B">
        <w:rPr>
          <w:color w:val="000000"/>
          <w:sz w:val="24"/>
        </w:rPr>
        <w:t>.</w:t>
      </w:r>
      <w:r w:rsidRPr="0036023B">
        <w:rPr>
          <w:bCs/>
          <w:color w:val="000000"/>
          <w:sz w:val="24"/>
        </w:rPr>
        <w:t>6</w:t>
      </w:r>
      <w:r w:rsidR="00846E4A" w:rsidRPr="0036023B">
        <w:rPr>
          <w:bCs/>
          <w:color w:val="000000"/>
          <w:sz w:val="24"/>
        </w:rPr>
        <w:t xml:space="preserve"> </w:t>
      </w:r>
      <w:r w:rsidR="00504285" w:rsidRPr="0036023B">
        <w:rPr>
          <w:bCs/>
          <w:color w:val="000000"/>
          <w:kern w:val="0"/>
          <w:sz w:val="24"/>
        </w:rPr>
        <w:t>投资组合报告附注的其他文字描述部分</w:t>
      </w:r>
    </w:p>
    <w:p w:rsidR="00220542" w:rsidRPr="0036023B" w:rsidRDefault="007C1A93" w:rsidP="00806B3B">
      <w:pPr>
        <w:spacing w:before="29" w:line="288" w:lineRule="auto"/>
        <w:rPr>
          <w:color w:val="000000"/>
          <w:sz w:val="24"/>
        </w:rPr>
      </w:pPr>
      <w:r w:rsidRPr="0036023B">
        <w:rPr>
          <w:color w:val="000000"/>
          <w:sz w:val="24"/>
        </w:rPr>
        <w:t>由于四舍五入的原因，分项之和与合计项之间可能存在尾差。</w:t>
      </w:r>
    </w:p>
    <w:p w:rsidR="003A0A94" w:rsidRPr="0036023B" w:rsidRDefault="003A0A94" w:rsidP="0099526C">
      <w:pPr>
        <w:spacing w:before="29" w:line="288" w:lineRule="auto"/>
        <w:ind w:firstLineChars="200" w:firstLine="480"/>
        <w:rPr>
          <w:color w:val="000000"/>
          <w:sz w:val="24"/>
        </w:rPr>
      </w:pPr>
    </w:p>
    <w:p w:rsidR="00220542" w:rsidRPr="0036023B"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 xml:space="preserve">§6  </w:t>
      </w:r>
      <w:r w:rsidRPr="0036023B">
        <w:rPr>
          <w:color w:val="000000"/>
          <w:kern w:val="0"/>
          <w:sz w:val="24"/>
          <w:szCs w:val="24"/>
        </w:rPr>
        <w:t>开放式基金份额变动</w:t>
      </w:r>
    </w:p>
    <w:p w:rsidR="00220542" w:rsidRPr="0036023B" w:rsidRDefault="00220542" w:rsidP="0099526C">
      <w:pPr>
        <w:autoSpaceDE w:val="0"/>
        <w:autoSpaceDN w:val="0"/>
        <w:adjustRightInd w:val="0"/>
        <w:spacing w:before="29" w:line="288" w:lineRule="auto"/>
        <w:ind w:left="15"/>
        <w:jc w:val="right"/>
        <w:rPr>
          <w:color w:val="000000"/>
          <w:kern w:val="0"/>
          <w:sz w:val="24"/>
        </w:rPr>
      </w:pPr>
      <w:r w:rsidRPr="0036023B">
        <w:rPr>
          <w:color w:val="000000"/>
          <w:kern w:val="0"/>
          <w:sz w:val="24"/>
        </w:rPr>
        <w:t>单位：份</w:t>
      </w:r>
    </w:p>
    <w:tbl>
      <w:tblPr>
        <w:tblW w:w="8868" w:type="dxa"/>
        <w:jc w:val="center"/>
        <w:tblLayout w:type="fixed"/>
        <w:tblLook w:val="0000" w:firstRow="0" w:lastRow="0" w:firstColumn="0" w:lastColumn="0" w:noHBand="0" w:noVBand="0"/>
      </w:tblPr>
      <w:tblGrid>
        <w:gridCol w:w="4734"/>
        <w:gridCol w:w="4134"/>
      </w:tblGrid>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报告期期初基金份额总额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2,673,524,362</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99526C">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基金总申购份额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2,621,000,000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减：</w:t>
            </w:r>
            <w:r w:rsidR="00267B74" w:rsidRPr="0036023B">
              <w:rPr>
                <w:color w:val="000000"/>
                <w:kern w:val="0"/>
                <w:sz w:val="24"/>
              </w:rPr>
              <w:t>本报告期</w:t>
            </w:r>
            <w:r w:rsidR="00321C2C">
              <w:rPr>
                <w:rFonts w:hint="eastAsia"/>
                <w:color w:val="000000"/>
                <w:kern w:val="0"/>
                <w:sz w:val="24"/>
              </w:rPr>
              <w:t>期间</w:t>
            </w:r>
            <w:r w:rsidRPr="0036023B">
              <w:rPr>
                <w:color w:val="000000"/>
                <w:kern w:val="0"/>
                <w:sz w:val="24"/>
              </w:rPr>
              <w:t>基金总赎回份额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3,399,000,000</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267B74" w:rsidP="000D475F">
            <w:pPr>
              <w:autoSpaceDE w:val="0"/>
              <w:autoSpaceDN w:val="0"/>
              <w:adjustRightInd w:val="0"/>
              <w:spacing w:before="29" w:line="288" w:lineRule="auto"/>
              <w:ind w:left="17"/>
              <w:jc w:val="left"/>
              <w:rPr>
                <w:color w:val="000000"/>
                <w:kern w:val="0"/>
                <w:sz w:val="24"/>
              </w:rPr>
            </w:pPr>
            <w:r w:rsidRPr="0036023B">
              <w:rPr>
                <w:color w:val="000000"/>
                <w:kern w:val="0"/>
                <w:sz w:val="24"/>
              </w:rPr>
              <w:t>本报告期</w:t>
            </w:r>
            <w:r w:rsidR="00321C2C">
              <w:rPr>
                <w:rFonts w:hint="eastAsia"/>
                <w:color w:val="000000"/>
                <w:kern w:val="0"/>
                <w:sz w:val="24"/>
              </w:rPr>
              <w:t>期间</w:t>
            </w:r>
            <w:r w:rsidR="007C1A93" w:rsidRPr="0036023B">
              <w:rPr>
                <w:color w:val="000000"/>
                <w:kern w:val="0"/>
                <w:sz w:val="24"/>
              </w:rPr>
              <w:t>基金拆分变动份额</w:t>
            </w:r>
            <w:r w:rsidR="00321C2C" w:rsidRPr="006664D2">
              <w:rPr>
                <w:rFonts w:hint="eastAsia"/>
                <w:color w:val="000000"/>
                <w:kern w:val="0"/>
                <w:sz w:val="24"/>
              </w:rPr>
              <w:t>（份额减少以</w:t>
            </w:r>
            <w:r w:rsidR="00321C2C" w:rsidRPr="004D5D71">
              <w:rPr>
                <w:color w:val="000000"/>
              </w:rPr>
              <w:t>“-”</w:t>
            </w:r>
            <w:r w:rsidR="00321C2C" w:rsidRPr="006664D2">
              <w:rPr>
                <w:rFonts w:hint="eastAsia"/>
                <w:color w:val="000000"/>
                <w:kern w:val="0"/>
                <w:sz w:val="24"/>
              </w:rPr>
              <w:t>填列）</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w:t>
            </w:r>
          </w:p>
        </w:tc>
      </w:tr>
      <w:tr w:rsidR="007C1A93" w:rsidRPr="0036023B" w:rsidTr="004A47AC">
        <w:trPr>
          <w:jc w:val="center"/>
        </w:trPr>
        <w:tc>
          <w:tcPr>
            <w:tcW w:w="4609"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left"/>
              <w:rPr>
                <w:color w:val="000000"/>
                <w:kern w:val="0"/>
                <w:sz w:val="24"/>
              </w:rPr>
            </w:pPr>
            <w:r w:rsidRPr="0036023B">
              <w:rPr>
                <w:color w:val="000000"/>
                <w:kern w:val="0"/>
                <w:sz w:val="24"/>
              </w:rPr>
              <w:t>报告期期末基金份额总额</w:t>
            </w:r>
          </w:p>
        </w:tc>
        <w:tc>
          <w:tcPr>
            <w:tcW w:w="4025" w:type="dxa"/>
            <w:tcBorders>
              <w:top w:val="single" w:sz="8" w:space="0" w:color="000000"/>
              <w:left w:val="single" w:sz="8" w:space="0" w:color="000000"/>
              <w:bottom w:val="single" w:sz="8" w:space="0" w:color="000000"/>
              <w:right w:val="single" w:sz="8" w:space="0" w:color="000000"/>
            </w:tcBorders>
            <w:vAlign w:val="center"/>
          </w:tcPr>
          <w:p w:rsidR="007C1A93" w:rsidRPr="0036023B" w:rsidRDefault="007C1A93" w:rsidP="0099526C">
            <w:pPr>
              <w:autoSpaceDE w:val="0"/>
              <w:autoSpaceDN w:val="0"/>
              <w:adjustRightInd w:val="0"/>
              <w:spacing w:before="29" w:line="288" w:lineRule="auto"/>
              <w:ind w:left="17"/>
              <w:jc w:val="right"/>
              <w:rPr>
                <w:color w:val="000000"/>
                <w:sz w:val="24"/>
              </w:rPr>
            </w:pPr>
            <w:r w:rsidRPr="0036023B">
              <w:rPr>
                <w:color w:val="000000"/>
                <w:sz w:val="24"/>
              </w:rPr>
              <w:t>1,895,524,362</w:t>
            </w:r>
          </w:p>
        </w:tc>
      </w:tr>
    </w:tbl>
    <w:p w:rsidR="00AA1D9A" w:rsidRDefault="00AA1D9A" w:rsidP="0099526C">
      <w:pPr>
        <w:autoSpaceDE w:val="0"/>
        <w:autoSpaceDN w:val="0"/>
        <w:adjustRightInd w:val="0"/>
        <w:spacing w:before="29" w:line="288" w:lineRule="auto"/>
        <w:jc w:val="left"/>
        <w:rPr>
          <w:color w:val="000000"/>
          <w:sz w:val="24"/>
        </w:rPr>
      </w:pPr>
    </w:p>
    <w:p w:rsidR="00FC2DA1" w:rsidRPr="00306E46" w:rsidRDefault="00FC2DA1" w:rsidP="004E1A18">
      <w:pPr>
        <w:pStyle w:val="1"/>
        <w:tabs>
          <w:tab w:val="center" w:pos="4156"/>
          <w:tab w:val="right" w:pos="8312"/>
        </w:tabs>
        <w:spacing w:beforeLines="100" w:before="312" w:afterLines="100" w:after="312" w:line="288" w:lineRule="auto"/>
        <w:jc w:val="center"/>
        <w:rPr>
          <w:sz w:val="24"/>
          <w:szCs w:val="24"/>
        </w:rPr>
      </w:pPr>
      <w:r w:rsidRPr="00306E46">
        <w:rPr>
          <w:rFonts w:eastAsiaTheme="minorEastAsia"/>
          <w:color w:val="000000"/>
          <w:kern w:val="0"/>
          <w:sz w:val="24"/>
          <w:szCs w:val="24"/>
        </w:rPr>
        <w:t xml:space="preserve">§7  </w:t>
      </w:r>
      <w:r w:rsidRPr="00306E46">
        <w:rPr>
          <w:sz w:val="24"/>
          <w:szCs w:val="24"/>
        </w:rPr>
        <w:t>基金管理人运用固有资金投资本基金情况</w:t>
      </w:r>
    </w:p>
    <w:p w:rsidR="00FC2DA1" w:rsidRPr="00306E46" w:rsidRDefault="00FC2DA1" w:rsidP="0099526C">
      <w:pPr>
        <w:spacing w:line="288" w:lineRule="auto"/>
        <w:jc w:val="left"/>
        <w:rPr>
          <w:sz w:val="24"/>
        </w:rPr>
      </w:pPr>
      <w:r w:rsidRPr="00306E46">
        <w:rPr>
          <w:b/>
          <w:sz w:val="24"/>
        </w:rPr>
        <w:t xml:space="preserve">7.1 </w:t>
      </w:r>
      <w:r w:rsidRPr="00306E46">
        <w:rPr>
          <w:b/>
          <w:sz w:val="24"/>
        </w:rPr>
        <w:t>基金管理人持有本基金份额变动情况</w:t>
      </w:r>
    </w:p>
    <w:p w:rsidR="00CE2DC0" w:rsidRDefault="00FC2DA1" w:rsidP="0099526C">
      <w:pPr>
        <w:autoSpaceDE w:val="0"/>
        <w:autoSpaceDN w:val="0"/>
        <w:adjustRightInd w:val="0"/>
        <w:spacing w:before="29" w:line="288" w:lineRule="auto"/>
        <w:jc w:val="left"/>
        <w:rPr>
          <w:rFonts w:eastAsiaTheme="minorEastAsia"/>
          <w:color w:val="000000"/>
          <w:sz w:val="24"/>
        </w:rPr>
      </w:pPr>
      <w:r w:rsidRPr="00306E46">
        <w:rPr>
          <w:rFonts w:eastAsiaTheme="minorEastAsia"/>
          <w:color w:val="000000"/>
          <w:sz w:val="24"/>
        </w:rPr>
        <w:t>本报告期内未发生基金管理人运用固有资金投资本基金的情况。</w:t>
      </w:r>
    </w:p>
    <w:p w:rsidR="00CE2DC0" w:rsidRDefault="00CE2DC0" w:rsidP="0099526C">
      <w:pPr>
        <w:autoSpaceDE w:val="0"/>
        <w:autoSpaceDN w:val="0"/>
        <w:adjustRightInd w:val="0"/>
        <w:spacing w:before="29" w:line="288" w:lineRule="auto"/>
        <w:jc w:val="left"/>
        <w:rPr>
          <w:rFonts w:eastAsiaTheme="minorEastAsia"/>
          <w:color w:val="000000"/>
          <w:sz w:val="24"/>
        </w:rPr>
      </w:pPr>
    </w:p>
    <w:p w:rsidR="00CE2DC0" w:rsidRPr="00CE2DC0" w:rsidRDefault="00FC2DA1" w:rsidP="004D4E22">
      <w:pPr>
        <w:autoSpaceDE w:val="0"/>
        <w:autoSpaceDN w:val="0"/>
        <w:adjustRightInd w:val="0"/>
        <w:spacing w:before="29" w:line="288" w:lineRule="auto"/>
        <w:jc w:val="left"/>
        <w:rPr>
          <w:rFonts w:eastAsiaTheme="minorEastAsia"/>
          <w:color w:val="000000"/>
          <w:sz w:val="24"/>
        </w:rPr>
      </w:pPr>
      <w:r w:rsidRPr="00CE2DC0">
        <w:rPr>
          <w:b/>
          <w:sz w:val="24"/>
        </w:rPr>
        <w:t xml:space="preserve">7.2 </w:t>
      </w:r>
      <w:r w:rsidRPr="00CE2DC0">
        <w:rPr>
          <w:rFonts w:hint="eastAsia"/>
          <w:b/>
          <w:sz w:val="24"/>
        </w:rPr>
        <w:t>基金管理人运用固有资金投资本基金交易明细</w:t>
      </w:r>
    </w:p>
    <w:p w:rsidR="00764DC3" w:rsidRPr="0036023B" w:rsidRDefault="00764DC3" w:rsidP="0099526C">
      <w:pPr>
        <w:autoSpaceDE w:val="0"/>
        <w:autoSpaceDN w:val="0"/>
        <w:adjustRightInd w:val="0"/>
        <w:spacing w:before="29" w:line="288" w:lineRule="auto"/>
        <w:jc w:val="left"/>
        <w:rPr>
          <w:color w:val="000000"/>
          <w:sz w:val="24"/>
        </w:rPr>
      </w:pPr>
      <w:r w:rsidRPr="0036023B">
        <w:rPr>
          <w:color w:val="000000"/>
          <w:sz w:val="24"/>
        </w:rPr>
        <w:t>本基金管理人本报告期内未进行本基金的申购、赎回、红利再投等。</w:t>
      </w:r>
    </w:p>
    <w:p w:rsidR="000E1CB6" w:rsidRPr="0036023B" w:rsidRDefault="000E1CB6" w:rsidP="0099526C">
      <w:pPr>
        <w:autoSpaceDE w:val="0"/>
        <w:autoSpaceDN w:val="0"/>
        <w:adjustRightInd w:val="0"/>
        <w:spacing w:before="29" w:line="288" w:lineRule="auto"/>
        <w:jc w:val="left"/>
        <w:rPr>
          <w:color w:val="000000"/>
          <w:sz w:val="24"/>
        </w:rPr>
      </w:pPr>
    </w:p>
    <w:p w:rsidR="00981CE6" w:rsidRPr="00405A85" w:rsidRDefault="00220542" w:rsidP="004E1A18">
      <w:pPr>
        <w:pStyle w:val="1"/>
        <w:spacing w:beforeLines="100" w:before="312" w:afterLines="100" w:after="312" w:line="288" w:lineRule="auto"/>
        <w:jc w:val="center"/>
        <w:rPr>
          <w:color w:val="000000"/>
          <w:kern w:val="0"/>
          <w:sz w:val="24"/>
          <w:szCs w:val="24"/>
        </w:rPr>
      </w:pPr>
      <w:r w:rsidRPr="0036023B">
        <w:rPr>
          <w:color w:val="000000"/>
          <w:kern w:val="0"/>
          <w:sz w:val="24"/>
          <w:szCs w:val="24"/>
        </w:rPr>
        <w:t>§</w:t>
      </w:r>
      <w:r w:rsidR="00122A26" w:rsidRPr="0036023B">
        <w:rPr>
          <w:color w:val="000000"/>
          <w:kern w:val="0"/>
          <w:sz w:val="24"/>
          <w:szCs w:val="24"/>
        </w:rPr>
        <w:t>8</w:t>
      </w:r>
      <w:r w:rsidR="005E1105" w:rsidRPr="0036023B">
        <w:rPr>
          <w:color w:val="000000"/>
          <w:kern w:val="0"/>
          <w:sz w:val="24"/>
          <w:szCs w:val="24"/>
        </w:rPr>
        <w:t xml:space="preserve"> </w:t>
      </w:r>
      <w:r w:rsidRPr="0036023B">
        <w:rPr>
          <w:color w:val="000000"/>
          <w:kern w:val="0"/>
          <w:sz w:val="24"/>
          <w:szCs w:val="24"/>
        </w:rPr>
        <w:t>备查文件目录</w:t>
      </w: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1</w:t>
      </w:r>
      <w:r w:rsidR="005E1105" w:rsidRPr="0036023B">
        <w:rPr>
          <w:b/>
          <w:color w:val="000000"/>
          <w:sz w:val="24"/>
        </w:rPr>
        <w:t xml:space="preserve"> </w:t>
      </w:r>
      <w:r w:rsidR="00220542" w:rsidRPr="0036023B">
        <w:rPr>
          <w:b/>
          <w:color w:val="000000"/>
          <w:sz w:val="24"/>
        </w:rPr>
        <w:t>备查文件目录</w:t>
      </w:r>
    </w:p>
    <w:p w:rsidR="00F73B61" w:rsidRDefault="00544342">
      <w:pPr>
        <w:spacing w:before="29" w:line="288" w:lineRule="auto"/>
        <w:ind w:firstLineChars="200" w:firstLine="480"/>
        <w:rPr>
          <w:color w:val="000000"/>
          <w:sz w:val="24"/>
        </w:rPr>
      </w:pPr>
      <w:r>
        <w:rPr>
          <w:color w:val="000000"/>
          <w:sz w:val="24"/>
        </w:rPr>
        <w:t>1</w:t>
      </w:r>
      <w:r>
        <w:rPr>
          <w:color w:val="000000"/>
          <w:sz w:val="24"/>
        </w:rPr>
        <w:t>、中国证监会核准上证</w:t>
      </w:r>
      <w:r>
        <w:rPr>
          <w:color w:val="000000"/>
          <w:sz w:val="24"/>
        </w:rPr>
        <w:t>180</w:t>
      </w:r>
      <w:r>
        <w:rPr>
          <w:color w:val="000000"/>
          <w:sz w:val="24"/>
        </w:rPr>
        <w:t>公司治理交易型开放式指数证券投资基金募集的文件；</w:t>
      </w:r>
    </w:p>
    <w:p w:rsidR="00F73B61" w:rsidRDefault="00544342">
      <w:pPr>
        <w:spacing w:before="29" w:line="288" w:lineRule="auto"/>
        <w:ind w:firstLineChars="200" w:firstLine="480"/>
        <w:rPr>
          <w:color w:val="000000"/>
          <w:sz w:val="24"/>
        </w:rPr>
      </w:pPr>
      <w:r>
        <w:rPr>
          <w:color w:val="000000"/>
          <w:sz w:val="24"/>
        </w:rPr>
        <w:t>2</w:t>
      </w:r>
      <w:r>
        <w:rPr>
          <w:color w:val="000000"/>
          <w:sz w:val="24"/>
        </w:rPr>
        <w:t>、《上证</w:t>
      </w:r>
      <w:r>
        <w:rPr>
          <w:color w:val="000000"/>
          <w:sz w:val="24"/>
        </w:rPr>
        <w:t>180</w:t>
      </w:r>
      <w:r>
        <w:rPr>
          <w:color w:val="000000"/>
          <w:sz w:val="24"/>
        </w:rPr>
        <w:t>公司治理交易型开放式指数证券投资基金基金合同》；</w:t>
      </w:r>
      <w:r>
        <w:rPr>
          <w:color w:val="000000"/>
          <w:sz w:val="24"/>
        </w:rPr>
        <w:t xml:space="preserve"> </w:t>
      </w:r>
    </w:p>
    <w:p w:rsidR="00F73B61" w:rsidRDefault="00544342">
      <w:pPr>
        <w:spacing w:before="29" w:line="288" w:lineRule="auto"/>
        <w:ind w:firstLineChars="200" w:firstLine="480"/>
        <w:rPr>
          <w:color w:val="000000"/>
          <w:sz w:val="24"/>
        </w:rPr>
      </w:pPr>
      <w:r>
        <w:rPr>
          <w:color w:val="000000"/>
          <w:sz w:val="24"/>
        </w:rPr>
        <w:t>3</w:t>
      </w:r>
      <w:r>
        <w:rPr>
          <w:color w:val="000000"/>
          <w:sz w:val="24"/>
        </w:rPr>
        <w:t>、《上证</w:t>
      </w:r>
      <w:r>
        <w:rPr>
          <w:color w:val="000000"/>
          <w:sz w:val="24"/>
        </w:rPr>
        <w:t>180</w:t>
      </w:r>
      <w:r>
        <w:rPr>
          <w:color w:val="000000"/>
          <w:sz w:val="24"/>
        </w:rPr>
        <w:t>公司治理交易型开放式指数证券投资基金招募说明书》；</w:t>
      </w:r>
    </w:p>
    <w:p w:rsidR="00F73B61" w:rsidRDefault="00544342">
      <w:pPr>
        <w:spacing w:before="29" w:line="288" w:lineRule="auto"/>
        <w:ind w:firstLineChars="200" w:firstLine="480"/>
        <w:rPr>
          <w:color w:val="000000"/>
          <w:sz w:val="24"/>
        </w:rPr>
      </w:pPr>
      <w:r>
        <w:rPr>
          <w:color w:val="000000"/>
          <w:sz w:val="24"/>
        </w:rPr>
        <w:t>4</w:t>
      </w:r>
      <w:r>
        <w:rPr>
          <w:color w:val="000000"/>
          <w:sz w:val="24"/>
        </w:rPr>
        <w:t>、《上证</w:t>
      </w:r>
      <w:r>
        <w:rPr>
          <w:color w:val="000000"/>
          <w:sz w:val="24"/>
        </w:rPr>
        <w:t>180</w:t>
      </w:r>
      <w:r>
        <w:rPr>
          <w:color w:val="000000"/>
          <w:sz w:val="24"/>
        </w:rPr>
        <w:t>公司治理交易型开放式指数证券投资基金托管协议》；</w:t>
      </w:r>
    </w:p>
    <w:p w:rsidR="00F73B61" w:rsidRDefault="00544342">
      <w:pPr>
        <w:spacing w:before="29" w:line="288" w:lineRule="auto"/>
        <w:ind w:firstLineChars="200" w:firstLine="480"/>
        <w:rPr>
          <w:color w:val="000000"/>
          <w:sz w:val="24"/>
        </w:rPr>
      </w:pPr>
      <w:r>
        <w:rPr>
          <w:color w:val="000000"/>
          <w:sz w:val="24"/>
        </w:rPr>
        <w:t>5</w:t>
      </w:r>
      <w:r>
        <w:rPr>
          <w:color w:val="000000"/>
          <w:sz w:val="24"/>
        </w:rPr>
        <w:t>、关于申请募集上证</w:t>
      </w:r>
      <w:r>
        <w:rPr>
          <w:color w:val="000000"/>
          <w:sz w:val="24"/>
        </w:rPr>
        <w:t>180</w:t>
      </w:r>
      <w:r>
        <w:rPr>
          <w:color w:val="000000"/>
          <w:sz w:val="24"/>
        </w:rPr>
        <w:t>公司治理交易型开放式指数证券投资基金之法律意见书；</w:t>
      </w:r>
    </w:p>
    <w:p w:rsidR="00F73B61" w:rsidRDefault="00544342">
      <w:pPr>
        <w:spacing w:before="29" w:line="288" w:lineRule="auto"/>
        <w:ind w:firstLineChars="200" w:firstLine="480"/>
        <w:rPr>
          <w:color w:val="000000"/>
          <w:sz w:val="24"/>
        </w:rPr>
      </w:pPr>
      <w:r>
        <w:rPr>
          <w:color w:val="000000"/>
          <w:sz w:val="24"/>
        </w:rPr>
        <w:t>6</w:t>
      </w:r>
      <w:r>
        <w:rPr>
          <w:color w:val="000000"/>
          <w:sz w:val="24"/>
        </w:rPr>
        <w:t>、基金管理人业务资格批件、营业执照；</w:t>
      </w:r>
    </w:p>
    <w:p w:rsidR="00F73B61" w:rsidRDefault="00544342">
      <w:pPr>
        <w:spacing w:before="29" w:line="288" w:lineRule="auto"/>
        <w:ind w:firstLineChars="200" w:firstLine="480"/>
        <w:rPr>
          <w:color w:val="000000"/>
          <w:sz w:val="24"/>
        </w:rPr>
      </w:pPr>
      <w:r>
        <w:rPr>
          <w:color w:val="000000"/>
          <w:sz w:val="24"/>
        </w:rPr>
        <w:t>7</w:t>
      </w:r>
      <w:r>
        <w:rPr>
          <w:color w:val="000000"/>
          <w:sz w:val="24"/>
        </w:rPr>
        <w:t>、基金托管人业务资格批件、营业执照；</w:t>
      </w:r>
    </w:p>
    <w:p w:rsidR="00220542" w:rsidRPr="0036023B" w:rsidRDefault="007C1A93" w:rsidP="0099526C">
      <w:pPr>
        <w:spacing w:before="29" w:line="288" w:lineRule="auto"/>
        <w:ind w:firstLineChars="200" w:firstLine="480"/>
        <w:rPr>
          <w:color w:val="000000"/>
          <w:sz w:val="24"/>
        </w:rPr>
      </w:pPr>
      <w:r w:rsidRPr="0036023B">
        <w:rPr>
          <w:color w:val="000000"/>
          <w:sz w:val="24"/>
        </w:rPr>
        <w:t>8</w:t>
      </w:r>
      <w:r w:rsidRPr="0036023B">
        <w:rPr>
          <w:color w:val="000000"/>
          <w:sz w:val="24"/>
        </w:rPr>
        <w:t>、报告期内上证</w:t>
      </w:r>
      <w:r w:rsidRPr="0036023B">
        <w:rPr>
          <w:color w:val="000000"/>
          <w:sz w:val="24"/>
        </w:rPr>
        <w:t>180</w:t>
      </w:r>
      <w:r w:rsidRPr="0036023B">
        <w:rPr>
          <w:color w:val="000000"/>
          <w:sz w:val="24"/>
        </w:rPr>
        <w:t>公司治理交易型开放式指数证券投资基金在指定报刊上各项公告的原稿。</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2</w:t>
      </w:r>
      <w:r w:rsidR="005E1105" w:rsidRPr="0036023B">
        <w:rPr>
          <w:b/>
          <w:color w:val="000000"/>
          <w:sz w:val="24"/>
        </w:rPr>
        <w:t xml:space="preserve"> </w:t>
      </w:r>
      <w:r w:rsidR="00220542" w:rsidRPr="0036023B">
        <w:rPr>
          <w:b/>
          <w:color w:val="000000"/>
          <w:sz w:val="24"/>
        </w:rPr>
        <w:t>存放地点</w:t>
      </w:r>
    </w:p>
    <w:p w:rsidR="00220542" w:rsidRPr="0036023B" w:rsidRDefault="007C1A93" w:rsidP="0099526C">
      <w:pPr>
        <w:spacing w:before="29" w:line="288" w:lineRule="auto"/>
        <w:ind w:firstLineChars="200" w:firstLine="480"/>
        <w:rPr>
          <w:color w:val="000000"/>
          <w:sz w:val="24"/>
        </w:rPr>
      </w:pPr>
      <w:r w:rsidRPr="0036023B">
        <w:rPr>
          <w:color w:val="000000"/>
          <w:sz w:val="24"/>
        </w:rPr>
        <w:t>备查文件存放于基金管理人的办公场所。</w:t>
      </w:r>
    </w:p>
    <w:p w:rsidR="00220542" w:rsidRPr="0036023B" w:rsidRDefault="00220542" w:rsidP="0099526C">
      <w:pPr>
        <w:spacing w:before="29" w:line="288" w:lineRule="auto"/>
        <w:ind w:firstLineChars="200" w:firstLine="480"/>
        <w:rPr>
          <w:color w:val="000000"/>
          <w:sz w:val="24"/>
        </w:rPr>
      </w:pPr>
    </w:p>
    <w:p w:rsidR="00220542" w:rsidRPr="0036023B" w:rsidRDefault="00122A26" w:rsidP="0099526C">
      <w:pPr>
        <w:spacing w:before="29" w:line="288" w:lineRule="auto"/>
        <w:rPr>
          <w:b/>
          <w:color w:val="000000"/>
          <w:sz w:val="24"/>
        </w:rPr>
      </w:pPr>
      <w:r w:rsidRPr="0036023B">
        <w:rPr>
          <w:b/>
          <w:color w:val="000000"/>
          <w:sz w:val="24"/>
        </w:rPr>
        <w:t>8</w:t>
      </w:r>
      <w:r w:rsidR="00220542" w:rsidRPr="0036023B">
        <w:rPr>
          <w:b/>
          <w:color w:val="000000"/>
          <w:sz w:val="24"/>
        </w:rPr>
        <w:t>.</w:t>
      </w:r>
      <w:r w:rsidR="00504432" w:rsidRPr="0036023B">
        <w:rPr>
          <w:b/>
          <w:color w:val="000000"/>
          <w:sz w:val="24"/>
        </w:rPr>
        <w:t>3</w:t>
      </w:r>
      <w:r w:rsidR="005E1105" w:rsidRPr="0036023B">
        <w:rPr>
          <w:b/>
          <w:color w:val="000000"/>
          <w:sz w:val="24"/>
        </w:rPr>
        <w:t xml:space="preserve"> </w:t>
      </w:r>
      <w:r w:rsidR="00220542" w:rsidRPr="0036023B">
        <w:rPr>
          <w:b/>
          <w:color w:val="000000"/>
          <w:sz w:val="24"/>
        </w:rPr>
        <w:t>查阅方式</w:t>
      </w:r>
    </w:p>
    <w:p w:rsidR="00F73B61" w:rsidRDefault="00544342">
      <w:pPr>
        <w:spacing w:before="29" w:line="288" w:lineRule="auto"/>
        <w:ind w:firstLineChars="200" w:firstLine="480"/>
        <w:rPr>
          <w:color w:val="000000"/>
          <w:sz w:val="24"/>
        </w:rPr>
      </w:pPr>
      <w:r>
        <w:rPr>
          <w:color w:val="000000"/>
          <w:sz w:val="24"/>
        </w:rPr>
        <w:t>投资者可在办公时间内至基金管理人的办公场所免费查阅备查文件，或者登录基金管理人的网站</w:t>
      </w:r>
      <w:r>
        <w:rPr>
          <w:color w:val="000000"/>
          <w:sz w:val="24"/>
        </w:rPr>
        <w:t>(www.fund001.com</w:t>
      </w:r>
      <w:r>
        <w:rPr>
          <w:color w:val="000000"/>
          <w:sz w:val="24"/>
        </w:rPr>
        <w:t>，</w:t>
      </w:r>
      <w:r>
        <w:rPr>
          <w:color w:val="000000"/>
          <w:sz w:val="24"/>
        </w:rPr>
        <w:t>www.bocomschroder.com)</w:t>
      </w:r>
      <w:r>
        <w:rPr>
          <w:color w:val="000000"/>
          <w:sz w:val="24"/>
        </w:rPr>
        <w:t>查阅。在支付工本费后，投资者可在合理时间内取得上述文件的复制件或复印件。</w:t>
      </w:r>
      <w:r>
        <w:rPr>
          <w:color w:val="000000"/>
          <w:sz w:val="24"/>
        </w:rPr>
        <w:t xml:space="preserve"> </w:t>
      </w:r>
    </w:p>
    <w:p w:rsidR="009B1B32" w:rsidRPr="0036023B" w:rsidRDefault="007C1A93" w:rsidP="0099526C">
      <w:pPr>
        <w:spacing w:before="29" w:line="288" w:lineRule="auto"/>
        <w:ind w:firstLineChars="200" w:firstLine="480"/>
        <w:rPr>
          <w:color w:val="000000"/>
          <w:sz w:val="24"/>
        </w:rPr>
      </w:pPr>
      <w:r w:rsidRPr="0036023B">
        <w:rPr>
          <w:color w:val="000000"/>
          <w:sz w:val="24"/>
        </w:rPr>
        <w:t>投资者对本报告书如有疑问，可咨询本基金管理人交银施罗德基金管理有限公司。本公司客户服务中心电话：</w:t>
      </w:r>
      <w:r w:rsidRPr="0036023B">
        <w:rPr>
          <w:color w:val="000000"/>
          <w:sz w:val="24"/>
        </w:rPr>
        <w:t>400-700-5000</w:t>
      </w:r>
      <w:r w:rsidRPr="0036023B">
        <w:rPr>
          <w:color w:val="000000"/>
          <w:sz w:val="24"/>
        </w:rPr>
        <w:t>（免长途话费），</w:t>
      </w:r>
      <w:r w:rsidRPr="0036023B">
        <w:rPr>
          <w:color w:val="000000"/>
          <w:sz w:val="24"/>
        </w:rPr>
        <w:t>021-61055000</w:t>
      </w:r>
      <w:r w:rsidRPr="0036023B">
        <w:rPr>
          <w:color w:val="000000"/>
          <w:sz w:val="24"/>
        </w:rPr>
        <w:t>，电子邮件：</w:t>
      </w:r>
      <w:r w:rsidRPr="0036023B">
        <w:rPr>
          <w:color w:val="000000"/>
          <w:sz w:val="24"/>
        </w:rPr>
        <w:t>services@jysld.com</w:t>
      </w:r>
      <w:r w:rsidRPr="0036023B">
        <w:rPr>
          <w:color w:val="000000"/>
          <w:sz w:val="24"/>
        </w:rPr>
        <w:t>。</w:t>
      </w:r>
    </w:p>
    <w:p w:rsidR="001E29D5" w:rsidRPr="0036023B" w:rsidRDefault="001E29D5" w:rsidP="0099526C">
      <w:pPr>
        <w:spacing w:before="29" w:line="288" w:lineRule="auto"/>
        <w:ind w:firstLineChars="200" w:firstLine="480"/>
        <w:rPr>
          <w:color w:val="000000"/>
          <w:sz w:val="24"/>
        </w:rPr>
      </w:pPr>
    </w:p>
    <w:sectPr w:rsidR="001E29D5" w:rsidRPr="0036023B" w:rsidSect="00385786">
      <w:footerReference w:type="even" r:id="rId10"/>
      <w:pgSz w:w="11906" w:h="16838" w:code="9"/>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2AE" w:rsidRDefault="005162AE">
      <w:r>
        <w:separator/>
      </w:r>
    </w:p>
  </w:endnote>
  <w:endnote w:type="continuationSeparator" w:id="0">
    <w:p w:rsidR="005162AE" w:rsidRDefault="00516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FangSong">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1D0DB0" w:rsidRDefault="00E57F92" w:rsidP="00230A66">
    <w:pPr>
      <w:pStyle w:val="a6"/>
      <w:jc w:val="center"/>
    </w:pPr>
    <w:r>
      <w:rPr>
        <w:rFonts w:hint="eastAsia"/>
        <w:kern w:val="0"/>
        <w:szCs w:val="21"/>
      </w:rPr>
      <w:t>第</w:t>
    </w:r>
    <w:r w:rsidR="006B7EE6">
      <w:rPr>
        <w:rFonts w:hint="eastAsia"/>
        <w:kern w:val="0"/>
        <w:szCs w:val="21"/>
      </w:rPr>
      <w:t xml:space="preserve"> </w:t>
    </w:r>
    <w:r w:rsidR="00AD3177">
      <w:rPr>
        <w:kern w:val="0"/>
        <w:szCs w:val="21"/>
      </w:rPr>
      <w:fldChar w:fldCharType="begin"/>
    </w:r>
    <w:r>
      <w:rPr>
        <w:kern w:val="0"/>
        <w:szCs w:val="21"/>
      </w:rPr>
      <w:instrText xml:space="preserve"> PAGE </w:instrText>
    </w:r>
    <w:r w:rsidR="00AD3177">
      <w:rPr>
        <w:kern w:val="0"/>
        <w:szCs w:val="21"/>
      </w:rPr>
      <w:fldChar w:fldCharType="separate"/>
    </w:r>
    <w:r w:rsidR="00985FE4">
      <w:rPr>
        <w:noProof/>
        <w:kern w:val="0"/>
        <w:szCs w:val="21"/>
      </w:rPr>
      <w:t>1</w:t>
    </w:r>
    <w:r w:rsidR="00AD3177">
      <w:rPr>
        <w:kern w:val="0"/>
        <w:szCs w:val="21"/>
      </w:rPr>
      <w:fldChar w:fldCharType="end"/>
    </w:r>
    <w:r w:rsidR="006B7EE6">
      <w:rPr>
        <w:rFonts w:hint="eastAsia"/>
        <w:kern w:val="0"/>
        <w:szCs w:val="21"/>
      </w:rPr>
      <w:t xml:space="preserve"> </w:t>
    </w:r>
    <w:r>
      <w:rPr>
        <w:rFonts w:hint="eastAsia"/>
        <w:kern w:val="0"/>
        <w:szCs w:val="21"/>
      </w:rPr>
      <w:t>页</w:t>
    </w:r>
    <w:r w:rsidR="006B7EE6">
      <w:rPr>
        <w:rFonts w:hint="eastAsia"/>
        <w:kern w:val="0"/>
        <w:szCs w:val="21"/>
      </w:rPr>
      <w:t xml:space="preserve"> </w:t>
    </w:r>
    <w:r>
      <w:rPr>
        <w:rFonts w:hint="eastAsia"/>
        <w:kern w:val="0"/>
        <w:szCs w:val="21"/>
      </w:rPr>
      <w:t>共</w:t>
    </w:r>
    <w:r w:rsidR="006B7EE6">
      <w:rPr>
        <w:rFonts w:hint="eastAsia"/>
        <w:kern w:val="0"/>
        <w:szCs w:val="21"/>
      </w:rPr>
      <w:t xml:space="preserve"> </w:t>
    </w:r>
    <w:r w:rsidR="00AD3177">
      <w:rPr>
        <w:kern w:val="0"/>
        <w:szCs w:val="21"/>
      </w:rPr>
      <w:fldChar w:fldCharType="begin"/>
    </w:r>
    <w:r>
      <w:rPr>
        <w:kern w:val="0"/>
        <w:szCs w:val="21"/>
      </w:rPr>
      <w:instrText xml:space="preserve"> NUMPAGES </w:instrText>
    </w:r>
    <w:r w:rsidR="00AD3177">
      <w:rPr>
        <w:kern w:val="0"/>
        <w:szCs w:val="21"/>
      </w:rPr>
      <w:fldChar w:fldCharType="separate"/>
    </w:r>
    <w:r w:rsidR="00985FE4">
      <w:rPr>
        <w:noProof/>
        <w:kern w:val="0"/>
        <w:szCs w:val="21"/>
      </w:rPr>
      <w:t>11</w:t>
    </w:r>
    <w:r w:rsidR="00AD3177">
      <w:rPr>
        <w:kern w:val="0"/>
        <w:szCs w:val="21"/>
      </w:rPr>
      <w:fldChar w:fldCharType="end"/>
    </w:r>
    <w:r w:rsidR="006B7EE6">
      <w:rPr>
        <w:rFonts w:hint="eastAsia"/>
        <w:kern w:val="0"/>
        <w:szCs w:val="21"/>
      </w:rPr>
      <w:t xml:space="preserve"> </w:t>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Default="00AD3177">
    <w:pPr>
      <w:pStyle w:val="a6"/>
      <w:framePr w:wrap="around" w:vAnchor="text" w:hAnchor="margin" w:xAlign="center" w:y="1"/>
      <w:rPr>
        <w:rStyle w:val="a7"/>
      </w:rPr>
    </w:pPr>
    <w:r>
      <w:rPr>
        <w:rStyle w:val="a7"/>
      </w:rPr>
      <w:fldChar w:fldCharType="begin"/>
    </w:r>
    <w:r w:rsidR="00E57F92">
      <w:rPr>
        <w:rStyle w:val="a7"/>
      </w:rPr>
      <w:instrText xml:space="preserve">PAGE  </w:instrText>
    </w:r>
    <w:r>
      <w:rPr>
        <w:rStyle w:val="a7"/>
      </w:rPr>
      <w:fldChar w:fldCharType="end"/>
    </w:r>
  </w:p>
  <w:p w:rsidR="00E57F92" w:rsidRDefault="00E57F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2AE" w:rsidRDefault="005162AE">
      <w:r>
        <w:separator/>
      </w:r>
    </w:p>
  </w:footnote>
  <w:footnote w:type="continuationSeparator" w:id="0">
    <w:p w:rsidR="005162AE" w:rsidRDefault="005162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F92" w:rsidRPr="00F953AA" w:rsidRDefault="00311FC0" w:rsidP="005E491F">
    <w:pPr>
      <w:pStyle w:val="a9"/>
      <w:pBdr>
        <w:bottom w:val="single" w:sz="6" w:space="0" w:color="auto"/>
      </w:pBdr>
      <w:jc w:val="right"/>
    </w:pPr>
    <w:r>
      <w:rPr>
        <w:noProof/>
      </w:rPr>
      <w:drawing>
        <wp:anchor distT="0" distB="0" distL="114300" distR="114300" simplePos="0" relativeHeight="251658240" behindDoc="0" locked="0" layoutInCell="1" allowOverlap="1">
          <wp:simplePos x="0" y="0"/>
          <wp:positionH relativeFrom="column">
            <wp:posOffset>4445</wp:posOffset>
          </wp:positionH>
          <wp:positionV relativeFrom="paragraph">
            <wp:posOffset>-330835</wp:posOffset>
          </wp:positionV>
          <wp:extent cx="2085975" cy="457200"/>
          <wp:effectExtent l="19050" t="0" r="9525" b="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085975" cy="4572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158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42A56"/>
    <w:rsid w:val="00000F0F"/>
    <w:rsid w:val="000020BB"/>
    <w:rsid w:val="0000403B"/>
    <w:rsid w:val="00005911"/>
    <w:rsid w:val="00010A83"/>
    <w:rsid w:val="00010A8E"/>
    <w:rsid w:val="00010AC3"/>
    <w:rsid w:val="000115A7"/>
    <w:rsid w:val="00011EB5"/>
    <w:rsid w:val="0001280C"/>
    <w:rsid w:val="00012973"/>
    <w:rsid w:val="00015373"/>
    <w:rsid w:val="00017581"/>
    <w:rsid w:val="00020583"/>
    <w:rsid w:val="00021DD4"/>
    <w:rsid w:val="00023BE7"/>
    <w:rsid w:val="000366D7"/>
    <w:rsid w:val="00037FCF"/>
    <w:rsid w:val="000421B8"/>
    <w:rsid w:val="00043ABF"/>
    <w:rsid w:val="00043B12"/>
    <w:rsid w:val="000445E4"/>
    <w:rsid w:val="00045BEC"/>
    <w:rsid w:val="000510AB"/>
    <w:rsid w:val="000538C1"/>
    <w:rsid w:val="00055AF1"/>
    <w:rsid w:val="000625A6"/>
    <w:rsid w:val="00064AE3"/>
    <w:rsid w:val="00066524"/>
    <w:rsid w:val="00070CD1"/>
    <w:rsid w:val="0007171B"/>
    <w:rsid w:val="00072E4F"/>
    <w:rsid w:val="00074E9F"/>
    <w:rsid w:val="00076B5E"/>
    <w:rsid w:val="00081D05"/>
    <w:rsid w:val="00082088"/>
    <w:rsid w:val="000820A8"/>
    <w:rsid w:val="00084EE5"/>
    <w:rsid w:val="00087CF7"/>
    <w:rsid w:val="00091560"/>
    <w:rsid w:val="00093160"/>
    <w:rsid w:val="00094876"/>
    <w:rsid w:val="00095912"/>
    <w:rsid w:val="00095CE0"/>
    <w:rsid w:val="00096933"/>
    <w:rsid w:val="00097230"/>
    <w:rsid w:val="0009778D"/>
    <w:rsid w:val="000A457E"/>
    <w:rsid w:val="000A53FD"/>
    <w:rsid w:val="000A549A"/>
    <w:rsid w:val="000A5F96"/>
    <w:rsid w:val="000A72F2"/>
    <w:rsid w:val="000B0C56"/>
    <w:rsid w:val="000B0CB4"/>
    <w:rsid w:val="000B3E43"/>
    <w:rsid w:val="000B5072"/>
    <w:rsid w:val="000B5CC0"/>
    <w:rsid w:val="000C1723"/>
    <w:rsid w:val="000C1B20"/>
    <w:rsid w:val="000C4107"/>
    <w:rsid w:val="000C45E7"/>
    <w:rsid w:val="000D01F4"/>
    <w:rsid w:val="000D0572"/>
    <w:rsid w:val="000D1519"/>
    <w:rsid w:val="000D1C87"/>
    <w:rsid w:val="000D475F"/>
    <w:rsid w:val="000E1CB6"/>
    <w:rsid w:val="000E4456"/>
    <w:rsid w:val="000E7FAC"/>
    <w:rsid w:val="000F175F"/>
    <w:rsid w:val="000F17D1"/>
    <w:rsid w:val="000F191F"/>
    <w:rsid w:val="000F591C"/>
    <w:rsid w:val="000F60FF"/>
    <w:rsid w:val="000F635F"/>
    <w:rsid w:val="000F6C61"/>
    <w:rsid w:val="001005BC"/>
    <w:rsid w:val="00100C12"/>
    <w:rsid w:val="00101DBA"/>
    <w:rsid w:val="001049B6"/>
    <w:rsid w:val="001051C6"/>
    <w:rsid w:val="0011177A"/>
    <w:rsid w:val="00116E31"/>
    <w:rsid w:val="00120183"/>
    <w:rsid w:val="00122A26"/>
    <w:rsid w:val="0012304E"/>
    <w:rsid w:val="001248EF"/>
    <w:rsid w:val="001257C7"/>
    <w:rsid w:val="00126DDF"/>
    <w:rsid w:val="001270BF"/>
    <w:rsid w:val="00127BAC"/>
    <w:rsid w:val="0013360F"/>
    <w:rsid w:val="00135016"/>
    <w:rsid w:val="00141121"/>
    <w:rsid w:val="00142627"/>
    <w:rsid w:val="00142A56"/>
    <w:rsid w:val="00144D45"/>
    <w:rsid w:val="00144DF5"/>
    <w:rsid w:val="00145A97"/>
    <w:rsid w:val="00146485"/>
    <w:rsid w:val="00150AD6"/>
    <w:rsid w:val="00153629"/>
    <w:rsid w:val="00153791"/>
    <w:rsid w:val="00153B40"/>
    <w:rsid w:val="00154ADA"/>
    <w:rsid w:val="0015531A"/>
    <w:rsid w:val="001570A7"/>
    <w:rsid w:val="001600E8"/>
    <w:rsid w:val="00161496"/>
    <w:rsid w:val="00162238"/>
    <w:rsid w:val="00163B27"/>
    <w:rsid w:val="00165317"/>
    <w:rsid w:val="001660A1"/>
    <w:rsid w:val="00171BAD"/>
    <w:rsid w:val="00171F85"/>
    <w:rsid w:val="001744B4"/>
    <w:rsid w:val="001756A1"/>
    <w:rsid w:val="001761EE"/>
    <w:rsid w:val="00176EAA"/>
    <w:rsid w:val="0017725A"/>
    <w:rsid w:val="0017779C"/>
    <w:rsid w:val="001779ED"/>
    <w:rsid w:val="00177C4B"/>
    <w:rsid w:val="0018325A"/>
    <w:rsid w:val="00184096"/>
    <w:rsid w:val="0018546F"/>
    <w:rsid w:val="00186199"/>
    <w:rsid w:val="001928F7"/>
    <w:rsid w:val="00194537"/>
    <w:rsid w:val="0019563C"/>
    <w:rsid w:val="00195F18"/>
    <w:rsid w:val="001A21A9"/>
    <w:rsid w:val="001A59D8"/>
    <w:rsid w:val="001A5FA6"/>
    <w:rsid w:val="001A6F8A"/>
    <w:rsid w:val="001B2F0C"/>
    <w:rsid w:val="001C27F0"/>
    <w:rsid w:val="001C37F6"/>
    <w:rsid w:val="001C6288"/>
    <w:rsid w:val="001D0F6A"/>
    <w:rsid w:val="001D1CDD"/>
    <w:rsid w:val="001D21BC"/>
    <w:rsid w:val="001D2FA5"/>
    <w:rsid w:val="001D35E0"/>
    <w:rsid w:val="001D3711"/>
    <w:rsid w:val="001D3CDF"/>
    <w:rsid w:val="001D5045"/>
    <w:rsid w:val="001D5A44"/>
    <w:rsid w:val="001D724B"/>
    <w:rsid w:val="001E11D3"/>
    <w:rsid w:val="001E29D5"/>
    <w:rsid w:val="001E2A6A"/>
    <w:rsid w:val="001E3DC2"/>
    <w:rsid w:val="001E56FF"/>
    <w:rsid w:val="001E5C6B"/>
    <w:rsid w:val="001F03E1"/>
    <w:rsid w:val="001F0FDD"/>
    <w:rsid w:val="001F3CC6"/>
    <w:rsid w:val="001F4530"/>
    <w:rsid w:val="001F5265"/>
    <w:rsid w:val="002005EC"/>
    <w:rsid w:val="002010DE"/>
    <w:rsid w:val="00202885"/>
    <w:rsid w:val="00202968"/>
    <w:rsid w:val="00202C32"/>
    <w:rsid w:val="00203AEF"/>
    <w:rsid w:val="002077D8"/>
    <w:rsid w:val="00210FEC"/>
    <w:rsid w:val="00211A26"/>
    <w:rsid w:val="002125F7"/>
    <w:rsid w:val="00214463"/>
    <w:rsid w:val="00214756"/>
    <w:rsid w:val="00215CF2"/>
    <w:rsid w:val="00217171"/>
    <w:rsid w:val="00220006"/>
    <w:rsid w:val="00220542"/>
    <w:rsid w:val="00221174"/>
    <w:rsid w:val="00225421"/>
    <w:rsid w:val="00225ADC"/>
    <w:rsid w:val="00227748"/>
    <w:rsid w:val="00230A66"/>
    <w:rsid w:val="00230EC2"/>
    <w:rsid w:val="002359EB"/>
    <w:rsid w:val="002363AB"/>
    <w:rsid w:val="00236807"/>
    <w:rsid w:val="00237F06"/>
    <w:rsid w:val="0024260D"/>
    <w:rsid w:val="00245012"/>
    <w:rsid w:val="0024504E"/>
    <w:rsid w:val="0024651F"/>
    <w:rsid w:val="00250062"/>
    <w:rsid w:val="002502A3"/>
    <w:rsid w:val="00250BE3"/>
    <w:rsid w:val="0025158D"/>
    <w:rsid w:val="0025281A"/>
    <w:rsid w:val="00253D3C"/>
    <w:rsid w:val="00255292"/>
    <w:rsid w:val="00260200"/>
    <w:rsid w:val="00263563"/>
    <w:rsid w:val="002648D8"/>
    <w:rsid w:val="00267B74"/>
    <w:rsid w:val="00270548"/>
    <w:rsid w:val="00273F86"/>
    <w:rsid w:val="002774F0"/>
    <w:rsid w:val="00277C30"/>
    <w:rsid w:val="00283272"/>
    <w:rsid w:val="0028459B"/>
    <w:rsid w:val="00284C5F"/>
    <w:rsid w:val="00285127"/>
    <w:rsid w:val="002873F0"/>
    <w:rsid w:val="00287AC3"/>
    <w:rsid w:val="00295C5D"/>
    <w:rsid w:val="002964F9"/>
    <w:rsid w:val="002A1F14"/>
    <w:rsid w:val="002A2678"/>
    <w:rsid w:val="002A2E01"/>
    <w:rsid w:val="002A398F"/>
    <w:rsid w:val="002A3B4A"/>
    <w:rsid w:val="002A5C6B"/>
    <w:rsid w:val="002A5D31"/>
    <w:rsid w:val="002A714F"/>
    <w:rsid w:val="002B1851"/>
    <w:rsid w:val="002B27FF"/>
    <w:rsid w:val="002B6793"/>
    <w:rsid w:val="002B7C16"/>
    <w:rsid w:val="002C1726"/>
    <w:rsid w:val="002C21A6"/>
    <w:rsid w:val="002C2610"/>
    <w:rsid w:val="002C26D5"/>
    <w:rsid w:val="002C5777"/>
    <w:rsid w:val="002C6BEB"/>
    <w:rsid w:val="002D32E3"/>
    <w:rsid w:val="002D4236"/>
    <w:rsid w:val="002E0FEB"/>
    <w:rsid w:val="002E300D"/>
    <w:rsid w:val="002F0F79"/>
    <w:rsid w:val="002F1CC8"/>
    <w:rsid w:val="002F280E"/>
    <w:rsid w:val="002F3709"/>
    <w:rsid w:val="002F3A6C"/>
    <w:rsid w:val="002F4296"/>
    <w:rsid w:val="00300951"/>
    <w:rsid w:val="003023C9"/>
    <w:rsid w:val="00302CA8"/>
    <w:rsid w:val="00302DE9"/>
    <w:rsid w:val="0030424E"/>
    <w:rsid w:val="00305084"/>
    <w:rsid w:val="00306E46"/>
    <w:rsid w:val="00310086"/>
    <w:rsid w:val="00311FC0"/>
    <w:rsid w:val="00312A19"/>
    <w:rsid w:val="00312FE8"/>
    <w:rsid w:val="0031358C"/>
    <w:rsid w:val="00313AE2"/>
    <w:rsid w:val="003149AB"/>
    <w:rsid w:val="0031630D"/>
    <w:rsid w:val="003204E9"/>
    <w:rsid w:val="00321C2C"/>
    <w:rsid w:val="00321E8C"/>
    <w:rsid w:val="00322A86"/>
    <w:rsid w:val="00323AE8"/>
    <w:rsid w:val="00324373"/>
    <w:rsid w:val="00324548"/>
    <w:rsid w:val="003251F4"/>
    <w:rsid w:val="003303E3"/>
    <w:rsid w:val="00331FA4"/>
    <w:rsid w:val="003329EA"/>
    <w:rsid w:val="00332E47"/>
    <w:rsid w:val="003347EF"/>
    <w:rsid w:val="00337293"/>
    <w:rsid w:val="00337CC4"/>
    <w:rsid w:val="003407A5"/>
    <w:rsid w:val="00341188"/>
    <w:rsid w:val="0034147B"/>
    <w:rsid w:val="00345AA8"/>
    <w:rsid w:val="00350238"/>
    <w:rsid w:val="0035109C"/>
    <w:rsid w:val="00351F0A"/>
    <w:rsid w:val="0035432B"/>
    <w:rsid w:val="00357172"/>
    <w:rsid w:val="0036023B"/>
    <w:rsid w:val="003613A8"/>
    <w:rsid w:val="00361E7E"/>
    <w:rsid w:val="0036360E"/>
    <w:rsid w:val="00364504"/>
    <w:rsid w:val="00370AA4"/>
    <w:rsid w:val="00371FF4"/>
    <w:rsid w:val="00376B0E"/>
    <w:rsid w:val="00376C39"/>
    <w:rsid w:val="00377520"/>
    <w:rsid w:val="00380D36"/>
    <w:rsid w:val="003822D3"/>
    <w:rsid w:val="003834E0"/>
    <w:rsid w:val="00385786"/>
    <w:rsid w:val="00386630"/>
    <w:rsid w:val="00390B25"/>
    <w:rsid w:val="00397156"/>
    <w:rsid w:val="00397960"/>
    <w:rsid w:val="003A0A94"/>
    <w:rsid w:val="003A1A57"/>
    <w:rsid w:val="003A3BC4"/>
    <w:rsid w:val="003A458A"/>
    <w:rsid w:val="003B2DA8"/>
    <w:rsid w:val="003B2F13"/>
    <w:rsid w:val="003B405E"/>
    <w:rsid w:val="003B4B45"/>
    <w:rsid w:val="003B57D3"/>
    <w:rsid w:val="003C11EC"/>
    <w:rsid w:val="003C1F58"/>
    <w:rsid w:val="003C606C"/>
    <w:rsid w:val="003C6C58"/>
    <w:rsid w:val="003C792F"/>
    <w:rsid w:val="003D124B"/>
    <w:rsid w:val="003D18F3"/>
    <w:rsid w:val="003D78B5"/>
    <w:rsid w:val="003E244F"/>
    <w:rsid w:val="003E62A6"/>
    <w:rsid w:val="003E695F"/>
    <w:rsid w:val="003E6C9B"/>
    <w:rsid w:val="003E709C"/>
    <w:rsid w:val="003E7B89"/>
    <w:rsid w:val="003F4241"/>
    <w:rsid w:val="003F7040"/>
    <w:rsid w:val="003F7C45"/>
    <w:rsid w:val="00401222"/>
    <w:rsid w:val="0040132C"/>
    <w:rsid w:val="00405085"/>
    <w:rsid w:val="00405A85"/>
    <w:rsid w:val="004066FC"/>
    <w:rsid w:val="00407C10"/>
    <w:rsid w:val="004113B4"/>
    <w:rsid w:val="004143D6"/>
    <w:rsid w:val="00414827"/>
    <w:rsid w:val="00414ECB"/>
    <w:rsid w:val="00416C10"/>
    <w:rsid w:val="00420355"/>
    <w:rsid w:val="00424EF3"/>
    <w:rsid w:val="004268BB"/>
    <w:rsid w:val="00431047"/>
    <w:rsid w:val="004318F0"/>
    <w:rsid w:val="00431B86"/>
    <w:rsid w:val="00435368"/>
    <w:rsid w:val="004408EC"/>
    <w:rsid w:val="004419E2"/>
    <w:rsid w:val="00441E6A"/>
    <w:rsid w:val="0044398D"/>
    <w:rsid w:val="00443C8F"/>
    <w:rsid w:val="00452481"/>
    <w:rsid w:val="004525C2"/>
    <w:rsid w:val="004575E9"/>
    <w:rsid w:val="004576F2"/>
    <w:rsid w:val="00457804"/>
    <w:rsid w:val="004646BF"/>
    <w:rsid w:val="00464744"/>
    <w:rsid w:val="004665E3"/>
    <w:rsid w:val="00471291"/>
    <w:rsid w:val="004731F1"/>
    <w:rsid w:val="00480BC8"/>
    <w:rsid w:val="00481265"/>
    <w:rsid w:val="004814BF"/>
    <w:rsid w:val="0048587E"/>
    <w:rsid w:val="00487C2B"/>
    <w:rsid w:val="004917B4"/>
    <w:rsid w:val="0049297D"/>
    <w:rsid w:val="004929F2"/>
    <w:rsid w:val="00495A03"/>
    <w:rsid w:val="004967FC"/>
    <w:rsid w:val="00497079"/>
    <w:rsid w:val="004A00BD"/>
    <w:rsid w:val="004A1BBA"/>
    <w:rsid w:val="004A1D53"/>
    <w:rsid w:val="004A3E3C"/>
    <w:rsid w:val="004A47AC"/>
    <w:rsid w:val="004B0E6D"/>
    <w:rsid w:val="004B16E8"/>
    <w:rsid w:val="004B2DB9"/>
    <w:rsid w:val="004B50CA"/>
    <w:rsid w:val="004B5E54"/>
    <w:rsid w:val="004B6250"/>
    <w:rsid w:val="004B76B1"/>
    <w:rsid w:val="004C0057"/>
    <w:rsid w:val="004C03A7"/>
    <w:rsid w:val="004C0541"/>
    <w:rsid w:val="004C1946"/>
    <w:rsid w:val="004C2C46"/>
    <w:rsid w:val="004C5189"/>
    <w:rsid w:val="004C7235"/>
    <w:rsid w:val="004C7955"/>
    <w:rsid w:val="004D047F"/>
    <w:rsid w:val="004D1A45"/>
    <w:rsid w:val="004D3D96"/>
    <w:rsid w:val="004D4E22"/>
    <w:rsid w:val="004D650F"/>
    <w:rsid w:val="004E1A18"/>
    <w:rsid w:val="004E2133"/>
    <w:rsid w:val="004E5AB9"/>
    <w:rsid w:val="004E60FB"/>
    <w:rsid w:val="004F1EBD"/>
    <w:rsid w:val="004F41EA"/>
    <w:rsid w:val="004F4EA9"/>
    <w:rsid w:val="004F779C"/>
    <w:rsid w:val="004F7846"/>
    <w:rsid w:val="005000D4"/>
    <w:rsid w:val="00500F1D"/>
    <w:rsid w:val="00504285"/>
    <w:rsid w:val="00504432"/>
    <w:rsid w:val="00505EE0"/>
    <w:rsid w:val="0050638D"/>
    <w:rsid w:val="00510CAF"/>
    <w:rsid w:val="00511B6A"/>
    <w:rsid w:val="005128C5"/>
    <w:rsid w:val="0051311E"/>
    <w:rsid w:val="00514754"/>
    <w:rsid w:val="0051478B"/>
    <w:rsid w:val="00514C9A"/>
    <w:rsid w:val="0051566A"/>
    <w:rsid w:val="00515D7B"/>
    <w:rsid w:val="005162AE"/>
    <w:rsid w:val="005166E9"/>
    <w:rsid w:val="005177A0"/>
    <w:rsid w:val="0052009E"/>
    <w:rsid w:val="00520765"/>
    <w:rsid w:val="00521065"/>
    <w:rsid w:val="00525E59"/>
    <w:rsid w:val="005318CC"/>
    <w:rsid w:val="00531D1B"/>
    <w:rsid w:val="00532F26"/>
    <w:rsid w:val="005349B1"/>
    <w:rsid w:val="005353E1"/>
    <w:rsid w:val="005374BC"/>
    <w:rsid w:val="005420C5"/>
    <w:rsid w:val="00543188"/>
    <w:rsid w:val="00543367"/>
    <w:rsid w:val="00543BFA"/>
    <w:rsid w:val="00544342"/>
    <w:rsid w:val="00547D9C"/>
    <w:rsid w:val="00547DA1"/>
    <w:rsid w:val="00551CED"/>
    <w:rsid w:val="00553D61"/>
    <w:rsid w:val="00554D95"/>
    <w:rsid w:val="00554EAB"/>
    <w:rsid w:val="0055513C"/>
    <w:rsid w:val="00560C94"/>
    <w:rsid w:val="0056291C"/>
    <w:rsid w:val="00565A63"/>
    <w:rsid w:val="00566588"/>
    <w:rsid w:val="00570B1A"/>
    <w:rsid w:val="00572736"/>
    <w:rsid w:val="0057275D"/>
    <w:rsid w:val="00576E9F"/>
    <w:rsid w:val="00577BC9"/>
    <w:rsid w:val="005800A9"/>
    <w:rsid w:val="00580488"/>
    <w:rsid w:val="0058074D"/>
    <w:rsid w:val="00580FD1"/>
    <w:rsid w:val="00582FAD"/>
    <w:rsid w:val="00583489"/>
    <w:rsid w:val="00583A98"/>
    <w:rsid w:val="005858C4"/>
    <w:rsid w:val="00590FE4"/>
    <w:rsid w:val="00591D9C"/>
    <w:rsid w:val="00597057"/>
    <w:rsid w:val="00597CDD"/>
    <w:rsid w:val="00597D8B"/>
    <w:rsid w:val="005A1C30"/>
    <w:rsid w:val="005A2DCB"/>
    <w:rsid w:val="005A3295"/>
    <w:rsid w:val="005A46FF"/>
    <w:rsid w:val="005B011E"/>
    <w:rsid w:val="005B1C7D"/>
    <w:rsid w:val="005B1DEC"/>
    <w:rsid w:val="005B2E84"/>
    <w:rsid w:val="005B7B0E"/>
    <w:rsid w:val="005C0A04"/>
    <w:rsid w:val="005C200C"/>
    <w:rsid w:val="005C5409"/>
    <w:rsid w:val="005C69AC"/>
    <w:rsid w:val="005C722E"/>
    <w:rsid w:val="005D01A4"/>
    <w:rsid w:val="005D05D4"/>
    <w:rsid w:val="005D142B"/>
    <w:rsid w:val="005D14DE"/>
    <w:rsid w:val="005D3F12"/>
    <w:rsid w:val="005D44E4"/>
    <w:rsid w:val="005D45B3"/>
    <w:rsid w:val="005D4CEB"/>
    <w:rsid w:val="005E1105"/>
    <w:rsid w:val="005E491F"/>
    <w:rsid w:val="005E58CE"/>
    <w:rsid w:val="005E59E9"/>
    <w:rsid w:val="005E5D80"/>
    <w:rsid w:val="005E6248"/>
    <w:rsid w:val="005F04E6"/>
    <w:rsid w:val="005F1342"/>
    <w:rsid w:val="005F43B9"/>
    <w:rsid w:val="005F68CB"/>
    <w:rsid w:val="005F6A4A"/>
    <w:rsid w:val="00602154"/>
    <w:rsid w:val="006033E3"/>
    <w:rsid w:val="00607CE4"/>
    <w:rsid w:val="0061321C"/>
    <w:rsid w:val="00616568"/>
    <w:rsid w:val="00616C17"/>
    <w:rsid w:val="00620DB0"/>
    <w:rsid w:val="0062386E"/>
    <w:rsid w:val="00623D9A"/>
    <w:rsid w:val="00623F01"/>
    <w:rsid w:val="006240B1"/>
    <w:rsid w:val="006242FB"/>
    <w:rsid w:val="00626E2D"/>
    <w:rsid w:val="00627D94"/>
    <w:rsid w:val="00630B42"/>
    <w:rsid w:val="00636CDE"/>
    <w:rsid w:val="00637BA7"/>
    <w:rsid w:val="00642072"/>
    <w:rsid w:val="00643330"/>
    <w:rsid w:val="00643ABD"/>
    <w:rsid w:val="006440ED"/>
    <w:rsid w:val="00645293"/>
    <w:rsid w:val="00651B78"/>
    <w:rsid w:val="00652263"/>
    <w:rsid w:val="00652881"/>
    <w:rsid w:val="00652976"/>
    <w:rsid w:val="006561E4"/>
    <w:rsid w:val="00661974"/>
    <w:rsid w:val="00664551"/>
    <w:rsid w:val="00664949"/>
    <w:rsid w:val="00664E44"/>
    <w:rsid w:val="00665677"/>
    <w:rsid w:val="0066704D"/>
    <w:rsid w:val="006676A0"/>
    <w:rsid w:val="00667A8A"/>
    <w:rsid w:val="00670857"/>
    <w:rsid w:val="00671124"/>
    <w:rsid w:val="006727B0"/>
    <w:rsid w:val="0067307E"/>
    <w:rsid w:val="00675CCC"/>
    <w:rsid w:val="00677AC6"/>
    <w:rsid w:val="006839B5"/>
    <w:rsid w:val="0068545B"/>
    <w:rsid w:val="006866AC"/>
    <w:rsid w:val="00687AD5"/>
    <w:rsid w:val="00691AFA"/>
    <w:rsid w:val="00693629"/>
    <w:rsid w:val="00693D86"/>
    <w:rsid w:val="00695251"/>
    <w:rsid w:val="00695ADE"/>
    <w:rsid w:val="00695C0D"/>
    <w:rsid w:val="00696356"/>
    <w:rsid w:val="006A72C6"/>
    <w:rsid w:val="006A7E2D"/>
    <w:rsid w:val="006B02DA"/>
    <w:rsid w:val="006B2065"/>
    <w:rsid w:val="006B3940"/>
    <w:rsid w:val="006B5EAF"/>
    <w:rsid w:val="006B7EE6"/>
    <w:rsid w:val="006C168D"/>
    <w:rsid w:val="006C1D5C"/>
    <w:rsid w:val="006C3C80"/>
    <w:rsid w:val="006C3F43"/>
    <w:rsid w:val="006C642C"/>
    <w:rsid w:val="006C6FC6"/>
    <w:rsid w:val="006D32CA"/>
    <w:rsid w:val="006D6A40"/>
    <w:rsid w:val="006D7693"/>
    <w:rsid w:val="006E231B"/>
    <w:rsid w:val="006E254B"/>
    <w:rsid w:val="006E346E"/>
    <w:rsid w:val="006E34B7"/>
    <w:rsid w:val="006E61F9"/>
    <w:rsid w:val="006F0F87"/>
    <w:rsid w:val="006F4CD8"/>
    <w:rsid w:val="006F53D9"/>
    <w:rsid w:val="006F6A94"/>
    <w:rsid w:val="007004DC"/>
    <w:rsid w:val="00701575"/>
    <w:rsid w:val="00702409"/>
    <w:rsid w:val="00702622"/>
    <w:rsid w:val="00703E8A"/>
    <w:rsid w:val="00711522"/>
    <w:rsid w:val="007124FE"/>
    <w:rsid w:val="00712ABC"/>
    <w:rsid w:val="00713186"/>
    <w:rsid w:val="00713757"/>
    <w:rsid w:val="0071379B"/>
    <w:rsid w:val="0071497D"/>
    <w:rsid w:val="00717772"/>
    <w:rsid w:val="00721AF1"/>
    <w:rsid w:val="0072280F"/>
    <w:rsid w:val="00722B5E"/>
    <w:rsid w:val="00723845"/>
    <w:rsid w:val="0072708F"/>
    <w:rsid w:val="0073174A"/>
    <w:rsid w:val="00732D1D"/>
    <w:rsid w:val="00736034"/>
    <w:rsid w:val="0073681C"/>
    <w:rsid w:val="00740469"/>
    <w:rsid w:val="00741EBE"/>
    <w:rsid w:val="00746130"/>
    <w:rsid w:val="00746A40"/>
    <w:rsid w:val="007479DC"/>
    <w:rsid w:val="00750358"/>
    <w:rsid w:val="007547F1"/>
    <w:rsid w:val="00755CDF"/>
    <w:rsid w:val="00757A4C"/>
    <w:rsid w:val="00764A94"/>
    <w:rsid w:val="00764DC3"/>
    <w:rsid w:val="007651E5"/>
    <w:rsid w:val="00765A70"/>
    <w:rsid w:val="0076688D"/>
    <w:rsid w:val="007670DC"/>
    <w:rsid w:val="00767239"/>
    <w:rsid w:val="0077111A"/>
    <w:rsid w:val="00772272"/>
    <w:rsid w:val="007756ED"/>
    <w:rsid w:val="00781A66"/>
    <w:rsid w:val="007847EB"/>
    <w:rsid w:val="007869A0"/>
    <w:rsid w:val="007870FC"/>
    <w:rsid w:val="00787CD0"/>
    <w:rsid w:val="00791053"/>
    <w:rsid w:val="00791A3A"/>
    <w:rsid w:val="00792CEB"/>
    <w:rsid w:val="00794196"/>
    <w:rsid w:val="00797637"/>
    <w:rsid w:val="007A2E54"/>
    <w:rsid w:val="007A3680"/>
    <w:rsid w:val="007A59B8"/>
    <w:rsid w:val="007A5F56"/>
    <w:rsid w:val="007B20D1"/>
    <w:rsid w:val="007B2862"/>
    <w:rsid w:val="007B662A"/>
    <w:rsid w:val="007C1A93"/>
    <w:rsid w:val="007C751E"/>
    <w:rsid w:val="007D021A"/>
    <w:rsid w:val="007D0E53"/>
    <w:rsid w:val="007D28C9"/>
    <w:rsid w:val="007D3CC8"/>
    <w:rsid w:val="007D62F9"/>
    <w:rsid w:val="007D63A4"/>
    <w:rsid w:val="007E1AA2"/>
    <w:rsid w:val="007E4C1F"/>
    <w:rsid w:val="007F0746"/>
    <w:rsid w:val="007F0759"/>
    <w:rsid w:val="007F25C0"/>
    <w:rsid w:val="007F43FD"/>
    <w:rsid w:val="007F456A"/>
    <w:rsid w:val="007F4C9B"/>
    <w:rsid w:val="007F5F52"/>
    <w:rsid w:val="007F6D0F"/>
    <w:rsid w:val="007F77C6"/>
    <w:rsid w:val="007F7C3F"/>
    <w:rsid w:val="008003A1"/>
    <w:rsid w:val="008006B7"/>
    <w:rsid w:val="00800FDB"/>
    <w:rsid w:val="00802081"/>
    <w:rsid w:val="008020B5"/>
    <w:rsid w:val="008034CF"/>
    <w:rsid w:val="008063D8"/>
    <w:rsid w:val="00806461"/>
    <w:rsid w:val="00806722"/>
    <w:rsid w:val="00806B3B"/>
    <w:rsid w:val="0081096D"/>
    <w:rsid w:val="00810EAD"/>
    <w:rsid w:val="00811833"/>
    <w:rsid w:val="008119CB"/>
    <w:rsid w:val="00813F72"/>
    <w:rsid w:val="008174D4"/>
    <w:rsid w:val="00820FE6"/>
    <w:rsid w:val="00821A66"/>
    <w:rsid w:val="00822476"/>
    <w:rsid w:val="00822882"/>
    <w:rsid w:val="00824CB2"/>
    <w:rsid w:val="00825F68"/>
    <w:rsid w:val="008340E1"/>
    <w:rsid w:val="00835408"/>
    <w:rsid w:val="008359DA"/>
    <w:rsid w:val="00837CEF"/>
    <w:rsid w:val="00840035"/>
    <w:rsid w:val="00840220"/>
    <w:rsid w:val="008428A9"/>
    <w:rsid w:val="00842C93"/>
    <w:rsid w:val="00844112"/>
    <w:rsid w:val="008456C9"/>
    <w:rsid w:val="0084611D"/>
    <w:rsid w:val="00846E4A"/>
    <w:rsid w:val="00847BEF"/>
    <w:rsid w:val="00850C62"/>
    <w:rsid w:val="00853DB0"/>
    <w:rsid w:val="00862022"/>
    <w:rsid w:val="00862ECC"/>
    <w:rsid w:val="00863011"/>
    <w:rsid w:val="00865075"/>
    <w:rsid w:val="0086748F"/>
    <w:rsid w:val="00872CE4"/>
    <w:rsid w:val="00872EDC"/>
    <w:rsid w:val="00873E36"/>
    <w:rsid w:val="00874F4B"/>
    <w:rsid w:val="0087539B"/>
    <w:rsid w:val="00877B62"/>
    <w:rsid w:val="00880199"/>
    <w:rsid w:val="00881015"/>
    <w:rsid w:val="008810B0"/>
    <w:rsid w:val="008813D6"/>
    <w:rsid w:val="008819B6"/>
    <w:rsid w:val="00881AAC"/>
    <w:rsid w:val="008836B7"/>
    <w:rsid w:val="008841D3"/>
    <w:rsid w:val="0088709F"/>
    <w:rsid w:val="00887DE6"/>
    <w:rsid w:val="00894C2A"/>
    <w:rsid w:val="00897708"/>
    <w:rsid w:val="008978D6"/>
    <w:rsid w:val="00897D88"/>
    <w:rsid w:val="008A12CB"/>
    <w:rsid w:val="008A1B92"/>
    <w:rsid w:val="008A2F16"/>
    <w:rsid w:val="008A2F59"/>
    <w:rsid w:val="008B1823"/>
    <w:rsid w:val="008B203C"/>
    <w:rsid w:val="008B6E16"/>
    <w:rsid w:val="008B7110"/>
    <w:rsid w:val="008B7A1F"/>
    <w:rsid w:val="008C2029"/>
    <w:rsid w:val="008C61D6"/>
    <w:rsid w:val="008C64F1"/>
    <w:rsid w:val="008D1531"/>
    <w:rsid w:val="008D1BB0"/>
    <w:rsid w:val="008D20FF"/>
    <w:rsid w:val="008D3DE6"/>
    <w:rsid w:val="008D4223"/>
    <w:rsid w:val="008D44CC"/>
    <w:rsid w:val="008D46E3"/>
    <w:rsid w:val="008D6709"/>
    <w:rsid w:val="008D7EF7"/>
    <w:rsid w:val="008E083A"/>
    <w:rsid w:val="008E1338"/>
    <w:rsid w:val="008E2450"/>
    <w:rsid w:val="008E7896"/>
    <w:rsid w:val="008F2477"/>
    <w:rsid w:val="008F2F2B"/>
    <w:rsid w:val="008F385C"/>
    <w:rsid w:val="008F3EF6"/>
    <w:rsid w:val="008F4AAB"/>
    <w:rsid w:val="008F5ACF"/>
    <w:rsid w:val="008F5E2D"/>
    <w:rsid w:val="008F60C5"/>
    <w:rsid w:val="009010F0"/>
    <w:rsid w:val="00901162"/>
    <w:rsid w:val="0090223A"/>
    <w:rsid w:val="009028E2"/>
    <w:rsid w:val="00914EAB"/>
    <w:rsid w:val="00916597"/>
    <w:rsid w:val="00922D49"/>
    <w:rsid w:val="009259CF"/>
    <w:rsid w:val="00925A53"/>
    <w:rsid w:val="00925E37"/>
    <w:rsid w:val="00925EDD"/>
    <w:rsid w:val="00927D0E"/>
    <w:rsid w:val="009309DA"/>
    <w:rsid w:val="00936688"/>
    <w:rsid w:val="00937CFA"/>
    <w:rsid w:val="009406B3"/>
    <w:rsid w:val="00945CF5"/>
    <w:rsid w:val="009500A1"/>
    <w:rsid w:val="0095037E"/>
    <w:rsid w:val="009522BD"/>
    <w:rsid w:val="00952AAD"/>
    <w:rsid w:val="00954567"/>
    <w:rsid w:val="009547A9"/>
    <w:rsid w:val="009548FE"/>
    <w:rsid w:val="00956F0B"/>
    <w:rsid w:val="00957466"/>
    <w:rsid w:val="0096260B"/>
    <w:rsid w:val="00964ADB"/>
    <w:rsid w:val="009664D5"/>
    <w:rsid w:val="00970C69"/>
    <w:rsid w:val="00971DF7"/>
    <w:rsid w:val="00971F1C"/>
    <w:rsid w:val="0097211D"/>
    <w:rsid w:val="00972E10"/>
    <w:rsid w:val="009746CA"/>
    <w:rsid w:val="00974975"/>
    <w:rsid w:val="00974EA8"/>
    <w:rsid w:val="00981963"/>
    <w:rsid w:val="00981CE6"/>
    <w:rsid w:val="00983C82"/>
    <w:rsid w:val="00984520"/>
    <w:rsid w:val="0098545C"/>
    <w:rsid w:val="00985FE4"/>
    <w:rsid w:val="009922CE"/>
    <w:rsid w:val="00992BA2"/>
    <w:rsid w:val="00992F83"/>
    <w:rsid w:val="0099508A"/>
    <w:rsid w:val="0099526C"/>
    <w:rsid w:val="009974EB"/>
    <w:rsid w:val="009A037F"/>
    <w:rsid w:val="009A1126"/>
    <w:rsid w:val="009A257E"/>
    <w:rsid w:val="009A63AC"/>
    <w:rsid w:val="009B1584"/>
    <w:rsid w:val="009B1B32"/>
    <w:rsid w:val="009B21CA"/>
    <w:rsid w:val="009B2648"/>
    <w:rsid w:val="009B2D8E"/>
    <w:rsid w:val="009C03E5"/>
    <w:rsid w:val="009C09E6"/>
    <w:rsid w:val="009C0C11"/>
    <w:rsid w:val="009C3730"/>
    <w:rsid w:val="009C37BD"/>
    <w:rsid w:val="009C3AAC"/>
    <w:rsid w:val="009C4D19"/>
    <w:rsid w:val="009C5C77"/>
    <w:rsid w:val="009C5FDB"/>
    <w:rsid w:val="009C6493"/>
    <w:rsid w:val="009C693E"/>
    <w:rsid w:val="009C6D27"/>
    <w:rsid w:val="009C70CB"/>
    <w:rsid w:val="009D1EA4"/>
    <w:rsid w:val="009D27AA"/>
    <w:rsid w:val="009D38BA"/>
    <w:rsid w:val="009D3C04"/>
    <w:rsid w:val="009D4991"/>
    <w:rsid w:val="009D585F"/>
    <w:rsid w:val="009D5BB5"/>
    <w:rsid w:val="009D696D"/>
    <w:rsid w:val="009D6ED2"/>
    <w:rsid w:val="009E0F1A"/>
    <w:rsid w:val="009E140D"/>
    <w:rsid w:val="009E4465"/>
    <w:rsid w:val="009E6401"/>
    <w:rsid w:val="009E6C54"/>
    <w:rsid w:val="009F12BA"/>
    <w:rsid w:val="009F2261"/>
    <w:rsid w:val="009F2A25"/>
    <w:rsid w:val="009F5235"/>
    <w:rsid w:val="009F531A"/>
    <w:rsid w:val="009F6550"/>
    <w:rsid w:val="009F786E"/>
    <w:rsid w:val="00A00902"/>
    <w:rsid w:val="00A039FF"/>
    <w:rsid w:val="00A05ACE"/>
    <w:rsid w:val="00A078CB"/>
    <w:rsid w:val="00A14AE3"/>
    <w:rsid w:val="00A16675"/>
    <w:rsid w:val="00A22CD6"/>
    <w:rsid w:val="00A234EC"/>
    <w:rsid w:val="00A2417A"/>
    <w:rsid w:val="00A26668"/>
    <w:rsid w:val="00A27043"/>
    <w:rsid w:val="00A27804"/>
    <w:rsid w:val="00A348F0"/>
    <w:rsid w:val="00A34B04"/>
    <w:rsid w:val="00A36822"/>
    <w:rsid w:val="00A36AB5"/>
    <w:rsid w:val="00A411D1"/>
    <w:rsid w:val="00A428A4"/>
    <w:rsid w:val="00A42CE1"/>
    <w:rsid w:val="00A43389"/>
    <w:rsid w:val="00A43B12"/>
    <w:rsid w:val="00A43E71"/>
    <w:rsid w:val="00A45753"/>
    <w:rsid w:val="00A47B15"/>
    <w:rsid w:val="00A47CF4"/>
    <w:rsid w:val="00A52F84"/>
    <w:rsid w:val="00A56B05"/>
    <w:rsid w:val="00A57678"/>
    <w:rsid w:val="00A60E2F"/>
    <w:rsid w:val="00A618F3"/>
    <w:rsid w:val="00A63284"/>
    <w:rsid w:val="00A64CB8"/>
    <w:rsid w:val="00A65D6A"/>
    <w:rsid w:val="00A67018"/>
    <w:rsid w:val="00A672F3"/>
    <w:rsid w:val="00A673DC"/>
    <w:rsid w:val="00A7076E"/>
    <w:rsid w:val="00A709BE"/>
    <w:rsid w:val="00A7162E"/>
    <w:rsid w:val="00A7195A"/>
    <w:rsid w:val="00A72D71"/>
    <w:rsid w:val="00A75705"/>
    <w:rsid w:val="00A76ACE"/>
    <w:rsid w:val="00A77C69"/>
    <w:rsid w:val="00A829DE"/>
    <w:rsid w:val="00A83953"/>
    <w:rsid w:val="00A85AF5"/>
    <w:rsid w:val="00A86C7C"/>
    <w:rsid w:val="00A87791"/>
    <w:rsid w:val="00A903B6"/>
    <w:rsid w:val="00A90E7C"/>
    <w:rsid w:val="00A90F4F"/>
    <w:rsid w:val="00A92C40"/>
    <w:rsid w:val="00A93D16"/>
    <w:rsid w:val="00A947AA"/>
    <w:rsid w:val="00AA0AC5"/>
    <w:rsid w:val="00AA19FE"/>
    <w:rsid w:val="00AA1B53"/>
    <w:rsid w:val="00AA1D9A"/>
    <w:rsid w:val="00AA3556"/>
    <w:rsid w:val="00AA35FD"/>
    <w:rsid w:val="00AA3DB7"/>
    <w:rsid w:val="00AB3012"/>
    <w:rsid w:val="00AB321C"/>
    <w:rsid w:val="00AB5B99"/>
    <w:rsid w:val="00AB5D78"/>
    <w:rsid w:val="00AB688F"/>
    <w:rsid w:val="00AB75EA"/>
    <w:rsid w:val="00AB7AA2"/>
    <w:rsid w:val="00AC44D9"/>
    <w:rsid w:val="00AC4BC1"/>
    <w:rsid w:val="00AD04BD"/>
    <w:rsid w:val="00AD25F6"/>
    <w:rsid w:val="00AD29F0"/>
    <w:rsid w:val="00AD3177"/>
    <w:rsid w:val="00AD67CB"/>
    <w:rsid w:val="00AD683B"/>
    <w:rsid w:val="00AD7214"/>
    <w:rsid w:val="00AE1066"/>
    <w:rsid w:val="00AE4518"/>
    <w:rsid w:val="00AE5D7F"/>
    <w:rsid w:val="00AE79F0"/>
    <w:rsid w:val="00AF5585"/>
    <w:rsid w:val="00AF6EC1"/>
    <w:rsid w:val="00B00331"/>
    <w:rsid w:val="00B01A80"/>
    <w:rsid w:val="00B07C27"/>
    <w:rsid w:val="00B10017"/>
    <w:rsid w:val="00B10DE1"/>
    <w:rsid w:val="00B10FF8"/>
    <w:rsid w:val="00B1637F"/>
    <w:rsid w:val="00B203C4"/>
    <w:rsid w:val="00B22E81"/>
    <w:rsid w:val="00B23996"/>
    <w:rsid w:val="00B23CB2"/>
    <w:rsid w:val="00B2561A"/>
    <w:rsid w:val="00B25A64"/>
    <w:rsid w:val="00B261F7"/>
    <w:rsid w:val="00B32AB3"/>
    <w:rsid w:val="00B34E7C"/>
    <w:rsid w:val="00B368EA"/>
    <w:rsid w:val="00B37EEF"/>
    <w:rsid w:val="00B47B6D"/>
    <w:rsid w:val="00B513D5"/>
    <w:rsid w:val="00B51D20"/>
    <w:rsid w:val="00B5298E"/>
    <w:rsid w:val="00B54370"/>
    <w:rsid w:val="00B54B5F"/>
    <w:rsid w:val="00B55185"/>
    <w:rsid w:val="00B60D38"/>
    <w:rsid w:val="00B61923"/>
    <w:rsid w:val="00B621D6"/>
    <w:rsid w:val="00B63283"/>
    <w:rsid w:val="00B63EF5"/>
    <w:rsid w:val="00B65D6F"/>
    <w:rsid w:val="00B66642"/>
    <w:rsid w:val="00B677E1"/>
    <w:rsid w:val="00B67C23"/>
    <w:rsid w:val="00B7090F"/>
    <w:rsid w:val="00B70DC7"/>
    <w:rsid w:val="00B73042"/>
    <w:rsid w:val="00B75283"/>
    <w:rsid w:val="00B75735"/>
    <w:rsid w:val="00B77142"/>
    <w:rsid w:val="00B80A2C"/>
    <w:rsid w:val="00B81F60"/>
    <w:rsid w:val="00B841AC"/>
    <w:rsid w:val="00B865B0"/>
    <w:rsid w:val="00B90780"/>
    <w:rsid w:val="00B91F9C"/>
    <w:rsid w:val="00B921E4"/>
    <w:rsid w:val="00B9240D"/>
    <w:rsid w:val="00B950C8"/>
    <w:rsid w:val="00BA18F2"/>
    <w:rsid w:val="00BA22A8"/>
    <w:rsid w:val="00BA285B"/>
    <w:rsid w:val="00BA3E48"/>
    <w:rsid w:val="00BA4BD3"/>
    <w:rsid w:val="00BA5E72"/>
    <w:rsid w:val="00BA5E98"/>
    <w:rsid w:val="00BA7473"/>
    <w:rsid w:val="00BB0187"/>
    <w:rsid w:val="00BB1EB3"/>
    <w:rsid w:val="00BB22CA"/>
    <w:rsid w:val="00BB2678"/>
    <w:rsid w:val="00BB4CBB"/>
    <w:rsid w:val="00BB7C7E"/>
    <w:rsid w:val="00BC013A"/>
    <w:rsid w:val="00BC2343"/>
    <w:rsid w:val="00BC23F8"/>
    <w:rsid w:val="00BC5DFD"/>
    <w:rsid w:val="00BD30C8"/>
    <w:rsid w:val="00BD3DFE"/>
    <w:rsid w:val="00BD3EB4"/>
    <w:rsid w:val="00BD596C"/>
    <w:rsid w:val="00BD5C65"/>
    <w:rsid w:val="00BD7DB4"/>
    <w:rsid w:val="00BE1A80"/>
    <w:rsid w:val="00BE2F07"/>
    <w:rsid w:val="00BE6018"/>
    <w:rsid w:val="00BF0F8F"/>
    <w:rsid w:val="00BF1F57"/>
    <w:rsid w:val="00BF4086"/>
    <w:rsid w:val="00BF41D5"/>
    <w:rsid w:val="00BF426C"/>
    <w:rsid w:val="00BF47C9"/>
    <w:rsid w:val="00BF58D0"/>
    <w:rsid w:val="00BF5A17"/>
    <w:rsid w:val="00BF7D6A"/>
    <w:rsid w:val="00C013E1"/>
    <w:rsid w:val="00C01611"/>
    <w:rsid w:val="00C016A5"/>
    <w:rsid w:val="00C02D59"/>
    <w:rsid w:val="00C030B6"/>
    <w:rsid w:val="00C03284"/>
    <w:rsid w:val="00C050D7"/>
    <w:rsid w:val="00C05B5F"/>
    <w:rsid w:val="00C104CC"/>
    <w:rsid w:val="00C1258A"/>
    <w:rsid w:val="00C152FE"/>
    <w:rsid w:val="00C16739"/>
    <w:rsid w:val="00C17304"/>
    <w:rsid w:val="00C21C43"/>
    <w:rsid w:val="00C22C7D"/>
    <w:rsid w:val="00C22CCE"/>
    <w:rsid w:val="00C230DF"/>
    <w:rsid w:val="00C231D6"/>
    <w:rsid w:val="00C23BA2"/>
    <w:rsid w:val="00C3031C"/>
    <w:rsid w:val="00C31C56"/>
    <w:rsid w:val="00C32AF2"/>
    <w:rsid w:val="00C33204"/>
    <w:rsid w:val="00C338EB"/>
    <w:rsid w:val="00C3465D"/>
    <w:rsid w:val="00C349D5"/>
    <w:rsid w:val="00C379E9"/>
    <w:rsid w:val="00C439FB"/>
    <w:rsid w:val="00C43F23"/>
    <w:rsid w:val="00C468C8"/>
    <w:rsid w:val="00C47790"/>
    <w:rsid w:val="00C50011"/>
    <w:rsid w:val="00C51C36"/>
    <w:rsid w:val="00C5274B"/>
    <w:rsid w:val="00C55A77"/>
    <w:rsid w:val="00C566D5"/>
    <w:rsid w:val="00C57137"/>
    <w:rsid w:val="00C645E6"/>
    <w:rsid w:val="00C64D82"/>
    <w:rsid w:val="00C64FBC"/>
    <w:rsid w:val="00C65A83"/>
    <w:rsid w:val="00C72C6F"/>
    <w:rsid w:val="00C74112"/>
    <w:rsid w:val="00C76CBD"/>
    <w:rsid w:val="00C76CF1"/>
    <w:rsid w:val="00C80F23"/>
    <w:rsid w:val="00C81151"/>
    <w:rsid w:val="00C82CC6"/>
    <w:rsid w:val="00C850A3"/>
    <w:rsid w:val="00C85C32"/>
    <w:rsid w:val="00C87568"/>
    <w:rsid w:val="00C90DB6"/>
    <w:rsid w:val="00C90E8E"/>
    <w:rsid w:val="00C9394F"/>
    <w:rsid w:val="00C93B1A"/>
    <w:rsid w:val="00C96A14"/>
    <w:rsid w:val="00C96F5F"/>
    <w:rsid w:val="00CA21B5"/>
    <w:rsid w:val="00CA5927"/>
    <w:rsid w:val="00CA6E44"/>
    <w:rsid w:val="00CA79EC"/>
    <w:rsid w:val="00CB26A5"/>
    <w:rsid w:val="00CB39C2"/>
    <w:rsid w:val="00CB4664"/>
    <w:rsid w:val="00CB4C8C"/>
    <w:rsid w:val="00CB6782"/>
    <w:rsid w:val="00CC080A"/>
    <w:rsid w:val="00CC2526"/>
    <w:rsid w:val="00CC52E1"/>
    <w:rsid w:val="00CD319D"/>
    <w:rsid w:val="00CD6BC3"/>
    <w:rsid w:val="00CD72D0"/>
    <w:rsid w:val="00CE184F"/>
    <w:rsid w:val="00CE2DC0"/>
    <w:rsid w:val="00CE3519"/>
    <w:rsid w:val="00CE5277"/>
    <w:rsid w:val="00CE6358"/>
    <w:rsid w:val="00CF2D54"/>
    <w:rsid w:val="00CF3CDE"/>
    <w:rsid w:val="00CF4AC1"/>
    <w:rsid w:val="00CF5CF0"/>
    <w:rsid w:val="00CF6570"/>
    <w:rsid w:val="00CF6AF1"/>
    <w:rsid w:val="00D03538"/>
    <w:rsid w:val="00D049B8"/>
    <w:rsid w:val="00D0516C"/>
    <w:rsid w:val="00D05AF3"/>
    <w:rsid w:val="00D05EE7"/>
    <w:rsid w:val="00D0685A"/>
    <w:rsid w:val="00D068D0"/>
    <w:rsid w:val="00D078D1"/>
    <w:rsid w:val="00D129A8"/>
    <w:rsid w:val="00D12FB9"/>
    <w:rsid w:val="00D15BD3"/>
    <w:rsid w:val="00D200BD"/>
    <w:rsid w:val="00D22399"/>
    <w:rsid w:val="00D26460"/>
    <w:rsid w:val="00D33751"/>
    <w:rsid w:val="00D33924"/>
    <w:rsid w:val="00D36F6E"/>
    <w:rsid w:val="00D37343"/>
    <w:rsid w:val="00D37657"/>
    <w:rsid w:val="00D4205E"/>
    <w:rsid w:val="00D42507"/>
    <w:rsid w:val="00D4252B"/>
    <w:rsid w:val="00D450A9"/>
    <w:rsid w:val="00D5574C"/>
    <w:rsid w:val="00D55E99"/>
    <w:rsid w:val="00D61982"/>
    <w:rsid w:val="00D6267A"/>
    <w:rsid w:val="00D62B35"/>
    <w:rsid w:val="00D67D12"/>
    <w:rsid w:val="00D75085"/>
    <w:rsid w:val="00D7585A"/>
    <w:rsid w:val="00D80618"/>
    <w:rsid w:val="00D81A17"/>
    <w:rsid w:val="00D823F2"/>
    <w:rsid w:val="00D82494"/>
    <w:rsid w:val="00D84A4B"/>
    <w:rsid w:val="00D86E07"/>
    <w:rsid w:val="00D874B6"/>
    <w:rsid w:val="00D92168"/>
    <w:rsid w:val="00D940A9"/>
    <w:rsid w:val="00D940B5"/>
    <w:rsid w:val="00D94289"/>
    <w:rsid w:val="00D95CB0"/>
    <w:rsid w:val="00D977C0"/>
    <w:rsid w:val="00DA00A3"/>
    <w:rsid w:val="00DA13F3"/>
    <w:rsid w:val="00DA2DE3"/>
    <w:rsid w:val="00DA7146"/>
    <w:rsid w:val="00DA716A"/>
    <w:rsid w:val="00DB1F4F"/>
    <w:rsid w:val="00DB37EE"/>
    <w:rsid w:val="00DB4450"/>
    <w:rsid w:val="00DB769A"/>
    <w:rsid w:val="00DB7B69"/>
    <w:rsid w:val="00DC02EC"/>
    <w:rsid w:val="00DC0B9E"/>
    <w:rsid w:val="00DC234A"/>
    <w:rsid w:val="00DC41E4"/>
    <w:rsid w:val="00DC5116"/>
    <w:rsid w:val="00DC77DD"/>
    <w:rsid w:val="00DC7C77"/>
    <w:rsid w:val="00DD2417"/>
    <w:rsid w:val="00DD34F1"/>
    <w:rsid w:val="00DD4C12"/>
    <w:rsid w:val="00DD7EA2"/>
    <w:rsid w:val="00DE00F2"/>
    <w:rsid w:val="00DE117F"/>
    <w:rsid w:val="00DE401C"/>
    <w:rsid w:val="00DF1ED6"/>
    <w:rsid w:val="00DF5357"/>
    <w:rsid w:val="00DF63FA"/>
    <w:rsid w:val="00DF7927"/>
    <w:rsid w:val="00E00A1C"/>
    <w:rsid w:val="00E012CC"/>
    <w:rsid w:val="00E02B71"/>
    <w:rsid w:val="00E02DEB"/>
    <w:rsid w:val="00E042A1"/>
    <w:rsid w:val="00E04CE6"/>
    <w:rsid w:val="00E10272"/>
    <w:rsid w:val="00E104FA"/>
    <w:rsid w:val="00E1082A"/>
    <w:rsid w:val="00E11166"/>
    <w:rsid w:val="00E1304C"/>
    <w:rsid w:val="00E13182"/>
    <w:rsid w:val="00E15383"/>
    <w:rsid w:val="00E1738C"/>
    <w:rsid w:val="00E22D28"/>
    <w:rsid w:val="00E230E3"/>
    <w:rsid w:val="00E23611"/>
    <w:rsid w:val="00E25852"/>
    <w:rsid w:val="00E30EDF"/>
    <w:rsid w:val="00E31FBA"/>
    <w:rsid w:val="00E359AE"/>
    <w:rsid w:val="00E36AAE"/>
    <w:rsid w:val="00E41773"/>
    <w:rsid w:val="00E427F2"/>
    <w:rsid w:val="00E43CB9"/>
    <w:rsid w:val="00E50520"/>
    <w:rsid w:val="00E513F6"/>
    <w:rsid w:val="00E523B3"/>
    <w:rsid w:val="00E52F3B"/>
    <w:rsid w:val="00E53D94"/>
    <w:rsid w:val="00E53DEA"/>
    <w:rsid w:val="00E55984"/>
    <w:rsid w:val="00E57F92"/>
    <w:rsid w:val="00E616DB"/>
    <w:rsid w:val="00E627A4"/>
    <w:rsid w:val="00E630ED"/>
    <w:rsid w:val="00E70C95"/>
    <w:rsid w:val="00E71C6B"/>
    <w:rsid w:val="00E73ABA"/>
    <w:rsid w:val="00E74EC5"/>
    <w:rsid w:val="00E75942"/>
    <w:rsid w:val="00E75FDC"/>
    <w:rsid w:val="00E76B86"/>
    <w:rsid w:val="00E7760F"/>
    <w:rsid w:val="00E80B05"/>
    <w:rsid w:val="00E82AB3"/>
    <w:rsid w:val="00E82DAC"/>
    <w:rsid w:val="00E8342F"/>
    <w:rsid w:val="00E847A7"/>
    <w:rsid w:val="00E85F25"/>
    <w:rsid w:val="00E86E79"/>
    <w:rsid w:val="00E906B4"/>
    <w:rsid w:val="00E9095B"/>
    <w:rsid w:val="00E926B8"/>
    <w:rsid w:val="00E92E98"/>
    <w:rsid w:val="00E9399B"/>
    <w:rsid w:val="00E94008"/>
    <w:rsid w:val="00E94762"/>
    <w:rsid w:val="00E96B52"/>
    <w:rsid w:val="00EA0017"/>
    <w:rsid w:val="00EA1AA4"/>
    <w:rsid w:val="00EA2244"/>
    <w:rsid w:val="00EA3FF7"/>
    <w:rsid w:val="00EA4C93"/>
    <w:rsid w:val="00EA6FA7"/>
    <w:rsid w:val="00EB067F"/>
    <w:rsid w:val="00EB0BF5"/>
    <w:rsid w:val="00EB1F02"/>
    <w:rsid w:val="00EB5BC5"/>
    <w:rsid w:val="00EC086C"/>
    <w:rsid w:val="00EC32B2"/>
    <w:rsid w:val="00EC42D0"/>
    <w:rsid w:val="00EC5CE0"/>
    <w:rsid w:val="00EC638F"/>
    <w:rsid w:val="00ED48AC"/>
    <w:rsid w:val="00EE224C"/>
    <w:rsid w:val="00EE4874"/>
    <w:rsid w:val="00EE4A8C"/>
    <w:rsid w:val="00EE674E"/>
    <w:rsid w:val="00EE79A6"/>
    <w:rsid w:val="00EF2689"/>
    <w:rsid w:val="00EF6111"/>
    <w:rsid w:val="00F005A0"/>
    <w:rsid w:val="00F06616"/>
    <w:rsid w:val="00F11352"/>
    <w:rsid w:val="00F1498D"/>
    <w:rsid w:val="00F14DDF"/>
    <w:rsid w:val="00F152AD"/>
    <w:rsid w:val="00F204CD"/>
    <w:rsid w:val="00F20DFE"/>
    <w:rsid w:val="00F2285F"/>
    <w:rsid w:val="00F23155"/>
    <w:rsid w:val="00F24236"/>
    <w:rsid w:val="00F24E0E"/>
    <w:rsid w:val="00F26693"/>
    <w:rsid w:val="00F32D8E"/>
    <w:rsid w:val="00F33911"/>
    <w:rsid w:val="00F343C8"/>
    <w:rsid w:val="00F36130"/>
    <w:rsid w:val="00F40444"/>
    <w:rsid w:val="00F423BD"/>
    <w:rsid w:val="00F432FF"/>
    <w:rsid w:val="00F4715C"/>
    <w:rsid w:val="00F54869"/>
    <w:rsid w:val="00F556B2"/>
    <w:rsid w:val="00F5707B"/>
    <w:rsid w:val="00F5754B"/>
    <w:rsid w:val="00F576DE"/>
    <w:rsid w:val="00F61244"/>
    <w:rsid w:val="00F63BF7"/>
    <w:rsid w:val="00F65617"/>
    <w:rsid w:val="00F710BE"/>
    <w:rsid w:val="00F736D2"/>
    <w:rsid w:val="00F73B61"/>
    <w:rsid w:val="00F7564C"/>
    <w:rsid w:val="00F76220"/>
    <w:rsid w:val="00F769BE"/>
    <w:rsid w:val="00F82E6B"/>
    <w:rsid w:val="00F84013"/>
    <w:rsid w:val="00F87AA5"/>
    <w:rsid w:val="00F92373"/>
    <w:rsid w:val="00F93D49"/>
    <w:rsid w:val="00F953AA"/>
    <w:rsid w:val="00F97B71"/>
    <w:rsid w:val="00FA1444"/>
    <w:rsid w:val="00FA1EC5"/>
    <w:rsid w:val="00FA2DDA"/>
    <w:rsid w:val="00FA34CA"/>
    <w:rsid w:val="00FA4684"/>
    <w:rsid w:val="00FA4A55"/>
    <w:rsid w:val="00FA4D4F"/>
    <w:rsid w:val="00FA54E8"/>
    <w:rsid w:val="00FA7193"/>
    <w:rsid w:val="00FB2D17"/>
    <w:rsid w:val="00FB2F69"/>
    <w:rsid w:val="00FB368B"/>
    <w:rsid w:val="00FB45FF"/>
    <w:rsid w:val="00FB5D97"/>
    <w:rsid w:val="00FC1CA5"/>
    <w:rsid w:val="00FC245A"/>
    <w:rsid w:val="00FC2979"/>
    <w:rsid w:val="00FC2DA1"/>
    <w:rsid w:val="00FD1C3C"/>
    <w:rsid w:val="00FD38A8"/>
    <w:rsid w:val="00FD520E"/>
    <w:rsid w:val="00FD5477"/>
    <w:rsid w:val="00FD5BD1"/>
    <w:rsid w:val="00FD6AC8"/>
    <w:rsid w:val="00FE3EA1"/>
    <w:rsid w:val="00FE4818"/>
    <w:rsid w:val="00FE5D80"/>
    <w:rsid w:val="00FF1577"/>
    <w:rsid w:val="00FF6035"/>
    <w:rsid w:val="00FF6A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158721"/>
    <o:shapelayout v:ext="edit">
      <o:idmap v:ext="edit" data="1"/>
    </o:shapelayout>
  </w:shapeDefaults>
  <w:decimalSymbol w:val="."/>
  <w:listSeparator w:val=","/>
  <w15:docId w15:val="{5687C4CD-45AD-499D-B0F2-678CBC64C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4F4EA9"/>
    <w:pPr>
      <w:keepNext/>
      <w:keepLines/>
      <w:spacing w:before="340" w:after="330" w:line="578" w:lineRule="auto"/>
      <w:outlineLvl w:val="0"/>
    </w:pPr>
    <w:rPr>
      <w:b/>
      <w:bCs/>
      <w:kern w:val="44"/>
      <w:sz w:val="44"/>
      <w:szCs w:val="44"/>
    </w:rPr>
  </w:style>
  <w:style w:type="paragraph" w:styleId="2">
    <w:name w:val="heading 2"/>
    <w:basedOn w:val="a"/>
    <w:next w:val="a0"/>
    <w:qFormat/>
    <w:rsid w:val="00337293"/>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337293"/>
    <w:pPr>
      <w:ind w:firstLineChars="200" w:firstLine="420"/>
    </w:pPr>
  </w:style>
  <w:style w:type="paragraph" w:styleId="a4">
    <w:name w:val="Body Text Indent"/>
    <w:basedOn w:val="a"/>
    <w:rsid w:val="00337293"/>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337293"/>
    <w:rPr>
      <w:rFonts w:ascii="宋体" w:hAnsi="Courier New"/>
      <w:szCs w:val="21"/>
    </w:rPr>
  </w:style>
  <w:style w:type="paragraph" w:styleId="20">
    <w:name w:val="Body Text Indent 2"/>
    <w:basedOn w:val="a"/>
    <w:rsid w:val="00337293"/>
    <w:pPr>
      <w:spacing w:line="560" w:lineRule="exact"/>
      <w:ind w:firstLineChars="200" w:firstLine="480"/>
    </w:pPr>
    <w:rPr>
      <w:rFonts w:ascii="宋体" w:hAnsi="宋体"/>
      <w:color w:val="FF0000"/>
      <w:sz w:val="24"/>
    </w:rPr>
  </w:style>
  <w:style w:type="paragraph" w:styleId="a6">
    <w:name w:val="footer"/>
    <w:basedOn w:val="a"/>
    <w:rsid w:val="00337293"/>
    <w:pPr>
      <w:tabs>
        <w:tab w:val="center" w:pos="4153"/>
        <w:tab w:val="right" w:pos="8306"/>
      </w:tabs>
      <w:snapToGrid w:val="0"/>
      <w:jc w:val="left"/>
    </w:pPr>
    <w:rPr>
      <w:sz w:val="18"/>
      <w:szCs w:val="18"/>
    </w:rPr>
  </w:style>
  <w:style w:type="character" w:styleId="a7">
    <w:name w:val="page number"/>
    <w:basedOn w:val="a1"/>
    <w:rsid w:val="00337293"/>
  </w:style>
  <w:style w:type="character" w:styleId="a8">
    <w:name w:val="Hyperlink"/>
    <w:basedOn w:val="a1"/>
    <w:rsid w:val="00337293"/>
    <w:rPr>
      <w:color w:val="0000FF"/>
      <w:u w:val="single"/>
    </w:rPr>
  </w:style>
  <w:style w:type="paragraph" w:styleId="3">
    <w:name w:val="Body Text Indent 3"/>
    <w:basedOn w:val="a"/>
    <w:rsid w:val="00337293"/>
    <w:pPr>
      <w:spacing w:line="560" w:lineRule="exact"/>
      <w:ind w:firstLineChars="200" w:firstLine="420"/>
    </w:pPr>
    <w:rPr>
      <w:rFonts w:ascii="Arial" w:hAnsi="Arial" w:cs="Arial"/>
      <w:color w:val="FF0000"/>
    </w:rPr>
  </w:style>
  <w:style w:type="paragraph" w:styleId="a9">
    <w:name w:val="header"/>
    <w:basedOn w:val="a"/>
    <w:link w:val="Char0"/>
    <w:uiPriority w:val="99"/>
    <w:rsid w:val="00337293"/>
    <w:pPr>
      <w:pBdr>
        <w:bottom w:val="single" w:sz="6" w:space="1" w:color="auto"/>
      </w:pBdr>
      <w:tabs>
        <w:tab w:val="center" w:pos="4153"/>
        <w:tab w:val="right" w:pos="8306"/>
      </w:tabs>
      <w:snapToGrid w:val="0"/>
      <w:jc w:val="center"/>
    </w:pPr>
    <w:rPr>
      <w:sz w:val="18"/>
      <w:szCs w:val="18"/>
    </w:rPr>
  </w:style>
  <w:style w:type="character" w:styleId="aa">
    <w:name w:val="FollowedHyperlink"/>
    <w:basedOn w:val="a1"/>
    <w:rsid w:val="00337293"/>
    <w:rPr>
      <w:color w:val="800080"/>
      <w:u w:val="single"/>
    </w:rPr>
  </w:style>
  <w:style w:type="paragraph" w:styleId="ab">
    <w:name w:val="List"/>
    <w:basedOn w:val="ac"/>
    <w:rsid w:val="00337293"/>
    <w:pPr>
      <w:spacing w:after="220" w:line="220" w:lineRule="atLeast"/>
      <w:ind w:left="1440" w:hanging="360"/>
    </w:pPr>
    <w:rPr>
      <w:szCs w:val="20"/>
    </w:rPr>
  </w:style>
  <w:style w:type="paragraph" w:styleId="ac">
    <w:name w:val="Body Text"/>
    <w:basedOn w:val="a"/>
    <w:rsid w:val="00337293"/>
    <w:pPr>
      <w:spacing w:after="120"/>
    </w:pPr>
  </w:style>
  <w:style w:type="paragraph" w:styleId="ad">
    <w:name w:val="Date"/>
    <w:basedOn w:val="a"/>
    <w:next w:val="a"/>
    <w:link w:val="Char1"/>
    <w:rsid w:val="00337293"/>
    <w:rPr>
      <w:sz w:val="24"/>
      <w:szCs w:val="20"/>
    </w:rPr>
  </w:style>
  <w:style w:type="character" w:customStyle="1" w:styleId="c1">
    <w:name w:val="c1"/>
    <w:basedOn w:val="a1"/>
    <w:rsid w:val="00337293"/>
    <w:rPr>
      <w:color w:val="000000"/>
      <w:sz w:val="18"/>
      <w:szCs w:val="18"/>
    </w:rPr>
  </w:style>
  <w:style w:type="paragraph" w:styleId="10">
    <w:name w:val="index 1"/>
    <w:basedOn w:val="a"/>
    <w:next w:val="a"/>
    <w:autoRedefine/>
    <w:semiHidden/>
    <w:rsid w:val="00337293"/>
    <w:pPr>
      <w:jc w:val="right"/>
    </w:pPr>
    <w:rPr>
      <w:color w:val="008000"/>
    </w:rPr>
  </w:style>
  <w:style w:type="paragraph" w:customStyle="1" w:styleId="font5">
    <w:name w:val="font5"/>
    <w:basedOn w:val="a"/>
    <w:rsid w:val="00337293"/>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337293"/>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337293"/>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33729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337293"/>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337293"/>
    <w:rPr>
      <w:sz w:val="18"/>
      <w:szCs w:val="18"/>
    </w:rPr>
  </w:style>
  <w:style w:type="character" w:styleId="af">
    <w:name w:val="annotation reference"/>
    <w:basedOn w:val="a1"/>
    <w:semiHidden/>
    <w:rsid w:val="00337293"/>
    <w:rPr>
      <w:sz w:val="21"/>
      <w:szCs w:val="21"/>
    </w:rPr>
  </w:style>
  <w:style w:type="paragraph" w:styleId="af0">
    <w:name w:val="annotation text"/>
    <w:basedOn w:val="a"/>
    <w:semiHidden/>
    <w:rsid w:val="00337293"/>
    <w:pPr>
      <w:jc w:val="left"/>
    </w:pPr>
  </w:style>
  <w:style w:type="paragraph" w:styleId="af1">
    <w:name w:val="annotation subject"/>
    <w:basedOn w:val="af0"/>
    <w:next w:val="af0"/>
    <w:semiHidden/>
    <w:rsid w:val="00337293"/>
    <w:rPr>
      <w:b/>
      <w:bCs/>
    </w:rPr>
  </w:style>
  <w:style w:type="paragraph" w:customStyle="1" w:styleId="Char2">
    <w:name w:val="Char"/>
    <w:basedOn w:val="a"/>
    <w:rsid w:val="00337293"/>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basedOn w:val="a1"/>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CE3519"/>
    <w:rPr>
      <w:rFonts w:ascii="宋体" w:hAnsi="Courier New"/>
      <w:kern w:val="2"/>
      <w:sz w:val="21"/>
      <w:szCs w:val="21"/>
    </w:rPr>
  </w:style>
  <w:style w:type="paragraph" w:customStyle="1" w:styleId="Default">
    <w:name w:val="Default"/>
    <w:rsid w:val="00295C5D"/>
    <w:pPr>
      <w:widowControl w:val="0"/>
      <w:autoSpaceDE w:val="0"/>
      <w:autoSpaceDN w:val="0"/>
      <w:adjustRightInd w:val="0"/>
    </w:pPr>
    <w:rPr>
      <w:rFonts w:ascii="FangSong" w:hAnsi="FangSong" w:cs="FangSong"/>
      <w:color w:val="000000"/>
      <w:sz w:val="24"/>
      <w:szCs w:val="24"/>
    </w:rPr>
  </w:style>
  <w:style w:type="character" w:customStyle="1" w:styleId="Char0">
    <w:name w:val="页眉 Char"/>
    <w:basedOn w:val="a1"/>
    <w:link w:val="a9"/>
    <w:uiPriority w:val="99"/>
    <w:rsid w:val="005E491F"/>
    <w:rPr>
      <w:kern w:val="2"/>
      <w:sz w:val="18"/>
      <w:szCs w:val="18"/>
    </w:rPr>
  </w:style>
  <w:style w:type="character" w:customStyle="1" w:styleId="1Char">
    <w:name w:val="标题 1 Char"/>
    <w:basedOn w:val="a1"/>
    <w:link w:val="1"/>
    <w:rsid w:val="004F4EA9"/>
    <w:rPr>
      <w:b/>
      <w:bCs/>
      <w:kern w:val="44"/>
      <w:sz w:val="44"/>
      <w:szCs w:val="44"/>
    </w:rPr>
  </w:style>
  <w:style w:type="character" w:customStyle="1" w:styleId="Char1">
    <w:name w:val="日期 Char"/>
    <w:basedOn w:val="a1"/>
    <w:link w:val="ad"/>
    <w:rsid w:val="005B1DEC"/>
    <w:rPr>
      <w:kern w:val="2"/>
      <w:sz w:val="24"/>
    </w:rPr>
  </w:style>
  <w:style w:type="character" w:styleId="af8">
    <w:name w:val="Strong"/>
    <w:basedOn w:val="a1"/>
    <w:uiPriority w:val="22"/>
    <w:qFormat/>
    <w:rsid w:val="004712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343751943">
      <w:bodyDiv w:val="1"/>
      <w:marLeft w:val="0"/>
      <w:marRight w:val="0"/>
      <w:marTop w:val="0"/>
      <w:marBottom w:val="0"/>
      <w:divBdr>
        <w:top w:val="none" w:sz="0" w:space="0" w:color="auto"/>
        <w:left w:val="none" w:sz="0" w:space="0" w:color="auto"/>
        <w:bottom w:val="none" w:sz="0" w:space="0" w:color="auto"/>
        <w:right w:val="none" w:sz="0" w:space="0" w:color="auto"/>
      </w:divBdr>
    </w:div>
    <w:div w:id="571620043">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721253790">
      <w:bodyDiv w:val="1"/>
      <w:marLeft w:val="0"/>
      <w:marRight w:val="0"/>
      <w:marTop w:val="0"/>
      <w:marBottom w:val="0"/>
      <w:divBdr>
        <w:top w:val="none" w:sz="0" w:space="0" w:color="auto"/>
        <w:left w:val="none" w:sz="0" w:space="0" w:color="auto"/>
        <w:bottom w:val="none" w:sz="0" w:space="0" w:color="auto"/>
        <w:right w:val="none" w:sz="0" w:space="0" w:color="auto"/>
      </w:divBdr>
    </w:div>
    <w:div w:id="757597937">
      <w:bodyDiv w:val="1"/>
      <w:marLeft w:val="0"/>
      <w:marRight w:val="0"/>
      <w:marTop w:val="0"/>
      <w:marBottom w:val="0"/>
      <w:divBdr>
        <w:top w:val="none" w:sz="0" w:space="0" w:color="auto"/>
        <w:left w:val="none" w:sz="0" w:space="0" w:color="auto"/>
        <w:bottom w:val="none" w:sz="0" w:space="0" w:color="auto"/>
        <w:right w:val="none" w:sz="0" w:space="0" w:color="auto"/>
      </w:divBdr>
    </w:div>
    <w:div w:id="1226531600">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567494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292</TotalTime>
  <Pages>11</Pages>
  <Words>963</Words>
  <Characters>5494</Characters>
  <Application>Microsoft Office Word</Application>
  <DocSecurity>0</DocSecurity>
  <Lines>45</Lines>
  <Paragraphs>12</Paragraphs>
  <ScaleCrop>false</ScaleCrop>
  <Company>TRT. Ltd. Co.</Company>
  <LinksUpToDate>false</LinksUpToDate>
  <CharactersWithSpaces>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王晚婷</cp:lastModifiedBy>
  <cp:revision>381</cp:revision>
  <cp:lastPrinted>2007-07-19T00:46:00Z</cp:lastPrinted>
  <dcterms:created xsi:type="dcterms:W3CDTF">2012-11-21T04:46:00Z</dcterms:created>
  <dcterms:modified xsi:type="dcterms:W3CDTF">2015-01-20T03:43:00Z</dcterms:modified>
</cp:coreProperties>
</file>