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0E20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28A2" w:rsidRDefault="000E202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5,047,052,602.53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E2026" w:rsidRPr="00414345" w:rsidTr="000E202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E2026" w:rsidRPr="00414345" w:rsidTr="000E20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442,102,343.42</w:t>
            </w:r>
          </w:p>
        </w:tc>
      </w:tr>
      <w:tr w:rsidR="000E2026" w:rsidRPr="00414345" w:rsidTr="000E20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99,303,191.23</w:t>
            </w:r>
          </w:p>
        </w:tc>
      </w:tr>
      <w:tr w:rsidR="000E2026" w:rsidRPr="00414345" w:rsidTr="000E20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0.0182</w:t>
            </w:r>
          </w:p>
        </w:tc>
      </w:tr>
      <w:tr w:rsidR="000E2026" w:rsidRPr="00414345" w:rsidTr="000E202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3,790,603,817.48</w:t>
            </w:r>
          </w:p>
        </w:tc>
      </w:tr>
      <w:tr w:rsidR="000E2026" w:rsidRPr="00414345" w:rsidTr="000E202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0.7511</w:t>
            </w:r>
          </w:p>
        </w:tc>
      </w:tr>
    </w:tbl>
    <w:p w:rsidR="00E728A2" w:rsidRDefault="000E202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28A2">
        <w:trPr>
          <w:jc w:val="center"/>
        </w:trPr>
        <w:tc>
          <w:tcPr>
            <w:tcW w:w="1701" w:type="dxa"/>
            <w:vAlign w:val="center"/>
          </w:tcPr>
          <w:p w:rsidR="00E728A2" w:rsidRDefault="000E2026">
            <w:pPr>
              <w:jc w:val="left"/>
            </w:pPr>
            <w:r>
              <w:rPr>
                <w:color w:val="000000"/>
                <w:sz w:val="24"/>
                <w:szCs w:val="24"/>
              </w:rPr>
              <w:t>过去三个月</w:t>
            </w:r>
          </w:p>
        </w:tc>
        <w:tc>
          <w:tcPr>
            <w:tcW w:w="1045" w:type="dxa"/>
            <w:vAlign w:val="center"/>
          </w:tcPr>
          <w:p w:rsidR="00E728A2" w:rsidRDefault="000E2026">
            <w:pPr>
              <w:jc w:val="center"/>
            </w:pPr>
            <w:r>
              <w:rPr>
                <w:color w:val="000000"/>
                <w:sz w:val="24"/>
                <w:szCs w:val="24"/>
              </w:rPr>
              <w:t>2.72%</w:t>
            </w:r>
          </w:p>
        </w:tc>
        <w:tc>
          <w:tcPr>
            <w:tcW w:w="1344" w:type="dxa"/>
            <w:vAlign w:val="center"/>
          </w:tcPr>
          <w:p w:rsidR="00E728A2" w:rsidRDefault="000E2026">
            <w:pPr>
              <w:jc w:val="center"/>
            </w:pPr>
            <w:r>
              <w:rPr>
                <w:color w:val="000000"/>
                <w:sz w:val="24"/>
                <w:szCs w:val="24"/>
              </w:rPr>
              <w:t>1.43%</w:t>
            </w:r>
          </w:p>
        </w:tc>
        <w:tc>
          <w:tcPr>
            <w:tcW w:w="1194" w:type="dxa"/>
            <w:vAlign w:val="center"/>
          </w:tcPr>
          <w:p w:rsidR="00E728A2" w:rsidRDefault="000E2026">
            <w:pPr>
              <w:jc w:val="center"/>
            </w:pPr>
            <w:r>
              <w:rPr>
                <w:color w:val="000000"/>
                <w:sz w:val="24"/>
                <w:szCs w:val="24"/>
              </w:rPr>
              <w:t>32.94%</w:t>
            </w:r>
          </w:p>
        </w:tc>
        <w:tc>
          <w:tcPr>
            <w:tcW w:w="1492" w:type="dxa"/>
            <w:vAlign w:val="center"/>
          </w:tcPr>
          <w:p w:rsidR="00E728A2" w:rsidRDefault="000E2026">
            <w:pPr>
              <w:jc w:val="center"/>
            </w:pPr>
            <w:r>
              <w:rPr>
                <w:color w:val="000000"/>
                <w:sz w:val="24"/>
                <w:szCs w:val="24"/>
              </w:rPr>
              <w:t>1.26%</w:t>
            </w:r>
          </w:p>
        </w:tc>
        <w:tc>
          <w:tcPr>
            <w:tcW w:w="1194" w:type="dxa"/>
            <w:vAlign w:val="center"/>
          </w:tcPr>
          <w:p w:rsidR="00E728A2" w:rsidRDefault="000E2026">
            <w:pPr>
              <w:jc w:val="center"/>
            </w:pPr>
            <w:r>
              <w:rPr>
                <w:color w:val="000000"/>
                <w:sz w:val="24"/>
                <w:szCs w:val="24"/>
              </w:rPr>
              <w:t>-30.22%</w:t>
            </w:r>
          </w:p>
        </w:tc>
        <w:tc>
          <w:tcPr>
            <w:tcW w:w="898" w:type="dxa"/>
            <w:vAlign w:val="center"/>
          </w:tcPr>
          <w:p w:rsidR="00E728A2" w:rsidRDefault="000E2026">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28A2">
        <w:trPr>
          <w:jc w:val="center"/>
        </w:trPr>
        <w:tc>
          <w:tcPr>
            <w:tcW w:w="846" w:type="dxa"/>
            <w:vAlign w:val="center"/>
          </w:tcPr>
          <w:p w:rsidR="00E728A2" w:rsidRDefault="000E2026">
            <w:pPr>
              <w:jc w:val="center"/>
            </w:pPr>
            <w:r>
              <w:rPr>
                <w:color w:val="000000"/>
                <w:sz w:val="24"/>
                <w:szCs w:val="24"/>
              </w:rPr>
              <w:t>张鸿羽</w:t>
            </w:r>
          </w:p>
        </w:tc>
        <w:tc>
          <w:tcPr>
            <w:tcW w:w="845" w:type="dxa"/>
            <w:vAlign w:val="center"/>
          </w:tcPr>
          <w:p w:rsidR="00E728A2" w:rsidRDefault="000E2026">
            <w:pPr>
              <w:jc w:val="center"/>
            </w:pPr>
            <w:r>
              <w:rPr>
                <w:color w:val="000000"/>
                <w:sz w:val="24"/>
                <w:szCs w:val="24"/>
              </w:rPr>
              <w:t>本基金的基金经理</w:t>
            </w:r>
          </w:p>
        </w:tc>
        <w:tc>
          <w:tcPr>
            <w:tcW w:w="1549" w:type="dxa"/>
            <w:vAlign w:val="center"/>
          </w:tcPr>
          <w:p w:rsidR="00E728A2" w:rsidRDefault="000E2026">
            <w:pPr>
              <w:jc w:val="center"/>
            </w:pPr>
            <w:r>
              <w:rPr>
                <w:color w:val="000000"/>
                <w:sz w:val="24"/>
                <w:szCs w:val="24"/>
              </w:rPr>
              <w:t>2012-04-20</w:t>
            </w:r>
          </w:p>
        </w:tc>
        <w:tc>
          <w:tcPr>
            <w:tcW w:w="1548" w:type="dxa"/>
            <w:vAlign w:val="center"/>
          </w:tcPr>
          <w:p w:rsidR="00E728A2" w:rsidRDefault="000E2026">
            <w:pPr>
              <w:jc w:val="center"/>
            </w:pPr>
            <w:r>
              <w:rPr>
                <w:color w:val="000000"/>
                <w:sz w:val="24"/>
                <w:szCs w:val="24"/>
              </w:rPr>
              <w:t>2014-10-22</w:t>
            </w:r>
          </w:p>
        </w:tc>
        <w:tc>
          <w:tcPr>
            <w:tcW w:w="1407" w:type="dxa"/>
            <w:vAlign w:val="center"/>
          </w:tcPr>
          <w:p w:rsidR="00E728A2" w:rsidRDefault="000E2026">
            <w:pPr>
              <w:jc w:val="center"/>
            </w:pPr>
            <w:r>
              <w:rPr>
                <w:color w:val="000000"/>
                <w:sz w:val="24"/>
                <w:szCs w:val="24"/>
              </w:rPr>
              <w:t>14</w:t>
            </w:r>
            <w:r>
              <w:rPr>
                <w:color w:val="000000"/>
                <w:sz w:val="24"/>
                <w:szCs w:val="24"/>
              </w:rPr>
              <w:t>年</w:t>
            </w:r>
          </w:p>
        </w:tc>
        <w:tc>
          <w:tcPr>
            <w:tcW w:w="2673" w:type="dxa"/>
            <w:vAlign w:val="center"/>
          </w:tcPr>
          <w:p w:rsidR="00E728A2" w:rsidRDefault="000E2026">
            <w:r>
              <w:rPr>
                <w:color w:val="000000"/>
                <w:sz w:val="24"/>
                <w:szCs w:val="24"/>
              </w:rPr>
              <w:t>张鸿羽女士，上海财经大学硕士。历任广发证券股份有限公司高级研究员，上投摩根基金管理有限公司高级研究员。</w:t>
            </w:r>
            <w:r>
              <w:rPr>
                <w:color w:val="000000"/>
                <w:sz w:val="24"/>
                <w:szCs w:val="24"/>
              </w:rPr>
              <w:t>2007</w:t>
            </w:r>
            <w:r>
              <w:rPr>
                <w:color w:val="000000"/>
                <w:sz w:val="24"/>
                <w:szCs w:val="24"/>
              </w:rPr>
              <w:t>年加入交银施罗德基金管理有限公司，历任高级研究员、专户投资经理。</w:t>
            </w:r>
            <w:r w:rsidR="00DF6468" w:rsidRPr="00DF6468">
              <w:rPr>
                <w:rFonts w:hint="eastAsia"/>
                <w:color w:val="000000"/>
                <w:sz w:val="24"/>
                <w:szCs w:val="24"/>
              </w:rPr>
              <w:t>2012</w:t>
            </w:r>
            <w:r w:rsidR="00DF6468" w:rsidRPr="00DF6468">
              <w:rPr>
                <w:rFonts w:hint="eastAsia"/>
                <w:color w:val="000000"/>
                <w:sz w:val="24"/>
                <w:szCs w:val="24"/>
              </w:rPr>
              <w:t>年</w:t>
            </w:r>
            <w:r w:rsidR="00DF6468" w:rsidRPr="00DF6468">
              <w:rPr>
                <w:rFonts w:hint="eastAsia"/>
                <w:color w:val="000000"/>
                <w:sz w:val="24"/>
                <w:szCs w:val="24"/>
              </w:rPr>
              <w:t>4</w:t>
            </w:r>
            <w:r w:rsidR="00DF6468" w:rsidRPr="00DF6468">
              <w:rPr>
                <w:rFonts w:hint="eastAsia"/>
                <w:color w:val="000000"/>
                <w:sz w:val="24"/>
                <w:szCs w:val="24"/>
              </w:rPr>
              <w:t>月</w:t>
            </w:r>
            <w:r w:rsidR="00DF6468" w:rsidRPr="00DF6468">
              <w:rPr>
                <w:rFonts w:hint="eastAsia"/>
                <w:color w:val="000000"/>
                <w:sz w:val="24"/>
                <w:szCs w:val="24"/>
              </w:rPr>
              <w:t>20</w:t>
            </w:r>
            <w:r w:rsidR="00DF6468" w:rsidRPr="00DF6468">
              <w:rPr>
                <w:rFonts w:hint="eastAsia"/>
                <w:color w:val="000000"/>
                <w:sz w:val="24"/>
                <w:szCs w:val="24"/>
              </w:rPr>
              <w:t>日至</w:t>
            </w:r>
            <w:r w:rsidR="00DF6468" w:rsidRPr="00DF6468">
              <w:rPr>
                <w:rFonts w:hint="eastAsia"/>
                <w:color w:val="000000"/>
                <w:sz w:val="24"/>
                <w:szCs w:val="24"/>
              </w:rPr>
              <w:t>2014</w:t>
            </w:r>
            <w:r w:rsidR="00DF6468" w:rsidRPr="00DF6468">
              <w:rPr>
                <w:rFonts w:hint="eastAsia"/>
                <w:color w:val="000000"/>
                <w:sz w:val="24"/>
                <w:szCs w:val="24"/>
              </w:rPr>
              <w:t>年</w:t>
            </w:r>
            <w:r w:rsidR="00DF6468" w:rsidRPr="00DF6468">
              <w:rPr>
                <w:rFonts w:hint="eastAsia"/>
                <w:color w:val="000000"/>
                <w:sz w:val="24"/>
                <w:szCs w:val="24"/>
              </w:rPr>
              <w:t>10</w:t>
            </w:r>
            <w:r w:rsidR="00DF6468" w:rsidRPr="00DF6468">
              <w:rPr>
                <w:rFonts w:hint="eastAsia"/>
                <w:color w:val="000000"/>
                <w:sz w:val="24"/>
                <w:szCs w:val="24"/>
              </w:rPr>
              <w:t>月</w:t>
            </w:r>
            <w:r w:rsidR="00DF6468" w:rsidRPr="00DF6468">
              <w:rPr>
                <w:rFonts w:hint="eastAsia"/>
                <w:color w:val="000000"/>
                <w:sz w:val="24"/>
                <w:szCs w:val="24"/>
              </w:rPr>
              <w:t>21</w:t>
            </w:r>
            <w:r w:rsidR="00DF6468" w:rsidRPr="00DF6468">
              <w:rPr>
                <w:rFonts w:hint="eastAsia"/>
                <w:color w:val="000000"/>
                <w:sz w:val="24"/>
                <w:szCs w:val="24"/>
              </w:rPr>
              <w:t>日担任交银施罗德精选股票证券投资基金基金经理。</w:t>
            </w:r>
          </w:p>
        </w:tc>
      </w:tr>
      <w:tr w:rsidR="00E728A2">
        <w:trPr>
          <w:jc w:val="center"/>
        </w:trPr>
        <w:tc>
          <w:tcPr>
            <w:tcW w:w="846" w:type="dxa"/>
            <w:vAlign w:val="center"/>
          </w:tcPr>
          <w:p w:rsidR="00E728A2" w:rsidRDefault="000E2026">
            <w:pPr>
              <w:jc w:val="center"/>
            </w:pPr>
            <w:r>
              <w:rPr>
                <w:color w:val="000000"/>
                <w:sz w:val="24"/>
                <w:szCs w:val="24"/>
              </w:rPr>
              <w:t>曹文俊</w:t>
            </w:r>
          </w:p>
        </w:tc>
        <w:tc>
          <w:tcPr>
            <w:tcW w:w="845" w:type="dxa"/>
            <w:vAlign w:val="center"/>
          </w:tcPr>
          <w:p w:rsidR="00E728A2" w:rsidRDefault="000E2026">
            <w:pPr>
              <w:jc w:val="center"/>
            </w:pPr>
            <w:r>
              <w:rPr>
                <w:color w:val="000000"/>
                <w:sz w:val="24"/>
                <w:szCs w:val="24"/>
              </w:rPr>
              <w:t>本基金、交银施罗德趋势优先股票证券投资基金的基金经理</w:t>
            </w:r>
          </w:p>
        </w:tc>
        <w:tc>
          <w:tcPr>
            <w:tcW w:w="1549" w:type="dxa"/>
            <w:vAlign w:val="center"/>
          </w:tcPr>
          <w:p w:rsidR="00E728A2" w:rsidRDefault="000E2026">
            <w:pPr>
              <w:jc w:val="center"/>
            </w:pPr>
            <w:r>
              <w:rPr>
                <w:color w:val="000000"/>
                <w:sz w:val="24"/>
                <w:szCs w:val="24"/>
              </w:rPr>
              <w:t>2014-10-22</w:t>
            </w:r>
          </w:p>
        </w:tc>
        <w:tc>
          <w:tcPr>
            <w:tcW w:w="1548" w:type="dxa"/>
            <w:vAlign w:val="center"/>
          </w:tcPr>
          <w:p w:rsidR="00E728A2" w:rsidRDefault="000E2026">
            <w:pPr>
              <w:jc w:val="center"/>
            </w:pPr>
            <w:r>
              <w:rPr>
                <w:color w:val="000000"/>
                <w:sz w:val="24"/>
                <w:szCs w:val="24"/>
              </w:rPr>
              <w:t>-</w:t>
            </w:r>
          </w:p>
        </w:tc>
        <w:tc>
          <w:tcPr>
            <w:tcW w:w="1407" w:type="dxa"/>
            <w:vAlign w:val="center"/>
          </w:tcPr>
          <w:p w:rsidR="00E728A2" w:rsidRDefault="000E2026">
            <w:pPr>
              <w:jc w:val="center"/>
            </w:pPr>
            <w:r>
              <w:rPr>
                <w:color w:val="000000"/>
                <w:sz w:val="24"/>
                <w:szCs w:val="24"/>
              </w:rPr>
              <w:t xml:space="preserve"> 9</w:t>
            </w:r>
            <w:r>
              <w:rPr>
                <w:color w:val="000000"/>
                <w:sz w:val="24"/>
                <w:szCs w:val="24"/>
              </w:rPr>
              <w:t>年</w:t>
            </w:r>
          </w:p>
        </w:tc>
        <w:tc>
          <w:tcPr>
            <w:tcW w:w="2673" w:type="dxa"/>
            <w:vAlign w:val="center"/>
          </w:tcPr>
          <w:p w:rsidR="00E728A2" w:rsidRDefault="000E2026">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28A2" w:rsidRDefault="000E202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28A2" w:rsidRDefault="000E202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28A2" w:rsidRDefault="000E202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728A2" w:rsidRDefault="000E2026">
      <w:pPr>
        <w:spacing w:before="29" w:line="288" w:lineRule="auto"/>
        <w:ind w:firstLineChars="200" w:firstLine="480"/>
        <w:rPr>
          <w:color w:val="000000"/>
          <w:sz w:val="24"/>
          <w:szCs w:val="24"/>
        </w:rPr>
      </w:pPr>
      <w:r>
        <w:rPr>
          <w:color w:val="000000"/>
          <w:sz w:val="24"/>
          <w:szCs w:val="24"/>
        </w:rPr>
        <w:t>2014</w:t>
      </w:r>
      <w:r>
        <w:rPr>
          <w:color w:val="000000"/>
          <w:sz w:val="24"/>
          <w:szCs w:val="24"/>
        </w:rPr>
        <w:t>年四季度沪深股市表现异常强劲，其中沪深</w:t>
      </w:r>
      <w:r>
        <w:rPr>
          <w:color w:val="000000"/>
          <w:sz w:val="24"/>
          <w:szCs w:val="24"/>
        </w:rPr>
        <w:t>300</w:t>
      </w:r>
      <w:r>
        <w:rPr>
          <w:color w:val="000000"/>
          <w:sz w:val="24"/>
          <w:szCs w:val="24"/>
        </w:rPr>
        <w:t>指数上涨</w:t>
      </w:r>
      <w:r>
        <w:rPr>
          <w:color w:val="000000"/>
          <w:sz w:val="24"/>
          <w:szCs w:val="24"/>
        </w:rPr>
        <w:t>44.17%</w:t>
      </w:r>
      <w:r>
        <w:rPr>
          <w:color w:val="000000"/>
          <w:sz w:val="24"/>
          <w:szCs w:val="24"/>
        </w:rPr>
        <w:t>，中小板指数下跌</w:t>
      </w:r>
      <w:r>
        <w:rPr>
          <w:color w:val="000000"/>
          <w:sz w:val="24"/>
          <w:szCs w:val="24"/>
        </w:rPr>
        <w:t>2.56%</w:t>
      </w:r>
      <w:r>
        <w:rPr>
          <w:color w:val="000000"/>
          <w:sz w:val="24"/>
          <w:szCs w:val="24"/>
        </w:rPr>
        <w:t>，创业板指数下跌</w:t>
      </w:r>
      <w:r>
        <w:rPr>
          <w:color w:val="000000"/>
          <w:sz w:val="24"/>
          <w:szCs w:val="24"/>
        </w:rPr>
        <w:t>4.49%</w:t>
      </w:r>
      <w:r>
        <w:rPr>
          <w:color w:val="000000"/>
          <w:sz w:val="24"/>
          <w:szCs w:val="24"/>
        </w:rPr>
        <w:t>。四季度大小盘分化严重，低估值蓝筹股表现耀眼，银行、非银金融、钢铁、交运和地产等行业表现突出，增量资金入市引发的低估值板块价值重估是市场表现的主要线索。四季度本基金净值涨幅</w:t>
      </w:r>
      <w:r>
        <w:rPr>
          <w:color w:val="000000"/>
          <w:sz w:val="24"/>
          <w:szCs w:val="24"/>
        </w:rPr>
        <w:t>2.72%</w:t>
      </w:r>
      <w:r>
        <w:rPr>
          <w:color w:val="000000"/>
          <w:sz w:val="24"/>
          <w:szCs w:val="24"/>
        </w:rPr>
        <w:t>，净值表现未能跑赢业绩比较基准，主要缘于前期组合配置着重于高估值成长股，估值收缩造成对组合表现的影响。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政策可能为低迷的实体经济托底，预期货币政策可能适度放松，通缩的环境为货币政策放松创造了较好的操作空间。随着银行非标理财产品的规范，股票市场的资产配置效应凸显，低估值蓝筹的价值重估过程或仍将延续。我们判断，估值再均衡将在未来</w:t>
      </w:r>
      <w:r w:rsidRPr="00414345">
        <w:rPr>
          <w:color w:val="000000"/>
          <w:sz w:val="24"/>
          <w:szCs w:val="24"/>
        </w:rPr>
        <w:t>1-2</w:t>
      </w:r>
      <w:r w:rsidRPr="00414345">
        <w:rPr>
          <w:color w:val="000000"/>
          <w:sz w:val="24"/>
          <w:szCs w:val="24"/>
        </w:rPr>
        <w:t>个季度内继续演绎。在新股发行注册制改革渐行渐近的背景下，成长股的挑选标准将变得进一步严苛。</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0.7511</w:t>
      </w:r>
      <w:r w:rsidRPr="00414345">
        <w:rPr>
          <w:color w:val="000000"/>
          <w:sz w:val="24"/>
          <w:szCs w:val="24"/>
        </w:rPr>
        <w:t>元，本报告期份额净值增长率为</w:t>
      </w:r>
      <w:r w:rsidRPr="00414345">
        <w:rPr>
          <w:color w:val="000000"/>
          <w:sz w:val="24"/>
          <w:szCs w:val="24"/>
        </w:rPr>
        <w:t>2.72%</w:t>
      </w:r>
      <w:r w:rsidRPr="00414345">
        <w:rPr>
          <w:color w:val="000000"/>
          <w:sz w:val="24"/>
          <w:szCs w:val="24"/>
        </w:rPr>
        <w:t>，同期业绩比较基准增长率为</w:t>
      </w:r>
      <w:r w:rsidRPr="00414345">
        <w:rPr>
          <w:color w:val="000000"/>
          <w:sz w:val="24"/>
          <w:szCs w:val="24"/>
        </w:rPr>
        <w:t>32.94%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0E2026">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3,270,496,709.02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3,270,496,709.02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142,525,000.00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142,525,000.00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278,065,817.10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234,703,411.33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10,227,573.57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3,936,018,511.02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113,527,985.37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954,603,067.69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24,995,712.42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257,133,272.16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195,489,541.83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348,337,752.31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670,199,568.34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361,164,587.77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320,764,978.33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24,280,242.80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3,270,496,709.02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28A2">
        <w:trPr>
          <w:jc w:val="center"/>
        </w:trPr>
        <w:tc>
          <w:tcPr>
            <w:tcW w:w="855" w:type="dxa"/>
            <w:vAlign w:val="center"/>
          </w:tcPr>
          <w:p w:rsidR="00E728A2" w:rsidRDefault="000E2026">
            <w:pPr>
              <w:jc w:val="center"/>
            </w:pPr>
            <w:r>
              <w:rPr>
                <w:color w:val="000000"/>
                <w:sz w:val="24"/>
                <w:szCs w:val="24"/>
              </w:rPr>
              <w:t>1</w:t>
            </w:r>
          </w:p>
        </w:tc>
        <w:tc>
          <w:tcPr>
            <w:tcW w:w="1334" w:type="dxa"/>
            <w:vAlign w:val="center"/>
          </w:tcPr>
          <w:p w:rsidR="00E728A2" w:rsidRDefault="000E2026">
            <w:pPr>
              <w:jc w:val="center"/>
            </w:pPr>
            <w:r>
              <w:rPr>
                <w:color w:val="000000"/>
                <w:sz w:val="24"/>
                <w:szCs w:val="24"/>
              </w:rPr>
              <w:t>002081</w:t>
            </w:r>
          </w:p>
        </w:tc>
        <w:tc>
          <w:tcPr>
            <w:tcW w:w="1777" w:type="dxa"/>
            <w:vAlign w:val="center"/>
          </w:tcPr>
          <w:p w:rsidR="00E728A2" w:rsidRDefault="000E2026">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E728A2" w:rsidRDefault="000E2026">
            <w:pPr>
              <w:jc w:val="right"/>
            </w:pPr>
            <w:r>
              <w:rPr>
                <w:color w:val="000000"/>
                <w:sz w:val="24"/>
                <w:szCs w:val="24"/>
              </w:rPr>
              <w:t>11,862,917</w:t>
            </w:r>
          </w:p>
        </w:tc>
        <w:tc>
          <w:tcPr>
            <w:tcW w:w="1924" w:type="dxa"/>
            <w:vAlign w:val="center"/>
          </w:tcPr>
          <w:p w:rsidR="00E728A2" w:rsidRDefault="000E2026">
            <w:pPr>
              <w:jc w:val="right"/>
            </w:pPr>
            <w:r>
              <w:rPr>
                <w:color w:val="000000"/>
                <w:sz w:val="24"/>
                <w:szCs w:val="24"/>
              </w:rPr>
              <w:t>199,297,005.60</w:t>
            </w:r>
          </w:p>
        </w:tc>
        <w:tc>
          <w:tcPr>
            <w:tcW w:w="1644" w:type="dxa"/>
            <w:vAlign w:val="center"/>
          </w:tcPr>
          <w:p w:rsidR="00E728A2" w:rsidRDefault="000E2026">
            <w:pPr>
              <w:jc w:val="right"/>
            </w:pPr>
            <w:r>
              <w:rPr>
                <w:color w:val="000000"/>
                <w:sz w:val="24"/>
                <w:szCs w:val="24"/>
              </w:rPr>
              <w:t>5.26</w:t>
            </w:r>
          </w:p>
        </w:tc>
      </w:tr>
      <w:tr w:rsidR="00E728A2">
        <w:trPr>
          <w:jc w:val="center"/>
        </w:trPr>
        <w:tc>
          <w:tcPr>
            <w:tcW w:w="855" w:type="dxa"/>
            <w:vAlign w:val="center"/>
          </w:tcPr>
          <w:p w:rsidR="00E728A2" w:rsidRDefault="000E2026">
            <w:pPr>
              <w:jc w:val="center"/>
            </w:pPr>
            <w:r>
              <w:rPr>
                <w:color w:val="000000"/>
                <w:sz w:val="24"/>
                <w:szCs w:val="24"/>
              </w:rPr>
              <w:t>2</w:t>
            </w:r>
          </w:p>
        </w:tc>
        <w:tc>
          <w:tcPr>
            <w:tcW w:w="1334" w:type="dxa"/>
            <w:vAlign w:val="center"/>
          </w:tcPr>
          <w:p w:rsidR="00E728A2" w:rsidRDefault="000E2026">
            <w:pPr>
              <w:jc w:val="center"/>
            </w:pPr>
            <w:r>
              <w:rPr>
                <w:color w:val="000000"/>
                <w:sz w:val="24"/>
                <w:szCs w:val="24"/>
              </w:rPr>
              <w:t>601318</w:t>
            </w:r>
          </w:p>
        </w:tc>
        <w:tc>
          <w:tcPr>
            <w:tcW w:w="1777" w:type="dxa"/>
            <w:vAlign w:val="center"/>
          </w:tcPr>
          <w:p w:rsidR="00E728A2" w:rsidRDefault="000E2026">
            <w:pPr>
              <w:jc w:val="center"/>
            </w:pPr>
            <w:r>
              <w:rPr>
                <w:color w:val="000000"/>
                <w:sz w:val="24"/>
                <w:szCs w:val="24"/>
              </w:rPr>
              <w:t>中国平安</w:t>
            </w:r>
          </w:p>
        </w:tc>
        <w:tc>
          <w:tcPr>
            <w:tcW w:w="1334" w:type="dxa"/>
            <w:vAlign w:val="center"/>
          </w:tcPr>
          <w:p w:rsidR="00E728A2" w:rsidRDefault="000E2026">
            <w:pPr>
              <w:jc w:val="right"/>
            </w:pPr>
            <w:r>
              <w:rPr>
                <w:color w:val="000000"/>
                <w:sz w:val="24"/>
                <w:szCs w:val="24"/>
              </w:rPr>
              <w:t>2,600,000</w:t>
            </w:r>
          </w:p>
        </w:tc>
        <w:tc>
          <w:tcPr>
            <w:tcW w:w="1924" w:type="dxa"/>
            <w:vAlign w:val="center"/>
          </w:tcPr>
          <w:p w:rsidR="00E728A2" w:rsidRDefault="000E2026">
            <w:pPr>
              <w:jc w:val="right"/>
            </w:pPr>
            <w:r>
              <w:rPr>
                <w:color w:val="000000"/>
                <w:sz w:val="24"/>
                <w:szCs w:val="24"/>
              </w:rPr>
              <w:t>194,246,000.00</w:t>
            </w:r>
          </w:p>
        </w:tc>
        <w:tc>
          <w:tcPr>
            <w:tcW w:w="1644" w:type="dxa"/>
            <w:vAlign w:val="center"/>
          </w:tcPr>
          <w:p w:rsidR="00E728A2" w:rsidRDefault="000E2026">
            <w:pPr>
              <w:jc w:val="right"/>
            </w:pPr>
            <w:r>
              <w:rPr>
                <w:color w:val="000000"/>
                <w:sz w:val="24"/>
                <w:szCs w:val="24"/>
              </w:rPr>
              <w:t>5.12</w:t>
            </w:r>
          </w:p>
        </w:tc>
      </w:tr>
      <w:tr w:rsidR="00E728A2">
        <w:trPr>
          <w:jc w:val="center"/>
        </w:trPr>
        <w:tc>
          <w:tcPr>
            <w:tcW w:w="855" w:type="dxa"/>
            <w:vAlign w:val="center"/>
          </w:tcPr>
          <w:p w:rsidR="00E728A2" w:rsidRDefault="000E2026">
            <w:pPr>
              <w:jc w:val="center"/>
            </w:pPr>
            <w:r>
              <w:rPr>
                <w:color w:val="000000"/>
                <w:sz w:val="24"/>
                <w:szCs w:val="24"/>
              </w:rPr>
              <w:t>3</w:t>
            </w:r>
          </w:p>
        </w:tc>
        <w:tc>
          <w:tcPr>
            <w:tcW w:w="1334" w:type="dxa"/>
            <w:vAlign w:val="center"/>
          </w:tcPr>
          <w:p w:rsidR="00E728A2" w:rsidRDefault="000E2026">
            <w:pPr>
              <w:jc w:val="center"/>
            </w:pPr>
            <w:r>
              <w:rPr>
                <w:color w:val="000000"/>
                <w:sz w:val="24"/>
                <w:szCs w:val="24"/>
              </w:rPr>
              <w:t>300347</w:t>
            </w:r>
          </w:p>
        </w:tc>
        <w:tc>
          <w:tcPr>
            <w:tcW w:w="1777" w:type="dxa"/>
            <w:vAlign w:val="center"/>
          </w:tcPr>
          <w:p w:rsidR="00E728A2" w:rsidRDefault="000E2026">
            <w:pPr>
              <w:jc w:val="center"/>
            </w:pPr>
            <w:r>
              <w:rPr>
                <w:color w:val="000000"/>
                <w:sz w:val="24"/>
                <w:szCs w:val="24"/>
              </w:rPr>
              <w:t>泰格医药</w:t>
            </w:r>
          </w:p>
        </w:tc>
        <w:tc>
          <w:tcPr>
            <w:tcW w:w="1334" w:type="dxa"/>
            <w:vAlign w:val="center"/>
          </w:tcPr>
          <w:p w:rsidR="00E728A2" w:rsidRDefault="000E2026">
            <w:pPr>
              <w:jc w:val="right"/>
            </w:pPr>
            <w:r>
              <w:rPr>
                <w:color w:val="000000"/>
                <w:sz w:val="24"/>
                <w:szCs w:val="24"/>
              </w:rPr>
              <w:t>5,994,817</w:t>
            </w:r>
          </w:p>
        </w:tc>
        <w:tc>
          <w:tcPr>
            <w:tcW w:w="1924" w:type="dxa"/>
            <w:vAlign w:val="center"/>
          </w:tcPr>
          <w:p w:rsidR="00E728A2" w:rsidRDefault="000E2026">
            <w:pPr>
              <w:jc w:val="right"/>
            </w:pPr>
            <w:r>
              <w:rPr>
                <w:color w:val="000000"/>
                <w:sz w:val="24"/>
                <w:szCs w:val="24"/>
              </w:rPr>
              <w:t>176,247,619.80</w:t>
            </w:r>
          </w:p>
        </w:tc>
        <w:tc>
          <w:tcPr>
            <w:tcW w:w="1644" w:type="dxa"/>
            <w:vAlign w:val="center"/>
          </w:tcPr>
          <w:p w:rsidR="00E728A2" w:rsidRDefault="000E2026">
            <w:pPr>
              <w:jc w:val="right"/>
            </w:pPr>
            <w:r>
              <w:rPr>
                <w:color w:val="000000"/>
                <w:sz w:val="24"/>
                <w:szCs w:val="24"/>
              </w:rPr>
              <w:t>4.65</w:t>
            </w:r>
          </w:p>
        </w:tc>
      </w:tr>
      <w:tr w:rsidR="00E728A2">
        <w:trPr>
          <w:jc w:val="center"/>
        </w:trPr>
        <w:tc>
          <w:tcPr>
            <w:tcW w:w="855" w:type="dxa"/>
            <w:vAlign w:val="center"/>
          </w:tcPr>
          <w:p w:rsidR="00E728A2" w:rsidRDefault="000E2026">
            <w:pPr>
              <w:jc w:val="center"/>
            </w:pPr>
            <w:r>
              <w:rPr>
                <w:color w:val="000000"/>
                <w:sz w:val="24"/>
                <w:szCs w:val="24"/>
              </w:rPr>
              <w:t>4</w:t>
            </w:r>
          </w:p>
        </w:tc>
        <w:tc>
          <w:tcPr>
            <w:tcW w:w="1334" w:type="dxa"/>
            <w:vAlign w:val="center"/>
          </w:tcPr>
          <w:p w:rsidR="00E728A2" w:rsidRDefault="000E2026">
            <w:pPr>
              <w:jc w:val="center"/>
            </w:pPr>
            <w:r>
              <w:rPr>
                <w:color w:val="000000"/>
                <w:sz w:val="24"/>
                <w:szCs w:val="24"/>
              </w:rPr>
              <w:t>000002</w:t>
            </w:r>
          </w:p>
        </w:tc>
        <w:tc>
          <w:tcPr>
            <w:tcW w:w="1777" w:type="dxa"/>
            <w:vAlign w:val="center"/>
          </w:tcPr>
          <w:p w:rsidR="00E728A2" w:rsidRDefault="000E2026">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E728A2" w:rsidRDefault="000E2026">
            <w:pPr>
              <w:jc w:val="right"/>
            </w:pPr>
            <w:r>
              <w:rPr>
                <w:color w:val="000000"/>
                <w:sz w:val="24"/>
                <w:szCs w:val="24"/>
              </w:rPr>
              <w:t>9,999,929</w:t>
            </w:r>
          </w:p>
        </w:tc>
        <w:tc>
          <w:tcPr>
            <w:tcW w:w="1924" w:type="dxa"/>
            <w:vAlign w:val="center"/>
          </w:tcPr>
          <w:p w:rsidR="00E728A2" w:rsidRDefault="000E2026">
            <w:pPr>
              <w:jc w:val="right"/>
            </w:pPr>
            <w:r>
              <w:rPr>
                <w:color w:val="000000"/>
                <w:sz w:val="24"/>
                <w:szCs w:val="24"/>
              </w:rPr>
              <w:t>138,999,013.10</w:t>
            </w:r>
          </w:p>
        </w:tc>
        <w:tc>
          <w:tcPr>
            <w:tcW w:w="1644" w:type="dxa"/>
            <w:vAlign w:val="center"/>
          </w:tcPr>
          <w:p w:rsidR="00E728A2" w:rsidRDefault="000E2026">
            <w:pPr>
              <w:jc w:val="right"/>
            </w:pPr>
            <w:r>
              <w:rPr>
                <w:color w:val="000000"/>
                <w:sz w:val="24"/>
                <w:szCs w:val="24"/>
              </w:rPr>
              <w:t>3.67</w:t>
            </w:r>
          </w:p>
        </w:tc>
      </w:tr>
      <w:tr w:rsidR="00E728A2">
        <w:trPr>
          <w:jc w:val="center"/>
        </w:trPr>
        <w:tc>
          <w:tcPr>
            <w:tcW w:w="855" w:type="dxa"/>
            <w:vAlign w:val="center"/>
          </w:tcPr>
          <w:p w:rsidR="00E728A2" w:rsidRDefault="000E2026">
            <w:pPr>
              <w:jc w:val="center"/>
            </w:pPr>
            <w:r>
              <w:rPr>
                <w:color w:val="000000"/>
                <w:sz w:val="24"/>
                <w:szCs w:val="24"/>
              </w:rPr>
              <w:t>5</w:t>
            </w:r>
          </w:p>
        </w:tc>
        <w:tc>
          <w:tcPr>
            <w:tcW w:w="1334" w:type="dxa"/>
            <w:vAlign w:val="center"/>
          </w:tcPr>
          <w:p w:rsidR="00E728A2" w:rsidRDefault="000E2026">
            <w:pPr>
              <w:jc w:val="center"/>
            </w:pPr>
            <w:r>
              <w:rPr>
                <w:color w:val="000000"/>
                <w:sz w:val="24"/>
                <w:szCs w:val="24"/>
              </w:rPr>
              <w:t>601628</w:t>
            </w:r>
          </w:p>
        </w:tc>
        <w:tc>
          <w:tcPr>
            <w:tcW w:w="1777" w:type="dxa"/>
            <w:vAlign w:val="center"/>
          </w:tcPr>
          <w:p w:rsidR="00E728A2" w:rsidRDefault="000E2026">
            <w:pPr>
              <w:jc w:val="center"/>
            </w:pPr>
            <w:r>
              <w:rPr>
                <w:color w:val="000000"/>
                <w:sz w:val="24"/>
                <w:szCs w:val="24"/>
              </w:rPr>
              <w:t>中国人寿</w:t>
            </w:r>
          </w:p>
        </w:tc>
        <w:tc>
          <w:tcPr>
            <w:tcW w:w="1334" w:type="dxa"/>
            <w:vAlign w:val="center"/>
          </w:tcPr>
          <w:p w:rsidR="00E728A2" w:rsidRDefault="000E2026">
            <w:pPr>
              <w:jc w:val="right"/>
            </w:pPr>
            <w:r>
              <w:rPr>
                <w:color w:val="000000"/>
                <w:sz w:val="24"/>
                <w:szCs w:val="24"/>
              </w:rPr>
              <w:t>3,999,816</w:t>
            </w:r>
          </w:p>
        </w:tc>
        <w:tc>
          <w:tcPr>
            <w:tcW w:w="1924" w:type="dxa"/>
            <w:vAlign w:val="center"/>
          </w:tcPr>
          <w:p w:rsidR="00E728A2" w:rsidRDefault="000E2026">
            <w:pPr>
              <w:jc w:val="right"/>
            </w:pPr>
            <w:r>
              <w:rPr>
                <w:color w:val="000000"/>
                <w:sz w:val="24"/>
                <w:szCs w:val="24"/>
              </w:rPr>
              <w:t>136,593,716.40</w:t>
            </w:r>
          </w:p>
        </w:tc>
        <w:tc>
          <w:tcPr>
            <w:tcW w:w="1644" w:type="dxa"/>
            <w:vAlign w:val="center"/>
          </w:tcPr>
          <w:p w:rsidR="00E728A2" w:rsidRDefault="000E2026">
            <w:pPr>
              <w:jc w:val="right"/>
            </w:pPr>
            <w:r>
              <w:rPr>
                <w:color w:val="000000"/>
                <w:sz w:val="24"/>
                <w:szCs w:val="24"/>
              </w:rPr>
              <w:t>3.60</w:t>
            </w:r>
          </w:p>
        </w:tc>
      </w:tr>
      <w:tr w:rsidR="00E728A2">
        <w:trPr>
          <w:jc w:val="center"/>
        </w:trPr>
        <w:tc>
          <w:tcPr>
            <w:tcW w:w="855" w:type="dxa"/>
            <w:vAlign w:val="center"/>
          </w:tcPr>
          <w:p w:rsidR="00E728A2" w:rsidRDefault="000E2026">
            <w:pPr>
              <w:jc w:val="center"/>
            </w:pPr>
            <w:r>
              <w:rPr>
                <w:color w:val="000000"/>
                <w:sz w:val="24"/>
                <w:szCs w:val="24"/>
              </w:rPr>
              <w:t>6</w:t>
            </w:r>
          </w:p>
        </w:tc>
        <w:tc>
          <w:tcPr>
            <w:tcW w:w="1334" w:type="dxa"/>
            <w:vAlign w:val="center"/>
          </w:tcPr>
          <w:p w:rsidR="00E728A2" w:rsidRDefault="000E2026">
            <w:pPr>
              <w:jc w:val="center"/>
            </w:pPr>
            <w:r>
              <w:rPr>
                <w:color w:val="000000"/>
                <w:sz w:val="24"/>
                <w:szCs w:val="24"/>
              </w:rPr>
              <w:t>002462</w:t>
            </w:r>
          </w:p>
        </w:tc>
        <w:tc>
          <w:tcPr>
            <w:tcW w:w="1777" w:type="dxa"/>
            <w:vAlign w:val="center"/>
          </w:tcPr>
          <w:p w:rsidR="00E728A2" w:rsidRDefault="000E2026">
            <w:pPr>
              <w:jc w:val="center"/>
            </w:pPr>
            <w:r>
              <w:rPr>
                <w:color w:val="000000"/>
                <w:sz w:val="24"/>
                <w:szCs w:val="24"/>
              </w:rPr>
              <w:t>嘉事堂</w:t>
            </w:r>
          </w:p>
        </w:tc>
        <w:tc>
          <w:tcPr>
            <w:tcW w:w="1334" w:type="dxa"/>
            <w:vAlign w:val="center"/>
          </w:tcPr>
          <w:p w:rsidR="00E728A2" w:rsidRDefault="000E2026">
            <w:pPr>
              <w:jc w:val="right"/>
            </w:pPr>
            <w:r>
              <w:rPr>
                <w:color w:val="000000"/>
                <w:sz w:val="24"/>
                <w:szCs w:val="24"/>
              </w:rPr>
              <w:t>5,000,268</w:t>
            </w:r>
          </w:p>
        </w:tc>
        <w:tc>
          <w:tcPr>
            <w:tcW w:w="1924" w:type="dxa"/>
            <w:vAlign w:val="center"/>
          </w:tcPr>
          <w:p w:rsidR="00E728A2" w:rsidRDefault="000E2026">
            <w:pPr>
              <w:jc w:val="right"/>
            </w:pPr>
            <w:r>
              <w:rPr>
                <w:color w:val="000000"/>
                <w:sz w:val="24"/>
                <w:szCs w:val="24"/>
              </w:rPr>
              <w:t>133,507,155.60</w:t>
            </w:r>
          </w:p>
        </w:tc>
        <w:tc>
          <w:tcPr>
            <w:tcW w:w="1644" w:type="dxa"/>
            <w:vAlign w:val="center"/>
          </w:tcPr>
          <w:p w:rsidR="00E728A2" w:rsidRDefault="000E2026">
            <w:pPr>
              <w:jc w:val="right"/>
            </w:pPr>
            <w:r>
              <w:rPr>
                <w:color w:val="000000"/>
                <w:sz w:val="24"/>
                <w:szCs w:val="24"/>
              </w:rPr>
              <w:t>3.52</w:t>
            </w:r>
          </w:p>
        </w:tc>
      </w:tr>
      <w:tr w:rsidR="00E728A2">
        <w:trPr>
          <w:jc w:val="center"/>
        </w:trPr>
        <w:tc>
          <w:tcPr>
            <w:tcW w:w="855" w:type="dxa"/>
            <w:vAlign w:val="center"/>
          </w:tcPr>
          <w:p w:rsidR="00E728A2" w:rsidRDefault="000E2026">
            <w:pPr>
              <w:jc w:val="center"/>
            </w:pPr>
            <w:r>
              <w:rPr>
                <w:color w:val="000000"/>
                <w:sz w:val="24"/>
                <w:szCs w:val="24"/>
              </w:rPr>
              <w:t>7</w:t>
            </w:r>
          </w:p>
        </w:tc>
        <w:tc>
          <w:tcPr>
            <w:tcW w:w="1334" w:type="dxa"/>
            <w:vAlign w:val="center"/>
          </w:tcPr>
          <w:p w:rsidR="00E728A2" w:rsidRDefault="000E2026">
            <w:pPr>
              <w:jc w:val="center"/>
            </w:pPr>
            <w:r>
              <w:rPr>
                <w:color w:val="000000"/>
                <w:sz w:val="24"/>
                <w:szCs w:val="24"/>
              </w:rPr>
              <w:t>600050</w:t>
            </w:r>
          </w:p>
        </w:tc>
        <w:tc>
          <w:tcPr>
            <w:tcW w:w="1777" w:type="dxa"/>
            <w:vAlign w:val="center"/>
          </w:tcPr>
          <w:p w:rsidR="00E728A2" w:rsidRDefault="000E2026">
            <w:pPr>
              <w:jc w:val="center"/>
            </w:pPr>
            <w:r>
              <w:rPr>
                <w:color w:val="000000"/>
                <w:sz w:val="24"/>
                <w:szCs w:val="24"/>
              </w:rPr>
              <w:t>中国联通</w:t>
            </w:r>
          </w:p>
        </w:tc>
        <w:tc>
          <w:tcPr>
            <w:tcW w:w="1334" w:type="dxa"/>
            <w:vAlign w:val="center"/>
          </w:tcPr>
          <w:p w:rsidR="00E728A2" w:rsidRDefault="000E2026">
            <w:pPr>
              <w:jc w:val="right"/>
            </w:pPr>
            <w:r>
              <w:rPr>
                <w:color w:val="000000"/>
                <w:sz w:val="24"/>
                <w:szCs w:val="24"/>
              </w:rPr>
              <w:t>24,999,937</w:t>
            </w:r>
          </w:p>
        </w:tc>
        <w:tc>
          <w:tcPr>
            <w:tcW w:w="1924" w:type="dxa"/>
            <w:vAlign w:val="center"/>
          </w:tcPr>
          <w:p w:rsidR="00E728A2" w:rsidRDefault="000E2026">
            <w:pPr>
              <w:jc w:val="right"/>
            </w:pPr>
            <w:r>
              <w:rPr>
                <w:color w:val="000000"/>
                <w:sz w:val="24"/>
                <w:szCs w:val="24"/>
              </w:rPr>
              <w:t>123,749,688.15</w:t>
            </w:r>
          </w:p>
        </w:tc>
        <w:tc>
          <w:tcPr>
            <w:tcW w:w="1644" w:type="dxa"/>
            <w:vAlign w:val="center"/>
          </w:tcPr>
          <w:p w:rsidR="00E728A2" w:rsidRDefault="000E2026">
            <w:pPr>
              <w:jc w:val="right"/>
            </w:pPr>
            <w:r>
              <w:rPr>
                <w:color w:val="000000"/>
                <w:sz w:val="24"/>
                <w:szCs w:val="24"/>
              </w:rPr>
              <w:t>3.26</w:t>
            </w:r>
          </w:p>
        </w:tc>
      </w:tr>
      <w:tr w:rsidR="00E728A2">
        <w:trPr>
          <w:jc w:val="center"/>
        </w:trPr>
        <w:tc>
          <w:tcPr>
            <w:tcW w:w="855" w:type="dxa"/>
            <w:vAlign w:val="center"/>
          </w:tcPr>
          <w:p w:rsidR="00E728A2" w:rsidRDefault="000E2026">
            <w:pPr>
              <w:jc w:val="center"/>
            </w:pPr>
            <w:r>
              <w:rPr>
                <w:color w:val="000000"/>
                <w:sz w:val="24"/>
                <w:szCs w:val="24"/>
              </w:rPr>
              <w:t>8</w:t>
            </w:r>
          </w:p>
        </w:tc>
        <w:tc>
          <w:tcPr>
            <w:tcW w:w="1334" w:type="dxa"/>
            <w:vAlign w:val="center"/>
          </w:tcPr>
          <w:p w:rsidR="00E728A2" w:rsidRDefault="000E2026">
            <w:pPr>
              <w:jc w:val="center"/>
            </w:pPr>
            <w:r>
              <w:rPr>
                <w:color w:val="000000"/>
                <w:sz w:val="24"/>
                <w:szCs w:val="24"/>
              </w:rPr>
              <w:t>600763</w:t>
            </w:r>
          </w:p>
        </w:tc>
        <w:tc>
          <w:tcPr>
            <w:tcW w:w="1777" w:type="dxa"/>
            <w:vAlign w:val="center"/>
          </w:tcPr>
          <w:p w:rsidR="00E728A2" w:rsidRDefault="000E2026">
            <w:pPr>
              <w:jc w:val="center"/>
            </w:pPr>
            <w:r>
              <w:rPr>
                <w:color w:val="000000"/>
                <w:sz w:val="24"/>
                <w:szCs w:val="24"/>
              </w:rPr>
              <w:t>通策医疗</w:t>
            </w:r>
          </w:p>
        </w:tc>
        <w:tc>
          <w:tcPr>
            <w:tcW w:w="1334" w:type="dxa"/>
            <w:vAlign w:val="center"/>
          </w:tcPr>
          <w:p w:rsidR="00E728A2" w:rsidRDefault="000E2026">
            <w:pPr>
              <w:jc w:val="right"/>
            </w:pPr>
            <w:r>
              <w:rPr>
                <w:color w:val="000000"/>
                <w:sz w:val="24"/>
                <w:szCs w:val="24"/>
              </w:rPr>
              <w:t>2,386,300</w:t>
            </w:r>
          </w:p>
        </w:tc>
        <w:tc>
          <w:tcPr>
            <w:tcW w:w="1924" w:type="dxa"/>
            <w:vAlign w:val="center"/>
          </w:tcPr>
          <w:p w:rsidR="00E728A2" w:rsidRDefault="000E2026">
            <w:pPr>
              <w:jc w:val="right"/>
            </w:pPr>
            <w:r>
              <w:rPr>
                <w:color w:val="000000"/>
                <w:sz w:val="24"/>
                <w:szCs w:val="24"/>
              </w:rPr>
              <w:t>114,494,674.00</w:t>
            </w:r>
          </w:p>
        </w:tc>
        <w:tc>
          <w:tcPr>
            <w:tcW w:w="1644" w:type="dxa"/>
            <w:vAlign w:val="center"/>
          </w:tcPr>
          <w:p w:rsidR="00E728A2" w:rsidRDefault="000E2026">
            <w:pPr>
              <w:jc w:val="right"/>
            </w:pPr>
            <w:r>
              <w:rPr>
                <w:color w:val="000000"/>
                <w:sz w:val="24"/>
                <w:szCs w:val="24"/>
              </w:rPr>
              <w:t>3.02</w:t>
            </w:r>
          </w:p>
        </w:tc>
      </w:tr>
      <w:tr w:rsidR="00E728A2">
        <w:trPr>
          <w:jc w:val="center"/>
        </w:trPr>
        <w:tc>
          <w:tcPr>
            <w:tcW w:w="855" w:type="dxa"/>
            <w:vAlign w:val="center"/>
          </w:tcPr>
          <w:p w:rsidR="00E728A2" w:rsidRDefault="000E2026">
            <w:pPr>
              <w:jc w:val="center"/>
            </w:pPr>
            <w:r>
              <w:rPr>
                <w:color w:val="000000"/>
                <w:sz w:val="24"/>
                <w:szCs w:val="24"/>
              </w:rPr>
              <w:t>9</w:t>
            </w:r>
          </w:p>
        </w:tc>
        <w:tc>
          <w:tcPr>
            <w:tcW w:w="1334" w:type="dxa"/>
            <w:vAlign w:val="center"/>
          </w:tcPr>
          <w:p w:rsidR="00E728A2" w:rsidRDefault="000E2026">
            <w:pPr>
              <w:jc w:val="center"/>
            </w:pPr>
            <w:r>
              <w:rPr>
                <w:color w:val="000000"/>
                <w:sz w:val="24"/>
                <w:szCs w:val="24"/>
              </w:rPr>
              <w:t>002475</w:t>
            </w:r>
          </w:p>
        </w:tc>
        <w:tc>
          <w:tcPr>
            <w:tcW w:w="1777" w:type="dxa"/>
            <w:vAlign w:val="center"/>
          </w:tcPr>
          <w:p w:rsidR="00E728A2" w:rsidRDefault="000E2026">
            <w:pPr>
              <w:jc w:val="center"/>
            </w:pPr>
            <w:r>
              <w:rPr>
                <w:color w:val="000000"/>
                <w:sz w:val="24"/>
                <w:szCs w:val="24"/>
              </w:rPr>
              <w:t>立讯精密</w:t>
            </w:r>
          </w:p>
        </w:tc>
        <w:tc>
          <w:tcPr>
            <w:tcW w:w="1334" w:type="dxa"/>
            <w:vAlign w:val="center"/>
          </w:tcPr>
          <w:p w:rsidR="00E728A2" w:rsidRDefault="000E2026">
            <w:pPr>
              <w:jc w:val="right"/>
            </w:pPr>
            <w:r>
              <w:rPr>
                <w:color w:val="000000"/>
                <w:sz w:val="24"/>
                <w:szCs w:val="24"/>
              </w:rPr>
              <w:t>4,000,715</w:t>
            </w:r>
          </w:p>
        </w:tc>
        <w:tc>
          <w:tcPr>
            <w:tcW w:w="1924" w:type="dxa"/>
            <w:vAlign w:val="center"/>
          </w:tcPr>
          <w:p w:rsidR="00E728A2" w:rsidRDefault="000E2026">
            <w:pPr>
              <w:jc w:val="right"/>
            </w:pPr>
            <w:r>
              <w:rPr>
                <w:color w:val="000000"/>
                <w:sz w:val="24"/>
                <w:szCs w:val="24"/>
              </w:rPr>
              <w:t>110,739,791.20</w:t>
            </w:r>
          </w:p>
        </w:tc>
        <w:tc>
          <w:tcPr>
            <w:tcW w:w="1644" w:type="dxa"/>
            <w:vAlign w:val="center"/>
          </w:tcPr>
          <w:p w:rsidR="00E728A2" w:rsidRDefault="000E2026">
            <w:pPr>
              <w:jc w:val="right"/>
            </w:pPr>
            <w:r>
              <w:rPr>
                <w:color w:val="000000"/>
                <w:sz w:val="24"/>
                <w:szCs w:val="24"/>
              </w:rPr>
              <w:t>2.92</w:t>
            </w:r>
          </w:p>
        </w:tc>
      </w:tr>
      <w:tr w:rsidR="00E728A2">
        <w:trPr>
          <w:jc w:val="center"/>
        </w:trPr>
        <w:tc>
          <w:tcPr>
            <w:tcW w:w="855" w:type="dxa"/>
            <w:vAlign w:val="center"/>
          </w:tcPr>
          <w:p w:rsidR="00E728A2" w:rsidRDefault="000E2026">
            <w:pPr>
              <w:jc w:val="center"/>
            </w:pPr>
            <w:r>
              <w:rPr>
                <w:color w:val="000000"/>
                <w:sz w:val="24"/>
                <w:szCs w:val="24"/>
              </w:rPr>
              <w:t>10</w:t>
            </w:r>
          </w:p>
        </w:tc>
        <w:tc>
          <w:tcPr>
            <w:tcW w:w="1334" w:type="dxa"/>
            <w:vAlign w:val="center"/>
          </w:tcPr>
          <w:p w:rsidR="00E728A2" w:rsidRDefault="000E2026">
            <w:pPr>
              <w:jc w:val="center"/>
            </w:pPr>
            <w:r>
              <w:rPr>
                <w:color w:val="000000"/>
                <w:sz w:val="24"/>
                <w:szCs w:val="24"/>
              </w:rPr>
              <w:t>600016</w:t>
            </w:r>
          </w:p>
        </w:tc>
        <w:tc>
          <w:tcPr>
            <w:tcW w:w="1777" w:type="dxa"/>
            <w:vAlign w:val="center"/>
          </w:tcPr>
          <w:p w:rsidR="00E728A2" w:rsidRDefault="000E2026">
            <w:pPr>
              <w:jc w:val="center"/>
            </w:pPr>
            <w:r>
              <w:rPr>
                <w:color w:val="000000"/>
                <w:sz w:val="24"/>
                <w:szCs w:val="24"/>
              </w:rPr>
              <w:t>民生银行</w:t>
            </w:r>
          </w:p>
        </w:tc>
        <w:tc>
          <w:tcPr>
            <w:tcW w:w="1334" w:type="dxa"/>
            <w:vAlign w:val="center"/>
          </w:tcPr>
          <w:p w:rsidR="00E728A2" w:rsidRDefault="000E2026">
            <w:pPr>
              <w:jc w:val="right"/>
            </w:pPr>
            <w:r>
              <w:rPr>
                <w:color w:val="000000"/>
                <w:sz w:val="24"/>
                <w:szCs w:val="24"/>
              </w:rPr>
              <w:t>10,000,000</w:t>
            </w:r>
          </w:p>
        </w:tc>
        <w:tc>
          <w:tcPr>
            <w:tcW w:w="1924" w:type="dxa"/>
            <w:vAlign w:val="center"/>
          </w:tcPr>
          <w:p w:rsidR="00E728A2" w:rsidRDefault="000E2026">
            <w:pPr>
              <w:jc w:val="right"/>
            </w:pPr>
            <w:r>
              <w:rPr>
                <w:color w:val="000000"/>
                <w:sz w:val="24"/>
                <w:szCs w:val="24"/>
              </w:rPr>
              <w:t>108,800,000.00</w:t>
            </w:r>
          </w:p>
        </w:tc>
        <w:tc>
          <w:tcPr>
            <w:tcW w:w="1644" w:type="dxa"/>
            <w:vAlign w:val="center"/>
          </w:tcPr>
          <w:p w:rsidR="00E728A2" w:rsidRDefault="000E2026">
            <w:pPr>
              <w:jc w:val="right"/>
            </w:pPr>
            <w:r>
              <w:rPr>
                <w:color w:val="000000"/>
                <w:sz w:val="24"/>
                <w:szCs w:val="24"/>
              </w:rPr>
              <w:t>2.87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140,293,000.00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140,293,000.00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2,232,000.00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142,525,000.00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728A2">
        <w:trPr>
          <w:jc w:val="center"/>
        </w:trPr>
        <w:tc>
          <w:tcPr>
            <w:tcW w:w="850" w:type="dxa"/>
            <w:vAlign w:val="center"/>
          </w:tcPr>
          <w:p w:rsidR="00E728A2" w:rsidRDefault="000E2026">
            <w:pPr>
              <w:jc w:val="center"/>
            </w:pPr>
            <w:r>
              <w:rPr>
                <w:color w:val="000000"/>
                <w:sz w:val="24"/>
                <w:szCs w:val="24"/>
              </w:rPr>
              <w:t>1</w:t>
            </w:r>
          </w:p>
        </w:tc>
        <w:tc>
          <w:tcPr>
            <w:tcW w:w="1475" w:type="dxa"/>
            <w:vAlign w:val="center"/>
          </w:tcPr>
          <w:p w:rsidR="00E728A2" w:rsidRDefault="000E2026">
            <w:pPr>
              <w:jc w:val="center"/>
            </w:pPr>
            <w:r>
              <w:rPr>
                <w:color w:val="000000"/>
                <w:sz w:val="24"/>
                <w:szCs w:val="24"/>
              </w:rPr>
              <w:t>140212</w:t>
            </w:r>
          </w:p>
        </w:tc>
        <w:tc>
          <w:tcPr>
            <w:tcW w:w="1769" w:type="dxa"/>
            <w:vAlign w:val="center"/>
          </w:tcPr>
          <w:p w:rsidR="00E728A2" w:rsidRDefault="000E2026">
            <w:pPr>
              <w:jc w:val="center"/>
            </w:pPr>
            <w:r>
              <w:rPr>
                <w:color w:val="000000"/>
                <w:sz w:val="24"/>
                <w:szCs w:val="24"/>
              </w:rPr>
              <w:t>14</w:t>
            </w:r>
            <w:r>
              <w:rPr>
                <w:color w:val="000000"/>
                <w:sz w:val="24"/>
                <w:szCs w:val="24"/>
              </w:rPr>
              <w:t>国开</w:t>
            </w:r>
            <w:r>
              <w:rPr>
                <w:color w:val="000000"/>
                <w:sz w:val="24"/>
                <w:szCs w:val="24"/>
              </w:rPr>
              <w:t>12</w:t>
            </w:r>
          </w:p>
        </w:tc>
        <w:tc>
          <w:tcPr>
            <w:tcW w:w="1387" w:type="dxa"/>
            <w:vAlign w:val="center"/>
          </w:tcPr>
          <w:p w:rsidR="00E728A2" w:rsidRDefault="000E2026">
            <w:pPr>
              <w:jc w:val="right"/>
            </w:pPr>
            <w:r>
              <w:rPr>
                <w:color w:val="000000"/>
                <w:sz w:val="24"/>
                <w:szCs w:val="24"/>
              </w:rPr>
              <w:t>800,000</w:t>
            </w:r>
          </w:p>
        </w:tc>
        <w:tc>
          <w:tcPr>
            <w:tcW w:w="2150" w:type="dxa"/>
            <w:vAlign w:val="center"/>
          </w:tcPr>
          <w:p w:rsidR="00E728A2" w:rsidRDefault="000E2026">
            <w:pPr>
              <w:jc w:val="right"/>
            </w:pPr>
            <w:r>
              <w:rPr>
                <w:color w:val="000000"/>
                <w:sz w:val="24"/>
                <w:szCs w:val="24"/>
              </w:rPr>
              <w:t>80,104,000.00</w:t>
            </w:r>
          </w:p>
        </w:tc>
        <w:tc>
          <w:tcPr>
            <w:tcW w:w="1237" w:type="dxa"/>
            <w:vAlign w:val="center"/>
          </w:tcPr>
          <w:p w:rsidR="00E728A2" w:rsidRDefault="000E2026">
            <w:pPr>
              <w:jc w:val="right"/>
            </w:pPr>
            <w:r>
              <w:rPr>
                <w:color w:val="000000"/>
                <w:sz w:val="24"/>
                <w:szCs w:val="24"/>
              </w:rPr>
              <w:t>2.11</w:t>
            </w:r>
          </w:p>
        </w:tc>
      </w:tr>
      <w:tr w:rsidR="00E728A2">
        <w:trPr>
          <w:jc w:val="center"/>
        </w:trPr>
        <w:tc>
          <w:tcPr>
            <w:tcW w:w="850" w:type="dxa"/>
            <w:vAlign w:val="center"/>
          </w:tcPr>
          <w:p w:rsidR="00E728A2" w:rsidRDefault="000E2026">
            <w:pPr>
              <w:jc w:val="center"/>
            </w:pPr>
            <w:r>
              <w:rPr>
                <w:color w:val="000000"/>
                <w:sz w:val="24"/>
                <w:szCs w:val="24"/>
              </w:rPr>
              <w:t>2</w:t>
            </w:r>
          </w:p>
        </w:tc>
        <w:tc>
          <w:tcPr>
            <w:tcW w:w="1475" w:type="dxa"/>
            <w:vAlign w:val="center"/>
          </w:tcPr>
          <w:p w:rsidR="00E728A2" w:rsidRDefault="000E2026">
            <w:pPr>
              <w:jc w:val="center"/>
            </w:pPr>
            <w:r>
              <w:rPr>
                <w:color w:val="000000"/>
                <w:sz w:val="24"/>
                <w:szCs w:val="24"/>
              </w:rPr>
              <w:t>110412</w:t>
            </w:r>
          </w:p>
        </w:tc>
        <w:tc>
          <w:tcPr>
            <w:tcW w:w="1769" w:type="dxa"/>
            <w:vAlign w:val="center"/>
          </w:tcPr>
          <w:p w:rsidR="00E728A2" w:rsidRDefault="000E2026">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E728A2" w:rsidRDefault="000E2026">
            <w:pPr>
              <w:jc w:val="right"/>
            </w:pPr>
            <w:r>
              <w:rPr>
                <w:color w:val="000000"/>
                <w:sz w:val="24"/>
                <w:szCs w:val="24"/>
              </w:rPr>
              <w:t>300,000</w:t>
            </w:r>
          </w:p>
        </w:tc>
        <w:tc>
          <w:tcPr>
            <w:tcW w:w="2150" w:type="dxa"/>
            <w:vAlign w:val="center"/>
          </w:tcPr>
          <w:p w:rsidR="00E728A2" w:rsidRDefault="000E2026">
            <w:pPr>
              <w:jc w:val="right"/>
            </w:pPr>
            <w:r>
              <w:rPr>
                <w:color w:val="000000"/>
                <w:sz w:val="24"/>
                <w:szCs w:val="24"/>
              </w:rPr>
              <w:t>30,144,000.00</w:t>
            </w:r>
          </w:p>
        </w:tc>
        <w:tc>
          <w:tcPr>
            <w:tcW w:w="1237" w:type="dxa"/>
            <w:vAlign w:val="center"/>
          </w:tcPr>
          <w:p w:rsidR="00E728A2" w:rsidRDefault="000E2026">
            <w:pPr>
              <w:jc w:val="right"/>
            </w:pPr>
            <w:r>
              <w:rPr>
                <w:color w:val="000000"/>
                <w:sz w:val="24"/>
                <w:szCs w:val="24"/>
              </w:rPr>
              <w:t>0.80</w:t>
            </w:r>
          </w:p>
        </w:tc>
      </w:tr>
      <w:tr w:rsidR="00E728A2">
        <w:trPr>
          <w:jc w:val="center"/>
        </w:trPr>
        <w:tc>
          <w:tcPr>
            <w:tcW w:w="850" w:type="dxa"/>
            <w:vAlign w:val="center"/>
          </w:tcPr>
          <w:p w:rsidR="00E728A2" w:rsidRDefault="000E2026">
            <w:pPr>
              <w:jc w:val="center"/>
            </w:pPr>
            <w:r>
              <w:rPr>
                <w:color w:val="000000"/>
                <w:sz w:val="24"/>
                <w:szCs w:val="24"/>
              </w:rPr>
              <w:t>3</w:t>
            </w:r>
          </w:p>
        </w:tc>
        <w:tc>
          <w:tcPr>
            <w:tcW w:w="1475" w:type="dxa"/>
            <w:vAlign w:val="center"/>
          </w:tcPr>
          <w:p w:rsidR="00E728A2" w:rsidRDefault="000E2026">
            <w:pPr>
              <w:jc w:val="center"/>
            </w:pPr>
            <w:r>
              <w:rPr>
                <w:color w:val="000000"/>
                <w:sz w:val="24"/>
                <w:szCs w:val="24"/>
              </w:rPr>
              <w:t>140207</w:t>
            </w:r>
          </w:p>
        </w:tc>
        <w:tc>
          <w:tcPr>
            <w:tcW w:w="1769" w:type="dxa"/>
            <w:vAlign w:val="center"/>
          </w:tcPr>
          <w:p w:rsidR="00E728A2" w:rsidRDefault="000E2026">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E728A2" w:rsidRDefault="000E2026">
            <w:pPr>
              <w:jc w:val="right"/>
            </w:pPr>
            <w:r>
              <w:rPr>
                <w:color w:val="000000"/>
                <w:sz w:val="24"/>
                <w:szCs w:val="24"/>
              </w:rPr>
              <w:t>300,000</w:t>
            </w:r>
          </w:p>
        </w:tc>
        <w:tc>
          <w:tcPr>
            <w:tcW w:w="2150" w:type="dxa"/>
            <w:vAlign w:val="center"/>
          </w:tcPr>
          <w:p w:rsidR="00E728A2" w:rsidRDefault="000E2026">
            <w:pPr>
              <w:jc w:val="right"/>
            </w:pPr>
            <w:r>
              <w:rPr>
                <w:color w:val="000000"/>
                <w:sz w:val="24"/>
                <w:szCs w:val="24"/>
              </w:rPr>
              <w:t>30,045,000.00</w:t>
            </w:r>
          </w:p>
        </w:tc>
        <w:tc>
          <w:tcPr>
            <w:tcW w:w="1237" w:type="dxa"/>
            <w:vAlign w:val="center"/>
          </w:tcPr>
          <w:p w:rsidR="00E728A2" w:rsidRDefault="000E2026">
            <w:pPr>
              <w:jc w:val="right"/>
            </w:pPr>
            <w:r>
              <w:rPr>
                <w:color w:val="000000"/>
                <w:sz w:val="24"/>
                <w:szCs w:val="24"/>
              </w:rPr>
              <w:t>0.79</w:t>
            </w:r>
          </w:p>
        </w:tc>
      </w:tr>
      <w:tr w:rsidR="00E728A2">
        <w:trPr>
          <w:jc w:val="center"/>
        </w:trPr>
        <w:tc>
          <w:tcPr>
            <w:tcW w:w="850" w:type="dxa"/>
            <w:vAlign w:val="center"/>
          </w:tcPr>
          <w:p w:rsidR="00E728A2" w:rsidRDefault="000E2026">
            <w:pPr>
              <w:jc w:val="center"/>
            </w:pPr>
            <w:r>
              <w:rPr>
                <w:color w:val="000000"/>
                <w:sz w:val="24"/>
                <w:szCs w:val="24"/>
              </w:rPr>
              <w:t>4</w:t>
            </w:r>
          </w:p>
        </w:tc>
        <w:tc>
          <w:tcPr>
            <w:tcW w:w="1475" w:type="dxa"/>
            <w:vAlign w:val="center"/>
          </w:tcPr>
          <w:p w:rsidR="00E728A2" w:rsidRDefault="000E2026">
            <w:pPr>
              <w:jc w:val="center"/>
            </w:pPr>
            <w:r>
              <w:rPr>
                <w:color w:val="000000"/>
                <w:sz w:val="24"/>
                <w:szCs w:val="24"/>
              </w:rPr>
              <w:t>110030</w:t>
            </w:r>
          </w:p>
        </w:tc>
        <w:tc>
          <w:tcPr>
            <w:tcW w:w="1769" w:type="dxa"/>
            <w:vAlign w:val="center"/>
          </w:tcPr>
          <w:p w:rsidR="00E728A2" w:rsidRDefault="000E2026">
            <w:pPr>
              <w:jc w:val="center"/>
            </w:pPr>
            <w:r>
              <w:rPr>
                <w:color w:val="000000"/>
                <w:sz w:val="24"/>
                <w:szCs w:val="24"/>
              </w:rPr>
              <w:t>格力转债</w:t>
            </w:r>
          </w:p>
        </w:tc>
        <w:tc>
          <w:tcPr>
            <w:tcW w:w="1387" w:type="dxa"/>
            <w:vAlign w:val="center"/>
          </w:tcPr>
          <w:p w:rsidR="00E728A2" w:rsidRDefault="000E2026">
            <w:pPr>
              <w:jc w:val="right"/>
            </w:pPr>
            <w:r>
              <w:rPr>
                <w:color w:val="000000"/>
                <w:sz w:val="24"/>
                <w:szCs w:val="24"/>
              </w:rPr>
              <w:t>22,320</w:t>
            </w:r>
          </w:p>
        </w:tc>
        <w:tc>
          <w:tcPr>
            <w:tcW w:w="2150" w:type="dxa"/>
            <w:vAlign w:val="center"/>
          </w:tcPr>
          <w:p w:rsidR="00E728A2" w:rsidRDefault="000E2026">
            <w:pPr>
              <w:jc w:val="right"/>
            </w:pPr>
            <w:r>
              <w:rPr>
                <w:color w:val="000000"/>
                <w:sz w:val="24"/>
                <w:szCs w:val="24"/>
              </w:rPr>
              <w:t>2,232,000.00</w:t>
            </w:r>
          </w:p>
        </w:tc>
        <w:tc>
          <w:tcPr>
            <w:tcW w:w="1237" w:type="dxa"/>
            <w:vAlign w:val="center"/>
          </w:tcPr>
          <w:p w:rsidR="00E728A2" w:rsidRDefault="000E2026">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1,907,750.13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3,981,208.73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4,196,116.96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142,497.75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10,227,573.57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728A2">
        <w:trPr>
          <w:jc w:val="center"/>
        </w:trPr>
        <w:tc>
          <w:tcPr>
            <w:tcW w:w="1129" w:type="dxa"/>
            <w:vAlign w:val="center"/>
          </w:tcPr>
          <w:p w:rsidR="00E728A2" w:rsidRDefault="000E2026">
            <w:pPr>
              <w:jc w:val="center"/>
            </w:pPr>
            <w:r>
              <w:rPr>
                <w:color w:val="000000"/>
                <w:sz w:val="24"/>
                <w:szCs w:val="24"/>
              </w:rPr>
              <w:t>1</w:t>
            </w:r>
          </w:p>
        </w:tc>
        <w:tc>
          <w:tcPr>
            <w:tcW w:w="1356" w:type="dxa"/>
            <w:vAlign w:val="center"/>
          </w:tcPr>
          <w:p w:rsidR="00E728A2" w:rsidRDefault="000E2026">
            <w:pPr>
              <w:jc w:val="center"/>
            </w:pPr>
            <w:r>
              <w:rPr>
                <w:color w:val="000000"/>
                <w:sz w:val="24"/>
                <w:szCs w:val="24"/>
              </w:rPr>
              <w:t>300347</w:t>
            </w:r>
          </w:p>
        </w:tc>
        <w:tc>
          <w:tcPr>
            <w:tcW w:w="1355" w:type="dxa"/>
            <w:vAlign w:val="center"/>
          </w:tcPr>
          <w:p w:rsidR="00E728A2" w:rsidRDefault="000E2026">
            <w:pPr>
              <w:jc w:val="center"/>
            </w:pPr>
            <w:r>
              <w:rPr>
                <w:color w:val="000000"/>
                <w:sz w:val="24"/>
                <w:szCs w:val="24"/>
              </w:rPr>
              <w:t>泰格医药</w:t>
            </w:r>
          </w:p>
        </w:tc>
        <w:tc>
          <w:tcPr>
            <w:tcW w:w="1880" w:type="dxa"/>
            <w:vAlign w:val="center"/>
          </w:tcPr>
          <w:p w:rsidR="00E728A2" w:rsidRDefault="000E2026">
            <w:pPr>
              <w:jc w:val="right"/>
            </w:pPr>
            <w:r>
              <w:rPr>
                <w:color w:val="000000"/>
                <w:sz w:val="24"/>
                <w:szCs w:val="24"/>
              </w:rPr>
              <w:t>176,247,619.80</w:t>
            </w:r>
          </w:p>
        </w:tc>
        <w:tc>
          <w:tcPr>
            <w:tcW w:w="1724" w:type="dxa"/>
            <w:vAlign w:val="center"/>
          </w:tcPr>
          <w:p w:rsidR="00E728A2" w:rsidRDefault="000E2026">
            <w:pPr>
              <w:jc w:val="right"/>
            </w:pPr>
            <w:r>
              <w:rPr>
                <w:color w:val="000000"/>
                <w:sz w:val="24"/>
                <w:szCs w:val="24"/>
              </w:rPr>
              <w:t>4.65</w:t>
            </w:r>
          </w:p>
        </w:tc>
        <w:tc>
          <w:tcPr>
            <w:tcW w:w="1424" w:type="dxa"/>
            <w:vAlign w:val="center"/>
          </w:tcPr>
          <w:p w:rsidR="00E728A2" w:rsidRDefault="000E2026">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5,732,229,372.56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37,014,345.76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722,191,115.79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5,047,052,602.53</w:t>
            </w:r>
          </w:p>
        </w:tc>
      </w:tr>
    </w:tbl>
    <w:p w:rsidR="00E728A2" w:rsidRDefault="000E202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E20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1.82</w:t>
            </w:r>
          </w:p>
        </w:tc>
      </w:tr>
    </w:tbl>
    <w:p w:rsidR="00E728A2" w:rsidRDefault="000E20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日起恢复按市价价格进行估值；本基金对其所持有的泰格医药（证券代码：</w:t>
      </w:r>
      <w:r w:rsidRPr="00414345">
        <w:rPr>
          <w:color w:val="000000"/>
          <w:sz w:val="24"/>
          <w:szCs w:val="24"/>
        </w:rPr>
        <w:t>300347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15</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0E20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728A2" w:rsidRDefault="000E202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、《交银施罗德精选股票证券投资基金招募说明书》；</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728A2" w:rsidRDefault="000E202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728A2" w:rsidRDefault="000E202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14" w:rsidRDefault="00102414" w:rsidP="00876D65">
      <w:r>
        <w:separator/>
      </w:r>
    </w:p>
  </w:endnote>
  <w:endnote w:type="continuationSeparator" w:id="0">
    <w:p w:rsidR="00102414" w:rsidRDefault="0010241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E728A2">
      <w:rPr>
        <w:kern w:val="0"/>
        <w:szCs w:val="21"/>
      </w:rPr>
      <w:fldChar w:fldCharType="begin"/>
    </w:r>
    <w:r>
      <w:rPr>
        <w:kern w:val="0"/>
        <w:szCs w:val="21"/>
      </w:rPr>
      <w:instrText xml:space="preserve"> PAGE </w:instrText>
    </w:r>
    <w:r w:rsidR="00E728A2">
      <w:rPr>
        <w:kern w:val="0"/>
        <w:szCs w:val="21"/>
      </w:rPr>
      <w:fldChar w:fldCharType="separate"/>
    </w:r>
    <w:r w:rsidR="00C711AA">
      <w:rPr>
        <w:noProof/>
        <w:kern w:val="0"/>
        <w:szCs w:val="21"/>
      </w:rPr>
      <w:t>1</w:t>
    </w:r>
    <w:r w:rsidR="00E728A2">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E728A2">
      <w:rPr>
        <w:kern w:val="0"/>
        <w:szCs w:val="21"/>
      </w:rPr>
      <w:fldChar w:fldCharType="begin"/>
    </w:r>
    <w:r>
      <w:rPr>
        <w:kern w:val="0"/>
        <w:szCs w:val="21"/>
      </w:rPr>
      <w:instrText xml:space="preserve"> NUMPAGES </w:instrText>
    </w:r>
    <w:r w:rsidR="00E728A2">
      <w:rPr>
        <w:kern w:val="0"/>
        <w:szCs w:val="21"/>
      </w:rPr>
      <w:fldChar w:fldCharType="separate"/>
    </w:r>
    <w:r w:rsidR="00C711AA">
      <w:rPr>
        <w:noProof/>
        <w:kern w:val="0"/>
        <w:szCs w:val="21"/>
      </w:rPr>
      <w:t>12</w:t>
    </w:r>
    <w:r w:rsidR="00E728A2">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14" w:rsidRDefault="00102414" w:rsidP="00876D65">
      <w:r>
        <w:separator/>
      </w:r>
    </w:p>
  </w:footnote>
  <w:footnote w:type="continuationSeparator" w:id="0">
    <w:p w:rsidR="00102414" w:rsidRDefault="0010241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2026"/>
    <w:rsid w:val="000E7E5E"/>
    <w:rsid w:val="000F6CC8"/>
    <w:rsid w:val="00102414"/>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1AA"/>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6468"/>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728A2"/>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E637657-B322-464B-842D-97B08CF8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0501-1406-4251-83D6-1A0D750B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12</Pages>
  <Words>1088</Words>
  <Characters>6203</Characters>
  <Application>Microsoft Office Word</Application>
  <DocSecurity>0</DocSecurity>
  <Lines>51</Lines>
  <Paragraphs>14</Paragraphs>
  <ScaleCrop>false</ScaleCrop>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560</cp:revision>
  <dcterms:created xsi:type="dcterms:W3CDTF">2012-10-16T06:07:00Z</dcterms:created>
  <dcterms:modified xsi:type="dcterms:W3CDTF">2015-01-20T03:59:00Z</dcterms:modified>
</cp:coreProperties>
</file>