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bookmarkStart w:id="0" w:name="_GoBack"/>
      <w:bookmarkEnd w:id="0"/>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二〇一四年十月二十四日</w:t>
      </w:r>
    </w:p>
    <w:p w:rsidR="004061AC" w:rsidRPr="00414345" w:rsidRDefault="004061AC" w:rsidP="007E15FF">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4468A" w:rsidRDefault="007E15F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4468A" w:rsidRDefault="007E15FF">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4468A" w:rsidRDefault="007E15F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4468A" w:rsidRDefault="007E15F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4468A" w:rsidRDefault="007E15FF">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E15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2,549,765,883.50</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中信标普全债指数</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E15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E15FF" w:rsidRPr="00414345" w:rsidTr="007E15F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7E15FF" w:rsidRPr="00414345" w:rsidTr="007E15F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66,422,114.04</w:t>
            </w:r>
          </w:p>
        </w:tc>
      </w:tr>
      <w:tr w:rsidR="007E15FF" w:rsidRPr="00414345" w:rsidTr="007E15F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340,346,894.31</w:t>
            </w:r>
          </w:p>
        </w:tc>
      </w:tr>
      <w:tr w:rsidR="007E15FF" w:rsidRPr="00414345" w:rsidTr="007E15F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0.1280</w:t>
            </w:r>
          </w:p>
        </w:tc>
      </w:tr>
      <w:tr w:rsidR="007E15FF" w:rsidRPr="00414345" w:rsidTr="007E15F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2,971,949,901.03</w:t>
            </w:r>
          </w:p>
        </w:tc>
      </w:tr>
      <w:tr w:rsidR="007E15FF" w:rsidRPr="00414345" w:rsidTr="007E15F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1.1656</w:t>
            </w:r>
          </w:p>
        </w:tc>
      </w:tr>
    </w:tbl>
    <w:p w:rsidR="0024468A" w:rsidRDefault="007E15F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4468A">
        <w:trPr>
          <w:jc w:val="center"/>
        </w:trPr>
        <w:tc>
          <w:tcPr>
            <w:tcW w:w="1701" w:type="dxa"/>
            <w:vAlign w:val="center"/>
          </w:tcPr>
          <w:p w:rsidR="0024468A" w:rsidRDefault="007E15FF">
            <w:pPr>
              <w:jc w:val="left"/>
            </w:pPr>
            <w:r>
              <w:rPr>
                <w:color w:val="000000"/>
                <w:sz w:val="24"/>
                <w:szCs w:val="24"/>
              </w:rPr>
              <w:t>过去三个月</w:t>
            </w:r>
          </w:p>
        </w:tc>
        <w:tc>
          <w:tcPr>
            <w:tcW w:w="1045" w:type="dxa"/>
            <w:vAlign w:val="center"/>
          </w:tcPr>
          <w:p w:rsidR="0024468A" w:rsidRDefault="007E15FF">
            <w:pPr>
              <w:jc w:val="center"/>
            </w:pPr>
            <w:r>
              <w:rPr>
                <w:color w:val="000000"/>
                <w:sz w:val="24"/>
                <w:szCs w:val="24"/>
              </w:rPr>
              <w:t>12.44%</w:t>
            </w:r>
          </w:p>
        </w:tc>
        <w:tc>
          <w:tcPr>
            <w:tcW w:w="1344" w:type="dxa"/>
            <w:vAlign w:val="center"/>
          </w:tcPr>
          <w:p w:rsidR="0024468A" w:rsidRDefault="007E15FF">
            <w:pPr>
              <w:jc w:val="center"/>
            </w:pPr>
            <w:r>
              <w:rPr>
                <w:color w:val="000000"/>
                <w:sz w:val="24"/>
                <w:szCs w:val="24"/>
              </w:rPr>
              <w:t>0.90%</w:t>
            </w:r>
          </w:p>
        </w:tc>
        <w:tc>
          <w:tcPr>
            <w:tcW w:w="1194" w:type="dxa"/>
            <w:vAlign w:val="center"/>
          </w:tcPr>
          <w:p w:rsidR="0024468A" w:rsidRDefault="007E15FF">
            <w:pPr>
              <w:jc w:val="center"/>
            </w:pPr>
            <w:r>
              <w:rPr>
                <w:color w:val="000000"/>
                <w:sz w:val="24"/>
                <w:szCs w:val="24"/>
              </w:rPr>
              <w:t>9.93%</w:t>
            </w:r>
          </w:p>
        </w:tc>
        <w:tc>
          <w:tcPr>
            <w:tcW w:w="1492" w:type="dxa"/>
            <w:vAlign w:val="center"/>
          </w:tcPr>
          <w:p w:rsidR="0024468A" w:rsidRDefault="007E15FF">
            <w:pPr>
              <w:jc w:val="center"/>
            </w:pPr>
            <w:r>
              <w:rPr>
                <w:color w:val="000000"/>
                <w:sz w:val="24"/>
                <w:szCs w:val="24"/>
              </w:rPr>
              <w:t>0.58%</w:t>
            </w:r>
          </w:p>
        </w:tc>
        <w:tc>
          <w:tcPr>
            <w:tcW w:w="1194" w:type="dxa"/>
            <w:vAlign w:val="center"/>
          </w:tcPr>
          <w:p w:rsidR="0024468A" w:rsidRDefault="007E15FF">
            <w:pPr>
              <w:jc w:val="center"/>
            </w:pPr>
            <w:r>
              <w:rPr>
                <w:color w:val="000000"/>
                <w:sz w:val="24"/>
                <w:szCs w:val="24"/>
              </w:rPr>
              <w:t>2.51%</w:t>
            </w:r>
          </w:p>
        </w:tc>
        <w:tc>
          <w:tcPr>
            <w:tcW w:w="898" w:type="dxa"/>
            <w:vAlign w:val="center"/>
          </w:tcPr>
          <w:p w:rsidR="0024468A" w:rsidRDefault="007E15FF">
            <w:pPr>
              <w:jc w:val="center"/>
            </w:pPr>
            <w:r>
              <w:rPr>
                <w:color w:val="000000"/>
                <w:sz w:val="24"/>
                <w:szCs w:val="24"/>
              </w:rPr>
              <w:t>0.32%</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2013</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新华巴克莱资本中国全债指数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2013</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26</w:t>
      </w:r>
      <w:r w:rsidRPr="00414345">
        <w:rPr>
          <w:color w:val="000000"/>
          <w:sz w:val="24"/>
          <w:szCs w:val="24"/>
        </w:rPr>
        <w:t>日发布的《交银施罗德基金管理有限公司关于变更交银施罗德稳健配置混合型证券投资基金业绩比较基准并修改基金合同相关内容的公告》。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交银施罗德稳健配置混合型证券投资基金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E15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4468A">
        <w:trPr>
          <w:jc w:val="center"/>
        </w:trPr>
        <w:tc>
          <w:tcPr>
            <w:tcW w:w="846" w:type="dxa"/>
            <w:vAlign w:val="center"/>
          </w:tcPr>
          <w:p w:rsidR="0024468A" w:rsidRDefault="007E15FF">
            <w:pPr>
              <w:jc w:val="center"/>
            </w:pPr>
            <w:r>
              <w:rPr>
                <w:color w:val="000000"/>
                <w:sz w:val="24"/>
                <w:szCs w:val="24"/>
              </w:rPr>
              <w:t>唐倩</w:t>
            </w:r>
          </w:p>
        </w:tc>
        <w:tc>
          <w:tcPr>
            <w:tcW w:w="845" w:type="dxa"/>
            <w:vAlign w:val="center"/>
          </w:tcPr>
          <w:p w:rsidR="0024468A" w:rsidRDefault="007E15FF">
            <w:pPr>
              <w:jc w:val="center"/>
            </w:pPr>
            <w:r>
              <w:rPr>
                <w:color w:val="000000"/>
                <w:sz w:val="24"/>
                <w:szCs w:val="24"/>
              </w:rPr>
              <w:t>本基金的基金经理，公司权益部副总经理</w:t>
            </w:r>
          </w:p>
        </w:tc>
        <w:tc>
          <w:tcPr>
            <w:tcW w:w="1549" w:type="dxa"/>
            <w:vAlign w:val="center"/>
          </w:tcPr>
          <w:p w:rsidR="0024468A" w:rsidRDefault="007E15FF">
            <w:pPr>
              <w:jc w:val="center"/>
            </w:pPr>
            <w:r>
              <w:rPr>
                <w:color w:val="000000"/>
                <w:sz w:val="24"/>
                <w:szCs w:val="24"/>
              </w:rPr>
              <w:t>2013-12-12</w:t>
            </w:r>
          </w:p>
        </w:tc>
        <w:tc>
          <w:tcPr>
            <w:tcW w:w="1548" w:type="dxa"/>
            <w:vAlign w:val="center"/>
          </w:tcPr>
          <w:p w:rsidR="0024468A" w:rsidRDefault="007E15FF">
            <w:pPr>
              <w:jc w:val="center"/>
            </w:pPr>
            <w:r>
              <w:rPr>
                <w:color w:val="000000"/>
                <w:sz w:val="24"/>
                <w:szCs w:val="24"/>
              </w:rPr>
              <w:t>-</w:t>
            </w:r>
          </w:p>
        </w:tc>
        <w:tc>
          <w:tcPr>
            <w:tcW w:w="1407" w:type="dxa"/>
            <w:vAlign w:val="center"/>
          </w:tcPr>
          <w:p w:rsidR="0024468A" w:rsidRDefault="007E15FF">
            <w:pPr>
              <w:jc w:val="center"/>
            </w:pPr>
            <w:r>
              <w:rPr>
                <w:color w:val="000000"/>
                <w:sz w:val="24"/>
                <w:szCs w:val="24"/>
              </w:rPr>
              <w:t>14</w:t>
            </w:r>
            <w:r>
              <w:rPr>
                <w:color w:val="000000"/>
                <w:sz w:val="24"/>
                <w:szCs w:val="24"/>
              </w:rPr>
              <w:t>年</w:t>
            </w:r>
          </w:p>
        </w:tc>
        <w:tc>
          <w:tcPr>
            <w:tcW w:w="2673" w:type="dxa"/>
            <w:vAlign w:val="center"/>
          </w:tcPr>
          <w:p w:rsidR="0024468A" w:rsidRDefault="007E15FF">
            <w:r>
              <w:rPr>
                <w:color w:val="000000"/>
                <w:sz w:val="24"/>
                <w:szCs w:val="24"/>
              </w:rPr>
              <w:t>唐倩女士，</w:t>
            </w:r>
            <w:r>
              <w:rPr>
                <w:color w:val="000000"/>
                <w:sz w:val="24"/>
                <w:szCs w:val="24"/>
              </w:rPr>
              <w:t>CPA</w:t>
            </w:r>
            <w:r>
              <w:rPr>
                <w:color w:val="000000"/>
                <w:sz w:val="24"/>
                <w:szCs w:val="24"/>
              </w:rPr>
              <w:t>，华东师范大学金融学硕士。历任申银万国证券研究所分析师，中银国际有限公司分析师，香港雷曼兄弟证券公司研究员，上投摩根基金管理有限公司研究部总监、基金经理。其中</w:t>
            </w:r>
            <w:r>
              <w:rPr>
                <w:color w:val="000000"/>
                <w:sz w:val="24"/>
                <w:szCs w:val="24"/>
              </w:rPr>
              <w:t>2011</w:t>
            </w:r>
            <w:r>
              <w:rPr>
                <w:color w:val="000000"/>
                <w:sz w:val="24"/>
                <w:szCs w:val="24"/>
              </w:rPr>
              <w:t>年</w:t>
            </w:r>
            <w:r>
              <w:rPr>
                <w:color w:val="000000"/>
                <w:sz w:val="24"/>
                <w:szCs w:val="24"/>
              </w:rPr>
              <w:t>4</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8</w:t>
            </w:r>
            <w:r>
              <w:rPr>
                <w:color w:val="000000"/>
                <w:sz w:val="24"/>
                <w:szCs w:val="24"/>
              </w:rPr>
              <w:t>日担任上投摩根成长先锋基金经理。</w:t>
            </w:r>
            <w:r>
              <w:rPr>
                <w:color w:val="000000"/>
                <w:sz w:val="24"/>
                <w:szCs w:val="24"/>
              </w:rPr>
              <w:t>2013</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4468A" w:rsidRDefault="007E15F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4468A" w:rsidRDefault="007E15F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4468A" w:rsidRDefault="007E15F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4468A" w:rsidRDefault="007E15FF">
      <w:pPr>
        <w:spacing w:before="29" w:line="288" w:lineRule="auto"/>
        <w:ind w:firstLineChars="200" w:firstLine="480"/>
        <w:rPr>
          <w:color w:val="000000"/>
          <w:sz w:val="24"/>
          <w:szCs w:val="24"/>
        </w:rPr>
      </w:pPr>
      <w:r>
        <w:rPr>
          <w:color w:val="000000"/>
          <w:sz w:val="24"/>
          <w:szCs w:val="24"/>
        </w:rPr>
        <w:t>三季度以来，市场走出了近年以来较为少见的持续上扬，特别是大小市值的股票普遍上涨。推动市场强势的主要原因主要是无风险收益率的下行。随着类债券的非标产品势头减缓，在前期良好的</w:t>
      </w:r>
      <w:r>
        <w:rPr>
          <w:color w:val="000000"/>
          <w:sz w:val="24"/>
          <w:szCs w:val="24"/>
        </w:rPr>
        <w:t>A</w:t>
      </w:r>
      <w:r>
        <w:rPr>
          <w:color w:val="000000"/>
          <w:sz w:val="24"/>
          <w:szCs w:val="24"/>
        </w:rPr>
        <w:t>股走势带动下，以及后续改革红利、沪港通的预期，货币政策的实质性放松，</w:t>
      </w:r>
      <w:r>
        <w:rPr>
          <w:color w:val="000000"/>
          <w:sz w:val="24"/>
          <w:szCs w:val="24"/>
        </w:rPr>
        <w:t>A</w:t>
      </w:r>
      <w:r>
        <w:rPr>
          <w:color w:val="000000"/>
          <w:sz w:val="24"/>
          <w:szCs w:val="24"/>
        </w:rPr>
        <w:t>股后续得到持续的可能性较大。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本基金组合的配置相对比较均衡，蓝筹和成长性的个股均有一定配置，仓位也比较高。短期来看，后续市场表现会比较分散，各种主题、概念和板块出现轮动的可能性较大。因此，均衡配置可能是比较好的对策。</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1.1656</w:t>
      </w:r>
      <w:r w:rsidRPr="00414345">
        <w:rPr>
          <w:color w:val="000000"/>
          <w:sz w:val="24"/>
          <w:szCs w:val="24"/>
        </w:rPr>
        <w:t>元，本报告期份额净值增长率为</w:t>
      </w:r>
      <w:r w:rsidRPr="00414345">
        <w:rPr>
          <w:color w:val="000000"/>
          <w:sz w:val="24"/>
          <w:szCs w:val="24"/>
        </w:rPr>
        <w:t>12.44%</w:t>
      </w:r>
      <w:r w:rsidRPr="00414345">
        <w:rPr>
          <w:color w:val="000000"/>
          <w:sz w:val="24"/>
          <w:szCs w:val="24"/>
        </w:rPr>
        <w:t>，同期业绩比较基准增长率为</w:t>
      </w:r>
      <w:r w:rsidRPr="00414345">
        <w:rPr>
          <w:color w:val="000000"/>
          <w:sz w:val="24"/>
          <w:szCs w:val="24"/>
        </w:rPr>
        <w:t>9.93%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7E15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2,754,164,833.86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92.12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2,754,164,833.86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92.12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82,945,874.00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2.77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82,945,874.00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2.77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10,000,135.00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0.33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139,803,934.13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4.68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2,728,631.90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2,989,643,408.89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786,894.28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7E15FF">
            <w:pPr>
              <w:spacing w:before="29" w:line="288" w:lineRule="auto"/>
              <w:jc w:val="right"/>
              <w:rPr>
                <w:sz w:val="24"/>
                <w:szCs w:val="24"/>
              </w:rPr>
            </w:pPr>
            <w:r w:rsidRPr="00414345">
              <w:rPr>
                <w:sz w:val="24"/>
                <w:szCs w:val="24"/>
              </w:rPr>
              <w:t>56,794.11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7E15FF">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1,280,788,843.49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330,118.89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8,956,983.00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21,355,993.99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6,180,000.00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7E15FF">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575,181,465.58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167,520,462.08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307,317,519.69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95,993,977.92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31,434,059.25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132,468,107.25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125,793,614.33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2,754,164,833.86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92.67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4468A">
        <w:trPr>
          <w:jc w:val="center"/>
        </w:trPr>
        <w:tc>
          <w:tcPr>
            <w:tcW w:w="855" w:type="dxa"/>
            <w:vAlign w:val="center"/>
          </w:tcPr>
          <w:p w:rsidR="0024468A" w:rsidRDefault="007E15FF">
            <w:pPr>
              <w:jc w:val="center"/>
            </w:pPr>
            <w:r>
              <w:rPr>
                <w:color w:val="000000"/>
                <w:sz w:val="24"/>
                <w:szCs w:val="24"/>
              </w:rPr>
              <w:t>1</w:t>
            </w:r>
          </w:p>
        </w:tc>
        <w:tc>
          <w:tcPr>
            <w:tcW w:w="1334" w:type="dxa"/>
            <w:vAlign w:val="center"/>
          </w:tcPr>
          <w:p w:rsidR="0024468A" w:rsidRDefault="007E15FF">
            <w:pPr>
              <w:jc w:val="center"/>
            </w:pPr>
            <w:r>
              <w:rPr>
                <w:color w:val="000000"/>
                <w:sz w:val="24"/>
                <w:szCs w:val="24"/>
              </w:rPr>
              <w:t>600690</w:t>
            </w:r>
          </w:p>
        </w:tc>
        <w:tc>
          <w:tcPr>
            <w:tcW w:w="1777" w:type="dxa"/>
            <w:vAlign w:val="center"/>
          </w:tcPr>
          <w:p w:rsidR="0024468A" w:rsidRDefault="007E15FF">
            <w:pPr>
              <w:jc w:val="center"/>
            </w:pPr>
            <w:r>
              <w:rPr>
                <w:color w:val="000000"/>
                <w:sz w:val="24"/>
                <w:szCs w:val="24"/>
              </w:rPr>
              <w:t>青岛海尔</w:t>
            </w:r>
          </w:p>
        </w:tc>
        <w:tc>
          <w:tcPr>
            <w:tcW w:w="1334" w:type="dxa"/>
            <w:vAlign w:val="center"/>
          </w:tcPr>
          <w:p w:rsidR="0024468A" w:rsidRDefault="007E15FF">
            <w:pPr>
              <w:jc w:val="right"/>
            </w:pPr>
            <w:r>
              <w:rPr>
                <w:color w:val="000000"/>
                <w:sz w:val="24"/>
                <w:szCs w:val="24"/>
              </w:rPr>
              <w:t>11,248,540</w:t>
            </w:r>
          </w:p>
        </w:tc>
        <w:tc>
          <w:tcPr>
            <w:tcW w:w="1924" w:type="dxa"/>
            <w:vAlign w:val="center"/>
          </w:tcPr>
          <w:p w:rsidR="0024468A" w:rsidRDefault="007E15FF">
            <w:pPr>
              <w:jc w:val="right"/>
            </w:pPr>
            <w:r>
              <w:rPr>
                <w:color w:val="000000"/>
                <w:sz w:val="24"/>
                <w:szCs w:val="24"/>
              </w:rPr>
              <w:t>177,726,932.00</w:t>
            </w:r>
          </w:p>
        </w:tc>
        <w:tc>
          <w:tcPr>
            <w:tcW w:w="1644" w:type="dxa"/>
            <w:vAlign w:val="center"/>
          </w:tcPr>
          <w:p w:rsidR="0024468A" w:rsidRDefault="007E15FF">
            <w:pPr>
              <w:jc w:val="right"/>
            </w:pPr>
            <w:r>
              <w:rPr>
                <w:color w:val="000000"/>
                <w:sz w:val="24"/>
                <w:szCs w:val="24"/>
              </w:rPr>
              <w:t>5.98</w:t>
            </w:r>
          </w:p>
        </w:tc>
      </w:tr>
      <w:tr w:rsidR="0024468A">
        <w:trPr>
          <w:jc w:val="center"/>
        </w:trPr>
        <w:tc>
          <w:tcPr>
            <w:tcW w:w="855" w:type="dxa"/>
            <w:vAlign w:val="center"/>
          </w:tcPr>
          <w:p w:rsidR="0024468A" w:rsidRDefault="007E15FF">
            <w:pPr>
              <w:jc w:val="center"/>
            </w:pPr>
            <w:r>
              <w:rPr>
                <w:color w:val="000000"/>
                <w:sz w:val="24"/>
                <w:szCs w:val="24"/>
              </w:rPr>
              <w:t>2</w:t>
            </w:r>
          </w:p>
        </w:tc>
        <w:tc>
          <w:tcPr>
            <w:tcW w:w="1334" w:type="dxa"/>
            <w:vAlign w:val="center"/>
          </w:tcPr>
          <w:p w:rsidR="0024468A" w:rsidRDefault="007E15FF">
            <w:pPr>
              <w:jc w:val="center"/>
            </w:pPr>
            <w:r>
              <w:rPr>
                <w:color w:val="000000"/>
                <w:sz w:val="24"/>
                <w:szCs w:val="24"/>
              </w:rPr>
              <w:t>600109</w:t>
            </w:r>
          </w:p>
        </w:tc>
        <w:tc>
          <w:tcPr>
            <w:tcW w:w="1777" w:type="dxa"/>
            <w:vAlign w:val="center"/>
          </w:tcPr>
          <w:p w:rsidR="0024468A" w:rsidRDefault="007E15FF">
            <w:pPr>
              <w:jc w:val="center"/>
            </w:pPr>
            <w:r>
              <w:rPr>
                <w:color w:val="000000"/>
                <w:sz w:val="24"/>
                <w:szCs w:val="24"/>
              </w:rPr>
              <w:t>国金证券</w:t>
            </w:r>
          </w:p>
        </w:tc>
        <w:tc>
          <w:tcPr>
            <w:tcW w:w="1334" w:type="dxa"/>
            <w:vAlign w:val="center"/>
          </w:tcPr>
          <w:p w:rsidR="0024468A" w:rsidRDefault="007E15FF">
            <w:pPr>
              <w:jc w:val="right"/>
            </w:pPr>
            <w:r>
              <w:rPr>
                <w:color w:val="000000"/>
                <w:sz w:val="24"/>
                <w:szCs w:val="24"/>
              </w:rPr>
              <w:t>6,730,328</w:t>
            </w:r>
          </w:p>
        </w:tc>
        <w:tc>
          <w:tcPr>
            <w:tcW w:w="1924" w:type="dxa"/>
            <w:vAlign w:val="center"/>
          </w:tcPr>
          <w:p w:rsidR="0024468A" w:rsidRDefault="007E15FF">
            <w:pPr>
              <w:jc w:val="right"/>
            </w:pPr>
            <w:r>
              <w:rPr>
                <w:color w:val="000000"/>
                <w:sz w:val="24"/>
                <w:szCs w:val="24"/>
              </w:rPr>
              <w:t>157,220,462.08</w:t>
            </w:r>
          </w:p>
        </w:tc>
        <w:tc>
          <w:tcPr>
            <w:tcW w:w="1644" w:type="dxa"/>
            <w:vAlign w:val="center"/>
          </w:tcPr>
          <w:p w:rsidR="0024468A" w:rsidRDefault="007E15FF">
            <w:pPr>
              <w:jc w:val="right"/>
            </w:pPr>
            <w:r>
              <w:rPr>
                <w:color w:val="000000"/>
                <w:sz w:val="24"/>
                <w:szCs w:val="24"/>
              </w:rPr>
              <w:t>5.29</w:t>
            </w:r>
          </w:p>
        </w:tc>
      </w:tr>
      <w:tr w:rsidR="0024468A">
        <w:trPr>
          <w:jc w:val="center"/>
        </w:trPr>
        <w:tc>
          <w:tcPr>
            <w:tcW w:w="855" w:type="dxa"/>
            <w:vAlign w:val="center"/>
          </w:tcPr>
          <w:p w:rsidR="0024468A" w:rsidRDefault="007E15FF">
            <w:pPr>
              <w:jc w:val="center"/>
            </w:pPr>
            <w:r>
              <w:rPr>
                <w:color w:val="000000"/>
                <w:sz w:val="24"/>
                <w:szCs w:val="24"/>
              </w:rPr>
              <w:t>3</w:t>
            </w:r>
          </w:p>
        </w:tc>
        <w:tc>
          <w:tcPr>
            <w:tcW w:w="1334" w:type="dxa"/>
            <w:vAlign w:val="center"/>
          </w:tcPr>
          <w:p w:rsidR="0024468A" w:rsidRDefault="007E15FF">
            <w:pPr>
              <w:jc w:val="center"/>
            </w:pPr>
            <w:r>
              <w:rPr>
                <w:color w:val="000000"/>
                <w:sz w:val="24"/>
                <w:szCs w:val="24"/>
              </w:rPr>
              <w:t>000671</w:t>
            </w:r>
          </w:p>
        </w:tc>
        <w:tc>
          <w:tcPr>
            <w:tcW w:w="1777" w:type="dxa"/>
            <w:vAlign w:val="center"/>
          </w:tcPr>
          <w:p w:rsidR="0024468A" w:rsidRDefault="007E15FF">
            <w:pPr>
              <w:jc w:val="center"/>
            </w:pPr>
            <w:r>
              <w:rPr>
                <w:color w:val="000000"/>
                <w:sz w:val="24"/>
                <w:szCs w:val="24"/>
              </w:rPr>
              <w:t>阳</w:t>
            </w:r>
            <w:r>
              <w:rPr>
                <w:color w:val="000000"/>
                <w:sz w:val="24"/>
                <w:szCs w:val="24"/>
              </w:rPr>
              <w:t xml:space="preserve"> </w:t>
            </w:r>
            <w:r>
              <w:rPr>
                <w:color w:val="000000"/>
                <w:sz w:val="24"/>
                <w:szCs w:val="24"/>
              </w:rPr>
              <w:t>光</w:t>
            </w:r>
            <w:r>
              <w:rPr>
                <w:color w:val="000000"/>
                <w:sz w:val="24"/>
                <w:szCs w:val="24"/>
              </w:rPr>
              <w:t xml:space="preserve"> </w:t>
            </w:r>
            <w:r>
              <w:rPr>
                <w:color w:val="000000"/>
                <w:sz w:val="24"/>
                <w:szCs w:val="24"/>
              </w:rPr>
              <w:t>城</w:t>
            </w:r>
          </w:p>
        </w:tc>
        <w:tc>
          <w:tcPr>
            <w:tcW w:w="1334" w:type="dxa"/>
            <w:vAlign w:val="center"/>
          </w:tcPr>
          <w:p w:rsidR="0024468A" w:rsidRDefault="007E15FF">
            <w:pPr>
              <w:jc w:val="right"/>
            </w:pPr>
            <w:r>
              <w:rPr>
                <w:color w:val="000000"/>
                <w:sz w:val="24"/>
                <w:szCs w:val="24"/>
              </w:rPr>
              <w:t>11,568,597</w:t>
            </w:r>
          </w:p>
        </w:tc>
        <w:tc>
          <w:tcPr>
            <w:tcW w:w="1924" w:type="dxa"/>
            <w:vAlign w:val="center"/>
          </w:tcPr>
          <w:p w:rsidR="0024468A" w:rsidRDefault="007E15FF">
            <w:pPr>
              <w:jc w:val="right"/>
            </w:pPr>
            <w:r>
              <w:rPr>
                <w:color w:val="000000"/>
                <w:sz w:val="24"/>
                <w:szCs w:val="24"/>
              </w:rPr>
              <w:t>145,764,322.20</w:t>
            </w:r>
          </w:p>
        </w:tc>
        <w:tc>
          <w:tcPr>
            <w:tcW w:w="1644" w:type="dxa"/>
            <w:vAlign w:val="center"/>
          </w:tcPr>
          <w:p w:rsidR="0024468A" w:rsidRDefault="007E15FF">
            <w:pPr>
              <w:jc w:val="right"/>
            </w:pPr>
            <w:r>
              <w:rPr>
                <w:color w:val="000000"/>
                <w:sz w:val="24"/>
                <w:szCs w:val="24"/>
              </w:rPr>
              <w:t>4.90</w:t>
            </w:r>
          </w:p>
        </w:tc>
      </w:tr>
      <w:tr w:rsidR="0024468A">
        <w:trPr>
          <w:jc w:val="center"/>
        </w:trPr>
        <w:tc>
          <w:tcPr>
            <w:tcW w:w="855" w:type="dxa"/>
            <w:vAlign w:val="center"/>
          </w:tcPr>
          <w:p w:rsidR="0024468A" w:rsidRDefault="007E15FF">
            <w:pPr>
              <w:jc w:val="center"/>
            </w:pPr>
            <w:r>
              <w:rPr>
                <w:color w:val="000000"/>
                <w:sz w:val="24"/>
                <w:szCs w:val="24"/>
              </w:rPr>
              <w:t>4</w:t>
            </w:r>
          </w:p>
        </w:tc>
        <w:tc>
          <w:tcPr>
            <w:tcW w:w="1334" w:type="dxa"/>
            <w:vAlign w:val="center"/>
          </w:tcPr>
          <w:p w:rsidR="0024468A" w:rsidRDefault="007E15FF">
            <w:pPr>
              <w:jc w:val="center"/>
            </w:pPr>
            <w:r>
              <w:rPr>
                <w:color w:val="000000"/>
                <w:sz w:val="24"/>
                <w:szCs w:val="24"/>
              </w:rPr>
              <w:t>300226</w:t>
            </w:r>
          </w:p>
        </w:tc>
        <w:tc>
          <w:tcPr>
            <w:tcW w:w="1777" w:type="dxa"/>
            <w:vAlign w:val="center"/>
          </w:tcPr>
          <w:p w:rsidR="0024468A" w:rsidRDefault="007E15FF">
            <w:pPr>
              <w:jc w:val="center"/>
            </w:pPr>
            <w:r>
              <w:rPr>
                <w:color w:val="000000"/>
                <w:sz w:val="24"/>
                <w:szCs w:val="24"/>
              </w:rPr>
              <w:t>上海钢联</w:t>
            </w:r>
          </w:p>
        </w:tc>
        <w:tc>
          <w:tcPr>
            <w:tcW w:w="1334" w:type="dxa"/>
            <w:vAlign w:val="center"/>
          </w:tcPr>
          <w:p w:rsidR="0024468A" w:rsidRDefault="007E15FF">
            <w:pPr>
              <w:jc w:val="right"/>
            </w:pPr>
            <w:r>
              <w:rPr>
                <w:color w:val="000000"/>
                <w:sz w:val="24"/>
                <w:szCs w:val="24"/>
              </w:rPr>
              <w:t>2,660,428</w:t>
            </w:r>
          </w:p>
        </w:tc>
        <w:tc>
          <w:tcPr>
            <w:tcW w:w="1924" w:type="dxa"/>
            <w:vAlign w:val="center"/>
          </w:tcPr>
          <w:p w:rsidR="0024468A" w:rsidRDefault="007E15FF">
            <w:pPr>
              <w:jc w:val="right"/>
            </w:pPr>
            <w:r>
              <w:rPr>
                <w:color w:val="000000"/>
                <w:sz w:val="24"/>
                <w:szCs w:val="24"/>
              </w:rPr>
              <w:t>138,794,528.76</w:t>
            </w:r>
          </w:p>
        </w:tc>
        <w:tc>
          <w:tcPr>
            <w:tcW w:w="1644" w:type="dxa"/>
            <w:vAlign w:val="center"/>
          </w:tcPr>
          <w:p w:rsidR="0024468A" w:rsidRDefault="007E15FF">
            <w:pPr>
              <w:jc w:val="right"/>
            </w:pPr>
            <w:r>
              <w:rPr>
                <w:color w:val="000000"/>
                <w:sz w:val="24"/>
                <w:szCs w:val="24"/>
              </w:rPr>
              <w:t>4.67</w:t>
            </w:r>
          </w:p>
        </w:tc>
      </w:tr>
      <w:tr w:rsidR="0024468A">
        <w:trPr>
          <w:jc w:val="center"/>
        </w:trPr>
        <w:tc>
          <w:tcPr>
            <w:tcW w:w="855" w:type="dxa"/>
            <w:vAlign w:val="center"/>
          </w:tcPr>
          <w:p w:rsidR="0024468A" w:rsidRDefault="007E15FF">
            <w:pPr>
              <w:jc w:val="center"/>
            </w:pPr>
            <w:r>
              <w:rPr>
                <w:color w:val="000000"/>
                <w:sz w:val="24"/>
                <w:szCs w:val="24"/>
              </w:rPr>
              <w:t>5</w:t>
            </w:r>
          </w:p>
        </w:tc>
        <w:tc>
          <w:tcPr>
            <w:tcW w:w="1334" w:type="dxa"/>
            <w:vAlign w:val="center"/>
          </w:tcPr>
          <w:p w:rsidR="0024468A" w:rsidRDefault="007E15FF">
            <w:pPr>
              <w:jc w:val="center"/>
            </w:pPr>
            <w:r>
              <w:rPr>
                <w:color w:val="000000"/>
                <w:sz w:val="24"/>
                <w:szCs w:val="24"/>
              </w:rPr>
              <w:t>600763</w:t>
            </w:r>
          </w:p>
        </w:tc>
        <w:tc>
          <w:tcPr>
            <w:tcW w:w="1777" w:type="dxa"/>
            <w:vAlign w:val="center"/>
          </w:tcPr>
          <w:p w:rsidR="0024468A" w:rsidRDefault="007E15FF">
            <w:pPr>
              <w:jc w:val="center"/>
            </w:pPr>
            <w:r>
              <w:rPr>
                <w:color w:val="000000"/>
                <w:sz w:val="24"/>
                <w:szCs w:val="24"/>
              </w:rPr>
              <w:t>通策医疗</w:t>
            </w:r>
          </w:p>
        </w:tc>
        <w:tc>
          <w:tcPr>
            <w:tcW w:w="1334" w:type="dxa"/>
            <w:vAlign w:val="center"/>
          </w:tcPr>
          <w:p w:rsidR="0024468A" w:rsidRDefault="007E15FF">
            <w:pPr>
              <w:jc w:val="right"/>
            </w:pPr>
            <w:r>
              <w:rPr>
                <w:color w:val="000000"/>
                <w:sz w:val="24"/>
                <w:szCs w:val="24"/>
              </w:rPr>
              <w:t>2,745,453</w:t>
            </w:r>
          </w:p>
        </w:tc>
        <w:tc>
          <w:tcPr>
            <w:tcW w:w="1924" w:type="dxa"/>
            <w:vAlign w:val="center"/>
          </w:tcPr>
          <w:p w:rsidR="0024468A" w:rsidRDefault="007E15FF">
            <w:pPr>
              <w:jc w:val="right"/>
            </w:pPr>
            <w:r>
              <w:rPr>
                <w:color w:val="000000"/>
                <w:sz w:val="24"/>
                <w:szCs w:val="24"/>
              </w:rPr>
              <w:t>132,468,107.25</w:t>
            </w:r>
          </w:p>
        </w:tc>
        <w:tc>
          <w:tcPr>
            <w:tcW w:w="1644" w:type="dxa"/>
            <w:vAlign w:val="center"/>
          </w:tcPr>
          <w:p w:rsidR="0024468A" w:rsidRDefault="007E15FF">
            <w:pPr>
              <w:jc w:val="right"/>
            </w:pPr>
            <w:r>
              <w:rPr>
                <w:color w:val="000000"/>
                <w:sz w:val="24"/>
                <w:szCs w:val="24"/>
              </w:rPr>
              <w:t>4.46</w:t>
            </w:r>
          </w:p>
        </w:tc>
      </w:tr>
      <w:tr w:rsidR="0024468A">
        <w:trPr>
          <w:jc w:val="center"/>
        </w:trPr>
        <w:tc>
          <w:tcPr>
            <w:tcW w:w="855" w:type="dxa"/>
            <w:vAlign w:val="center"/>
          </w:tcPr>
          <w:p w:rsidR="0024468A" w:rsidRDefault="007E15FF">
            <w:pPr>
              <w:jc w:val="center"/>
            </w:pPr>
            <w:r>
              <w:rPr>
                <w:color w:val="000000"/>
                <w:sz w:val="24"/>
                <w:szCs w:val="24"/>
              </w:rPr>
              <w:t>6</w:t>
            </w:r>
          </w:p>
        </w:tc>
        <w:tc>
          <w:tcPr>
            <w:tcW w:w="1334" w:type="dxa"/>
            <w:vAlign w:val="center"/>
          </w:tcPr>
          <w:p w:rsidR="0024468A" w:rsidRDefault="007E15FF">
            <w:pPr>
              <w:jc w:val="center"/>
            </w:pPr>
            <w:r>
              <w:rPr>
                <w:color w:val="000000"/>
                <w:sz w:val="24"/>
                <w:szCs w:val="24"/>
              </w:rPr>
              <w:t>000768</w:t>
            </w:r>
          </w:p>
        </w:tc>
        <w:tc>
          <w:tcPr>
            <w:tcW w:w="1777" w:type="dxa"/>
            <w:vAlign w:val="center"/>
          </w:tcPr>
          <w:p w:rsidR="0024468A" w:rsidRDefault="007E15FF">
            <w:pPr>
              <w:jc w:val="center"/>
            </w:pPr>
            <w:r>
              <w:rPr>
                <w:color w:val="000000"/>
                <w:sz w:val="24"/>
                <w:szCs w:val="24"/>
              </w:rPr>
              <w:t>中航飞机</w:t>
            </w:r>
          </w:p>
        </w:tc>
        <w:tc>
          <w:tcPr>
            <w:tcW w:w="1334" w:type="dxa"/>
            <w:vAlign w:val="center"/>
          </w:tcPr>
          <w:p w:rsidR="0024468A" w:rsidRDefault="007E15FF">
            <w:pPr>
              <w:jc w:val="right"/>
            </w:pPr>
            <w:r>
              <w:rPr>
                <w:color w:val="000000"/>
                <w:sz w:val="24"/>
                <w:szCs w:val="24"/>
              </w:rPr>
              <w:t>7,282,025</w:t>
            </w:r>
          </w:p>
        </w:tc>
        <w:tc>
          <w:tcPr>
            <w:tcW w:w="1924" w:type="dxa"/>
            <w:vAlign w:val="center"/>
          </w:tcPr>
          <w:p w:rsidR="0024468A" w:rsidRDefault="007E15FF">
            <w:pPr>
              <w:jc w:val="right"/>
            </w:pPr>
            <w:r>
              <w:rPr>
                <w:color w:val="000000"/>
                <w:sz w:val="24"/>
                <w:szCs w:val="24"/>
              </w:rPr>
              <w:t>114,983,174.75</w:t>
            </w:r>
          </w:p>
        </w:tc>
        <w:tc>
          <w:tcPr>
            <w:tcW w:w="1644" w:type="dxa"/>
            <w:vAlign w:val="center"/>
          </w:tcPr>
          <w:p w:rsidR="0024468A" w:rsidRDefault="007E15FF">
            <w:pPr>
              <w:jc w:val="right"/>
            </w:pPr>
            <w:r>
              <w:rPr>
                <w:color w:val="000000"/>
                <w:sz w:val="24"/>
                <w:szCs w:val="24"/>
              </w:rPr>
              <w:t>3.87</w:t>
            </w:r>
          </w:p>
        </w:tc>
      </w:tr>
      <w:tr w:rsidR="0024468A">
        <w:trPr>
          <w:jc w:val="center"/>
        </w:trPr>
        <w:tc>
          <w:tcPr>
            <w:tcW w:w="855" w:type="dxa"/>
            <w:vAlign w:val="center"/>
          </w:tcPr>
          <w:p w:rsidR="0024468A" w:rsidRDefault="007E15FF">
            <w:pPr>
              <w:jc w:val="center"/>
            </w:pPr>
            <w:r>
              <w:rPr>
                <w:color w:val="000000"/>
                <w:sz w:val="24"/>
                <w:szCs w:val="24"/>
              </w:rPr>
              <w:t>7</w:t>
            </w:r>
          </w:p>
        </w:tc>
        <w:tc>
          <w:tcPr>
            <w:tcW w:w="1334" w:type="dxa"/>
            <w:vAlign w:val="center"/>
          </w:tcPr>
          <w:p w:rsidR="0024468A" w:rsidRDefault="007E15FF">
            <w:pPr>
              <w:jc w:val="center"/>
            </w:pPr>
            <w:r>
              <w:rPr>
                <w:color w:val="000000"/>
                <w:sz w:val="24"/>
                <w:szCs w:val="24"/>
              </w:rPr>
              <w:t>300104</w:t>
            </w:r>
          </w:p>
        </w:tc>
        <w:tc>
          <w:tcPr>
            <w:tcW w:w="1777" w:type="dxa"/>
            <w:vAlign w:val="center"/>
          </w:tcPr>
          <w:p w:rsidR="0024468A" w:rsidRDefault="007E15FF">
            <w:pPr>
              <w:jc w:val="center"/>
            </w:pPr>
            <w:r>
              <w:rPr>
                <w:color w:val="000000"/>
                <w:sz w:val="24"/>
                <w:szCs w:val="24"/>
              </w:rPr>
              <w:t>乐视网</w:t>
            </w:r>
          </w:p>
        </w:tc>
        <w:tc>
          <w:tcPr>
            <w:tcW w:w="1334" w:type="dxa"/>
            <w:vAlign w:val="center"/>
          </w:tcPr>
          <w:p w:rsidR="0024468A" w:rsidRDefault="007E15FF">
            <w:pPr>
              <w:jc w:val="right"/>
            </w:pPr>
            <w:r>
              <w:rPr>
                <w:color w:val="000000"/>
                <w:sz w:val="24"/>
                <w:szCs w:val="24"/>
              </w:rPr>
              <w:t>2,728,421</w:t>
            </w:r>
          </w:p>
        </w:tc>
        <w:tc>
          <w:tcPr>
            <w:tcW w:w="1924" w:type="dxa"/>
            <w:vAlign w:val="center"/>
          </w:tcPr>
          <w:p w:rsidR="0024468A" w:rsidRDefault="007E15FF">
            <w:pPr>
              <w:jc w:val="right"/>
            </w:pPr>
            <w:r>
              <w:rPr>
                <w:color w:val="000000"/>
                <w:sz w:val="24"/>
                <w:szCs w:val="24"/>
              </w:rPr>
              <w:t>102,015,661.19</w:t>
            </w:r>
          </w:p>
        </w:tc>
        <w:tc>
          <w:tcPr>
            <w:tcW w:w="1644" w:type="dxa"/>
            <w:vAlign w:val="center"/>
          </w:tcPr>
          <w:p w:rsidR="0024468A" w:rsidRDefault="007E15FF">
            <w:pPr>
              <w:jc w:val="right"/>
            </w:pPr>
            <w:r>
              <w:rPr>
                <w:color w:val="000000"/>
                <w:sz w:val="24"/>
                <w:szCs w:val="24"/>
              </w:rPr>
              <w:t>3.43</w:t>
            </w:r>
          </w:p>
        </w:tc>
      </w:tr>
      <w:tr w:rsidR="0024468A">
        <w:trPr>
          <w:jc w:val="center"/>
        </w:trPr>
        <w:tc>
          <w:tcPr>
            <w:tcW w:w="855" w:type="dxa"/>
            <w:vAlign w:val="center"/>
          </w:tcPr>
          <w:p w:rsidR="0024468A" w:rsidRDefault="007E15FF">
            <w:pPr>
              <w:jc w:val="center"/>
            </w:pPr>
            <w:r>
              <w:rPr>
                <w:color w:val="000000"/>
                <w:sz w:val="24"/>
                <w:szCs w:val="24"/>
              </w:rPr>
              <w:t>8</w:t>
            </w:r>
          </w:p>
        </w:tc>
        <w:tc>
          <w:tcPr>
            <w:tcW w:w="1334" w:type="dxa"/>
            <w:vAlign w:val="center"/>
          </w:tcPr>
          <w:p w:rsidR="0024468A" w:rsidRDefault="007E15FF">
            <w:pPr>
              <w:jc w:val="center"/>
            </w:pPr>
            <w:r>
              <w:rPr>
                <w:color w:val="000000"/>
                <w:sz w:val="24"/>
                <w:szCs w:val="24"/>
              </w:rPr>
              <w:t>000550</w:t>
            </w:r>
          </w:p>
        </w:tc>
        <w:tc>
          <w:tcPr>
            <w:tcW w:w="1777" w:type="dxa"/>
            <w:vAlign w:val="center"/>
          </w:tcPr>
          <w:p w:rsidR="0024468A" w:rsidRDefault="007E15FF">
            <w:pPr>
              <w:jc w:val="center"/>
            </w:pPr>
            <w:r>
              <w:rPr>
                <w:color w:val="000000"/>
                <w:sz w:val="24"/>
                <w:szCs w:val="24"/>
              </w:rPr>
              <w:t>江铃汽车</w:t>
            </w:r>
          </w:p>
        </w:tc>
        <w:tc>
          <w:tcPr>
            <w:tcW w:w="1334" w:type="dxa"/>
            <w:vAlign w:val="center"/>
          </w:tcPr>
          <w:p w:rsidR="0024468A" w:rsidRDefault="007E15FF">
            <w:pPr>
              <w:jc w:val="right"/>
            </w:pPr>
            <w:r>
              <w:rPr>
                <w:color w:val="000000"/>
                <w:sz w:val="24"/>
                <w:szCs w:val="24"/>
              </w:rPr>
              <w:t>3,301,070</w:t>
            </w:r>
          </w:p>
        </w:tc>
        <w:tc>
          <w:tcPr>
            <w:tcW w:w="1924" w:type="dxa"/>
            <w:vAlign w:val="center"/>
          </w:tcPr>
          <w:p w:rsidR="0024468A" w:rsidRDefault="007E15FF">
            <w:pPr>
              <w:jc w:val="right"/>
            </w:pPr>
            <w:r>
              <w:rPr>
                <w:color w:val="000000"/>
                <w:sz w:val="24"/>
                <w:szCs w:val="24"/>
              </w:rPr>
              <w:t>96,193,179.80</w:t>
            </w:r>
          </w:p>
        </w:tc>
        <w:tc>
          <w:tcPr>
            <w:tcW w:w="1644" w:type="dxa"/>
            <w:vAlign w:val="center"/>
          </w:tcPr>
          <w:p w:rsidR="0024468A" w:rsidRDefault="007E15FF">
            <w:pPr>
              <w:jc w:val="right"/>
            </w:pPr>
            <w:r>
              <w:rPr>
                <w:color w:val="000000"/>
                <w:sz w:val="24"/>
                <w:szCs w:val="24"/>
              </w:rPr>
              <w:t>3.24</w:t>
            </w:r>
          </w:p>
        </w:tc>
      </w:tr>
      <w:tr w:rsidR="0024468A">
        <w:trPr>
          <w:jc w:val="center"/>
        </w:trPr>
        <w:tc>
          <w:tcPr>
            <w:tcW w:w="855" w:type="dxa"/>
            <w:vAlign w:val="center"/>
          </w:tcPr>
          <w:p w:rsidR="0024468A" w:rsidRDefault="007E15FF">
            <w:pPr>
              <w:jc w:val="center"/>
            </w:pPr>
            <w:r>
              <w:rPr>
                <w:color w:val="000000"/>
                <w:sz w:val="24"/>
                <w:szCs w:val="24"/>
              </w:rPr>
              <w:t>9</w:t>
            </w:r>
          </w:p>
        </w:tc>
        <w:tc>
          <w:tcPr>
            <w:tcW w:w="1334" w:type="dxa"/>
            <w:vAlign w:val="center"/>
          </w:tcPr>
          <w:p w:rsidR="0024468A" w:rsidRDefault="007E15FF">
            <w:pPr>
              <w:jc w:val="center"/>
            </w:pPr>
            <w:r>
              <w:rPr>
                <w:color w:val="000000"/>
                <w:sz w:val="24"/>
                <w:szCs w:val="24"/>
              </w:rPr>
              <w:t>600138</w:t>
            </w:r>
          </w:p>
        </w:tc>
        <w:tc>
          <w:tcPr>
            <w:tcW w:w="1777" w:type="dxa"/>
            <w:vAlign w:val="center"/>
          </w:tcPr>
          <w:p w:rsidR="0024468A" w:rsidRDefault="007E15FF">
            <w:pPr>
              <w:jc w:val="center"/>
            </w:pPr>
            <w:r>
              <w:rPr>
                <w:color w:val="000000"/>
                <w:sz w:val="24"/>
                <w:szCs w:val="24"/>
              </w:rPr>
              <w:t>中青旅</w:t>
            </w:r>
          </w:p>
        </w:tc>
        <w:tc>
          <w:tcPr>
            <w:tcW w:w="1334" w:type="dxa"/>
            <w:vAlign w:val="center"/>
          </w:tcPr>
          <w:p w:rsidR="0024468A" w:rsidRDefault="007E15FF">
            <w:pPr>
              <w:jc w:val="right"/>
            </w:pPr>
            <w:r>
              <w:rPr>
                <w:color w:val="000000"/>
                <w:sz w:val="24"/>
                <w:szCs w:val="24"/>
              </w:rPr>
              <w:t>5,832,928</w:t>
            </w:r>
          </w:p>
        </w:tc>
        <w:tc>
          <w:tcPr>
            <w:tcW w:w="1924" w:type="dxa"/>
            <w:vAlign w:val="center"/>
          </w:tcPr>
          <w:p w:rsidR="0024468A" w:rsidRDefault="007E15FF">
            <w:pPr>
              <w:jc w:val="right"/>
            </w:pPr>
            <w:r>
              <w:rPr>
                <w:color w:val="000000"/>
                <w:sz w:val="24"/>
                <w:szCs w:val="24"/>
              </w:rPr>
              <w:t>95,893,336.32</w:t>
            </w:r>
          </w:p>
        </w:tc>
        <w:tc>
          <w:tcPr>
            <w:tcW w:w="1644" w:type="dxa"/>
            <w:vAlign w:val="center"/>
          </w:tcPr>
          <w:p w:rsidR="0024468A" w:rsidRDefault="007E15FF">
            <w:pPr>
              <w:jc w:val="right"/>
            </w:pPr>
            <w:r>
              <w:rPr>
                <w:color w:val="000000"/>
                <w:sz w:val="24"/>
                <w:szCs w:val="24"/>
              </w:rPr>
              <w:t>3.23</w:t>
            </w:r>
          </w:p>
        </w:tc>
      </w:tr>
      <w:tr w:rsidR="0024468A">
        <w:trPr>
          <w:jc w:val="center"/>
        </w:trPr>
        <w:tc>
          <w:tcPr>
            <w:tcW w:w="855" w:type="dxa"/>
            <w:vAlign w:val="center"/>
          </w:tcPr>
          <w:p w:rsidR="0024468A" w:rsidRDefault="007E15FF">
            <w:pPr>
              <w:jc w:val="center"/>
            </w:pPr>
            <w:r>
              <w:rPr>
                <w:color w:val="000000"/>
                <w:sz w:val="24"/>
                <w:szCs w:val="24"/>
              </w:rPr>
              <w:t>10</w:t>
            </w:r>
          </w:p>
        </w:tc>
        <w:tc>
          <w:tcPr>
            <w:tcW w:w="1334" w:type="dxa"/>
            <w:vAlign w:val="center"/>
          </w:tcPr>
          <w:p w:rsidR="0024468A" w:rsidRDefault="007E15FF">
            <w:pPr>
              <w:jc w:val="center"/>
            </w:pPr>
            <w:r>
              <w:rPr>
                <w:color w:val="000000"/>
                <w:sz w:val="24"/>
                <w:szCs w:val="24"/>
              </w:rPr>
              <w:t>601012</w:t>
            </w:r>
          </w:p>
        </w:tc>
        <w:tc>
          <w:tcPr>
            <w:tcW w:w="1777" w:type="dxa"/>
            <w:vAlign w:val="center"/>
          </w:tcPr>
          <w:p w:rsidR="0024468A" w:rsidRDefault="007E15FF">
            <w:pPr>
              <w:jc w:val="center"/>
            </w:pPr>
            <w:r>
              <w:rPr>
                <w:color w:val="000000"/>
                <w:sz w:val="24"/>
                <w:szCs w:val="24"/>
              </w:rPr>
              <w:t>隆基股份</w:t>
            </w:r>
          </w:p>
        </w:tc>
        <w:tc>
          <w:tcPr>
            <w:tcW w:w="1334" w:type="dxa"/>
            <w:vAlign w:val="center"/>
          </w:tcPr>
          <w:p w:rsidR="0024468A" w:rsidRDefault="007E15FF">
            <w:pPr>
              <w:jc w:val="right"/>
            </w:pPr>
            <w:r>
              <w:rPr>
                <w:color w:val="000000"/>
                <w:sz w:val="24"/>
                <w:szCs w:val="24"/>
              </w:rPr>
              <w:t>4,457,300</w:t>
            </w:r>
          </w:p>
        </w:tc>
        <w:tc>
          <w:tcPr>
            <w:tcW w:w="1924" w:type="dxa"/>
            <w:vAlign w:val="center"/>
          </w:tcPr>
          <w:p w:rsidR="0024468A" w:rsidRDefault="007E15FF">
            <w:pPr>
              <w:jc w:val="right"/>
            </w:pPr>
            <w:r>
              <w:rPr>
                <w:color w:val="000000"/>
                <w:sz w:val="24"/>
                <w:szCs w:val="24"/>
              </w:rPr>
              <w:t>92,488,975.00</w:t>
            </w:r>
          </w:p>
        </w:tc>
        <w:tc>
          <w:tcPr>
            <w:tcW w:w="1644" w:type="dxa"/>
            <w:vAlign w:val="center"/>
          </w:tcPr>
          <w:p w:rsidR="0024468A" w:rsidRDefault="007E15FF">
            <w:pPr>
              <w:jc w:val="right"/>
            </w:pPr>
            <w:r>
              <w:rPr>
                <w:color w:val="000000"/>
                <w:sz w:val="24"/>
                <w:szCs w:val="24"/>
              </w:rPr>
              <w:t>3.11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59,994,000.00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2.02</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59,994,000.00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2.02</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22,951,874.00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0.77</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82,945,874.00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2.79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4468A">
        <w:trPr>
          <w:jc w:val="center"/>
        </w:trPr>
        <w:tc>
          <w:tcPr>
            <w:tcW w:w="850" w:type="dxa"/>
            <w:vAlign w:val="center"/>
          </w:tcPr>
          <w:p w:rsidR="0024468A" w:rsidRDefault="007E15FF">
            <w:pPr>
              <w:jc w:val="center"/>
            </w:pPr>
            <w:r>
              <w:rPr>
                <w:color w:val="000000"/>
                <w:sz w:val="24"/>
                <w:szCs w:val="24"/>
              </w:rPr>
              <w:t>1</w:t>
            </w:r>
          </w:p>
        </w:tc>
        <w:tc>
          <w:tcPr>
            <w:tcW w:w="1475" w:type="dxa"/>
            <w:vAlign w:val="center"/>
          </w:tcPr>
          <w:p w:rsidR="0024468A" w:rsidRDefault="007E15FF">
            <w:pPr>
              <w:jc w:val="center"/>
            </w:pPr>
            <w:r>
              <w:rPr>
                <w:color w:val="000000"/>
                <w:sz w:val="24"/>
                <w:szCs w:val="24"/>
              </w:rPr>
              <w:t>140207</w:t>
            </w:r>
          </w:p>
        </w:tc>
        <w:tc>
          <w:tcPr>
            <w:tcW w:w="1769" w:type="dxa"/>
            <w:vAlign w:val="center"/>
          </w:tcPr>
          <w:p w:rsidR="0024468A" w:rsidRDefault="007E15FF">
            <w:pPr>
              <w:jc w:val="center"/>
            </w:pPr>
            <w:r>
              <w:rPr>
                <w:color w:val="000000"/>
                <w:sz w:val="24"/>
                <w:szCs w:val="24"/>
              </w:rPr>
              <w:t>14</w:t>
            </w:r>
            <w:r>
              <w:rPr>
                <w:color w:val="000000"/>
                <w:sz w:val="24"/>
                <w:szCs w:val="24"/>
              </w:rPr>
              <w:t>国开</w:t>
            </w:r>
            <w:r>
              <w:rPr>
                <w:color w:val="000000"/>
                <w:sz w:val="24"/>
                <w:szCs w:val="24"/>
              </w:rPr>
              <w:t>07</w:t>
            </w:r>
          </w:p>
        </w:tc>
        <w:tc>
          <w:tcPr>
            <w:tcW w:w="1387" w:type="dxa"/>
            <w:vAlign w:val="center"/>
          </w:tcPr>
          <w:p w:rsidR="0024468A" w:rsidRDefault="007E15FF">
            <w:pPr>
              <w:jc w:val="right"/>
            </w:pPr>
            <w:r>
              <w:rPr>
                <w:color w:val="000000"/>
                <w:sz w:val="24"/>
                <w:szCs w:val="24"/>
              </w:rPr>
              <w:t>300,000</w:t>
            </w:r>
          </w:p>
        </w:tc>
        <w:tc>
          <w:tcPr>
            <w:tcW w:w="2150" w:type="dxa"/>
            <w:vAlign w:val="center"/>
          </w:tcPr>
          <w:p w:rsidR="0024468A" w:rsidRDefault="007E15FF">
            <w:pPr>
              <w:jc w:val="right"/>
            </w:pPr>
            <w:r>
              <w:rPr>
                <w:color w:val="000000"/>
                <w:sz w:val="24"/>
                <w:szCs w:val="24"/>
              </w:rPr>
              <w:t>30,069,000.00</w:t>
            </w:r>
          </w:p>
        </w:tc>
        <w:tc>
          <w:tcPr>
            <w:tcW w:w="1237" w:type="dxa"/>
            <w:vAlign w:val="center"/>
          </w:tcPr>
          <w:p w:rsidR="0024468A" w:rsidRDefault="007E15FF">
            <w:pPr>
              <w:jc w:val="right"/>
            </w:pPr>
            <w:r>
              <w:rPr>
                <w:color w:val="000000"/>
                <w:sz w:val="24"/>
                <w:szCs w:val="24"/>
              </w:rPr>
              <w:t>1.01</w:t>
            </w:r>
          </w:p>
        </w:tc>
      </w:tr>
      <w:tr w:rsidR="0024468A">
        <w:trPr>
          <w:jc w:val="center"/>
        </w:trPr>
        <w:tc>
          <w:tcPr>
            <w:tcW w:w="850" w:type="dxa"/>
            <w:vAlign w:val="center"/>
          </w:tcPr>
          <w:p w:rsidR="0024468A" w:rsidRDefault="007E15FF">
            <w:pPr>
              <w:jc w:val="center"/>
            </w:pPr>
            <w:r>
              <w:rPr>
                <w:color w:val="000000"/>
                <w:sz w:val="24"/>
                <w:szCs w:val="24"/>
              </w:rPr>
              <w:t>2</w:t>
            </w:r>
          </w:p>
        </w:tc>
        <w:tc>
          <w:tcPr>
            <w:tcW w:w="1475" w:type="dxa"/>
            <w:vAlign w:val="center"/>
          </w:tcPr>
          <w:p w:rsidR="0024468A" w:rsidRDefault="007E15FF">
            <w:pPr>
              <w:jc w:val="center"/>
            </w:pPr>
            <w:r>
              <w:rPr>
                <w:color w:val="000000"/>
                <w:sz w:val="24"/>
                <w:szCs w:val="24"/>
              </w:rPr>
              <w:t>120204</w:t>
            </w:r>
          </w:p>
        </w:tc>
        <w:tc>
          <w:tcPr>
            <w:tcW w:w="1769" w:type="dxa"/>
            <w:vAlign w:val="center"/>
          </w:tcPr>
          <w:p w:rsidR="0024468A" w:rsidRDefault="007E15FF">
            <w:pPr>
              <w:jc w:val="center"/>
            </w:pPr>
            <w:r>
              <w:rPr>
                <w:color w:val="000000"/>
                <w:sz w:val="24"/>
                <w:szCs w:val="24"/>
              </w:rPr>
              <w:t>12</w:t>
            </w:r>
            <w:r>
              <w:rPr>
                <w:color w:val="000000"/>
                <w:sz w:val="24"/>
                <w:szCs w:val="24"/>
              </w:rPr>
              <w:t>国开</w:t>
            </w:r>
            <w:r>
              <w:rPr>
                <w:color w:val="000000"/>
                <w:sz w:val="24"/>
                <w:szCs w:val="24"/>
              </w:rPr>
              <w:t>04</w:t>
            </w:r>
          </w:p>
        </w:tc>
        <w:tc>
          <w:tcPr>
            <w:tcW w:w="1387" w:type="dxa"/>
            <w:vAlign w:val="center"/>
          </w:tcPr>
          <w:p w:rsidR="0024468A" w:rsidRDefault="007E15FF">
            <w:pPr>
              <w:jc w:val="right"/>
            </w:pPr>
            <w:r>
              <w:rPr>
                <w:color w:val="000000"/>
                <w:sz w:val="24"/>
                <w:szCs w:val="24"/>
              </w:rPr>
              <w:t>300,000</w:t>
            </w:r>
          </w:p>
        </w:tc>
        <w:tc>
          <w:tcPr>
            <w:tcW w:w="2150" w:type="dxa"/>
            <w:vAlign w:val="center"/>
          </w:tcPr>
          <w:p w:rsidR="0024468A" w:rsidRDefault="007E15FF">
            <w:pPr>
              <w:jc w:val="right"/>
            </w:pPr>
            <w:r>
              <w:rPr>
                <w:color w:val="000000"/>
                <w:sz w:val="24"/>
                <w:szCs w:val="24"/>
              </w:rPr>
              <w:t>29,925,000.00</w:t>
            </w:r>
          </w:p>
        </w:tc>
        <w:tc>
          <w:tcPr>
            <w:tcW w:w="1237" w:type="dxa"/>
            <w:vAlign w:val="center"/>
          </w:tcPr>
          <w:p w:rsidR="0024468A" w:rsidRDefault="007E15FF">
            <w:pPr>
              <w:jc w:val="right"/>
            </w:pPr>
            <w:r>
              <w:rPr>
                <w:color w:val="000000"/>
                <w:sz w:val="24"/>
                <w:szCs w:val="24"/>
              </w:rPr>
              <w:t>1.01</w:t>
            </w:r>
          </w:p>
        </w:tc>
      </w:tr>
      <w:tr w:rsidR="0024468A">
        <w:trPr>
          <w:jc w:val="center"/>
        </w:trPr>
        <w:tc>
          <w:tcPr>
            <w:tcW w:w="850" w:type="dxa"/>
            <w:vAlign w:val="center"/>
          </w:tcPr>
          <w:p w:rsidR="0024468A" w:rsidRDefault="007E15FF">
            <w:pPr>
              <w:jc w:val="center"/>
            </w:pPr>
            <w:r>
              <w:rPr>
                <w:color w:val="000000"/>
                <w:sz w:val="24"/>
                <w:szCs w:val="24"/>
              </w:rPr>
              <w:t>3</w:t>
            </w:r>
          </w:p>
        </w:tc>
        <w:tc>
          <w:tcPr>
            <w:tcW w:w="1475" w:type="dxa"/>
            <w:vAlign w:val="center"/>
          </w:tcPr>
          <w:p w:rsidR="0024468A" w:rsidRDefault="007E15FF">
            <w:pPr>
              <w:jc w:val="center"/>
            </w:pPr>
            <w:r>
              <w:rPr>
                <w:color w:val="000000"/>
                <w:sz w:val="24"/>
                <w:szCs w:val="24"/>
              </w:rPr>
              <w:t>110025</w:t>
            </w:r>
          </w:p>
        </w:tc>
        <w:tc>
          <w:tcPr>
            <w:tcW w:w="1769" w:type="dxa"/>
            <w:vAlign w:val="center"/>
          </w:tcPr>
          <w:p w:rsidR="0024468A" w:rsidRDefault="007E15FF">
            <w:pPr>
              <w:jc w:val="center"/>
            </w:pPr>
            <w:r>
              <w:rPr>
                <w:color w:val="000000"/>
                <w:sz w:val="24"/>
                <w:szCs w:val="24"/>
              </w:rPr>
              <w:t>国金转债</w:t>
            </w:r>
          </w:p>
        </w:tc>
        <w:tc>
          <w:tcPr>
            <w:tcW w:w="1387" w:type="dxa"/>
            <w:vAlign w:val="center"/>
          </w:tcPr>
          <w:p w:rsidR="0024468A" w:rsidRDefault="007E15FF">
            <w:pPr>
              <w:jc w:val="right"/>
            </w:pPr>
            <w:r>
              <w:rPr>
                <w:color w:val="000000"/>
                <w:sz w:val="24"/>
                <w:szCs w:val="24"/>
              </w:rPr>
              <w:t>185,800</w:t>
            </w:r>
          </w:p>
        </w:tc>
        <w:tc>
          <w:tcPr>
            <w:tcW w:w="2150" w:type="dxa"/>
            <w:vAlign w:val="center"/>
          </w:tcPr>
          <w:p w:rsidR="0024468A" w:rsidRDefault="007E15FF">
            <w:pPr>
              <w:jc w:val="right"/>
            </w:pPr>
            <w:r>
              <w:rPr>
                <w:color w:val="000000"/>
                <w:sz w:val="24"/>
                <w:szCs w:val="24"/>
              </w:rPr>
              <w:t>22,951,874.00</w:t>
            </w:r>
          </w:p>
        </w:tc>
        <w:tc>
          <w:tcPr>
            <w:tcW w:w="1237" w:type="dxa"/>
            <w:vAlign w:val="center"/>
          </w:tcPr>
          <w:p w:rsidR="0024468A" w:rsidRDefault="007E15FF">
            <w:pPr>
              <w:jc w:val="right"/>
            </w:pPr>
            <w:r>
              <w:rPr>
                <w:color w:val="000000"/>
                <w:sz w:val="24"/>
                <w:szCs w:val="24"/>
              </w:rPr>
              <w:t>0.77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754,826.58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1,438,465.71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535,339.61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2,728,631.90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24468A">
        <w:trPr>
          <w:jc w:val="center"/>
        </w:trPr>
        <w:tc>
          <w:tcPr>
            <w:tcW w:w="1129" w:type="dxa"/>
            <w:vAlign w:val="center"/>
          </w:tcPr>
          <w:p w:rsidR="0024468A" w:rsidRDefault="007E15FF">
            <w:pPr>
              <w:jc w:val="center"/>
            </w:pPr>
            <w:r>
              <w:rPr>
                <w:color w:val="000000"/>
                <w:sz w:val="24"/>
                <w:szCs w:val="24"/>
              </w:rPr>
              <w:t>1</w:t>
            </w:r>
          </w:p>
        </w:tc>
        <w:tc>
          <w:tcPr>
            <w:tcW w:w="1356" w:type="dxa"/>
            <w:vAlign w:val="center"/>
          </w:tcPr>
          <w:p w:rsidR="0024468A" w:rsidRDefault="007E15FF">
            <w:pPr>
              <w:jc w:val="center"/>
            </w:pPr>
            <w:r>
              <w:rPr>
                <w:color w:val="000000"/>
                <w:sz w:val="24"/>
                <w:szCs w:val="24"/>
              </w:rPr>
              <w:t>000768</w:t>
            </w:r>
          </w:p>
        </w:tc>
        <w:tc>
          <w:tcPr>
            <w:tcW w:w="1355" w:type="dxa"/>
            <w:vAlign w:val="center"/>
          </w:tcPr>
          <w:p w:rsidR="0024468A" w:rsidRDefault="007E15FF">
            <w:pPr>
              <w:jc w:val="center"/>
            </w:pPr>
            <w:r>
              <w:rPr>
                <w:color w:val="000000"/>
                <w:sz w:val="24"/>
                <w:szCs w:val="24"/>
              </w:rPr>
              <w:t>中航飞机</w:t>
            </w:r>
          </w:p>
        </w:tc>
        <w:tc>
          <w:tcPr>
            <w:tcW w:w="1880" w:type="dxa"/>
            <w:vAlign w:val="center"/>
          </w:tcPr>
          <w:p w:rsidR="0024468A" w:rsidRDefault="007E15FF">
            <w:pPr>
              <w:jc w:val="right"/>
            </w:pPr>
            <w:r>
              <w:rPr>
                <w:color w:val="000000"/>
                <w:sz w:val="24"/>
                <w:szCs w:val="24"/>
              </w:rPr>
              <w:t>114,983,174.75</w:t>
            </w:r>
          </w:p>
        </w:tc>
        <w:tc>
          <w:tcPr>
            <w:tcW w:w="1724" w:type="dxa"/>
            <w:vAlign w:val="center"/>
          </w:tcPr>
          <w:p w:rsidR="0024468A" w:rsidRDefault="007E15FF">
            <w:pPr>
              <w:jc w:val="right"/>
            </w:pPr>
            <w:r>
              <w:rPr>
                <w:color w:val="000000"/>
                <w:sz w:val="24"/>
                <w:szCs w:val="24"/>
              </w:rPr>
              <w:t>3.87</w:t>
            </w:r>
          </w:p>
        </w:tc>
        <w:tc>
          <w:tcPr>
            <w:tcW w:w="1424" w:type="dxa"/>
            <w:vAlign w:val="center"/>
          </w:tcPr>
          <w:p w:rsidR="0024468A" w:rsidRDefault="007E15FF">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2,742,122,099.83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19,330,639.41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211,686,855.74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2,549,765,883.50</w:t>
            </w:r>
          </w:p>
        </w:tc>
      </w:tr>
    </w:tbl>
    <w:p w:rsidR="0024468A" w:rsidRDefault="007E15F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E15FF">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86,161,914.71</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86,161,914.71</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3.38</w:t>
            </w:r>
          </w:p>
        </w:tc>
      </w:tr>
    </w:tbl>
    <w:p w:rsidR="0024468A" w:rsidRDefault="007E15F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7E15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）基金行业股票估值指数的通知》的指导意见，经与基金托管人协商一致，本基金对其所持有的华策影视（证券代码：</w:t>
      </w:r>
      <w:r w:rsidRPr="00414345">
        <w:rPr>
          <w:color w:val="000000"/>
          <w:sz w:val="24"/>
          <w:szCs w:val="24"/>
        </w:rPr>
        <w:t>300133</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21</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10</w:t>
      </w:r>
      <w:r w:rsidRPr="00414345">
        <w:rPr>
          <w:color w:val="000000"/>
          <w:sz w:val="24"/>
          <w:szCs w:val="24"/>
        </w:rPr>
        <w:t>日起恢复按市场价格进行估值。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E15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24468A" w:rsidRDefault="007E15F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24468A" w:rsidRDefault="007E15F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24468A" w:rsidRDefault="007E15F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24468A" w:rsidRDefault="007E15F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、《交银施罗德稳健配置混合型证券投资基金托管协议》；</w:t>
      </w:r>
      <w:r>
        <w:rPr>
          <w:color w:val="000000"/>
          <w:sz w:val="24"/>
          <w:szCs w:val="24"/>
        </w:rPr>
        <w:t xml:space="preserve"> </w:t>
      </w:r>
    </w:p>
    <w:p w:rsidR="0024468A" w:rsidRDefault="007E15FF">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24468A" w:rsidRDefault="007E15FF">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24468A" w:rsidRDefault="007E15FF">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24468A" w:rsidRDefault="007E15F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09F" w:rsidRDefault="00C6209F" w:rsidP="00876D65">
      <w:r>
        <w:separator/>
      </w:r>
    </w:p>
  </w:endnote>
  <w:endnote w:type="continuationSeparator" w:id="0">
    <w:p w:rsidR="00C6209F" w:rsidRDefault="00C6209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24468A">
      <w:rPr>
        <w:kern w:val="0"/>
        <w:szCs w:val="21"/>
      </w:rPr>
      <w:fldChar w:fldCharType="begin"/>
    </w:r>
    <w:r>
      <w:rPr>
        <w:kern w:val="0"/>
        <w:szCs w:val="21"/>
      </w:rPr>
      <w:instrText xml:space="preserve"> PAGE </w:instrText>
    </w:r>
    <w:r w:rsidR="0024468A">
      <w:rPr>
        <w:kern w:val="0"/>
        <w:szCs w:val="21"/>
      </w:rPr>
      <w:fldChar w:fldCharType="separate"/>
    </w:r>
    <w:r w:rsidR="00E57F52">
      <w:rPr>
        <w:noProof/>
        <w:kern w:val="0"/>
        <w:szCs w:val="21"/>
      </w:rPr>
      <w:t>1</w:t>
    </w:r>
    <w:r w:rsidR="0024468A">
      <w:rPr>
        <w:kern w:val="0"/>
        <w:szCs w:val="21"/>
      </w:rPr>
      <w:fldChar w:fldCharType="end"/>
    </w:r>
    <w:r>
      <w:rPr>
        <w:rFonts w:hint="eastAsia"/>
        <w:kern w:val="0"/>
        <w:szCs w:val="21"/>
      </w:rPr>
      <w:t>页共</w:t>
    </w:r>
    <w:r w:rsidR="0024468A">
      <w:rPr>
        <w:kern w:val="0"/>
        <w:szCs w:val="21"/>
      </w:rPr>
      <w:fldChar w:fldCharType="begin"/>
    </w:r>
    <w:r>
      <w:rPr>
        <w:kern w:val="0"/>
        <w:szCs w:val="21"/>
      </w:rPr>
      <w:instrText xml:space="preserve"> NUMPAGES </w:instrText>
    </w:r>
    <w:r w:rsidR="0024468A">
      <w:rPr>
        <w:kern w:val="0"/>
        <w:szCs w:val="21"/>
      </w:rPr>
      <w:fldChar w:fldCharType="separate"/>
    </w:r>
    <w:r w:rsidR="00E57F52">
      <w:rPr>
        <w:noProof/>
        <w:kern w:val="0"/>
        <w:szCs w:val="21"/>
      </w:rPr>
      <w:t>11</w:t>
    </w:r>
    <w:r w:rsidR="0024468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09F" w:rsidRDefault="00C6209F" w:rsidP="00876D65">
      <w:r>
        <w:separator/>
      </w:r>
    </w:p>
  </w:footnote>
  <w:footnote w:type="continuationSeparator" w:id="0">
    <w:p w:rsidR="00C6209F" w:rsidRDefault="00C6209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468A"/>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305"/>
    <w:rsid w:val="007B035B"/>
    <w:rsid w:val="007B4C04"/>
    <w:rsid w:val="007B5AFB"/>
    <w:rsid w:val="007C395A"/>
    <w:rsid w:val="007C5862"/>
    <w:rsid w:val="007D0922"/>
    <w:rsid w:val="007D100C"/>
    <w:rsid w:val="007E15FF"/>
    <w:rsid w:val="007E2686"/>
    <w:rsid w:val="007E57C0"/>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215BA"/>
    <w:rsid w:val="00E36549"/>
    <w:rsid w:val="00E40D31"/>
    <w:rsid w:val="00E41260"/>
    <w:rsid w:val="00E44E18"/>
    <w:rsid w:val="00E52DBC"/>
    <w:rsid w:val="00E54301"/>
    <w:rsid w:val="00E54BF5"/>
    <w:rsid w:val="00E55ABD"/>
    <w:rsid w:val="00E57F52"/>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ABE8A280-4ACF-43E2-A680-40017491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4389C-15C9-45C3-9E19-9B31D938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TotalTime>
  <Pages>11</Pages>
  <Words>1051</Words>
  <Characters>5994</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537</cp:revision>
  <dcterms:created xsi:type="dcterms:W3CDTF">2012-10-16T06:07:00Z</dcterms:created>
  <dcterms:modified xsi:type="dcterms:W3CDTF">2014-10-21T03:12:00Z</dcterms:modified>
</cp:coreProperties>
</file>