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C46ABF">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46ABF">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280,026,971.84</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2740"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519720</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164,569,385.40</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115,457,586.44</w:t>
            </w:r>
            <w:r w:rsidR="00C13116" w:rsidRPr="007F52FA">
              <w:rPr>
                <w:color w:val="000000"/>
                <w:kern w:val="0"/>
                <w:sz w:val="24"/>
              </w:rPr>
              <w:t>份</w:t>
            </w:r>
          </w:p>
        </w:tc>
      </w:tr>
    </w:tbl>
    <w:p w:rsidR="00EB6B71" w:rsidRDefault="00AB266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46ABF">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1,905,007.84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1,026,914.55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6,775,608.91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2,664,425.02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172,991,492.16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120,263,179.36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1.042</w:t>
            </w:r>
          </w:p>
        </w:tc>
      </w:tr>
    </w:tbl>
    <w:p w:rsidR="00EB6B71" w:rsidRDefault="00AB266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B6B71">
        <w:trPr>
          <w:jc w:val="center"/>
        </w:trPr>
        <w:tc>
          <w:tcPr>
            <w:tcW w:w="1266" w:type="dxa"/>
            <w:vAlign w:val="center"/>
          </w:tcPr>
          <w:p w:rsidR="00EB6B71" w:rsidRDefault="00AB266E">
            <w:pPr>
              <w:jc w:val="left"/>
            </w:pPr>
            <w:r>
              <w:rPr>
                <w:color w:val="000000"/>
                <w:sz w:val="24"/>
              </w:rPr>
              <w:t>过去三个月</w:t>
            </w:r>
          </w:p>
        </w:tc>
        <w:tc>
          <w:tcPr>
            <w:tcW w:w="1267" w:type="dxa"/>
            <w:vAlign w:val="center"/>
          </w:tcPr>
          <w:p w:rsidR="00EB6B71" w:rsidRDefault="00AB266E">
            <w:pPr>
              <w:jc w:val="center"/>
            </w:pPr>
            <w:r>
              <w:rPr>
                <w:color w:val="000000"/>
                <w:sz w:val="24"/>
              </w:rPr>
              <w:t>4.16%</w:t>
            </w:r>
          </w:p>
        </w:tc>
        <w:tc>
          <w:tcPr>
            <w:tcW w:w="1267" w:type="dxa"/>
            <w:vAlign w:val="center"/>
          </w:tcPr>
          <w:p w:rsidR="00EB6B71" w:rsidRDefault="00AB266E">
            <w:pPr>
              <w:jc w:val="center"/>
            </w:pPr>
            <w:r>
              <w:rPr>
                <w:color w:val="000000"/>
                <w:sz w:val="24"/>
              </w:rPr>
              <w:t>0.13%</w:t>
            </w:r>
          </w:p>
        </w:tc>
        <w:tc>
          <w:tcPr>
            <w:tcW w:w="1267" w:type="dxa"/>
            <w:vAlign w:val="center"/>
          </w:tcPr>
          <w:p w:rsidR="00EB6B71" w:rsidRDefault="00AB266E">
            <w:pPr>
              <w:jc w:val="center"/>
            </w:pPr>
            <w:r>
              <w:rPr>
                <w:color w:val="000000"/>
                <w:sz w:val="24"/>
              </w:rPr>
              <w:t>2.42%</w:t>
            </w:r>
          </w:p>
        </w:tc>
        <w:tc>
          <w:tcPr>
            <w:tcW w:w="1267" w:type="dxa"/>
            <w:vAlign w:val="center"/>
          </w:tcPr>
          <w:p w:rsidR="00EB6B71" w:rsidRDefault="00AB266E">
            <w:pPr>
              <w:jc w:val="center"/>
            </w:pPr>
            <w:r>
              <w:rPr>
                <w:color w:val="000000"/>
                <w:sz w:val="24"/>
              </w:rPr>
              <w:t>0.09%</w:t>
            </w:r>
          </w:p>
        </w:tc>
        <w:tc>
          <w:tcPr>
            <w:tcW w:w="1267" w:type="dxa"/>
            <w:vAlign w:val="center"/>
          </w:tcPr>
          <w:p w:rsidR="00EB6B71" w:rsidRDefault="00AB266E">
            <w:pPr>
              <w:jc w:val="center"/>
            </w:pPr>
            <w:r>
              <w:rPr>
                <w:color w:val="000000"/>
                <w:sz w:val="24"/>
              </w:rPr>
              <w:t>1.74%</w:t>
            </w:r>
          </w:p>
        </w:tc>
        <w:tc>
          <w:tcPr>
            <w:tcW w:w="1267" w:type="dxa"/>
            <w:vAlign w:val="center"/>
          </w:tcPr>
          <w:p w:rsidR="00EB6B71" w:rsidRDefault="00AB266E">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B6B71">
        <w:trPr>
          <w:jc w:val="center"/>
        </w:trPr>
        <w:tc>
          <w:tcPr>
            <w:tcW w:w="1266" w:type="dxa"/>
            <w:vAlign w:val="center"/>
          </w:tcPr>
          <w:p w:rsidR="00EB6B71" w:rsidRDefault="00AB266E">
            <w:pPr>
              <w:jc w:val="left"/>
            </w:pPr>
            <w:r>
              <w:rPr>
                <w:color w:val="000000"/>
                <w:sz w:val="24"/>
              </w:rPr>
              <w:t>过去三个月</w:t>
            </w:r>
          </w:p>
        </w:tc>
        <w:tc>
          <w:tcPr>
            <w:tcW w:w="1267" w:type="dxa"/>
            <w:vAlign w:val="center"/>
          </w:tcPr>
          <w:p w:rsidR="00EB6B71" w:rsidRDefault="00AB266E">
            <w:pPr>
              <w:jc w:val="center"/>
            </w:pPr>
            <w:r>
              <w:rPr>
                <w:color w:val="000000"/>
                <w:sz w:val="24"/>
              </w:rPr>
              <w:t>3.99%</w:t>
            </w:r>
          </w:p>
        </w:tc>
        <w:tc>
          <w:tcPr>
            <w:tcW w:w="1267" w:type="dxa"/>
            <w:vAlign w:val="center"/>
          </w:tcPr>
          <w:p w:rsidR="00EB6B71" w:rsidRDefault="00AB266E">
            <w:pPr>
              <w:jc w:val="center"/>
            </w:pPr>
            <w:r>
              <w:rPr>
                <w:color w:val="000000"/>
                <w:sz w:val="24"/>
              </w:rPr>
              <w:t>0.11%</w:t>
            </w:r>
          </w:p>
        </w:tc>
        <w:tc>
          <w:tcPr>
            <w:tcW w:w="1267" w:type="dxa"/>
            <w:vAlign w:val="center"/>
          </w:tcPr>
          <w:p w:rsidR="00EB6B71" w:rsidRDefault="00AB266E">
            <w:pPr>
              <w:jc w:val="center"/>
            </w:pPr>
            <w:r>
              <w:rPr>
                <w:color w:val="000000"/>
                <w:sz w:val="24"/>
              </w:rPr>
              <w:t>2.42%</w:t>
            </w:r>
          </w:p>
        </w:tc>
        <w:tc>
          <w:tcPr>
            <w:tcW w:w="1267" w:type="dxa"/>
            <w:vAlign w:val="center"/>
          </w:tcPr>
          <w:p w:rsidR="00EB6B71" w:rsidRDefault="00AB266E">
            <w:pPr>
              <w:jc w:val="center"/>
            </w:pPr>
            <w:r>
              <w:rPr>
                <w:color w:val="000000"/>
                <w:sz w:val="24"/>
              </w:rPr>
              <w:t>0.09%</w:t>
            </w:r>
          </w:p>
        </w:tc>
        <w:tc>
          <w:tcPr>
            <w:tcW w:w="1267" w:type="dxa"/>
            <w:vAlign w:val="center"/>
          </w:tcPr>
          <w:p w:rsidR="00EB6B71" w:rsidRDefault="00AB266E">
            <w:pPr>
              <w:jc w:val="center"/>
            </w:pPr>
            <w:r>
              <w:rPr>
                <w:color w:val="000000"/>
                <w:sz w:val="24"/>
              </w:rPr>
              <w:t>1.57%</w:t>
            </w:r>
          </w:p>
        </w:tc>
        <w:tc>
          <w:tcPr>
            <w:tcW w:w="1267" w:type="dxa"/>
            <w:vAlign w:val="center"/>
          </w:tcPr>
          <w:p w:rsidR="00EB6B71" w:rsidRDefault="00AB266E">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000000" w:rsidRDefault="0042785F">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000000" w:rsidRDefault="00FE7FBD">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C46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B6B71">
        <w:trPr>
          <w:jc w:val="center"/>
        </w:trPr>
        <w:tc>
          <w:tcPr>
            <w:tcW w:w="946" w:type="dxa"/>
            <w:vAlign w:val="center"/>
          </w:tcPr>
          <w:p w:rsidR="00EB6B71" w:rsidRDefault="00AB266E">
            <w:pPr>
              <w:jc w:val="center"/>
            </w:pPr>
            <w:r>
              <w:rPr>
                <w:color w:val="000000"/>
                <w:sz w:val="24"/>
              </w:rPr>
              <w:t>林洪钧</w:t>
            </w:r>
          </w:p>
        </w:tc>
        <w:tc>
          <w:tcPr>
            <w:tcW w:w="924" w:type="dxa"/>
            <w:vAlign w:val="center"/>
          </w:tcPr>
          <w:p w:rsidR="00EB6B71" w:rsidRDefault="00AB266E">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天债券的基金经理，交银荣安保本混合、交银荣祥保本混合的基金经理助理，公司固定收益部助理总经理</w:t>
            </w:r>
          </w:p>
        </w:tc>
        <w:tc>
          <w:tcPr>
            <w:tcW w:w="1202" w:type="dxa"/>
            <w:vAlign w:val="center"/>
          </w:tcPr>
          <w:p w:rsidR="00EB6B71" w:rsidRDefault="00AB266E">
            <w:pPr>
              <w:jc w:val="center"/>
            </w:pPr>
            <w:r>
              <w:rPr>
                <w:color w:val="000000"/>
                <w:sz w:val="24"/>
              </w:rPr>
              <w:t>2014-03-31</w:t>
            </w:r>
          </w:p>
        </w:tc>
        <w:tc>
          <w:tcPr>
            <w:tcW w:w="1300" w:type="dxa"/>
            <w:vAlign w:val="center"/>
          </w:tcPr>
          <w:p w:rsidR="00EB6B71" w:rsidRDefault="00AB266E">
            <w:pPr>
              <w:jc w:val="center"/>
            </w:pPr>
            <w:r>
              <w:rPr>
                <w:color w:val="000000"/>
                <w:sz w:val="24"/>
              </w:rPr>
              <w:t>-</w:t>
            </w:r>
          </w:p>
        </w:tc>
        <w:tc>
          <w:tcPr>
            <w:tcW w:w="1245" w:type="dxa"/>
            <w:vAlign w:val="center"/>
          </w:tcPr>
          <w:p w:rsidR="00EB6B71" w:rsidRDefault="00AB266E">
            <w:pPr>
              <w:jc w:val="center"/>
            </w:pPr>
            <w:r>
              <w:rPr>
                <w:color w:val="000000"/>
                <w:sz w:val="24"/>
              </w:rPr>
              <w:t>10</w:t>
            </w:r>
            <w:r>
              <w:rPr>
                <w:color w:val="000000"/>
                <w:sz w:val="24"/>
              </w:rPr>
              <w:t>年</w:t>
            </w:r>
          </w:p>
        </w:tc>
        <w:tc>
          <w:tcPr>
            <w:tcW w:w="3251" w:type="dxa"/>
            <w:vAlign w:val="center"/>
          </w:tcPr>
          <w:p w:rsidR="00EB6B71" w:rsidRDefault="00AB266E" w:rsidP="00EA0AA5">
            <w:r>
              <w:rPr>
                <w:color w:val="000000"/>
                <w:sz w:val="24"/>
              </w:rPr>
              <w:t>林洪钧先生，复旦大学</w:t>
            </w:r>
            <w:r w:rsidR="00EA0AA5">
              <w:rPr>
                <w:rFonts w:hint="eastAsia"/>
                <w:color w:val="000000"/>
                <w:sz w:val="24"/>
              </w:rPr>
              <w:t>硕</w:t>
            </w:r>
            <w:r w:rsidR="00EA0AA5">
              <w:rPr>
                <w:color w:val="000000"/>
                <w:sz w:val="24"/>
              </w:rPr>
              <w:t>士</w:t>
            </w:r>
            <w:r>
              <w:rPr>
                <w:color w:val="000000"/>
                <w:sz w:val="24"/>
              </w:rPr>
              <w:t>。历任国泰君安证券股份有限公司上海分公司机构客户部客户经理，华安基金管理有限公司债券交易员，加拿大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B6B71" w:rsidRDefault="00AB26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6B71" w:rsidRDefault="00AB26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6B71" w:rsidRDefault="00AB26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B6B71" w:rsidRDefault="00AB266E">
      <w:pPr>
        <w:spacing w:before="29" w:line="288" w:lineRule="auto"/>
        <w:ind w:firstLineChars="200" w:firstLine="480"/>
        <w:rPr>
          <w:color w:val="000000"/>
          <w:sz w:val="24"/>
        </w:rPr>
      </w:pPr>
      <w:r>
        <w:rPr>
          <w:color w:val="000000"/>
          <w:sz w:val="24"/>
        </w:rPr>
        <w:t>本报告期内，经济增长动能依旧趋弱。</w:t>
      </w:r>
      <w:r>
        <w:rPr>
          <w:color w:val="000000"/>
          <w:sz w:val="24"/>
        </w:rPr>
        <w:t>4</w:t>
      </w:r>
      <w:r>
        <w:rPr>
          <w:color w:val="000000"/>
          <w:sz w:val="24"/>
        </w:rPr>
        <w:t>、</w:t>
      </w:r>
      <w:r>
        <w:rPr>
          <w:color w:val="000000"/>
          <w:sz w:val="24"/>
        </w:rPr>
        <w:t>5</w:t>
      </w:r>
      <w:r>
        <w:rPr>
          <w:color w:val="000000"/>
          <w:sz w:val="24"/>
        </w:rPr>
        <w:t>月工业增加值为</w:t>
      </w:r>
      <w:r>
        <w:rPr>
          <w:color w:val="000000"/>
          <w:sz w:val="24"/>
        </w:rPr>
        <w:t>8.7%</w:t>
      </w:r>
      <w:r>
        <w:rPr>
          <w:color w:val="000000"/>
          <w:sz w:val="24"/>
        </w:rPr>
        <w:t>、</w:t>
      </w:r>
      <w:r>
        <w:rPr>
          <w:color w:val="000000"/>
          <w:sz w:val="24"/>
        </w:rPr>
        <w:t>8.8%</w:t>
      </w:r>
      <w:r>
        <w:rPr>
          <w:color w:val="000000"/>
          <w:sz w:val="24"/>
        </w:rPr>
        <w:t>，</w:t>
      </w:r>
      <w:r>
        <w:rPr>
          <w:color w:val="000000"/>
          <w:sz w:val="24"/>
        </w:rPr>
        <w:t>PPI</w:t>
      </w:r>
      <w:r>
        <w:rPr>
          <w:color w:val="000000"/>
          <w:sz w:val="24"/>
        </w:rPr>
        <w:t>今年以来连续</w:t>
      </w:r>
      <w:r>
        <w:rPr>
          <w:color w:val="000000"/>
          <w:sz w:val="24"/>
        </w:rPr>
        <w:t>5</w:t>
      </w:r>
      <w:r>
        <w:rPr>
          <w:color w:val="00000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rPr>
        <w:t>4</w:t>
      </w:r>
      <w:r>
        <w:rPr>
          <w:color w:val="000000"/>
          <w:sz w:val="24"/>
        </w:rPr>
        <w:t>月</w:t>
      </w:r>
      <w:r>
        <w:rPr>
          <w:color w:val="000000"/>
          <w:sz w:val="24"/>
        </w:rPr>
        <w:t>16</w:t>
      </w:r>
      <w:r>
        <w:rPr>
          <w:color w:val="000000"/>
          <w:sz w:val="24"/>
        </w:rPr>
        <w:t>日起，央行降低了部分农信社、城商行、部分股份制银行的存款准备金率。政策的连续出台在下半年或将起到积极的作用。</w:t>
      </w:r>
    </w:p>
    <w:p w:rsidR="00EB6B71" w:rsidRDefault="00AB266E">
      <w:pPr>
        <w:spacing w:before="29" w:line="288" w:lineRule="auto"/>
        <w:ind w:firstLineChars="200" w:firstLine="480"/>
        <w:rPr>
          <w:color w:val="000000"/>
          <w:sz w:val="24"/>
        </w:rPr>
      </w:pPr>
      <w:r>
        <w:rPr>
          <w:color w:val="000000"/>
          <w:sz w:val="24"/>
        </w:rPr>
        <w:t>本报告期内，受经济下滑、货币政策加码、流动性充沛三方面影响，债券市场经历了较为明显的涨幅，中债总财富指数上涨</w:t>
      </w:r>
      <w:r>
        <w:rPr>
          <w:color w:val="000000"/>
          <w:sz w:val="24"/>
        </w:rPr>
        <w:t>3.51%</w:t>
      </w:r>
      <w:r>
        <w:rPr>
          <w:color w:val="000000"/>
          <w:sz w:val="24"/>
        </w:rPr>
        <w:t>。从产品类属上，长久期政策性金融债以及城投债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EB6B71" w:rsidRDefault="00AB266E">
      <w:pPr>
        <w:spacing w:before="29" w:line="288" w:lineRule="auto"/>
        <w:ind w:firstLineChars="200" w:firstLine="480"/>
        <w:rPr>
          <w:color w:val="000000"/>
          <w:sz w:val="24"/>
        </w:rPr>
      </w:pPr>
      <w:r>
        <w:rPr>
          <w:color w:val="000000"/>
          <w:sz w:val="24"/>
        </w:rPr>
        <w:t>本基金在本报告期内保持了较高的债券仓位，</w:t>
      </w:r>
      <w:r w:rsidR="00EA0AA5">
        <w:rPr>
          <w:rFonts w:hint="eastAsia"/>
          <w:color w:val="000000"/>
          <w:sz w:val="24"/>
        </w:rPr>
        <w:t>业绩</w:t>
      </w:r>
      <w:r>
        <w:rPr>
          <w:color w:val="000000"/>
          <w:sz w:val="24"/>
        </w:rPr>
        <w:t>贡献主要来自于债券在二季度的资本利得。</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前期政策累加的效果可能逐步出现，同时稳增长的政策可能继续出台，在稳增长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生增长动力仍需较长时间。所以债券市场收益率大幅上行的可能性也不高。总体说来，本基金对三季度债券市场持较谨慎观点。组合管理方面，计划同时降低债券仓位和久期，以持有票息为主。</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1.051</w:t>
      </w:r>
      <w:r w:rsidRPr="007F52FA">
        <w:rPr>
          <w:color w:val="000000"/>
          <w:sz w:val="24"/>
        </w:rPr>
        <w:t>元，本报告期份额净值增长率为</w:t>
      </w:r>
      <w:r w:rsidRPr="007F52FA">
        <w:rPr>
          <w:color w:val="000000"/>
          <w:sz w:val="24"/>
        </w:rPr>
        <w:t>4.16%</w:t>
      </w:r>
      <w:r w:rsidRPr="007F52FA">
        <w:rPr>
          <w:color w:val="000000"/>
          <w:sz w:val="24"/>
        </w:rPr>
        <w:t>，同期业绩比较基准增长率为</w:t>
      </w:r>
      <w:r w:rsidRPr="007F52FA">
        <w:rPr>
          <w:color w:val="000000"/>
          <w:sz w:val="24"/>
        </w:rPr>
        <w:t>2.42%</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1.042</w:t>
      </w:r>
      <w:r w:rsidRPr="007F52FA">
        <w:rPr>
          <w:color w:val="000000"/>
          <w:sz w:val="24"/>
        </w:rPr>
        <w:t>元，本报告期份额净值增长率为</w:t>
      </w:r>
      <w:r w:rsidRPr="007F52FA">
        <w:rPr>
          <w:color w:val="000000"/>
          <w:sz w:val="24"/>
        </w:rPr>
        <w:t>3.99%</w:t>
      </w:r>
      <w:r w:rsidRPr="007F52FA">
        <w:rPr>
          <w:color w:val="000000"/>
          <w:sz w:val="24"/>
        </w:rPr>
        <w:t>，同期业绩比较基准增长率为</w:t>
      </w:r>
      <w:r w:rsidRPr="007F52FA">
        <w:rPr>
          <w:color w:val="000000"/>
          <w:sz w:val="24"/>
        </w:rPr>
        <w:t>2.42%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C46ABF">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529,894,945.76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519,845,945.76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10,049,000.00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10,919,025.97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30,670,928.05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571,484,899.78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87,696,000.00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26,455,912.00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26,455,912.00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264,223,033.76</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141,471,000.00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519,845,945.76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177.27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B6B71">
        <w:trPr>
          <w:jc w:val="center"/>
        </w:trPr>
        <w:tc>
          <w:tcPr>
            <w:tcW w:w="1075" w:type="dxa"/>
            <w:vAlign w:val="center"/>
          </w:tcPr>
          <w:p w:rsidR="00EB6B71" w:rsidRDefault="00AB266E">
            <w:pPr>
              <w:jc w:val="center"/>
            </w:pPr>
            <w:r>
              <w:rPr>
                <w:color w:val="000000"/>
                <w:sz w:val="24"/>
              </w:rPr>
              <w:t>1</w:t>
            </w:r>
          </w:p>
        </w:tc>
        <w:tc>
          <w:tcPr>
            <w:tcW w:w="1533" w:type="dxa"/>
            <w:vAlign w:val="center"/>
          </w:tcPr>
          <w:p w:rsidR="00EB6B71" w:rsidRDefault="00AB266E">
            <w:pPr>
              <w:jc w:val="center"/>
            </w:pPr>
            <w:r>
              <w:rPr>
                <w:color w:val="000000"/>
                <w:sz w:val="24"/>
              </w:rPr>
              <w:t>010107</w:t>
            </w:r>
          </w:p>
        </w:tc>
        <w:tc>
          <w:tcPr>
            <w:tcW w:w="1533" w:type="dxa"/>
            <w:vAlign w:val="center"/>
          </w:tcPr>
          <w:p w:rsidR="00EB6B71" w:rsidRDefault="00AB266E">
            <w:pPr>
              <w:jc w:val="center"/>
            </w:pPr>
            <w:r>
              <w:rPr>
                <w:color w:val="000000"/>
                <w:sz w:val="24"/>
              </w:rPr>
              <w:t>21</w:t>
            </w:r>
            <w:r>
              <w:rPr>
                <w:color w:val="000000"/>
                <w:sz w:val="24"/>
              </w:rPr>
              <w:t>国债</w:t>
            </w:r>
            <w:r>
              <w:rPr>
                <w:color w:val="000000"/>
                <w:sz w:val="24"/>
              </w:rPr>
              <w:t>⑺</w:t>
            </w:r>
          </w:p>
        </w:tc>
        <w:tc>
          <w:tcPr>
            <w:tcW w:w="1394" w:type="dxa"/>
            <w:vAlign w:val="center"/>
          </w:tcPr>
          <w:p w:rsidR="00EB6B71" w:rsidRDefault="00AB266E">
            <w:pPr>
              <w:jc w:val="right"/>
            </w:pPr>
            <w:r>
              <w:rPr>
                <w:color w:val="000000"/>
                <w:sz w:val="24"/>
              </w:rPr>
              <w:t>870,000</w:t>
            </w:r>
          </w:p>
        </w:tc>
        <w:tc>
          <w:tcPr>
            <w:tcW w:w="1944" w:type="dxa"/>
            <w:vAlign w:val="center"/>
          </w:tcPr>
          <w:p w:rsidR="00EB6B71" w:rsidRDefault="00AB266E">
            <w:pPr>
              <w:jc w:val="right"/>
            </w:pPr>
            <w:r>
              <w:rPr>
                <w:color w:val="000000"/>
                <w:sz w:val="24"/>
              </w:rPr>
              <w:t>87,696,000.00</w:t>
            </w:r>
          </w:p>
        </w:tc>
        <w:tc>
          <w:tcPr>
            <w:tcW w:w="1389" w:type="dxa"/>
            <w:vAlign w:val="center"/>
          </w:tcPr>
          <w:p w:rsidR="00EB6B71" w:rsidRDefault="00AB266E">
            <w:pPr>
              <w:jc w:val="right"/>
            </w:pPr>
            <w:r>
              <w:rPr>
                <w:color w:val="000000"/>
                <w:sz w:val="24"/>
              </w:rPr>
              <w:t>29.90</w:t>
            </w:r>
          </w:p>
        </w:tc>
      </w:tr>
      <w:tr w:rsidR="00EB6B71">
        <w:trPr>
          <w:jc w:val="center"/>
        </w:trPr>
        <w:tc>
          <w:tcPr>
            <w:tcW w:w="1075" w:type="dxa"/>
            <w:vAlign w:val="center"/>
          </w:tcPr>
          <w:p w:rsidR="00EB6B71" w:rsidRDefault="00AB266E">
            <w:pPr>
              <w:jc w:val="center"/>
            </w:pPr>
            <w:r>
              <w:rPr>
                <w:color w:val="000000"/>
                <w:sz w:val="24"/>
              </w:rPr>
              <w:t>2</w:t>
            </w:r>
          </w:p>
        </w:tc>
        <w:tc>
          <w:tcPr>
            <w:tcW w:w="1533" w:type="dxa"/>
            <w:vAlign w:val="center"/>
          </w:tcPr>
          <w:p w:rsidR="00EB6B71" w:rsidRDefault="00AB266E">
            <w:pPr>
              <w:jc w:val="center"/>
            </w:pPr>
            <w:r>
              <w:rPr>
                <w:color w:val="000000"/>
                <w:sz w:val="24"/>
              </w:rPr>
              <w:t>122527</w:t>
            </w:r>
          </w:p>
        </w:tc>
        <w:tc>
          <w:tcPr>
            <w:tcW w:w="1533" w:type="dxa"/>
            <w:vAlign w:val="center"/>
          </w:tcPr>
          <w:p w:rsidR="00EB6B71" w:rsidRDefault="00AB266E">
            <w:pPr>
              <w:jc w:val="center"/>
            </w:pPr>
            <w:r>
              <w:rPr>
                <w:color w:val="000000"/>
                <w:sz w:val="24"/>
              </w:rPr>
              <w:t>12</w:t>
            </w:r>
            <w:r>
              <w:rPr>
                <w:color w:val="000000"/>
                <w:sz w:val="24"/>
              </w:rPr>
              <w:t>温国投</w:t>
            </w:r>
          </w:p>
        </w:tc>
        <w:tc>
          <w:tcPr>
            <w:tcW w:w="1394" w:type="dxa"/>
            <w:vAlign w:val="center"/>
          </w:tcPr>
          <w:p w:rsidR="00EB6B71" w:rsidRDefault="00AB266E">
            <w:pPr>
              <w:jc w:val="right"/>
            </w:pPr>
            <w:r>
              <w:rPr>
                <w:color w:val="000000"/>
                <w:sz w:val="24"/>
              </w:rPr>
              <w:t>200,000</w:t>
            </w:r>
          </w:p>
        </w:tc>
        <w:tc>
          <w:tcPr>
            <w:tcW w:w="1944" w:type="dxa"/>
            <w:vAlign w:val="center"/>
          </w:tcPr>
          <w:p w:rsidR="00EB6B71" w:rsidRDefault="00AB266E">
            <w:pPr>
              <w:jc w:val="right"/>
            </w:pPr>
            <w:r>
              <w:rPr>
                <w:color w:val="000000"/>
                <w:sz w:val="24"/>
              </w:rPr>
              <w:t>21,356,000.00</w:t>
            </w:r>
          </w:p>
        </w:tc>
        <w:tc>
          <w:tcPr>
            <w:tcW w:w="1389" w:type="dxa"/>
            <w:vAlign w:val="center"/>
          </w:tcPr>
          <w:p w:rsidR="00EB6B71" w:rsidRDefault="00AB266E">
            <w:pPr>
              <w:jc w:val="right"/>
            </w:pPr>
            <w:r>
              <w:rPr>
                <w:color w:val="000000"/>
                <w:sz w:val="24"/>
              </w:rPr>
              <w:t>7.28</w:t>
            </w:r>
          </w:p>
        </w:tc>
      </w:tr>
      <w:tr w:rsidR="00EB6B71">
        <w:trPr>
          <w:jc w:val="center"/>
        </w:trPr>
        <w:tc>
          <w:tcPr>
            <w:tcW w:w="1075" w:type="dxa"/>
            <w:vAlign w:val="center"/>
          </w:tcPr>
          <w:p w:rsidR="00EB6B71" w:rsidRDefault="00AB266E">
            <w:pPr>
              <w:jc w:val="center"/>
            </w:pPr>
            <w:r>
              <w:rPr>
                <w:color w:val="000000"/>
                <w:sz w:val="24"/>
              </w:rPr>
              <w:t>3</w:t>
            </w:r>
          </w:p>
        </w:tc>
        <w:tc>
          <w:tcPr>
            <w:tcW w:w="1533" w:type="dxa"/>
            <w:vAlign w:val="center"/>
          </w:tcPr>
          <w:p w:rsidR="00EB6B71" w:rsidRDefault="00AB266E">
            <w:pPr>
              <w:jc w:val="center"/>
            </w:pPr>
            <w:r>
              <w:rPr>
                <w:color w:val="000000"/>
                <w:sz w:val="24"/>
              </w:rPr>
              <w:t>101456011</w:t>
            </w:r>
          </w:p>
        </w:tc>
        <w:tc>
          <w:tcPr>
            <w:tcW w:w="1533" w:type="dxa"/>
            <w:vAlign w:val="center"/>
          </w:tcPr>
          <w:p w:rsidR="00EB6B71" w:rsidRDefault="00AB266E">
            <w:pPr>
              <w:jc w:val="center"/>
            </w:pPr>
            <w:r>
              <w:rPr>
                <w:color w:val="000000"/>
                <w:sz w:val="24"/>
              </w:rPr>
              <w:t>14</w:t>
            </w:r>
            <w:r>
              <w:rPr>
                <w:color w:val="000000"/>
                <w:sz w:val="24"/>
              </w:rPr>
              <w:t>长沙城投</w:t>
            </w:r>
            <w:r>
              <w:rPr>
                <w:color w:val="000000"/>
                <w:sz w:val="24"/>
              </w:rPr>
              <w:t>MTN001</w:t>
            </w:r>
          </w:p>
        </w:tc>
        <w:tc>
          <w:tcPr>
            <w:tcW w:w="1394" w:type="dxa"/>
            <w:vAlign w:val="center"/>
          </w:tcPr>
          <w:p w:rsidR="00EB6B71" w:rsidRDefault="00AB266E">
            <w:pPr>
              <w:jc w:val="right"/>
            </w:pPr>
            <w:r>
              <w:rPr>
                <w:color w:val="000000"/>
                <w:sz w:val="24"/>
              </w:rPr>
              <w:t>200,000</w:t>
            </w:r>
          </w:p>
        </w:tc>
        <w:tc>
          <w:tcPr>
            <w:tcW w:w="1944" w:type="dxa"/>
            <w:vAlign w:val="center"/>
          </w:tcPr>
          <w:p w:rsidR="00EB6B71" w:rsidRDefault="00AB266E">
            <w:pPr>
              <w:jc w:val="right"/>
            </w:pPr>
            <w:r>
              <w:rPr>
                <w:color w:val="000000"/>
                <w:sz w:val="24"/>
              </w:rPr>
              <w:t>21,000,000.00</w:t>
            </w:r>
          </w:p>
        </w:tc>
        <w:tc>
          <w:tcPr>
            <w:tcW w:w="1389" w:type="dxa"/>
            <w:vAlign w:val="center"/>
          </w:tcPr>
          <w:p w:rsidR="00EB6B71" w:rsidRDefault="00AB266E">
            <w:pPr>
              <w:jc w:val="right"/>
            </w:pPr>
            <w:r>
              <w:rPr>
                <w:color w:val="000000"/>
                <w:sz w:val="24"/>
              </w:rPr>
              <w:t>7.16</w:t>
            </w:r>
          </w:p>
        </w:tc>
      </w:tr>
      <w:tr w:rsidR="00EB6B71">
        <w:trPr>
          <w:jc w:val="center"/>
        </w:trPr>
        <w:tc>
          <w:tcPr>
            <w:tcW w:w="1075" w:type="dxa"/>
            <w:vAlign w:val="center"/>
          </w:tcPr>
          <w:p w:rsidR="00EB6B71" w:rsidRDefault="00AB266E">
            <w:pPr>
              <w:jc w:val="center"/>
            </w:pPr>
            <w:r>
              <w:rPr>
                <w:color w:val="000000"/>
                <w:sz w:val="24"/>
              </w:rPr>
              <w:t>4</w:t>
            </w:r>
          </w:p>
        </w:tc>
        <w:tc>
          <w:tcPr>
            <w:tcW w:w="1533" w:type="dxa"/>
            <w:vAlign w:val="center"/>
          </w:tcPr>
          <w:p w:rsidR="00EB6B71" w:rsidRDefault="00AB266E">
            <w:pPr>
              <w:jc w:val="center"/>
            </w:pPr>
            <w:r>
              <w:rPr>
                <w:color w:val="000000"/>
                <w:sz w:val="24"/>
              </w:rPr>
              <w:t>101354022</w:t>
            </w:r>
          </w:p>
        </w:tc>
        <w:tc>
          <w:tcPr>
            <w:tcW w:w="1533" w:type="dxa"/>
            <w:vAlign w:val="center"/>
          </w:tcPr>
          <w:p w:rsidR="00EB6B71" w:rsidRDefault="00AB266E">
            <w:pPr>
              <w:jc w:val="center"/>
            </w:pPr>
            <w:r>
              <w:rPr>
                <w:color w:val="000000"/>
                <w:sz w:val="24"/>
              </w:rPr>
              <w:t>13</w:t>
            </w:r>
            <w:r>
              <w:rPr>
                <w:color w:val="000000"/>
                <w:sz w:val="24"/>
              </w:rPr>
              <w:t>兴泸</w:t>
            </w:r>
            <w:r>
              <w:rPr>
                <w:color w:val="000000"/>
                <w:sz w:val="24"/>
              </w:rPr>
              <w:t>MTN001</w:t>
            </w:r>
          </w:p>
        </w:tc>
        <w:tc>
          <w:tcPr>
            <w:tcW w:w="1394" w:type="dxa"/>
            <w:vAlign w:val="center"/>
          </w:tcPr>
          <w:p w:rsidR="00EB6B71" w:rsidRDefault="00AB266E">
            <w:pPr>
              <w:jc w:val="right"/>
            </w:pPr>
            <w:r>
              <w:rPr>
                <w:color w:val="000000"/>
                <w:sz w:val="24"/>
              </w:rPr>
              <w:t>200,000</w:t>
            </w:r>
          </w:p>
        </w:tc>
        <w:tc>
          <w:tcPr>
            <w:tcW w:w="1944" w:type="dxa"/>
            <w:vAlign w:val="center"/>
          </w:tcPr>
          <w:p w:rsidR="00EB6B71" w:rsidRDefault="00AB266E">
            <w:pPr>
              <w:jc w:val="right"/>
            </w:pPr>
            <w:r>
              <w:rPr>
                <w:color w:val="000000"/>
                <w:sz w:val="24"/>
              </w:rPr>
              <w:t>20,582,000.00</w:t>
            </w:r>
          </w:p>
        </w:tc>
        <w:tc>
          <w:tcPr>
            <w:tcW w:w="1389" w:type="dxa"/>
            <w:vAlign w:val="center"/>
          </w:tcPr>
          <w:p w:rsidR="00EB6B71" w:rsidRDefault="00AB266E">
            <w:pPr>
              <w:jc w:val="right"/>
            </w:pPr>
            <w:r>
              <w:rPr>
                <w:color w:val="000000"/>
                <w:sz w:val="24"/>
              </w:rPr>
              <w:t>7.02</w:t>
            </w:r>
          </w:p>
        </w:tc>
      </w:tr>
      <w:tr w:rsidR="00EB6B71">
        <w:trPr>
          <w:jc w:val="center"/>
        </w:trPr>
        <w:tc>
          <w:tcPr>
            <w:tcW w:w="1075" w:type="dxa"/>
            <w:vAlign w:val="center"/>
          </w:tcPr>
          <w:p w:rsidR="00EB6B71" w:rsidRDefault="00AB266E">
            <w:pPr>
              <w:jc w:val="center"/>
            </w:pPr>
            <w:r>
              <w:rPr>
                <w:color w:val="000000"/>
                <w:sz w:val="24"/>
              </w:rPr>
              <w:t>5</w:t>
            </w:r>
          </w:p>
        </w:tc>
        <w:tc>
          <w:tcPr>
            <w:tcW w:w="1533" w:type="dxa"/>
            <w:vAlign w:val="center"/>
          </w:tcPr>
          <w:p w:rsidR="00EB6B71" w:rsidRDefault="00AB266E">
            <w:pPr>
              <w:jc w:val="center"/>
            </w:pPr>
            <w:r>
              <w:rPr>
                <w:color w:val="000000"/>
                <w:sz w:val="24"/>
              </w:rPr>
              <w:t>124440</w:t>
            </w:r>
          </w:p>
        </w:tc>
        <w:tc>
          <w:tcPr>
            <w:tcW w:w="1533" w:type="dxa"/>
            <w:vAlign w:val="center"/>
          </w:tcPr>
          <w:p w:rsidR="00EB6B71" w:rsidRDefault="00AB266E">
            <w:pPr>
              <w:jc w:val="center"/>
            </w:pPr>
            <w:r>
              <w:rPr>
                <w:color w:val="000000"/>
                <w:sz w:val="24"/>
              </w:rPr>
              <w:t>13</w:t>
            </w:r>
            <w:r>
              <w:rPr>
                <w:color w:val="000000"/>
                <w:sz w:val="24"/>
              </w:rPr>
              <w:t>宁德投</w:t>
            </w:r>
          </w:p>
        </w:tc>
        <w:tc>
          <w:tcPr>
            <w:tcW w:w="1394" w:type="dxa"/>
            <w:vAlign w:val="center"/>
          </w:tcPr>
          <w:p w:rsidR="00EB6B71" w:rsidRDefault="00AB266E">
            <w:pPr>
              <w:jc w:val="right"/>
            </w:pPr>
            <w:r>
              <w:rPr>
                <w:color w:val="000000"/>
                <w:sz w:val="24"/>
              </w:rPr>
              <w:t>200,000</w:t>
            </w:r>
          </w:p>
        </w:tc>
        <w:tc>
          <w:tcPr>
            <w:tcW w:w="1944" w:type="dxa"/>
            <w:vAlign w:val="center"/>
          </w:tcPr>
          <w:p w:rsidR="00EB6B71" w:rsidRDefault="00AB266E">
            <w:pPr>
              <w:jc w:val="right"/>
            </w:pPr>
            <w:r>
              <w:rPr>
                <w:color w:val="000000"/>
                <w:sz w:val="24"/>
              </w:rPr>
              <w:t>20,404,000.00</w:t>
            </w:r>
          </w:p>
        </w:tc>
        <w:tc>
          <w:tcPr>
            <w:tcW w:w="1389" w:type="dxa"/>
            <w:vAlign w:val="center"/>
          </w:tcPr>
          <w:p w:rsidR="00EB6B71" w:rsidRDefault="00AB266E">
            <w:pPr>
              <w:jc w:val="right"/>
            </w:pPr>
            <w:r>
              <w:rPr>
                <w:color w:val="000000"/>
                <w:sz w:val="24"/>
              </w:rPr>
              <w:t>6.96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Ind w:w="15" w:type="dxa"/>
        <w:tblCellMar>
          <w:top w:w="57" w:type="dxa"/>
          <w:bottom w:w="57" w:type="dxa"/>
        </w:tblCellMar>
        <w:tblLook w:val="04A0"/>
      </w:tblPr>
      <w:tblGrid>
        <w:gridCol w:w="1431"/>
        <w:gridCol w:w="1473"/>
        <w:gridCol w:w="1435"/>
        <w:gridCol w:w="1468"/>
        <w:gridCol w:w="1596"/>
        <w:gridCol w:w="1465"/>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B6B71">
        <w:trPr>
          <w:jc w:val="center"/>
        </w:trPr>
        <w:tc>
          <w:tcPr>
            <w:tcW w:w="0" w:type="auto"/>
            <w:vAlign w:val="center"/>
          </w:tcPr>
          <w:p w:rsidR="00EB6B71" w:rsidRDefault="00AB266E">
            <w:pPr>
              <w:jc w:val="center"/>
            </w:pPr>
            <w:r>
              <w:rPr>
                <w:color w:val="000000"/>
                <w:sz w:val="24"/>
              </w:rPr>
              <w:t>1</w:t>
            </w:r>
          </w:p>
        </w:tc>
        <w:tc>
          <w:tcPr>
            <w:tcW w:w="0" w:type="auto"/>
            <w:vAlign w:val="center"/>
          </w:tcPr>
          <w:p w:rsidR="00EB6B71" w:rsidRDefault="00AB266E">
            <w:pPr>
              <w:jc w:val="center"/>
            </w:pPr>
            <w:r>
              <w:rPr>
                <w:color w:val="000000"/>
                <w:sz w:val="24"/>
              </w:rPr>
              <w:t>1489029</w:t>
            </w:r>
          </w:p>
        </w:tc>
        <w:tc>
          <w:tcPr>
            <w:tcW w:w="0" w:type="auto"/>
            <w:vAlign w:val="center"/>
          </w:tcPr>
          <w:p w:rsidR="00EB6B71" w:rsidRDefault="00AB266E">
            <w:pPr>
              <w:jc w:val="center"/>
            </w:pPr>
            <w:r>
              <w:rPr>
                <w:color w:val="000000"/>
                <w:sz w:val="24"/>
              </w:rPr>
              <w:t>14</w:t>
            </w:r>
            <w:r>
              <w:rPr>
                <w:color w:val="000000"/>
                <w:sz w:val="24"/>
              </w:rPr>
              <w:t>东元</w:t>
            </w:r>
            <w:r>
              <w:rPr>
                <w:color w:val="000000"/>
                <w:sz w:val="24"/>
              </w:rPr>
              <w:t>1A</w:t>
            </w:r>
          </w:p>
        </w:tc>
        <w:tc>
          <w:tcPr>
            <w:tcW w:w="0" w:type="auto"/>
            <w:vAlign w:val="center"/>
          </w:tcPr>
          <w:p w:rsidR="00EB6B71" w:rsidRDefault="00AB266E">
            <w:pPr>
              <w:jc w:val="right"/>
            </w:pPr>
            <w:r>
              <w:rPr>
                <w:color w:val="000000"/>
                <w:sz w:val="24"/>
              </w:rPr>
              <w:t>100,000</w:t>
            </w:r>
          </w:p>
        </w:tc>
        <w:tc>
          <w:tcPr>
            <w:tcW w:w="0" w:type="auto"/>
            <w:vAlign w:val="center"/>
          </w:tcPr>
          <w:p w:rsidR="00EB6B71" w:rsidRDefault="00AB266E">
            <w:pPr>
              <w:jc w:val="right"/>
            </w:pPr>
            <w:r>
              <w:rPr>
                <w:color w:val="000000"/>
                <w:sz w:val="24"/>
              </w:rPr>
              <w:t>10,049,000.00</w:t>
            </w:r>
          </w:p>
        </w:tc>
        <w:tc>
          <w:tcPr>
            <w:tcW w:w="0" w:type="auto"/>
            <w:vAlign w:val="center"/>
          </w:tcPr>
          <w:p w:rsidR="00EB6B71" w:rsidRDefault="00AB266E">
            <w:pPr>
              <w:jc w:val="right"/>
            </w:pPr>
            <w:r>
              <w:rPr>
                <w:color w:val="000000"/>
                <w:sz w:val="24"/>
              </w:rPr>
              <w:t>3.43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12,290.04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19,971,213.70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10,557,589.09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129,835.22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30,670,928.05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46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3749"/>
        <w:gridCol w:w="2688"/>
        <w:gridCol w:w="2431"/>
      </w:tblGrid>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C71DA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170,008,855.48</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11,391,747.47</w:t>
            </w:r>
          </w:p>
        </w:tc>
      </w:tr>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11,459,235.06</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112,512,121.89</w:t>
            </w:r>
          </w:p>
        </w:tc>
      </w:tr>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16,898,705.14</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8,446,282.92</w:t>
            </w:r>
          </w:p>
        </w:tc>
      </w:tr>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C71DA2">
        <w:trPr>
          <w:jc w:val="center"/>
        </w:trPr>
        <w:tc>
          <w:tcPr>
            <w:tcW w:w="3749"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688"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164,569,385.40</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115,457,586.44</w:t>
            </w:r>
          </w:p>
        </w:tc>
      </w:tr>
    </w:tbl>
    <w:p w:rsidR="00EB6B71" w:rsidRDefault="00AB266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46ABF">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868" w:type="dxa"/>
        <w:jc w:val="center"/>
        <w:tblLayout w:type="fixed"/>
        <w:tblLook w:val="0000"/>
      </w:tblPr>
      <w:tblGrid>
        <w:gridCol w:w="5450"/>
        <w:gridCol w:w="3418"/>
      </w:tblGrid>
      <w:tr w:rsidR="00C71DA2" w:rsidRPr="000673DA" w:rsidTr="007B3FB3">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pStyle w:val="ac"/>
              <w:adjustRightInd w:val="0"/>
              <w:snapToGrid w:val="0"/>
              <w:spacing w:line="360" w:lineRule="exact"/>
              <w:rPr>
                <w:color w:val="000000"/>
                <w:szCs w:val="24"/>
              </w:rPr>
            </w:pPr>
            <w:r w:rsidRPr="000673DA">
              <w:rPr>
                <w:rFonts w:hAnsi="宋体"/>
                <w:color w:val="000000"/>
                <w:szCs w:val="24"/>
              </w:rPr>
              <w:t>报告期期初管理人持有的本基金份额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jc w:val="right"/>
              <w:rPr>
                <w:sz w:val="24"/>
              </w:rPr>
            </w:pPr>
            <w:r w:rsidRPr="000673DA">
              <w:rPr>
                <w:color w:val="000000"/>
                <w:sz w:val="24"/>
              </w:rPr>
              <w:t>10,072,734.64</w:t>
            </w:r>
          </w:p>
        </w:tc>
      </w:tr>
      <w:tr w:rsidR="00C71DA2" w:rsidRPr="000673DA" w:rsidTr="007B3FB3">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买入</w:t>
            </w:r>
            <w:r w:rsidRPr="000673DA">
              <w:rPr>
                <w:color w:val="000000"/>
                <w:sz w:val="24"/>
              </w:rPr>
              <w:t>/</w:t>
            </w:r>
            <w:r w:rsidRPr="000673DA">
              <w:rPr>
                <w:rFonts w:hAnsi="宋体"/>
                <w:color w:val="000000"/>
                <w:sz w:val="24"/>
              </w:rPr>
              <w:t>申购总份额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jc w:val="right"/>
              <w:rPr>
                <w:color w:val="000000"/>
                <w:kern w:val="0"/>
                <w:sz w:val="24"/>
              </w:rPr>
            </w:pPr>
            <w:r w:rsidRPr="000673DA">
              <w:rPr>
                <w:color w:val="000000"/>
                <w:sz w:val="24"/>
              </w:rPr>
              <w:t>-</w:t>
            </w:r>
          </w:p>
        </w:tc>
      </w:tr>
      <w:tr w:rsidR="00C71DA2" w:rsidRPr="000673DA" w:rsidTr="007B3FB3">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卖出</w:t>
            </w:r>
            <w:r w:rsidRPr="000673DA">
              <w:rPr>
                <w:color w:val="000000"/>
                <w:sz w:val="24"/>
              </w:rPr>
              <w:t>/</w:t>
            </w:r>
            <w:r w:rsidRPr="000673DA">
              <w:rPr>
                <w:rFonts w:hAnsi="宋体"/>
                <w:color w:val="000000"/>
                <w:sz w:val="24"/>
              </w:rPr>
              <w:t>赎回总份额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jc w:val="right"/>
              <w:rPr>
                <w:color w:val="000000"/>
                <w:kern w:val="0"/>
                <w:sz w:val="24"/>
              </w:rPr>
            </w:pPr>
            <w:r w:rsidRPr="000673DA">
              <w:rPr>
                <w:color w:val="000000"/>
                <w:sz w:val="24"/>
              </w:rPr>
              <w:t>-</w:t>
            </w:r>
          </w:p>
        </w:tc>
      </w:tr>
      <w:tr w:rsidR="00C71DA2" w:rsidRPr="000673DA" w:rsidTr="007B3FB3">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adjustRightInd w:val="0"/>
              <w:snapToGrid w:val="0"/>
              <w:spacing w:line="360" w:lineRule="exact"/>
              <w:rPr>
                <w:color w:val="000000"/>
                <w:sz w:val="24"/>
              </w:rPr>
            </w:pPr>
            <w:r w:rsidRPr="000673DA">
              <w:rPr>
                <w:rFonts w:hAnsi="宋体"/>
                <w:color w:val="000000"/>
                <w:sz w:val="24"/>
              </w:rPr>
              <w:t>报告期期末管理人持有的本基金份额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jc w:val="right"/>
              <w:rPr>
                <w:sz w:val="24"/>
              </w:rPr>
            </w:pPr>
            <w:r w:rsidRPr="000673DA">
              <w:rPr>
                <w:color w:val="000000"/>
                <w:sz w:val="24"/>
              </w:rPr>
              <w:t>10,072,734.64</w:t>
            </w:r>
          </w:p>
        </w:tc>
      </w:tr>
      <w:tr w:rsidR="00C71DA2" w:rsidRPr="000673DA" w:rsidTr="007B3FB3">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adjustRightInd w:val="0"/>
              <w:snapToGrid w:val="0"/>
              <w:spacing w:line="360" w:lineRule="exact"/>
              <w:rPr>
                <w:color w:val="000000"/>
                <w:sz w:val="24"/>
              </w:rPr>
            </w:pPr>
            <w:r w:rsidRPr="000673DA">
              <w:rPr>
                <w:rFonts w:hAnsi="宋体"/>
                <w:color w:val="000000"/>
                <w:sz w:val="24"/>
              </w:rPr>
              <w:t>报告期期末持有的本基金份额占基金总份额比例（</w:t>
            </w:r>
            <w:r w:rsidRPr="000673DA">
              <w:rPr>
                <w:color w:val="000000"/>
                <w:sz w:val="24"/>
              </w:rPr>
              <w:t>%</w:t>
            </w:r>
            <w:r w:rsidRPr="000673DA">
              <w:rPr>
                <w:rFonts w:hAnsi="宋体"/>
                <w:color w:val="000000"/>
                <w:sz w:val="24"/>
              </w:rPr>
              <w:t>）</w:t>
            </w:r>
          </w:p>
        </w:tc>
        <w:tc>
          <w:tcPr>
            <w:tcW w:w="3418" w:type="dxa"/>
            <w:tcBorders>
              <w:top w:val="single" w:sz="8" w:space="0" w:color="000000"/>
              <w:left w:val="single" w:sz="8" w:space="0" w:color="000000"/>
              <w:bottom w:val="single" w:sz="8" w:space="0" w:color="000000"/>
              <w:right w:val="single" w:sz="8" w:space="0" w:color="000000"/>
            </w:tcBorders>
            <w:vAlign w:val="center"/>
          </w:tcPr>
          <w:p w:rsidR="00C71DA2" w:rsidRPr="000673DA" w:rsidRDefault="00C71DA2" w:rsidP="007B3FB3">
            <w:pPr>
              <w:jc w:val="right"/>
              <w:rPr>
                <w:color w:val="000000"/>
                <w:kern w:val="0"/>
                <w:sz w:val="24"/>
              </w:rPr>
            </w:pPr>
            <w:r w:rsidRPr="00AE55CC">
              <w:rPr>
                <w:color w:val="000000"/>
                <w:sz w:val="24"/>
              </w:rPr>
              <w:t>3.60</w:t>
            </w:r>
          </w:p>
        </w:tc>
      </w:tr>
    </w:tbl>
    <w:p w:rsidR="00EB6B71" w:rsidRDefault="00AB266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C46ABF">
      <w:pPr>
        <w:pStyle w:val="1"/>
        <w:spacing w:beforeLines="100" w:afterLines="100"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1619"/>
        <w:gridCol w:w="1687"/>
        <w:gridCol w:w="1619"/>
        <w:gridCol w:w="1687"/>
        <w:gridCol w:w="1270"/>
      </w:tblGrid>
      <w:tr w:rsidR="00B47574" w:rsidRPr="007F52FA" w:rsidTr="00C71DA2">
        <w:trPr>
          <w:trHeight w:val="5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C71DA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3.60%</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3.57%</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C71DA2">
        <w:trPr>
          <w:trHeight w:val="7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71DA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71DA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71DA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71DA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3.60%</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3.57%</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C46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B6B71" w:rsidRDefault="00AB266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435" w:rsidRDefault="00563435">
      <w:r>
        <w:separator/>
      </w:r>
    </w:p>
  </w:endnote>
  <w:endnote w:type="continuationSeparator" w:id="1">
    <w:p w:rsidR="00563435" w:rsidRDefault="0056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525471">
      <w:rPr>
        <w:kern w:val="0"/>
        <w:szCs w:val="21"/>
      </w:rPr>
      <w:fldChar w:fldCharType="begin"/>
    </w:r>
    <w:r>
      <w:rPr>
        <w:kern w:val="0"/>
        <w:szCs w:val="21"/>
      </w:rPr>
      <w:instrText xml:space="preserve"> PAGE </w:instrText>
    </w:r>
    <w:r w:rsidR="00525471">
      <w:rPr>
        <w:kern w:val="0"/>
        <w:szCs w:val="21"/>
      </w:rPr>
      <w:fldChar w:fldCharType="separate"/>
    </w:r>
    <w:r w:rsidR="00C46ABF">
      <w:rPr>
        <w:noProof/>
        <w:kern w:val="0"/>
        <w:szCs w:val="21"/>
      </w:rPr>
      <w:t>1</w:t>
    </w:r>
    <w:r w:rsidR="00525471">
      <w:rPr>
        <w:kern w:val="0"/>
        <w:szCs w:val="21"/>
      </w:rPr>
      <w:fldChar w:fldCharType="end"/>
    </w:r>
    <w:r>
      <w:rPr>
        <w:rFonts w:hint="eastAsia"/>
        <w:kern w:val="0"/>
        <w:szCs w:val="21"/>
      </w:rPr>
      <w:t>页共</w:t>
    </w:r>
    <w:r w:rsidR="00525471">
      <w:rPr>
        <w:kern w:val="0"/>
        <w:szCs w:val="21"/>
      </w:rPr>
      <w:fldChar w:fldCharType="begin"/>
    </w:r>
    <w:r>
      <w:rPr>
        <w:kern w:val="0"/>
        <w:szCs w:val="21"/>
      </w:rPr>
      <w:instrText xml:space="preserve"> NUMPAGES </w:instrText>
    </w:r>
    <w:r w:rsidR="00525471">
      <w:rPr>
        <w:kern w:val="0"/>
        <w:szCs w:val="21"/>
      </w:rPr>
      <w:fldChar w:fldCharType="separate"/>
    </w:r>
    <w:r w:rsidR="00C46ABF">
      <w:rPr>
        <w:noProof/>
        <w:kern w:val="0"/>
        <w:szCs w:val="21"/>
      </w:rPr>
      <w:t>1</w:t>
    </w:r>
    <w:r w:rsidR="00525471">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525471">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435" w:rsidRDefault="00563435">
      <w:r>
        <w:separator/>
      </w:r>
    </w:p>
  </w:footnote>
  <w:footnote w:type="continuationSeparator" w:id="1">
    <w:p w:rsidR="00563435" w:rsidRDefault="0056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52547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62CD"/>
    <w:rsid w:val="00367770"/>
    <w:rsid w:val="00370FE2"/>
    <w:rsid w:val="00371424"/>
    <w:rsid w:val="00371FF4"/>
    <w:rsid w:val="00372209"/>
    <w:rsid w:val="00374A87"/>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25471"/>
    <w:rsid w:val="00530161"/>
    <w:rsid w:val="005405A3"/>
    <w:rsid w:val="005450F7"/>
    <w:rsid w:val="00545A0B"/>
    <w:rsid w:val="0054672F"/>
    <w:rsid w:val="00546E0C"/>
    <w:rsid w:val="00547FA4"/>
    <w:rsid w:val="005536D4"/>
    <w:rsid w:val="00553EC8"/>
    <w:rsid w:val="005547A9"/>
    <w:rsid w:val="005564EE"/>
    <w:rsid w:val="00556718"/>
    <w:rsid w:val="00557D4A"/>
    <w:rsid w:val="0056176B"/>
    <w:rsid w:val="00561889"/>
    <w:rsid w:val="005621F6"/>
    <w:rsid w:val="00562709"/>
    <w:rsid w:val="0056291C"/>
    <w:rsid w:val="00563435"/>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5427"/>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266E"/>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46ABF"/>
    <w:rsid w:val="00C50D87"/>
    <w:rsid w:val="00C52D18"/>
    <w:rsid w:val="00C559CE"/>
    <w:rsid w:val="00C55E19"/>
    <w:rsid w:val="00C563BF"/>
    <w:rsid w:val="00C56EF8"/>
    <w:rsid w:val="00C57512"/>
    <w:rsid w:val="00C57607"/>
    <w:rsid w:val="00C61133"/>
    <w:rsid w:val="00C64009"/>
    <w:rsid w:val="00C7016D"/>
    <w:rsid w:val="00C71DA2"/>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0AA5"/>
    <w:rsid w:val="00EA1D33"/>
    <w:rsid w:val="00EA1F5A"/>
    <w:rsid w:val="00EA375F"/>
    <w:rsid w:val="00EA3AD1"/>
    <w:rsid w:val="00EA3C4A"/>
    <w:rsid w:val="00EA5143"/>
    <w:rsid w:val="00EA7104"/>
    <w:rsid w:val="00EA7533"/>
    <w:rsid w:val="00EB067F"/>
    <w:rsid w:val="00EB2419"/>
    <w:rsid w:val="00EB27DE"/>
    <w:rsid w:val="00EB58F5"/>
    <w:rsid w:val="00EB6B71"/>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5F2F-6CE7-4F98-A53A-EEB04F08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13</Pages>
  <Words>5451</Words>
  <Characters>1811</Characters>
  <Application>Microsoft Office Word</Application>
  <DocSecurity>0</DocSecurity>
  <Lines>15</Lines>
  <Paragraphs>14</Paragraphs>
  <ScaleCrop>false</ScaleCrop>
  <Company>TRT. Ltd. Co.</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2014-07-15T08:55:00Z</dcterms:created>
  <dcterms:modified xsi:type="dcterms:W3CDTF">2014-07-15T08:55:00Z</dcterms:modified>
</cp:coreProperties>
</file>