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二〇一四年七月十九日</w:t>
      </w:r>
    </w:p>
    <w:p w:rsidR="00220542" w:rsidRPr="0036023B" w:rsidRDefault="00220542" w:rsidP="008338A1">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6223E" w:rsidRDefault="008338A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B6223E" w:rsidRDefault="008338A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 xml:space="preserve">日复核了本报告中的财务指标、净值表现和投资组合报告等内容，保证复核内容不存在虚假记载、误导性陈述或者重大遗漏。　　</w:t>
      </w:r>
    </w:p>
    <w:p w:rsidR="00B6223E" w:rsidRDefault="008338A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B6223E" w:rsidRDefault="008338A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B6223E" w:rsidRDefault="008338A1">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2,989,524,362</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本基金属股票基金，风险与收益高于混合基金、债券基金与货币市场基金。本基金为指数型基金，紧密跟</w:t>
            </w:r>
            <w:r w:rsidRPr="0036023B">
              <w:rPr>
                <w:color w:val="000000"/>
                <w:kern w:val="0"/>
                <w:sz w:val="24"/>
              </w:rPr>
              <w:lastRenderedPageBreak/>
              <w:t>踪标的指数，具有和标的指数所代表的股票市场相似的风险收益特征，属于证券投资基金中风险较高、收益较高的品种。</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B6223E" w:rsidRDefault="008338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、本表所列的基金主代码</w:t>
      </w:r>
      <w:r>
        <w:rPr>
          <w:color w:val="000000"/>
          <w:sz w:val="24"/>
        </w:rPr>
        <w:t>510010</w:t>
      </w:r>
      <w:r>
        <w:rPr>
          <w:color w:val="000000"/>
          <w:sz w:val="24"/>
        </w:rPr>
        <w:t>为本基金二级市场交易代码，本基金一级市场申购赎回代码为</w:t>
      </w:r>
      <w:r>
        <w:rPr>
          <w:color w:val="000000"/>
          <w:sz w:val="24"/>
        </w:rPr>
        <w:t>510011</w:t>
      </w:r>
      <w:r>
        <w:rPr>
          <w:color w:val="000000"/>
          <w:sz w:val="24"/>
        </w:rPr>
        <w:t>。</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、本基金场内简称为</w:t>
      </w:r>
      <w:r w:rsidRPr="0036023B">
        <w:rPr>
          <w:color w:val="000000"/>
          <w:sz w:val="24"/>
        </w:rPr>
        <w:t>“</w:t>
      </w:r>
      <w:r w:rsidRPr="0036023B">
        <w:rPr>
          <w:color w:val="000000"/>
          <w:sz w:val="24"/>
        </w:rPr>
        <w:t>治理</w:t>
      </w:r>
      <w:r w:rsidRPr="0036023B">
        <w:rPr>
          <w:color w:val="000000"/>
          <w:sz w:val="24"/>
        </w:rPr>
        <w:t>ETF”</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338A1" w:rsidRPr="0036023B" w:rsidTr="008338A1">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8338A1" w:rsidRPr="0036023B" w:rsidTr="008338A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-36,555,328.85</w:t>
            </w:r>
          </w:p>
        </w:tc>
      </w:tr>
      <w:tr w:rsidR="008338A1" w:rsidRPr="0036023B" w:rsidTr="008338A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44,847,841.65</w:t>
            </w:r>
          </w:p>
        </w:tc>
      </w:tr>
      <w:tr w:rsidR="008338A1" w:rsidRPr="0036023B" w:rsidTr="008338A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0.0147</w:t>
            </w:r>
          </w:p>
        </w:tc>
      </w:tr>
      <w:tr w:rsidR="008338A1" w:rsidRPr="0036023B" w:rsidTr="008338A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1,786,403,990.95</w:t>
            </w:r>
          </w:p>
        </w:tc>
      </w:tr>
      <w:tr w:rsidR="008338A1" w:rsidRPr="0036023B" w:rsidTr="008338A1">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0.598</w:t>
            </w:r>
          </w:p>
        </w:tc>
      </w:tr>
    </w:tbl>
    <w:p w:rsidR="00B6223E" w:rsidRDefault="008338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6223E">
        <w:trPr>
          <w:jc w:val="center"/>
        </w:trPr>
        <w:tc>
          <w:tcPr>
            <w:tcW w:w="1469" w:type="dxa"/>
            <w:vAlign w:val="center"/>
          </w:tcPr>
          <w:p w:rsidR="00B6223E" w:rsidRDefault="008338A1">
            <w:pPr>
              <w:jc w:val="left"/>
            </w:pPr>
            <w:r>
              <w:rPr>
                <w:color w:val="000000"/>
                <w:sz w:val="24"/>
              </w:rPr>
              <w:t>过去三个月</w:t>
            </w:r>
          </w:p>
        </w:tc>
        <w:tc>
          <w:tcPr>
            <w:tcW w:w="1150" w:type="dxa"/>
            <w:vAlign w:val="center"/>
          </w:tcPr>
          <w:p w:rsidR="00B6223E" w:rsidRDefault="008338A1">
            <w:pPr>
              <w:jc w:val="center"/>
            </w:pPr>
            <w:r>
              <w:rPr>
                <w:color w:val="000000"/>
                <w:sz w:val="24"/>
              </w:rPr>
              <w:t>2.57%</w:t>
            </w:r>
          </w:p>
        </w:tc>
        <w:tc>
          <w:tcPr>
            <w:tcW w:w="1223" w:type="dxa"/>
            <w:vAlign w:val="center"/>
          </w:tcPr>
          <w:p w:rsidR="00B6223E" w:rsidRDefault="008338A1">
            <w:pPr>
              <w:jc w:val="center"/>
            </w:pPr>
            <w:r>
              <w:rPr>
                <w:color w:val="000000"/>
                <w:sz w:val="24"/>
              </w:rPr>
              <w:t>0.92%</w:t>
            </w:r>
          </w:p>
        </w:tc>
        <w:tc>
          <w:tcPr>
            <w:tcW w:w="1244" w:type="dxa"/>
            <w:vAlign w:val="center"/>
          </w:tcPr>
          <w:p w:rsidR="00B6223E" w:rsidRDefault="008338A1">
            <w:pPr>
              <w:jc w:val="center"/>
            </w:pPr>
            <w:r>
              <w:rPr>
                <w:color w:val="000000"/>
                <w:sz w:val="24"/>
              </w:rPr>
              <w:t>1.27%</w:t>
            </w:r>
          </w:p>
        </w:tc>
        <w:tc>
          <w:tcPr>
            <w:tcW w:w="1251" w:type="dxa"/>
            <w:vAlign w:val="center"/>
          </w:tcPr>
          <w:p w:rsidR="00B6223E" w:rsidRDefault="008338A1">
            <w:pPr>
              <w:jc w:val="center"/>
            </w:pPr>
            <w:r>
              <w:rPr>
                <w:color w:val="000000"/>
                <w:sz w:val="24"/>
              </w:rPr>
              <w:t>0.91%</w:t>
            </w:r>
          </w:p>
        </w:tc>
        <w:tc>
          <w:tcPr>
            <w:tcW w:w="1263" w:type="dxa"/>
            <w:vAlign w:val="center"/>
          </w:tcPr>
          <w:p w:rsidR="00B6223E" w:rsidRDefault="008338A1">
            <w:pPr>
              <w:jc w:val="center"/>
            </w:pPr>
            <w:r>
              <w:rPr>
                <w:color w:val="000000"/>
                <w:sz w:val="24"/>
              </w:rPr>
              <w:t>1.30%</w:t>
            </w:r>
          </w:p>
        </w:tc>
        <w:tc>
          <w:tcPr>
            <w:tcW w:w="1268" w:type="dxa"/>
            <w:vAlign w:val="center"/>
          </w:tcPr>
          <w:p w:rsidR="00B6223E" w:rsidRDefault="008338A1">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6223E">
        <w:trPr>
          <w:jc w:val="center"/>
        </w:trPr>
        <w:tc>
          <w:tcPr>
            <w:tcW w:w="846" w:type="dxa"/>
            <w:vAlign w:val="center"/>
          </w:tcPr>
          <w:p w:rsidR="00B6223E" w:rsidRDefault="008338A1">
            <w:pPr>
              <w:jc w:val="center"/>
            </w:pPr>
            <w:r>
              <w:rPr>
                <w:color w:val="000000"/>
                <w:sz w:val="24"/>
              </w:rPr>
              <w:t>蔡铮</w:t>
            </w:r>
          </w:p>
        </w:tc>
        <w:tc>
          <w:tcPr>
            <w:tcW w:w="845" w:type="dxa"/>
            <w:vAlign w:val="center"/>
          </w:tcPr>
          <w:p w:rsidR="00B6223E" w:rsidRDefault="008338A1">
            <w:pPr>
              <w:jc w:val="center"/>
            </w:pPr>
            <w:r>
              <w:rPr>
                <w:color w:val="000000"/>
                <w:sz w:val="24"/>
              </w:rPr>
              <w:t>本基金及其联接基金、交银深证</w:t>
            </w:r>
            <w:r>
              <w:rPr>
                <w:color w:val="000000"/>
                <w:sz w:val="24"/>
              </w:rPr>
              <w:t>300</w:t>
            </w:r>
            <w:r>
              <w:rPr>
                <w:color w:val="000000"/>
                <w:sz w:val="24"/>
              </w:rPr>
              <w:t>价值</w:t>
            </w:r>
            <w:r>
              <w:rPr>
                <w:color w:val="000000"/>
                <w:sz w:val="24"/>
              </w:rPr>
              <w:lastRenderedPageBreak/>
              <w:t>ETF</w:t>
            </w:r>
            <w:r>
              <w:rPr>
                <w:color w:val="000000"/>
                <w:sz w:val="24"/>
              </w:rPr>
              <w:t>及其联接基金、交银沪深</w:t>
            </w:r>
            <w:r>
              <w:rPr>
                <w:color w:val="000000"/>
                <w:sz w:val="24"/>
              </w:rPr>
              <w:t>300</w:t>
            </w:r>
            <w:r>
              <w:rPr>
                <w:color w:val="000000"/>
                <w:sz w:val="24"/>
              </w:rPr>
              <w:t>分层等权指数基金基金经理</w:t>
            </w:r>
            <w:r w:rsidR="00D136C1" w:rsidRPr="007A7EEA">
              <w:rPr>
                <w:rFonts w:hint="eastAsia"/>
                <w:color w:val="000000"/>
                <w:sz w:val="24"/>
              </w:rPr>
              <w:t>，公司量化投资部助理总经理</w:t>
            </w:r>
          </w:p>
        </w:tc>
        <w:tc>
          <w:tcPr>
            <w:tcW w:w="1549" w:type="dxa"/>
            <w:vAlign w:val="center"/>
          </w:tcPr>
          <w:p w:rsidR="00B6223E" w:rsidRDefault="008338A1">
            <w:pPr>
              <w:jc w:val="center"/>
            </w:pPr>
            <w:r>
              <w:rPr>
                <w:color w:val="000000"/>
                <w:sz w:val="24"/>
              </w:rPr>
              <w:lastRenderedPageBreak/>
              <w:t>2012-12-27</w:t>
            </w:r>
          </w:p>
        </w:tc>
        <w:tc>
          <w:tcPr>
            <w:tcW w:w="1548" w:type="dxa"/>
            <w:vAlign w:val="center"/>
          </w:tcPr>
          <w:p w:rsidR="00B6223E" w:rsidRDefault="008338A1">
            <w:pPr>
              <w:jc w:val="center"/>
            </w:pPr>
            <w:r>
              <w:rPr>
                <w:color w:val="000000"/>
                <w:sz w:val="24"/>
              </w:rPr>
              <w:t>-</w:t>
            </w:r>
          </w:p>
        </w:tc>
        <w:tc>
          <w:tcPr>
            <w:tcW w:w="1407" w:type="dxa"/>
            <w:vAlign w:val="center"/>
          </w:tcPr>
          <w:p w:rsidR="00B6223E" w:rsidRDefault="008338A1">
            <w:pPr>
              <w:jc w:val="center"/>
            </w:pPr>
            <w:r>
              <w:rPr>
                <w:color w:val="000000"/>
                <w:sz w:val="24"/>
              </w:rPr>
              <w:t>5</w:t>
            </w:r>
            <w:r>
              <w:rPr>
                <w:color w:val="000000"/>
                <w:sz w:val="24"/>
              </w:rPr>
              <w:t>年</w:t>
            </w:r>
          </w:p>
        </w:tc>
        <w:tc>
          <w:tcPr>
            <w:tcW w:w="2673" w:type="dxa"/>
            <w:vAlign w:val="center"/>
          </w:tcPr>
          <w:p w:rsidR="00B6223E" w:rsidRDefault="008338A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B6223E" w:rsidRDefault="008338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223E" w:rsidRDefault="008338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223E" w:rsidRDefault="008338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6223E" w:rsidRDefault="008338A1">
      <w:pPr>
        <w:spacing w:before="29" w:line="288" w:lineRule="auto"/>
        <w:ind w:firstLineChars="200" w:firstLine="480"/>
        <w:rPr>
          <w:color w:val="000000"/>
          <w:sz w:val="24"/>
        </w:rPr>
      </w:pPr>
      <w:r>
        <w:rPr>
          <w:color w:val="000000"/>
          <w:sz w:val="24"/>
        </w:rPr>
        <w:t>2014</w:t>
      </w:r>
      <w:r>
        <w:rPr>
          <w:color w:val="000000"/>
          <w:sz w:val="24"/>
        </w:rPr>
        <w:t>年第二季度，国内经济增速已有回稳迹象但仍然有下行压力。在这种经济环境下，资本市场总体处于低位窄幅震荡。</w:t>
      </w:r>
    </w:p>
    <w:p w:rsidR="00B6223E" w:rsidRDefault="008338A1">
      <w:pPr>
        <w:spacing w:before="29" w:line="288" w:lineRule="auto"/>
        <w:ind w:firstLineChars="200" w:firstLine="480"/>
        <w:rPr>
          <w:color w:val="000000"/>
          <w:sz w:val="24"/>
        </w:rPr>
      </w:pPr>
      <w:r>
        <w:rPr>
          <w:color w:val="000000"/>
          <w:sz w:val="24"/>
        </w:rPr>
        <w:t>作为跟踪基准指数的指数基金，净值在本季度内总体略有上涨，但上涨幅度有限。本基金在</w:t>
      </w:r>
      <w:r>
        <w:rPr>
          <w:color w:val="000000"/>
          <w:sz w:val="24"/>
        </w:rPr>
        <w:t>6</w:t>
      </w:r>
      <w:r>
        <w:rPr>
          <w:color w:val="000000"/>
          <w:sz w:val="24"/>
        </w:rPr>
        <w:t>月份内基本完成了成分股调整操作，调整期间内基金的跟踪误差保持稳定。</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个季度，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0.598</w:t>
      </w:r>
      <w:r w:rsidRPr="0036023B">
        <w:rPr>
          <w:color w:val="000000"/>
          <w:sz w:val="24"/>
        </w:rPr>
        <w:t>元，本报告期份额净值增长率为</w:t>
      </w:r>
      <w:r w:rsidRPr="0036023B">
        <w:rPr>
          <w:color w:val="000000"/>
          <w:sz w:val="24"/>
        </w:rPr>
        <w:t>2.57%</w:t>
      </w:r>
      <w:r w:rsidRPr="0036023B">
        <w:rPr>
          <w:color w:val="000000"/>
          <w:sz w:val="24"/>
        </w:rPr>
        <w:t>，同期业绩比较基准增长率为</w:t>
      </w:r>
      <w:r w:rsidRPr="0036023B">
        <w:rPr>
          <w:color w:val="000000"/>
          <w:sz w:val="24"/>
        </w:rPr>
        <w:t>1.27%</w:t>
      </w:r>
      <w:r w:rsidRPr="0036023B">
        <w:rPr>
          <w:color w:val="000000"/>
          <w:sz w:val="24"/>
        </w:rPr>
        <w:t>。本报告期内本基金的日均跟踪偏离度为</w:t>
      </w:r>
      <w:r w:rsidRPr="0036023B">
        <w:rPr>
          <w:color w:val="000000"/>
          <w:sz w:val="24"/>
        </w:rPr>
        <w:t>0.07%</w:t>
      </w:r>
      <w:r w:rsidRPr="0036023B">
        <w:rPr>
          <w:color w:val="000000"/>
          <w:sz w:val="24"/>
        </w:rPr>
        <w:t>，跟踪误差为</w:t>
      </w:r>
      <w:r w:rsidRPr="0036023B">
        <w:rPr>
          <w:color w:val="000000"/>
          <w:sz w:val="24"/>
        </w:rPr>
        <w:t>0.09%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1,783,524,408.68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99.76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1,783,524,408.68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99.76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lastRenderedPageBreak/>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4,306,818.82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0.24</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19,035.19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1,787,850,262.69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5,077,448.44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8338A1">
            <w:pPr>
              <w:spacing w:before="29" w:line="288" w:lineRule="auto"/>
              <w:jc w:val="right"/>
              <w:rPr>
                <w:sz w:val="24"/>
              </w:rPr>
            </w:pPr>
            <w:r w:rsidRPr="0036023B">
              <w:rPr>
                <w:sz w:val="24"/>
              </w:rPr>
              <w:t>96,874,376.23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8338A1">
            <w:pPr>
              <w:spacing w:before="29" w:line="288" w:lineRule="auto"/>
              <w:jc w:val="right"/>
              <w:rPr>
                <w:sz w:val="24"/>
              </w:rPr>
            </w:pPr>
            <w:r w:rsidRPr="0036023B">
              <w:rPr>
                <w:sz w:val="24"/>
              </w:rPr>
              <w:t>5.42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387,917,186.25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21.71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71,985,513.49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68,587,945.73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25,442,972.05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44,776,162.23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54,299,910.90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933,029,938.69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52.23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60,214,419.55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19,896,270.34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15,422,160.78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1,783,524,304.68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99.84</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6223E">
        <w:trPr>
          <w:jc w:val="center"/>
        </w:trPr>
        <w:tc>
          <w:tcPr>
            <w:tcW w:w="850" w:type="dxa"/>
            <w:vAlign w:val="center"/>
          </w:tcPr>
          <w:p w:rsidR="00B6223E" w:rsidRDefault="008338A1">
            <w:pPr>
              <w:jc w:val="center"/>
            </w:pPr>
            <w:r>
              <w:rPr>
                <w:color w:val="000000"/>
                <w:sz w:val="24"/>
              </w:rPr>
              <w:t>1</w:t>
            </w:r>
          </w:p>
        </w:tc>
        <w:tc>
          <w:tcPr>
            <w:tcW w:w="1327" w:type="dxa"/>
            <w:vAlign w:val="center"/>
          </w:tcPr>
          <w:p w:rsidR="00B6223E" w:rsidRDefault="008338A1">
            <w:pPr>
              <w:jc w:val="center"/>
            </w:pPr>
            <w:r>
              <w:rPr>
                <w:color w:val="000000"/>
                <w:sz w:val="24"/>
              </w:rPr>
              <w:t>601318</w:t>
            </w:r>
          </w:p>
        </w:tc>
        <w:tc>
          <w:tcPr>
            <w:tcW w:w="1769" w:type="dxa"/>
            <w:vAlign w:val="center"/>
          </w:tcPr>
          <w:p w:rsidR="00B6223E" w:rsidRDefault="008338A1">
            <w:pPr>
              <w:jc w:val="center"/>
            </w:pPr>
            <w:r>
              <w:rPr>
                <w:color w:val="000000"/>
                <w:sz w:val="24"/>
              </w:rPr>
              <w:t>中国平安</w:t>
            </w:r>
          </w:p>
        </w:tc>
        <w:tc>
          <w:tcPr>
            <w:tcW w:w="1327" w:type="dxa"/>
            <w:vAlign w:val="center"/>
          </w:tcPr>
          <w:p w:rsidR="00B6223E" w:rsidRDefault="008338A1">
            <w:pPr>
              <w:jc w:val="right"/>
            </w:pPr>
            <w:r>
              <w:rPr>
                <w:color w:val="000000"/>
                <w:sz w:val="24"/>
              </w:rPr>
              <w:t>3,356,525</w:t>
            </w:r>
          </w:p>
        </w:tc>
        <w:tc>
          <w:tcPr>
            <w:tcW w:w="1915" w:type="dxa"/>
            <w:vAlign w:val="center"/>
          </w:tcPr>
          <w:p w:rsidR="00B6223E" w:rsidRDefault="008338A1">
            <w:pPr>
              <w:jc w:val="right"/>
            </w:pPr>
            <w:r>
              <w:rPr>
                <w:color w:val="000000"/>
                <w:sz w:val="24"/>
              </w:rPr>
              <w:t>132,045,693.50</w:t>
            </w:r>
          </w:p>
        </w:tc>
        <w:tc>
          <w:tcPr>
            <w:tcW w:w="1680" w:type="dxa"/>
            <w:vAlign w:val="center"/>
          </w:tcPr>
          <w:p w:rsidR="00B6223E" w:rsidRDefault="008338A1">
            <w:pPr>
              <w:jc w:val="right"/>
            </w:pPr>
            <w:r>
              <w:rPr>
                <w:color w:val="000000"/>
                <w:sz w:val="24"/>
              </w:rPr>
              <w:t>7.39</w:t>
            </w:r>
          </w:p>
        </w:tc>
      </w:tr>
      <w:tr w:rsidR="00B6223E">
        <w:trPr>
          <w:jc w:val="center"/>
        </w:trPr>
        <w:tc>
          <w:tcPr>
            <w:tcW w:w="850" w:type="dxa"/>
            <w:vAlign w:val="center"/>
          </w:tcPr>
          <w:p w:rsidR="00B6223E" w:rsidRDefault="008338A1">
            <w:pPr>
              <w:jc w:val="center"/>
            </w:pPr>
            <w:r>
              <w:rPr>
                <w:color w:val="000000"/>
                <w:sz w:val="24"/>
              </w:rPr>
              <w:t>2</w:t>
            </w:r>
          </w:p>
        </w:tc>
        <w:tc>
          <w:tcPr>
            <w:tcW w:w="1327" w:type="dxa"/>
            <w:vAlign w:val="center"/>
          </w:tcPr>
          <w:p w:rsidR="00B6223E" w:rsidRDefault="008338A1">
            <w:pPr>
              <w:jc w:val="center"/>
            </w:pPr>
            <w:r>
              <w:rPr>
                <w:color w:val="000000"/>
                <w:sz w:val="24"/>
              </w:rPr>
              <w:t>600036</w:t>
            </w:r>
          </w:p>
        </w:tc>
        <w:tc>
          <w:tcPr>
            <w:tcW w:w="1769" w:type="dxa"/>
            <w:vAlign w:val="center"/>
          </w:tcPr>
          <w:p w:rsidR="00B6223E" w:rsidRDefault="008338A1">
            <w:pPr>
              <w:jc w:val="center"/>
            </w:pPr>
            <w:r>
              <w:rPr>
                <w:color w:val="000000"/>
                <w:sz w:val="24"/>
              </w:rPr>
              <w:t>招商银行</w:t>
            </w:r>
          </w:p>
        </w:tc>
        <w:tc>
          <w:tcPr>
            <w:tcW w:w="1327" w:type="dxa"/>
            <w:vAlign w:val="center"/>
          </w:tcPr>
          <w:p w:rsidR="00B6223E" w:rsidRDefault="008338A1">
            <w:pPr>
              <w:jc w:val="right"/>
            </w:pPr>
            <w:r>
              <w:rPr>
                <w:color w:val="000000"/>
                <w:sz w:val="24"/>
              </w:rPr>
              <w:t>11,572,974</w:t>
            </w:r>
          </w:p>
        </w:tc>
        <w:tc>
          <w:tcPr>
            <w:tcW w:w="1915" w:type="dxa"/>
            <w:vAlign w:val="center"/>
          </w:tcPr>
          <w:p w:rsidR="00B6223E" w:rsidRDefault="008338A1">
            <w:pPr>
              <w:jc w:val="right"/>
            </w:pPr>
            <w:r>
              <w:rPr>
                <w:color w:val="000000"/>
                <w:sz w:val="24"/>
              </w:rPr>
              <w:t>118,507,253.76</w:t>
            </w:r>
          </w:p>
        </w:tc>
        <w:tc>
          <w:tcPr>
            <w:tcW w:w="1680" w:type="dxa"/>
            <w:vAlign w:val="center"/>
          </w:tcPr>
          <w:p w:rsidR="00B6223E" w:rsidRDefault="008338A1">
            <w:pPr>
              <w:jc w:val="right"/>
            </w:pPr>
            <w:r>
              <w:rPr>
                <w:color w:val="000000"/>
                <w:sz w:val="24"/>
              </w:rPr>
              <w:t>6.63</w:t>
            </w:r>
          </w:p>
        </w:tc>
      </w:tr>
      <w:tr w:rsidR="00B6223E">
        <w:trPr>
          <w:jc w:val="center"/>
        </w:trPr>
        <w:tc>
          <w:tcPr>
            <w:tcW w:w="850" w:type="dxa"/>
            <w:vAlign w:val="center"/>
          </w:tcPr>
          <w:p w:rsidR="00B6223E" w:rsidRDefault="008338A1">
            <w:pPr>
              <w:jc w:val="center"/>
            </w:pPr>
            <w:r>
              <w:rPr>
                <w:color w:val="000000"/>
                <w:sz w:val="24"/>
              </w:rPr>
              <w:t>3</w:t>
            </w:r>
          </w:p>
        </w:tc>
        <w:tc>
          <w:tcPr>
            <w:tcW w:w="1327" w:type="dxa"/>
            <w:vAlign w:val="center"/>
          </w:tcPr>
          <w:p w:rsidR="00B6223E" w:rsidRDefault="008338A1">
            <w:pPr>
              <w:jc w:val="center"/>
            </w:pPr>
            <w:r>
              <w:rPr>
                <w:color w:val="000000"/>
                <w:sz w:val="24"/>
              </w:rPr>
              <w:t>600016</w:t>
            </w:r>
          </w:p>
        </w:tc>
        <w:tc>
          <w:tcPr>
            <w:tcW w:w="1769" w:type="dxa"/>
            <w:vAlign w:val="center"/>
          </w:tcPr>
          <w:p w:rsidR="00B6223E" w:rsidRDefault="008338A1">
            <w:pPr>
              <w:jc w:val="center"/>
            </w:pPr>
            <w:r>
              <w:rPr>
                <w:color w:val="000000"/>
                <w:sz w:val="24"/>
              </w:rPr>
              <w:t>民生银行</w:t>
            </w:r>
          </w:p>
        </w:tc>
        <w:tc>
          <w:tcPr>
            <w:tcW w:w="1327" w:type="dxa"/>
            <w:vAlign w:val="center"/>
          </w:tcPr>
          <w:p w:rsidR="00B6223E" w:rsidRDefault="008338A1">
            <w:pPr>
              <w:jc w:val="right"/>
            </w:pPr>
            <w:r>
              <w:rPr>
                <w:color w:val="000000"/>
                <w:sz w:val="24"/>
              </w:rPr>
              <w:t>19,008,271</w:t>
            </w:r>
          </w:p>
        </w:tc>
        <w:tc>
          <w:tcPr>
            <w:tcW w:w="1915" w:type="dxa"/>
            <w:vAlign w:val="center"/>
          </w:tcPr>
          <w:p w:rsidR="00B6223E" w:rsidRDefault="008338A1">
            <w:pPr>
              <w:jc w:val="right"/>
            </w:pPr>
            <w:r>
              <w:rPr>
                <w:color w:val="000000"/>
                <w:sz w:val="24"/>
              </w:rPr>
              <w:t>118,041,362.91</w:t>
            </w:r>
          </w:p>
        </w:tc>
        <w:tc>
          <w:tcPr>
            <w:tcW w:w="1680" w:type="dxa"/>
            <w:vAlign w:val="center"/>
          </w:tcPr>
          <w:p w:rsidR="00B6223E" w:rsidRDefault="008338A1">
            <w:pPr>
              <w:jc w:val="right"/>
            </w:pPr>
            <w:r>
              <w:rPr>
                <w:color w:val="000000"/>
                <w:sz w:val="24"/>
              </w:rPr>
              <w:t>6.61</w:t>
            </w:r>
          </w:p>
        </w:tc>
      </w:tr>
      <w:tr w:rsidR="00B6223E">
        <w:trPr>
          <w:jc w:val="center"/>
        </w:trPr>
        <w:tc>
          <w:tcPr>
            <w:tcW w:w="850" w:type="dxa"/>
            <w:vAlign w:val="center"/>
          </w:tcPr>
          <w:p w:rsidR="00B6223E" w:rsidRDefault="008338A1">
            <w:pPr>
              <w:jc w:val="center"/>
            </w:pPr>
            <w:r>
              <w:rPr>
                <w:color w:val="000000"/>
                <w:sz w:val="24"/>
              </w:rPr>
              <w:t>4</w:t>
            </w:r>
          </w:p>
        </w:tc>
        <w:tc>
          <w:tcPr>
            <w:tcW w:w="1327" w:type="dxa"/>
            <w:vAlign w:val="center"/>
          </w:tcPr>
          <w:p w:rsidR="00B6223E" w:rsidRDefault="008338A1">
            <w:pPr>
              <w:jc w:val="center"/>
            </w:pPr>
            <w:r>
              <w:rPr>
                <w:color w:val="000000"/>
                <w:sz w:val="24"/>
              </w:rPr>
              <w:t>601166</w:t>
            </w:r>
          </w:p>
        </w:tc>
        <w:tc>
          <w:tcPr>
            <w:tcW w:w="1769" w:type="dxa"/>
            <w:vAlign w:val="center"/>
          </w:tcPr>
          <w:p w:rsidR="00B6223E" w:rsidRDefault="008338A1">
            <w:pPr>
              <w:jc w:val="center"/>
            </w:pPr>
            <w:r>
              <w:rPr>
                <w:color w:val="000000"/>
                <w:sz w:val="24"/>
              </w:rPr>
              <w:t>兴业银行</w:t>
            </w:r>
          </w:p>
        </w:tc>
        <w:tc>
          <w:tcPr>
            <w:tcW w:w="1327" w:type="dxa"/>
            <w:vAlign w:val="center"/>
          </w:tcPr>
          <w:p w:rsidR="00B6223E" w:rsidRDefault="008338A1">
            <w:pPr>
              <w:jc w:val="right"/>
            </w:pPr>
            <w:r>
              <w:rPr>
                <w:color w:val="000000"/>
                <w:sz w:val="24"/>
              </w:rPr>
              <w:t>8,016,317</w:t>
            </w:r>
          </w:p>
        </w:tc>
        <w:tc>
          <w:tcPr>
            <w:tcW w:w="1915" w:type="dxa"/>
            <w:vAlign w:val="center"/>
          </w:tcPr>
          <w:p w:rsidR="00B6223E" w:rsidRDefault="008338A1">
            <w:pPr>
              <w:jc w:val="right"/>
            </w:pPr>
            <w:r>
              <w:rPr>
                <w:color w:val="000000"/>
                <w:sz w:val="24"/>
              </w:rPr>
              <w:t>80,403,659.51</w:t>
            </w:r>
          </w:p>
        </w:tc>
        <w:tc>
          <w:tcPr>
            <w:tcW w:w="1680" w:type="dxa"/>
            <w:vAlign w:val="center"/>
          </w:tcPr>
          <w:p w:rsidR="00B6223E" w:rsidRDefault="008338A1">
            <w:pPr>
              <w:jc w:val="right"/>
            </w:pPr>
            <w:r>
              <w:rPr>
                <w:color w:val="000000"/>
                <w:sz w:val="24"/>
              </w:rPr>
              <w:t>4.50</w:t>
            </w:r>
          </w:p>
        </w:tc>
      </w:tr>
      <w:tr w:rsidR="00B6223E">
        <w:trPr>
          <w:jc w:val="center"/>
        </w:trPr>
        <w:tc>
          <w:tcPr>
            <w:tcW w:w="850" w:type="dxa"/>
            <w:vAlign w:val="center"/>
          </w:tcPr>
          <w:p w:rsidR="00B6223E" w:rsidRDefault="008338A1">
            <w:pPr>
              <w:jc w:val="center"/>
            </w:pPr>
            <w:r>
              <w:rPr>
                <w:color w:val="000000"/>
                <w:sz w:val="24"/>
              </w:rPr>
              <w:t>5</w:t>
            </w:r>
          </w:p>
        </w:tc>
        <w:tc>
          <w:tcPr>
            <w:tcW w:w="1327" w:type="dxa"/>
            <w:vAlign w:val="center"/>
          </w:tcPr>
          <w:p w:rsidR="00B6223E" w:rsidRDefault="008338A1">
            <w:pPr>
              <w:jc w:val="center"/>
            </w:pPr>
            <w:r>
              <w:rPr>
                <w:color w:val="000000"/>
                <w:sz w:val="24"/>
              </w:rPr>
              <w:t>600000</w:t>
            </w:r>
          </w:p>
        </w:tc>
        <w:tc>
          <w:tcPr>
            <w:tcW w:w="1769" w:type="dxa"/>
            <w:vAlign w:val="center"/>
          </w:tcPr>
          <w:p w:rsidR="00B6223E" w:rsidRDefault="008338A1">
            <w:pPr>
              <w:jc w:val="center"/>
            </w:pPr>
            <w:r>
              <w:rPr>
                <w:color w:val="000000"/>
                <w:sz w:val="24"/>
              </w:rPr>
              <w:t>浦发银行</w:t>
            </w:r>
          </w:p>
        </w:tc>
        <w:tc>
          <w:tcPr>
            <w:tcW w:w="1327" w:type="dxa"/>
            <w:vAlign w:val="center"/>
          </w:tcPr>
          <w:p w:rsidR="00B6223E" w:rsidRDefault="008338A1">
            <w:pPr>
              <w:jc w:val="right"/>
            </w:pPr>
            <w:r>
              <w:rPr>
                <w:color w:val="000000"/>
                <w:sz w:val="24"/>
              </w:rPr>
              <w:t>7,848,562</w:t>
            </w:r>
          </w:p>
        </w:tc>
        <w:tc>
          <w:tcPr>
            <w:tcW w:w="1915" w:type="dxa"/>
            <w:vAlign w:val="center"/>
          </w:tcPr>
          <w:p w:rsidR="00B6223E" w:rsidRDefault="008338A1">
            <w:pPr>
              <w:jc w:val="right"/>
            </w:pPr>
            <w:r>
              <w:rPr>
                <w:color w:val="000000"/>
                <w:sz w:val="24"/>
              </w:rPr>
              <w:t>71,029,486.10</w:t>
            </w:r>
          </w:p>
        </w:tc>
        <w:tc>
          <w:tcPr>
            <w:tcW w:w="1680" w:type="dxa"/>
            <w:vAlign w:val="center"/>
          </w:tcPr>
          <w:p w:rsidR="00B6223E" w:rsidRDefault="008338A1">
            <w:pPr>
              <w:jc w:val="right"/>
            </w:pPr>
            <w:r>
              <w:rPr>
                <w:color w:val="000000"/>
                <w:sz w:val="24"/>
              </w:rPr>
              <w:t>3.98</w:t>
            </w:r>
          </w:p>
        </w:tc>
      </w:tr>
      <w:tr w:rsidR="00B6223E">
        <w:trPr>
          <w:jc w:val="center"/>
        </w:trPr>
        <w:tc>
          <w:tcPr>
            <w:tcW w:w="850" w:type="dxa"/>
            <w:vAlign w:val="center"/>
          </w:tcPr>
          <w:p w:rsidR="00B6223E" w:rsidRDefault="008338A1">
            <w:pPr>
              <w:jc w:val="center"/>
            </w:pPr>
            <w:r>
              <w:rPr>
                <w:color w:val="000000"/>
                <w:sz w:val="24"/>
              </w:rPr>
              <w:t>6</w:t>
            </w:r>
          </w:p>
        </w:tc>
        <w:tc>
          <w:tcPr>
            <w:tcW w:w="1327" w:type="dxa"/>
            <w:vAlign w:val="center"/>
          </w:tcPr>
          <w:p w:rsidR="00B6223E" w:rsidRDefault="008338A1">
            <w:pPr>
              <w:jc w:val="center"/>
            </w:pPr>
            <w:r>
              <w:rPr>
                <w:color w:val="000000"/>
                <w:sz w:val="24"/>
              </w:rPr>
              <w:t>600030</w:t>
            </w:r>
          </w:p>
        </w:tc>
        <w:tc>
          <w:tcPr>
            <w:tcW w:w="1769" w:type="dxa"/>
            <w:vAlign w:val="center"/>
          </w:tcPr>
          <w:p w:rsidR="00B6223E" w:rsidRDefault="008338A1">
            <w:pPr>
              <w:jc w:val="center"/>
            </w:pPr>
            <w:r>
              <w:rPr>
                <w:color w:val="000000"/>
                <w:sz w:val="24"/>
              </w:rPr>
              <w:t>中信证券</w:t>
            </w:r>
          </w:p>
        </w:tc>
        <w:tc>
          <w:tcPr>
            <w:tcW w:w="1327" w:type="dxa"/>
            <w:vAlign w:val="center"/>
          </w:tcPr>
          <w:p w:rsidR="00B6223E" w:rsidRDefault="008338A1">
            <w:pPr>
              <w:jc w:val="right"/>
            </w:pPr>
            <w:r>
              <w:rPr>
                <w:color w:val="000000"/>
                <w:sz w:val="24"/>
              </w:rPr>
              <w:t>5,519,560</w:t>
            </w:r>
          </w:p>
        </w:tc>
        <w:tc>
          <w:tcPr>
            <w:tcW w:w="1915" w:type="dxa"/>
            <w:vAlign w:val="center"/>
          </w:tcPr>
          <w:p w:rsidR="00B6223E" w:rsidRDefault="008338A1">
            <w:pPr>
              <w:jc w:val="right"/>
            </w:pPr>
            <w:r>
              <w:rPr>
                <w:color w:val="000000"/>
                <w:sz w:val="24"/>
              </w:rPr>
              <w:t>63,254,157.60</w:t>
            </w:r>
          </w:p>
        </w:tc>
        <w:tc>
          <w:tcPr>
            <w:tcW w:w="1680" w:type="dxa"/>
            <w:vAlign w:val="center"/>
          </w:tcPr>
          <w:p w:rsidR="00B6223E" w:rsidRDefault="008338A1">
            <w:pPr>
              <w:jc w:val="right"/>
            </w:pPr>
            <w:r>
              <w:rPr>
                <w:color w:val="000000"/>
                <w:sz w:val="24"/>
              </w:rPr>
              <w:t>3.54</w:t>
            </w:r>
          </w:p>
        </w:tc>
      </w:tr>
      <w:tr w:rsidR="00B6223E">
        <w:trPr>
          <w:jc w:val="center"/>
        </w:trPr>
        <w:tc>
          <w:tcPr>
            <w:tcW w:w="850" w:type="dxa"/>
            <w:vAlign w:val="center"/>
          </w:tcPr>
          <w:p w:rsidR="00B6223E" w:rsidRDefault="008338A1">
            <w:pPr>
              <w:jc w:val="center"/>
            </w:pPr>
            <w:r>
              <w:rPr>
                <w:color w:val="000000"/>
                <w:sz w:val="24"/>
              </w:rPr>
              <w:t>7</w:t>
            </w:r>
          </w:p>
        </w:tc>
        <w:tc>
          <w:tcPr>
            <w:tcW w:w="1327" w:type="dxa"/>
            <w:vAlign w:val="center"/>
          </w:tcPr>
          <w:p w:rsidR="00B6223E" w:rsidRDefault="008338A1">
            <w:pPr>
              <w:jc w:val="center"/>
            </w:pPr>
            <w:r>
              <w:rPr>
                <w:color w:val="000000"/>
                <w:sz w:val="24"/>
              </w:rPr>
              <w:t>600837</w:t>
            </w:r>
          </w:p>
        </w:tc>
        <w:tc>
          <w:tcPr>
            <w:tcW w:w="1769" w:type="dxa"/>
            <w:vAlign w:val="center"/>
          </w:tcPr>
          <w:p w:rsidR="00B6223E" w:rsidRDefault="008338A1">
            <w:pPr>
              <w:jc w:val="center"/>
            </w:pPr>
            <w:r>
              <w:rPr>
                <w:color w:val="000000"/>
                <w:sz w:val="24"/>
              </w:rPr>
              <w:t>海通证券</w:t>
            </w:r>
          </w:p>
        </w:tc>
        <w:tc>
          <w:tcPr>
            <w:tcW w:w="1327" w:type="dxa"/>
            <w:vAlign w:val="center"/>
          </w:tcPr>
          <w:p w:rsidR="00B6223E" w:rsidRDefault="008338A1">
            <w:pPr>
              <w:jc w:val="right"/>
            </w:pPr>
            <w:r>
              <w:rPr>
                <w:color w:val="000000"/>
                <w:sz w:val="24"/>
              </w:rPr>
              <w:t>5,674,620</w:t>
            </w:r>
          </w:p>
        </w:tc>
        <w:tc>
          <w:tcPr>
            <w:tcW w:w="1915" w:type="dxa"/>
            <w:vAlign w:val="center"/>
          </w:tcPr>
          <w:p w:rsidR="00B6223E" w:rsidRDefault="008338A1">
            <w:pPr>
              <w:jc w:val="right"/>
            </w:pPr>
            <w:r>
              <w:rPr>
                <w:color w:val="000000"/>
                <w:sz w:val="24"/>
              </w:rPr>
              <w:t>51,922,773.00</w:t>
            </w:r>
          </w:p>
        </w:tc>
        <w:tc>
          <w:tcPr>
            <w:tcW w:w="1680" w:type="dxa"/>
            <w:vAlign w:val="center"/>
          </w:tcPr>
          <w:p w:rsidR="00B6223E" w:rsidRDefault="008338A1">
            <w:pPr>
              <w:jc w:val="right"/>
            </w:pPr>
            <w:r>
              <w:rPr>
                <w:color w:val="000000"/>
                <w:sz w:val="24"/>
              </w:rPr>
              <w:t>2.91</w:t>
            </w:r>
          </w:p>
        </w:tc>
      </w:tr>
      <w:tr w:rsidR="00B6223E">
        <w:trPr>
          <w:jc w:val="center"/>
        </w:trPr>
        <w:tc>
          <w:tcPr>
            <w:tcW w:w="850" w:type="dxa"/>
            <w:vAlign w:val="center"/>
          </w:tcPr>
          <w:p w:rsidR="00B6223E" w:rsidRDefault="008338A1">
            <w:pPr>
              <w:jc w:val="center"/>
            </w:pPr>
            <w:r>
              <w:rPr>
                <w:color w:val="000000"/>
                <w:sz w:val="24"/>
              </w:rPr>
              <w:t>8</w:t>
            </w:r>
          </w:p>
        </w:tc>
        <w:tc>
          <w:tcPr>
            <w:tcW w:w="1327" w:type="dxa"/>
            <w:vAlign w:val="center"/>
          </w:tcPr>
          <w:p w:rsidR="00B6223E" w:rsidRDefault="008338A1">
            <w:pPr>
              <w:jc w:val="center"/>
            </w:pPr>
            <w:r>
              <w:rPr>
                <w:color w:val="000000"/>
                <w:sz w:val="24"/>
              </w:rPr>
              <w:t>601398</w:t>
            </w:r>
          </w:p>
        </w:tc>
        <w:tc>
          <w:tcPr>
            <w:tcW w:w="1769" w:type="dxa"/>
            <w:vAlign w:val="center"/>
          </w:tcPr>
          <w:p w:rsidR="00B6223E" w:rsidRDefault="008338A1">
            <w:pPr>
              <w:jc w:val="center"/>
            </w:pPr>
            <w:r>
              <w:rPr>
                <w:color w:val="000000"/>
                <w:sz w:val="24"/>
              </w:rPr>
              <w:t>工商银行</w:t>
            </w:r>
          </w:p>
        </w:tc>
        <w:tc>
          <w:tcPr>
            <w:tcW w:w="1327" w:type="dxa"/>
            <w:vAlign w:val="center"/>
          </w:tcPr>
          <w:p w:rsidR="00B6223E" w:rsidRDefault="008338A1">
            <w:pPr>
              <w:jc w:val="right"/>
            </w:pPr>
            <w:r>
              <w:rPr>
                <w:color w:val="000000"/>
                <w:sz w:val="24"/>
              </w:rPr>
              <w:t>12,007,933</w:t>
            </w:r>
          </w:p>
        </w:tc>
        <w:tc>
          <w:tcPr>
            <w:tcW w:w="1915" w:type="dxa"/>
            <w:vAlign w:val="center"/>
          </w:tcPr>
          <w:p w:rsidR="00B6223E" w:rsidRDefault="008338A1">
            <w:pPr>
              <w:jc w:val="right"/>
            </w:pPr>
            <w:r>
              <w:rPr>
                <w:color w:val="000000"/>
                <w:sz w:val="24"/>
              </w:rPr>
              <w:t>40,706,892.87</w:t>
            </w:r>
          </w:p>
        </w:tc>
        <w:tc>
          <w:tcPr>
            <w:tcW w:w="1680" w:type="dxa"/>
            <w:vAlign w:val="center"/>
          </w:tcPr>
          <w:p w:rsidR="00B6223E" w:rsidRDefault="008338A1">
            <w:pPr>
              <w:jc w:val="right"/>
            </w:pPr>
            <w:r>
              <w:rPr>
                <w:color w:val="000000"/>
                <w:sz w:val="24"/>
              </w:rPr>
              <w:t>2.28</w:t>
            </w:r>
          </w:p>
        </w:tc>
      </w:tr>
      <w:tr w:rsidR="00B6223E">
        <w:trPr>
          <w:jc w:val="center"/>
        </w:trPr>
        <w:tc>
          <w:tcPr>
            <w:tcW w:w="850" w:type="dxa"/>
            <w:vAlign w:val="center"/>
          </w:tcPr>
          <w:p w:rsidR="00B6223E" w:rsidRDefault="008338A1">
            <w:pPr>
              <w:jc w:val="center"/>
            </w:pPr>
            <w:r>
              <w:rPr>
                <w:color w:val="000000"/>
                <w:sz w:val="24"/>
              </w:rPr>
              <w:t>9</w:t>
            </w:r>
          </w:p>
        </w:tc>
        <w:tc>
          <w:tcPr>
            <w:tcW w:w="1327" w:type="dxa"/>
            <w:vAlign w:val="center"/>
          </w:tcPr>
          <w:p w:rsidR="00B6223E" w:rsidRDefault="008338A1">
            <w:pPr>
              <w:jc w:val="center"/>
            </w:pPr>
            <w:r>
              <w:rPr>
                <w:color w:val="000000"/>
                <w:sz w:val="24"/>
              </w:rPr>
              <w:t>601601</w:t>
            </w:r>
          </w:p>
        </w:tc>
        <w:tc>
          <w:tcPr>
            <w:tcW w:w="1769" w:type="dxa"/>
            <w:vAlign w:val="center"/>
          </w:tcPr>
          <w:p w:rsidR="00B6223E" w:rsidRDefault="008338A1">
            <w:pPr>
              <w:jc w:val="center"/>
            </w:pPr>
            <w:r>
              <w:rPr>
                <w:color w:val="000000"/>
                <w:sz w:val="24"/>
              </w:rPr>
              <w:t>中国太保</w:t>
            </w:r>
          </w:p>
        </w:tc>
        <w:tc>
          <w:tcPr>
            <w:tcW w:w="1327" w:type="dxa"/>
            <w:vAlign w:val="center"/>
          </w:tcPr>
          <w:p w:rsidR="00B6223E" w:rsidRDefault="008338A1">
            <w:pPr>
              <w:jc w:val="right"/>
            </w:pPr>
            <w:r>
              <w:rPr>
                <w:color w:val="000000"/>
                <w:sz w:val="24"/>
              </w:rPr>
              <w:t>2,204,272</w:t>
            </w:r>
          </w:p>
        </w:tc>
        <w:tc>
          <w:tcPr>
            <w:tcW w:w="1915" w:type="dxa"/>
            <w:vAlign w:val="center"/>
          </w:tcPr>
          <w:p w:rsidR="00B6223E" w:rsidRDefault="008338A1">
            <w:pPr>
              <w:jc w:val="right"/>
            </w:pPr>
            <w:r>
              <w:rPr>
                <w:color w:val="000000"/>
                <w:sz w:val="24"/>
              </w:rPr>
              <w:t>39,213,998.88</w:t>
            </w:r>
          </w:p>
        </w:tc>
        <w:tc>
          <w:tcPr>
            <w:tcW w:w="1680" w:type="dxa"/>
            <w:vAlign w:val="center"/>
          </w:tcPr>
          <w:p w:rsidR="00B6223E" w:rsidRDefault="008338A1">
            <w:pPr>
              <w:jc w:val="right"/>
            </w:pPr>
            <w:r>
              <w:rPr>
                <w:color w:val="000000"/>
                <w:sz w:val="24"/>
              </w:rPr>
              <w:t>2.20</w:t>
            </w:r>
          </w:p>
        </w:tc>
      </w:tr>
      <w:tr w:rsidR="00B6223E">
        <w:trPr>
          <w:jc w:val="center"/>
        </w:trPr>
        <w:tc>
          <w:tcPr>
            <w:tcW w:w="850" w:type="dxa"/>
            <w:vAlign w:val="center"/>
          </w:tcPr>
          <w:p w:rsidR="00B6223E" w:rsidRDefault="008338A1">
            <w:pPr>
              <w:jc w:val="center"/>
            </w:pPr>
            <w:r>
              <w:rPr>
                <w:color w:val="000000"/>
                <w:sz w:val="24"/>
              </w:rPr>
              <w:t>10</w:t>
            </w:r>
          </w:p>
        </w:tc>
        <w:tc>
          <w:tcPr>
            <w:tcW w:w="1327" w:type="dxa"/>
            <w:vAlign w:val="center"/>
          </w:tcPr>
          <w:p w:rsidR="00B6223E" w:rsidRDefault="008338A1">
            <w:pPr>
              <w:jc w:val="center"/>
            </w:pPr>
            <w:r>
              <w:rPr>
                <w:color w:val="000000"/>
                <w:sz w:val="24"/>
              </w:rPr>
              <w:t>600104</w:t>
            </w:r>
          </w:p>
        </w:tc>
        <w:tc>
          <w:tcPr>
            <w:tcW w:w="1769" w:type="dxa"/>
            <w:vAlign w:val="center"/>
          </w:tcPr>
          <w:p w:rsidR="00B6223E" w:rsidRDefault="008338A1">
            <w:pPr>
              <w:jc w:val="center"/>
            </w:pPr>
            <w:r>
              <w:rPr>
                <w:color w:val="000000"/>
                <w:sz w:val="24"/>
              </w:rPr>
              <w:t>上汽集团</w:t>
            </w:r>
          </w:p>
        </w:tc>
        <w:tc>
          <w:tcPr>
            <w:tcW w:w="1327" w:type="dxa"/>
            <w:vAlign w:val="center"/>
          </w:tcPr>
          <w:p w:rsidR="00B6223E" w:rsidRDefault="008338A1">
            <w:pPr>
              <w:jc w:val="right"/>
            </w:pPr>
            <w:r>
              <w:rPr>
                <w:color w:val="000000"/>
                <w:sz w:val="24"/>
              </w:rPr>
              <w:t>2,319,467</w:t>
            </w:r>
          </w:p>
        </w:tc>
        <w:tc>
          <w:tcPr>
            <w:tcW w:w="1915" w:type="dxa"/>
            <w:vAlign w:val="center"/>
          </w:tcPr>
          <w:p w:rsidR="00B6223E" w:rsidRDefault="008338A1">
            <w:pPr>
              <w:jc w:val="right"/>
            </w:pPr>
            <w:r>
              <w:rPr>
                <w:color w:val="000000"/>
                <w:sz w:val="24"/>
              </w:rPr>
              <w:t>35,487,845.10</w:t>
            </w:r>
          </w:p>
        </w:tc>
        <w:tc>
          <w:tcPr>
            <w:tcW w:w="1680" w:type="dxa"/>
            <w:vAlign w:val="center"/>
          </w:tcPr>
          <w:p w:rsidR="00B6223E" w:rsidRDefault="008338A1">
            <w:pPr>
              <w:jc w:val="right"/>
            </w:pPr>
            <w:r>
              <w:rPr>
                <w:color w:val="000000"/>
                <w:sz w:val="24"/>
              </w:rPr>
              <w:t>1.99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12,698.40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5,061.41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1,275.38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19,035.19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3,105,524,362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130,000,000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2,989,524,362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8338A1">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8338A1">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B6223E" w:rsidRDefault="008338A1">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B6223E" w:rsidRDefault="008338A1">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B6223E" w:rsidRDefault="008338A1">
      <w:pPr>
        <w:spacing w:before="29" w:line="288" w:lineRule="auto"/>
        <w:ind w:firstLineChars="200" w:firstLine="480"/>
        <w:rPr>
          <w:color w:val="000000"/>
          <w:sz w:val="24"/>
        </w:rPr>
      </w:pPr>
      <w:r>
        <w:rPr>
          <w:color w:val="000000"/>
          <w:sz w:val="24"/>
        </w:rPr>
        <w:lastRenderedPageBreak/>
        <w:t>3</w:t>
      </w:r>
      <w:r>
        <w:rPr>
          <w:color w:val="000000"/>
          <w:sz w:val="24"/>
        </w:rPr>
        <w:t>、《上证</w:t>
      </w:r>
      <w:r>
        <w:rPr>
          <w:color w:val="000000"/>
          <w:sz w:val="24"/>
        </w:rPr>
        <w:t>180</w:t>
      </w:r>
      <w:r>
        <w:rPr>
          <w:color w:val="000000"/>
          <w:sz w:val="24"/>
        </w:rPr>
        <w:t>公司治理交易型开放式指数证券投资基金招募说明书》；</w:t>
      </w:r>
    </w:p>
    <w:p w:rsidR="00B6223E" w:rsidRDefault="008338A1">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B6223E" w:rsidRDefault="008338A1">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B6223E" w:rsidRDefault="008338A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6223E" w:rsidRDefault="008338A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B6223E" w:rsidRDefault="008338A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27" w:rsidRDefault="00324927">
      <w:r>
        <w:separator/>
      </w:r>
    </w:p>
  </w:endnote>
  <w:endnote w:type="continuationSeparator" w:id="0">
    <w:p w:rsidR="00324927" w:rsidRDefault="0032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B6223E">
      <w:rPr>
        <w:kern w:val="0"/>
        <w:szCs w:val="21"/>
      </w:rPr>
      <w:fldChar w:fldCharType="begin"/>
    </w:r>
    <w:r>
      <w:rPr>
        <w:kern w:val="0"/>
        <w:szCs w:val="21"/>
      </w:rPr>
      <w:instrText xml:space="preserve"> PAGE </w:instrText>
    </w:r>
    <w:r w:rsidR="00B6223E">
      <w:rPr>
        <w:kern w:val="0"/>
        <w:szCs w:val="21"/>
      </w:rPr>
      <w:fldChar w:fldCharType="separate"/>
    </w:r>
    <w:r w:rsidR="007A7EEA">
      <w:rPr>
        <w:noProof/>
        <w:kern w:val="0"/>
        <w:szCs w:val="21"/>
      </w:rPr>
      <w:t>1</w:t>
    </w:r>
    <w:r w:rsidR="00B6223E">
      <w:rPr>
        <w:kern w:val="0"/>
        <w:szCs w:val="21"/>
      </w:rPr>
      <w:fldChar w:fldCharType="end"/>
    </w:r>
    <w:r>
      <w:rPr>
        <w:rFonts w:hint="eastAsia"/>
        <w:kern w:val="0"/>
        <w:szCs w:val="21"/>
      </w:rPr>
      <w:t>页共</w:t>
    </w:r>
    <w:r w:rsidR="00B6223E">
      <w:rPr>
        <w:kern w:val="0"/>
        <w:szCs w:val="21"/>
      </w:rPr>
      <w:fldChar w:fldCharType="begin"/>
    </w:r>
    <w:r>
      <w:rPr>
        <w:kern w:val="0"/>
        <w:szCs w:val="21"/>
      </w:rPr>
      <w:instrText xml:space="preserve"> NUMPAGES </w:instrText>
    </w:r>
    <w:r w:rsidR="00B6223E">
      <w:rPr>
        <w:kern w:val="0"/>
        <w:szCs w:val="21"/>
      </w:rPr>
      <w:fldChar w:fldCharType="separate"/>
    </w:r>
    <w:r w:rsidR="007A7EEA">
      <w:rPr>
        <w:noProof/>
        <w:kern w:val="0"/>
        <w:szCs w:val="21"/>
      </w:rPr>
      <w:t>11</w:t>
    </w:r>
    <w:r w:rsidR="00B6223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B6223E">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27" w:rsidRDefault="00324927">
      <w:r>
        <w:separator/>
      </w:r>
    </w:p>
  </w:footnote>
  <w:footnote w:type="continuationSeparator" w:id="0">
    <w:p w:rsidR="00324927" w:rsidRDefault="00324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4927"/>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9B2"/>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009A"/>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A7EEA"/>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38A1"/>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223E"/>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36C1"/>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A2F4429-3609-4BDE-B240-24DE85E2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11</Pages>
  <Words>951</Words>
  <Characters>5427</Characters>
  <Application>Microsoft Office Word</Application>
  <DocSecurity>0</DocSecurity>
  <Lines>45</Lines>
  <Paragraphs>12</Paragraphs>
  <ScaleCrop>false</ScaleCrop>
  <Company>TRT. Ltd. Co.</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363</cp:revision>
  <cp:lastPrinted>2007-07-19T00:46:00Z</cp:lastPrinted>
  <dcterms:created xsi:type="dcterms:W3CDTF">2012-11-21T04:46:00Z</dcterms:created>
  <dcterms:modified xsi:type="dcterms:W3CDTF">2014-07-15T09:06:00Z</dcterms:modified>
</cp:coreProperties>
</file>