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DB0F1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3406B" w:rsidRDefault="00DB0F1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13406B" w:rsidRDefault="00DB0F1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 xml:space="preserve">日复核了本报告中的财务指标、净值表现和投资组合报告等内容，保证复核内容不存在虚假记载、误导性陈述或者重大遗漏。　　</w:t>
      </w:r>
    </w:p>
    <w:p w:rsidR="0013406B" w:rsidRDefault="00DB0F1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13406B" w:rsidRDefault="00DB0F1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13406B" w:rsidRDefault="00DB0F1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B0F1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952,611,121.75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本基金是一只股票型基金，以具有持续成长潜力企业</w:t>
            </w:r>
            <w:r w:rsidRPr="00414345">
              <w:rPr>
                <w:color w:val="000000"/>
                <w:kern w:val="0"/>
                <w:sz w:val="24"/>
                <w:szCs w:val="24"/>
              </w:rPr>
              <w:lastRenderedPageBreak/>
              <w:t>的股票，特别是处于快速成长过程中的中型及小型企业为主要投资对象，属于证券投资基金中较高预期收益和较高风险的品种。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B0F1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B0F1A" w:rsidRPr="00414345" w:rsidTr="00DB0F1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B0F1A" w:rsidRPr="00414345" w:rsidTr="00DB0F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21,323,874.11</w:t>
            </w:r>
          </w:p>
        </w:tc>
      </w:tr>
      <w:tr w:rsidR="00DB0F1A" w:rsidRPr="00414345" w:rsidTr="00DB0F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-8,777,027.86</w:t>
            </w:r>
          </w:p>
        </w:tc>
      </w:tr>
      <w:tr w:rsidR="00DB0F1A" w:rsidRPr="00414345" w:rsidTr="00DB0F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-0.0091</w:t>
            </w:r>
          </w:p>
        </w:tc>
      </w:tr>
      <w:tr w:rsidR="00DB0F1A" w:rsidRPr="00414345" w:rsidTr="00DB0F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1,092,635,666.94</w:t>
            </w:r>
          </w:p>
        </w:tc>
      </w:tr>
      <w:tr w:rsidR="00DB0F1A" w:rsidRPr="00414345" w:rsidTr="00DB0F1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1.1470</w:t>
            </w:r>
          </w:p>
        </w:tc>
      </w:tr>
    </w:tbl>
    <w:p w:rsidR="0013406B" w:rsidRDefault="00DB0F1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3406B">
        <w:trPr>
          <w:jc w:val="center"/>
        </w:trPr>
        <w:tc>
          <w:tcPr>
            <w:tcW w:w="1701" w:type="dxa"/>
            <w:vAlign w:val="center"/>
          </w:tcPr>
          <w:p w:rsidR="0013406B" w:rsidRDefault="00DB0F1A">
            <w:pPr>
              <w:jc w:val="left"/>
            </w:pPr>
            <w:r>
              <w:rPr>
                <w:color w:val="000000"/>
                <w:sz w:val="24"/>
                <w:szCs w:val="24"/>
              </w:rPr>
              <w:t>过去三个月</w:t>
            </w:r>
          </w:p>
        </w:tc>
        <w:tc>
          <w:tcPr>
            <w:tcW w:w="1045" w:type="dxa"/>
            <w:vAlign w:val="center"/>
          </w:tcPr>
          <w:p w:rsidR="0013406B" w:rsidRDefault="00DB0F1A">
            <w:pPr>
              <w:jc w:val="center"/>
            </w:pPr>
            <w:r>
              <w:rPr>
                <w:color w:val="000000"/>
                <w:sz w:val="24"/>
                <w:szCs w:val="24"/>
              </w:rPr>
              <w:t>-0.75%</w:t>
            </w:r>
          </w:p>
        </w:tc>
        <w:tc>
          <w:tcPr>
            <w:tcW w:w="1344" w:type="dxa"/>
            <w:vAlign w:val="center"/>
          </w:tcPr>
          <w:p w:rsidR="0013406B" w:rsidRDefault="00DB0F1A">
            <w:pPr>
              <w:jc w:val="center"/>
            </w:pPr>
            <w:r>
              <w:rPr>
                <w:color w:val="000000"/>
                <w:sz w:val="24"/>
                <w:szCs w:val="24"/>
              </w:rPr>
              <w:t>1.02%</w:t>
            </w:r>
          </w:p>
        </w:tc>
        <w:tc>
          <w:tcPr>
            <w:tcW w:w="1194" w:type="dxa"/>
            <w:vAlign w:val="center"/>
          </w:tcPr>
          <w:p w:rsidR="0013406B" w:rsidRDefault="00DB0F1A">
            <w:pPr>
              <w:jc w:val="center"/>
            </w:pPr>
            <w:r>
              <w:rPr>
                <w:color w:val="000000"/>
                <w:sz w:val="24"/>
                <w:szCs w:val="24"/>
              </w:rPr>
              <w:t>1.87%</w:t>
            </w:r>
          </w:p>
        </w:tc>
        <w:tc>
          <w:tcPr>
            <w:tcW w:w="1492" w:type="dxa"/>
            <w:vAlign w:val="center"/>
          </w:tcPr>
          <w:p w:rsidR="0013406B" w:rsidRDefault="00DB0F1A">
            <w:pPr>
              <w:jc w:val="center"/>
            </w:pPr>
            <w:r>
              <w:rPr>
                <w:color w:val="000000"/>
                <w:sz w:val="24"/>
                <w:szCs w:val="24"/>
              </w:rPr>
              <w:t>0.74%</w:t>
            </w:r>
          </w:p>
        </w:tc>
        <w:tc>
          <w:tcPr>
            <w:tcW w:w="1194" w:type="dxa"/>
            <w:vAlign w:val="center"/>
          </w:tcPr>
          <w:p w:rsidR="0013406B" w:rsidRDefault="00DB0F1A">
            <w:pPr>
              <w:jc w:val="center"/>
            </w:pPr>
            <w:r>
              <w:rPr>
                <w:color w:val="000000"/>
                <w:sz w:val="24"/>
                <w:szCs w:val="24"/>
              </w:rPr>
              <w:t>-2.62%</w:t>
            </w:r>
          </w:p>
        </w:tc>
        <w:tc>
          <w:tcPr>
            <w:tcW w:w="898" w:type="dxa"/>
            <w:vAlign w:val="center"/>
          </w:tcPr>
          <w:p w:rsidR="0013406B" w:rsidRDefault="00DB0F1A">
            <w:pPr>
              <w:jc w:val="center"/>
            </w:pPr>
            <w:r>
              <w:rPr>
                <w:color w:val="000000"/>
                <w:sz w:val="24"/>
                <w:szCs w:val="24"/>
              </w:rPr>
              <w:t>0.28%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B0F1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3406B">
        <w:trPr>
          <w:jc w:val="center"/>
        </w:trPr>
        <w:tc>
          <w:tcPr>
            <w:tcW w:w="846" w:type="dxa"/>
            <w:vAlign w:val="center"/>
          </w:tcPr>
          <w:p w:rsidR="0013406B" w:rsidRDefault="00DB0F1A">
            <w:pPr>
              <w:jc w:val="center"/>
            </w:pPr>
            <w:r>
              <w:rPr>
                <w:color w:val="000000"/>
                <w:sz w:val="24"/>
                <w:szCs w:val="24"/>
              </w:rPr>
              <w:t>王少成</w:t>
            </w:r>
          </w:p>
        </w:tc>
        <w:tc>
          <w:tcPr>
            <w:tcW w:w="845" w:type="dxa"/>
            <w:vAlign w:val="center"/>
          </w:tcPr>
          <w:p w:rsidR="0013406B" w:rsidRDefault="00DB0F1A">
            <w:pPr>
              <w:jc w:val="center"/>
            </w:pPr>
            <w:r>
              <w:rPr>
                <w:color w:val="000000"/>
                <w:sz w:val="24"/>
                <w:szCs w:val="24"/>
              </w:rPr>
              <w:t>本基金、交银先进制造股票、交银成长</w:t>
            </w:r>
            <w:r>
              <w:rPr>
                <w:color w:val="000000"/>
                <w:sz w:val="24"/>
                <w:szCs w:val="24"/>
              </w:rPr>
              <w:t>30</w:t>
            </w:r>
            <w:r>
              <w:rPr>
                <w:color w:val="000000"/>
                <w:sz w:val="24"/>
                <w:szCs w:val="24"/>
              </w:rPr>
              <w:t>股票的基金经理</w:t>
            </w:r>
            <w:r w:rsidR="00784A50">
              <w:rPr>
                <w:rFonts w:hint="eastAsia"/>
                <w:color w:val="000000"/>
                <w:sz w:val="24"/>
                <w:szCs w:val="24"/>
              </w:rPr>
              <w:t>、</w:t>
            </w:r>
            <w:r w:rsidR="00784A50">
              <w:rPr>
                <w:color w:val="000000"/>
                <w:sz w:val="24"/>
                <w:szCs w:val="24"/>
              </w:rPr>
              <w:t>公司权益部</w:t>
            </w:r>
            <w:r w:rsidR="00784A50">
              <w:rPr>
                <w:color w:val="000000"/>
                <w:sz w:val="24"/>
                <w:szCs w:val="24"/>
              </w:rPr>
              <w:lastRenderedPageBreak/>
              <w:t>副总经理</w:t>
            </w:r>
          </w:p>
        </w:tc>
        <w:tc>
          <w:tcPr>
            <w:tcW w:w="1549" w:type="dxa"/>
            <w:vAlign w:val="center"/>
          </w:tcPr>
          <w:p w:rsidR="0013406B" w:rsidRDefault="00DB0F1A">
            <w:pPr>
              <w:jc w:val="center"/>
            </w:pPr>
            <w:r>
              <w:rPr>
                <w:color w:val="000000"/>
                <w:sz w:val="24"/>
                <w:szCs w:val="24"/>
              </w:rPr>
              <w:lastRenderedPageBreak/>
              <w:t>2013-05-29</w:t>
            </w:r>
          </w:p>
        </w:tc>
        <w:tc>
          <w:tcPr>
            <w:tcW w:w="1548" w:type="dxa"/>
            <w:vAlign w:val="center"/>
          </w:tcPr>
          <w:p w:rsidR="0013406B" w:rsidRDefault="00DB0F1A">
            <w:pPr>
              <w:jc w:val="center"/>
            </w:pPr>
            <w:r>
              <w:rPr>
                <w:color w:val="000000"/>
                <w:sz w:val="24"/>
                <w:szCs w:val="24"/>
              </w:rPr>
              <w:t>-</w:t>
            </w:r>
          </w:p>
        </w:tc>
        <w:tc>
          <w:tcPr>
            <w:tcW w:w="1407" w:type="dxa"/>
            <w:vAlign w:val="center"/>
          </w:tcPr>
          <w:p w:rsidR="0013406B" w:rsidRDefault="00DB0F1A">
            <w:pPr>
              <w:jc w:val="center"/>
            </w:pPr>
            <w:r>
              <w:rPr>
                <w:color w:val="000000"/>
                <w:sz w:val="24"/>
                <w:szCs w:val="24"/>
              </w:rPr>
              <w:t>10</w:t>
            </w:r>
            <w:r>
              <w:rPr>
                <w:color w:val="000000"/>
                <w:sz w:val="24"/>
                <w:szCs w:val="24"/>
              </w:rPr>
              <w:t>年</w:t>
            </w:r>
          </w:p>
        </w:tc>
        <w:tc>
          <w:tcPr>
            <w:tcW w:w="2673" w:type="dxa"/>
            <w:vAlign w:val="center"/>
          </w:tcPr>
          <w:p w:rsidR="0013406B" w:rsidRDefault="00DB0F1A">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w:t>
            </w:r>
            <w:r>
              <w:rPr>
                <w:color w:val="000000"/>
                <w:sz w:val="24"/>
                <w:szCs w:val="24"/>
              </w:rPr>
              <w:lastRenderedPageBreak/>
              <w:t>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3406B" w:rsidRDefault="00DB0F1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3406B" w:rsidRDefault="00DB0F1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3406B" w:rsidRDefault="00DB0F1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13406B" w:rsidRDefault="00DB0F1A">
      <w:pPr>
        <w:spacing w:before="29" w:line="288" w:lineRule="auto"/>
        <w:ind w:firstLineChars="200" w:firstLine="480"/>
        <w:rPr>
          <w:color w:val="000000"/>
          <w:sz w:val="24"/>
          <w:szCs w:val="24"/>
        </w:rPr>
      </w:pPr>
      <w:r>
        <w:rPr>
          <w:color w:val="000000"/>
          <w:sz w:val="24"/>
          <w:szCs w:val="24"/>
        </w:rPr>
        <w:t>2014</w:t>
      </w:r>
      <w:r>
        <w:rPr>
          <w:color w:val="000000"/>
          <w:sz w:val="24"/>
          <w:szCs w:val="24"/>
        </w:rPr>
        <w:t>年二季度沪深</w:t>
      </w:r>
      <w:r>
        <w:rPr>
          <w:color w:val="000000"/>
          <w:sz w:val="24"/>
          <w:szCs w:val="24"/>
        </w:rPr>
        <w:t>300</w:t>
      </w:r>
      <w:r>
        <w:rPr>
          <w:color w:val="000000"/>
          <w:sz w:val="24"/>
          <w:szCs w:val="24"/>
        </w:rPr>
        <w:t>指数上涨</w:t>
      </w:r>
      <w:r>
        <w:rPr>
          <w:color w:val="000000"/>
          <w:sz w:val="24"/>
          <w:szCs w:val="24"/>
        </w:rPr>
        <w:t>0.88%</w:t>
      </w:r>
      <w:r>
        <w:rPr>
          <w:color w:val="000000"/>
          <w:sz w:val="24"/>
          <w:szCs w:val="24"/>
        </w:rPr>
        <w:t>，本基金的业绩比较基准上涨</w:t>
      </w:r>
      <w:r>
        <w:rPr>
          <w:color w:val="000000"/>
          <w:sz w:val="24"/>
          <w:szCs w:val="24"/>
        </w:rPr>
        <w:t>1.87%</w:t>
      </w:r>
      <w:r>
        <w:rPr>
          <w:color w:val="000000"/>
          <w:sz w:val="24"/>
          <w:szCs w:val="24"/>
        </w:rPr>
        <w:t>，本基金净值下跌</w:t>
      </w:r>
      <w:r>
        <w:rPr>
          <w:color w:val="000000"/>
          <w:sz w:val="24"/>
          <w:szCs w:val="24"/>
        </w:rPr>
        <w:t>0.75%</w:t>
      </w:r>
      <w:r>
        <w:rPr>
          <w:color w:val="000000"/>
          <w:sz w:val="24"/>
          <w:szCs w:val="24"/>
        </w:rPr>
        <w:t>，未有跑赢沪深</w:t>
      </w:r>
      <w:r>
        <w:rPr>
          <w:color w:val="000000"/>
          <w:sz w:val="24"/>
          <w:szCs w:val="24"/>
        </w:rPr>
        <w:t>300</w:t>
      </w:r>
      <w:r>
        <w:rPr>
          <w:color w:val="000000"/>
          <w:sz w:val="24"/>
          <w:szCs w:val="24"/>
        </w:rPr>
        <w:t>指数和业绩比较基准。</w:t>
      </w:r>
    </w:p>
    <w:p w:rsidR="0013406B" w:rsidRDefault="00DB0F1A">
      <w:pPr>
        <w:spacing w:before="29" w:line="288" w:lineRule="auto"/>
        <w:ind w:firstLineChars="200" w:firstLine="480"/>
        <w:rPr>
          <w:color w:val="000000"/>
          <w:sz w:val="24"/>
          <w:szCs w:val="24"/>
        </w:rPr>
      </w:pPr>
      <w:r>
        <w:rPr>
          <w:color w:val="000000"/>
          <w:sz w:val="24"/>
          <w:szCs w:val="24"/>
        </w:rPr>
        <w:t>2014</w:t>
      </w:r>
      <w:r>
        <w:rPr>
          <w:color w:val="000000"/>
          <w:sz w:val="24"/>
          <w:szCs w:val="24"/>
        </w:rPr>
        <w:t>年二季度</w:t>
      </w:r>
      <w:r>
        <w:rPr>
          <w:color w:val="000000"/>
          <w:sz w:val="24"/>
          <w:szCs w:val="24"/>
        </w:rPr>
        <w:t>A</w:t>
      </w:r>
      <w:r>
        <w:rPr>
          <w:color w:val="000000"/>
          <w:sz w:val="24"/>
          <w:szCs w:val="24"/>
        </w:rPr>
        <w:t>股市场先涨后跌。进入二季度，投资者对于宏观和中观经济的看法趋于共识，经济进入去杠杆阶段，宏观调控政策的作用是维稳，难以起到强刺激的作用。投资者的分歧在于，风险如何释放：是否可以如愿控制在可接受的范围内且不产生明显连锁效应。我们认为，极大的可能是，中国的宏观经济将进入较长周期的宽货币、紧信用的发展阶段，与宏观经济周期相对隔离的行业和个股可能会持续获得投资者的青睐。</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2014</w:t>
      </w:r>
      <w:r w:rsidRPr="00414345">
        <w:rPr>
          <w:color w:val="000000"/>
          <w:sz w:val="24"/>
          <w:szCs w:val="24"/>
        </w:rPr>
        <w:t>年下半年的Ａ股市场可能整体平淡，但结构性机会仍存。某些对转型的观念如果脱离事实也无法持续强化。经济下行周期，风险偏好难以持续上升，只有真正基于商业逻辑本质的企业转型才禁得起时间的考验，从而最终获得投资者的认同。</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1.1470</w:t>
      </w:r>
      <w:r w:rsidRPr="00414345">
        <w:rPr>
          <w:color w:val="000000"/>
          <w:sz w:val="24"/>
          <w:szCs w:val="24"/>
        </w:rPr>
        <w:t>元，本报告期份额净值增长率为</w:t>
      </w:r>
      <w:r w:rsidRPr="00414345">
        <w:rPr>
          <w:color w:val="000000"/>
          <w:sz w:val="24"/>
          <w:szCs w:val="24"/>
        </w:rPr>
        <w:t>-0.75%</w:t>
      </w:r>
      <w:r w:rsidRPr="00414345">
        <w:rPr>
          <w:color w:val="000000"/>
          <w:sz w:val="24"/>
          <w:szCs w:val="24"/>
        </w:rPr>
        <w:t>，同期业绩比较基准增长率为</w:t>
      </w:r>
      <w:r w:rsidRPr="00414345">
        <w:rPr>
          <w:color w:val="000000"/>
          <w:sz w:val="24"/>
          <w:szCs w:val="24"/>
        </w:rPr>
        <w:t>1.87%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DB0F1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909,818,164.31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82.99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909,818,164.31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82.99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110,000,435.00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70,721,973.57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6.45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5,725,009.24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0.52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1,096,265,582.12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B0F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B0F1A">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760,079,900.93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16,749,821.88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53,487,230.72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B0F1A">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38,594,754.02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40,906,456.76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909,818,164.31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83.27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3406B">
        <w:trPr>
          <w:jc w:val="center"/>
        </w:trPr>
        <w:tc>
          <w:tcPr>
            <w:tcW w:w="855" w:type="dxa"/>
            <w:vAlign w:val="center"/>
          </w:tcPr>
          <w:p w:rsidR="0013406B" w:rsidRDefault="00DB0F1A">
            <w:pPr>
              <w:jc w:val="center"/>
            </w:pPr>
            <w:r>
              <w:rPr>
                <w:color w:val="000000"/>
                <w:sz w:val="24"/>
                <w:szCs w:val="24"/>
              </w:rPr>
              <w:lastRenderedPageBreak/>
              <w:t>1</w:t>
            </w:r>
          </w:p>
        </w:tc>
        <w:tc>
          <w:tcPr>
            <w:tcW w:w="1334" w:type="dxa"/>
            <w:vAlign w:val="center"/>
          </w:tcPr>
          <w:p w:rsidR="0013406B" w:rsidRDefault="00DB0F1A">
            <w:pPr>
              <w:jc w:val="center"/>
            </w:pPr>
            <w:r>
              <w:rPr>
                <w:color w:val="000000"/>
                <w:sz w:val="24"/>
                <w:szCs w:val="24"/>
              </w:rPr>
              <w:t>600967</w:t>
            </w:r>
          </w:p>
        </w:tc>
        <w:tc>
          <w:tcPr>
            <w:tcW w:w="1777" w:type="dxa"/>
            <w:vAlign w:val="center"/>
          </w:tcPr>
          <w:p w:rsidR="0013406B" w:rsidRDefault="00DB0F1A">
            <w:pPr>
              <w:jc w:val="center"/>
            </w:pPr>
            <w:r>
              <w:rPr>
                <w:color w:val="000000"/>
                <w:sz w:val="24"/>
                <w:szCs w:val="24"/>
              </w:rPr>
              <w:t>北方创业</w:t>
            </w:r>
          </w:p>
        </w:tc>
        <w:tc>
          <w:tcPr>
            <w:tcW w:w="1334" w:type="dxa"/>
            <w:vAlign w:val="center"/>
          </w:tcPr>
          <w:p w:rsidR="0013406B" w:rsidRDefault="00DB0F1A">
            <w:pPr>
              <w:jc w:val="right"/>
            </w:pPr>
            <w:r>
              <w:rPr>
                <w:color w:val="000000"/>
                <w:sz w:val="24"/>
                <w:szCs w:val="24"/>
              </w:rPr>
              <w:t>7,938,527</w:t>
            </w:r>
          </w:p>
        </w:tc>
        <w:tc>
          <w:tcPr>
            <w:tcW w:w="1924" w:type="dxa"/>
            <w:vAlign w:val="center"/>
          </w:tcPr>
          <w:p w:rsidR="0013406B" w:rsidRDefault="00DB0F1A">
            <w:pPr>
              <w:jc w:val="right"/>
            </w:pPr>
            <w:r>
              <w:rPr>
                <w:color w:val="000000"/>
                <w:sz w:val="24"/>
                <w:szCs w:val="24"/>
              </w:rPr>
              <w:t>99,628,513.85</w:t>
            </w:r>
          </w:p>
        </w:tc>
        <w:tc>
          <w:tcPr>
            <w:tcW w:w="1644" w:type="dxa"/>
            <w:vAlign w:val="center"/>
          </w:tcPr>
          <w:p w:rsidR="0013406B" w:rsidRDefault="00DB0F1A">
            <w:pPr>
              <w:jc w:val="right"/>
            </w:pPr>
            <w:r>
              <w:rPr>
                <w:color w:val="000000"/>
                <w:sz w:val="24"/>
                <w:szCs w:val="24"/>
              </w:rPr>
              <w:t>9.12</w:t>
            </w:r>
          </w:p>
        </w:tc>
      </w:tr>
      <w:tr w:rsidR="0013406B">
        <w:trPr>
          <w:jc w:val="center"/>
        </w:trPr>
        <w:tc>
          <w:tcPr>
            <w:tcW w:w="855" w:type="dxa"/>
            <w:vAlign w:val="center"/>
          </w:tcPr>
          <w:p w:rsidR="0013406B" w:rsidRDefault="00DB0F1A">
            <w:pPr>
              <w:jc w:val="center"/>
            </w:pPr>
            <w:r>
              <w:rPr>
                <w:color w:val="000000"/>
                <w:sz w:val="24"/>
                <w:szCs w:val="24"/>
              </w:rPr>
              <w:t>2</w:t>
            </w:r>
          </w:p>
        </w:tc>
        <w:tc>
          <w:tcPr>
            <w:tcW w:w="1334" w:type="dxa"/>
            <w:vAlign w:val="center"/>
          </w:tcPr>
          <w:p w:rsidR="0013406B" w:rsidRDefault="00DB0F1A">
            <w:pPr>
              <w:jc w:val="center"/>
            </w:pPr>
            <w:r>
              <w:rPr>
                <w:color w:val="000000"/>
                <w:sz w:val="24"/>
                <w:szCs w:val="24"/>
              </w:rPr>
              <w:t>600389</w:t>
            </w:r>
          </w:p>
        </w:tc>
        <w:tc>
          <w:tcPr>
            <w:tcW w:w="1777" w:type="dxa"/>
            <w:vAlign w:val="center"/>
          </w:tcPr>
          <w:p w:rsidR="0013406B" w:rsidRDefault="00DB0F1A">
            <w:pPr>
              <w:jc w:val="center"/>
            </w:pPr>
            <w:r>
              <w:rPr>
                <w:color w:val="000000"/>
                <w:sz w:val="24"/>
                <w:szCs w:val="24"/>
              </w:rPr>
              <w:t>江山股份</w:t>
            </w:r>
          </w:p>
        </w:tc>
        <w:tc>
          <w:tcPr>
            <w:tcW w:w="1334" w:type="dxa"/>
            <w:vAlign w:val="center"/>
          </w:tcPr>
          <w:p w:rsidR="0013406B" w:rsidRDefault="00DB0F1A">
            <w:pPr>
              <w:jc w:val="right"/>
            </w:pPr>
            <w:r>
              <w:rPr>
                <w:color w:val="000000"/>
                <w:sz w:val="24"/>
                <w:szCs w:val="24"/>
              </w:rPr>
              <w:t>2,960,232</w:t>
            </w:r>
          </w:p>
        </w:tc>
        <w:tc>
          <w:tcPr>
            <w:tcW w:w="1924" w:type="dxa"/>
            <w:vAlign w:val="center"/>
          </w:tcPr>
          <w:p w:rsidR="0013406B" w:rsidRDefault="00DB0F1A">
            <w:pPr>
              <w:jc w:val="right"/>
            </w:pPr>
            <w:r>
              <w:rPr>
                <w:color w:val="000000"/>
                <w:sz w:val="24"/>
                <w:szCs w:val="24"/>
              </w:rPr>
              <w:t>96,533,165.52</w:t>
            </w:r>
          </w:p>
        </w:tc>
        <w:tc>
          <w:tcPr>
            <w:tcW w:w="1644" w:type="dxa"/>
            <w:vAlign w:val="center"/>
          </w:tcPr>
          <w:p w:rsidR="0013406B" w:rsidRDefault="00DB0F1A">
            <w:pPr>
              <w:jc w:val="right"/>
            </w:pPr>
            <w:r>
              <w:rPr>
                <w:color w:val="000000"/>
                <w:sz w:val="24"/>
                <w:szCs w:val="24"/>
              </w:rPr>
              <w:t>8.83</w:t>
            </w:r>
          </w:p>
        </w:tc>
      </w:tr>
      <w:tr w:rsidR="0013406B">
        <w:trPr>
          <w:jc w:val="center"/>
        </w:trPr>
        <w:tc>
          <w:tcPr>
            <w:tcW w:w="855" w:type="dxa"/>
            <w:vAlign w:val="center"/>
          </w:tcPr>
          <w:p w:rsidR="0013406B" w:rsidRDefault="00DB0F1A">
            <w:pPr>
              <w:jc w:val="center"/>
            </w:pPr>
            <w:r>
              <w:rPr>
                <w:color w:val="000000"/>
                <w:sz w:val="24"/>
                <w:szCs w:val="24"/>
              </w:rPr>
              <w:t>3</w:t>
            </w:r>
          </w:p>
        </w:tc>
        <w:tc>
          <w:tcPr>
            <w:tcW w:w="1334" w:type="dxa"/>
            <w:vAlign w:val="center"/>
          </w:tcPr>
          <w:p w:rsidR="0013406B" w:rsidRDefault="00DB0F1A">
            <w:pPr>
              <w:jc w:val="center"/>
            </w:pPr>
            <w:r>
              <w:rPr>
                <w:color w:val="000000"/>
                <w:sz w:val="24"/>
                <w:szCs w:val="24"/>
              </w:rPr>
              <w:t>300005</w:t>
            </w:r>
          </w:p>
        </w:tc>
        <w:tc>
          <w:tcPr>
            <w:tcW w:w="1777" w:type="dxa"/>
            <w:vAlign w:val="center"/>
          </w:tcPr>
          <w:p w:rsidR="0013406B" w:rsidRDefault="00DB0F1A">
            <w:pPr>
              <w:jc w:val="center"/>
            </w:pPr>
            <w:r>
              <w:rPr>
                <w:color w:val="000000"/>
                <w:sz w:val="24"/>
                <w:szCs w:val="24"/>
              </w:rPr>
              <w:t>探路者</w:t>
            </w:r>
          </w:p>
        </w:tc>
        <w:tc>
          <w:tcPr>
            <w:tcW w:w="1334" w:type="dxa"/>
            <w:vAlign w:val="center"/>
          </w:tcPr>
          <w:p w:rsidR="0013406B" w:rsidRDefault="00DB0F1A">
            <w:pPr>
              <w:jc w:val="right"/>
            </w:pPr>
            <w:r>
              <w:rPr>
                <w:color w:val="000000"/>
                <w:sz w:val="24"/>
                <w:szCs w:val="24"/>
              </w:rPr>
              <w:t>6,239,497</w:t>
            </w:r>
          </w:p>
        </w:tc>
        <w:tc>
          <w:tcPr>
            <w:tcW w:w="1924" w:type="dxa"/>
            <w:vAlign w:val="center"/>
          </w:tcPr>
          <w:p w:rsidR="0013406B" w:rsidRDefault="00DB0F1A">
            <w:pPr>
              <w:jc w:val="right"/>
            </w:pPr>
            <w:r>
              <w:rPr>
                <w:color w:val="000000"/>
                <w:sz w:val="24"/>
                <w:szCs w:val="24"/>
              </w:rPr>
              <w:t>96,337,833.68</w:t>
            </w:r>
          </w:p>
        </w:tc>
        <w:tc>
          <w:tcPr>
            <w:tcW w:w="1644" w:type="dxa"/>
            <w:vAlign w:val="center"/>
          </w:tcPr>
          <w:p w:rsidR="0013406B" w:rsidRDefault="00DB0F1A">
            <w:pPr>
              <w:jc w:val="right"/>
            </w:pPr>
            <w:r>
              <w:rPr>
                <w:color w:val="000000"/>
                <w:sz w:val="24"/>
                <w:szCs w:val="24"/>
              </w:rPr>
              <w:t>8.82</w:t>
            </w:r>
          </w:p>
        </w:tc>
      </w:tr>
      <w:tr w:rsidR="0013406B">
        <w:trPr>
          <w:jc w:val="center"/>
        </w:trPr>
        <w:tc>
          <w:tcPr>
            <w:tcW w:w="855" w:type="dxa"/>
            <w:vAlign w:val="center"/>
          </w:tcPr>
          <w:p w:rsidR="0013406B" w:rsidRDefault="00DB0F1A">
            <w:pPr>
              <w:jc w:val="center"/>
            </w:pPr>
            <w:r>
              <w:rPr>
                <w:color w:val="000000"/>
                <w:sz w:val="24"/>
                <w:szCs w:val="24"/>
              </w:rPr>
              <w:t>4</w:t>
            </w:r>
          </w:p>
        </w:tc>
        <w:tc>
          <w:tcPr>
            <w:tcW w:w="1334" w:type="dxa"/>
            <w:vAlign w:val="center"/>
          </w:tcPr>
          <w:p w:rsidR="0013406B" w:rsidRDefault="00DB0F1A">
            <w:pPr>
              <w:jc w:val="center"/>
            </w:pPr>
            <w:r>
              <w:rPr>
                <w:color w:val="000000"/>
                <w:sz w:val="24"/>
                <w:szCs w:val="24"/>
              </w:rPr>
              <w:t>000423</w:t>
            </w:r>
          </w:p>
        </w:tc>
        <w:tc>
          <w:tcPr>
            <w:tcW w:w="1777" w:type="dxa"/>
            <w:vAlign w:val="center"/>
          </w:tcPr>
          <w:p w:rsidR="0013406B" w:rsidRDefault="00DB0F1A">
            <w:pPr>
              <w:jc w:val="center"/>
            </w:pPr>
            <w:r>
              <w:rPr>
                <w:color w:val="000000"/>
                <w:sz w:val="24"/>
                <w:szCs w:val="24"/>
              </w:rPr>
              <w:t>东阿阿胶</w:t>
            </w:r>
          </w:p>
        </w:tc>
        <w:tc>
          <w:tcPr>
            <w:tcW w:w="1334" w:type="dxa"/>
            <w:vAlign w:val="center"/>
          </w:tcPr>
          <w:p w:rsidR="0013406B" w:rsidRDefault="00DB0F1A">
            <w:pPr>
              <w:jc w:val="right"/>
            </w:pPr>
            <w:r>
              <w:rPr>
                <w:color w:val="000000"/>
                <w:sz w:val="24"/>
                <w:szCs w:val="24"/>
              </w:rPr>
              <w:t>2,848,913</w:t>
            </w:r>
          </w:p>
        </w:tc>
        <w:tc>
          <w:tcPr>
            <w:tcW w:w="1924" w:type="dxa"/>
            <w:vAlign w:val="center"/>
          </w:tcPr>
          <w:p w:rsidR="0013406B" w:rsidRDefault="00DB0F1A">
            <w:pPr>
              <w:jc w:val="right"/>
            </w:pPr>
            <w:r>
              <w:rPr>
                <w:color w:val="000000"/>
                <w:sz w:val="24"/>
                <w:szCs w:val="24"/>
              </w:rPr>
              <w:t>94,925,781.16</w:t>
            </w:r>
          </w:p>
        </w:tc>
        <w:tc>
          <w:tcPr>
            <w:tcW w:w="1644" w:type="dxa"/>
            <w:vAlign w:val="center"/>
          </w:tcPr>
          <w:p w:rsidR="0013406B" w:rsidRDefault="00DB0F1A">
            <w:pPr>
              <w:jc w:val="right"/>
            </w:pPr>
            <w:r>
              <w:rPr>
                <w:color w:val="000000"/>
                <w:sz w:val="24"/>
                <w:szCs w:val="24"/>
              </w:rPr>
              <w:t>8.69</w:t>
            </w:r>
          </w:p>
        </w:tc>
      </w:tr>
      <w:tr w:rsidR="0013406B">
        <w:trPr>
          <w:jc w:val="center"/>
        </w:trPr>
        <w:tc>
          <w:tcPr>
            <w:tcW w:w="855" w:type="dxa"/>
            <w:vAlign w:val="center"/>
          </w:tcPr>
          <w:p w:rsidR="0013406B" w:rsidRDefault="00DB0F1A">
            <w:pPr>
              <w:jc w:val="center"/>
            </w:pPr>
            <w:r>
              <w:rPr>
                <w:color w:val="000000"/>
                <w:sz w:val="24"/>
                <w:szCs w:val="24"/>
              </w:rPr>
              <w:t>5</w:t>
            </w:r>
          </w:p>
        </w:tc>
        <w:tc>
          <w:tcPr>
            <w:tcW w:w="1334" w:type="dxa"/>
            <w:vAlign w:val="center"/>
          </w:tcPr>
          <w:p w:rsidR="0013406B" w:rsidRDefault="00DB0F1A">
            <w:pPr>
              <w:jc w:val="center"/>
            </w:pPr>
            <w:r>
              <w:rPr>
                <w:color w:val="000000"/>
                <w:sz w:val="24"/>
                <w:szCs w:val="24"/>
              </w:rPr>
              <w:t>000100</w:t>
            </w:r>
          </w:p>
        </w:tc>
        <w:tc>
          <w:tcPr>
            <w:tcW w:w="1777" w:type="dxa"/>
            <w:vAlign w:val="center"/>
          </w:tcPr>
          <w:p w:rsidR="0013406B" w:rsidRDefault="00DB0F1A">
            <w:pPr>
              <w:jc w:val="center"/>
            </w:pPr>
            <w:r>
              <w:rPr>
                <w:color w:val="000000"/>
                <w:sz w:val="24"/>
                <w:szCs w:val="24"/>
              </w:rPr>
              <w:t xml:space="preserve">TCL </w:t>
            </w:r>
            <w:r>
              <w:rPr>
                <w:color w:val="000000"/>
                <w:sz w:val="24"/>
                <w:szCs w:val="24"/>
              </w:rPr>
              <w:t>集团</w:t>
            </w:r>
          </w:p>
        </w:tc>
        <w:tc>
          <w:tcPr>
            <w:tcW w:w="1334" w:type="dxa"/>
            <w:vAlign w:val="center"/>
          </w:tcPr>
          <w:p w:rsidR="0013406B" w:rsidRDefault="00DB0F1A">
            <w:pPr>
              <w:jc w:val="right"/>
            </w:pPr>
            <w:r>
              <w:rPr>
                <w:color w:val="000000"/>
                <w:sz w:val="24"/>
                <w:szCs w:val="24"/>
              </w:rPr>
              <w:t>38,993,454</w:t>
            </w:r>
          </w:p>
        </w:tc>
        <w:tc>
          <w:tcPr>
            <w:tcW w:w="1924" w:type="dxa"/>
            <w:vAlign w:val="center"/>
          </w:tcPr>
          <w:p w:rsidR="0013406B" w:rsidRDefault="00DB0F1A">
            <w:pPr>
              <w:jc w:val="right"/>
            </w:pPr>
            <w:r>
              <w:rPr>
                <w:color w:val="000000"/>
                <w:sz w:val="24"/>
                <w:szCs w:val="24"/>
              </w:rPr>
              <w:t>88,905,075.12</w:t>
            </w:r>
          </w:p>
        </w:tc>
        <w:tc>
          <w:tcPr>
            <w:tcW w:w="1644" w:type="dxa"/>
            <w:vAlign w:val="center"/>
          </w:tcPr>
          <w:p w:rsidR="0013406B" w:rsidRDefault="00DB0F1A">
            <w:pPr>
              <w:jc w:val="right"/>
            </w:pPr>
            <w:r>
              <w:rPr>
                <w:color w:val="000000"/>
                <w:sz w:val="24"/>
                <w:szCs w:val="24"/>
              </w:rPr>
              <w:t>8.14</w:t>
            </w:r>
          </w:p>
        </w:tc>
      </w:tr>
      <w:tr w:rsidR="0013406B">
        <w:trPr>
          <w:jc w:val="center"/>
        </w:trPr>
        <w:tc>
          <w:tcPr>
            <w:tcW w:w="855" w:type="dxa"/>
            <w:vAlign w:val="center"/>
          </w:tcPr>
          <w:p w:rsidR="0013406B" w:rsidRDefault="00DB0F1A">
            <w:pPr>
              <w:jc w:val="center"/>
            </w:pPr>
            <w:r>
              <w:rPr>
                <w:color w:val="000000"/>
                <w:sz w:val="24"/>
                <w:szCs w:val="24"/>
              </w:rPr>
              <w:t>6</w:t>
            </w:r>
          </w:p>
        </w:tc>
        <w:tc>
          <w:tcPr>
            <w:tcW w:w="1334" w:type="dxa"/>
            <w:vAlign w:val="center"/>
          </w:tcPr>
          <w:p w:rsidR="0013406B" w:rsidRDefault="00DB0F1A">
            <w:pPr>
              <w:jc w:val="center"/>
            </w:pPr>
            <w:r>
              <w:rPr>
                <w:color w:val="000000"/>
                <w:sz w:val="24"/>
                <w:szCs w:val="24"/>
              </w:rPr>
              <w:t>600315</w:t>
            </w:r>
          </w:p>
        </w:tc>
        <w:tc>
          <w:tcPr>
            <w:tcW w:w="1777" w:type="dxa"/>
            <w:vAlign w:val="center"/>
          </w:tcPr>
          <w:p w:rsidR="0013406B" w:rsidRDefault="00DB0F1A">
            <w:pPr>
              <w:jc w:val="center"/>
            </w:pPr>
            <w:r>
              <w:rPr>
                <w:color w:val="000000"/>
                <w:sz w:val="24"/>
                <w:szCs w:val="24"/>
              </w:rPr>
              <w:t>上海家化</w:t>
            </w:r>
          </w:p>
        </w:tc>
        <w:tc>
          <w:tcPr>
            <w:tcW w:w="1334" w:type="dxa"/>
            <w:vAlign w:val="center"/>
          </w:tcPr>
          <w:p w:rsidR="0013406B" w:rsidRDefault="00DB0F1A">
            <w:pPr>
              <w:jc w:val="right"/>
            </w:pPr>
            <w:r>
              <w:rPr>
                <w:color w:val="000000"/>
                <w:sz w:val="24"/>
                <w:szCs w:val="24"/>
              </w:rPr>
              <w:t>1,595,687</w:t>
            </w:r>
          </w:p>
        </w:tc>
        <w:tc>
          <w:tcPr>
            <w:tcW w:w="1924" w:type="dxa"/>
            <w:vAlign w:val="center"/>
          </w:tcPr>
          <w:p w:rsidR="0013406B" w:rsidRDefault="00DB0F1A">
            <w:pPr>
              <w:jc w:val="right"/>
            </w:pPr>
            <w:r>
              <w:rPr>
                <w:color w:val="000000"/>
                <w:sz w:val="24"/>
                <w:szCs w:val="24"/>
              </w:rPr>
              <w:t>58,481,928.55</w:t>
            </w:r>
          </w:p>
        </w:tc>
        <w:tc>
          <w:tcPr>
            <w:tcW w:w="1644" w:type="dxa"/>
            <w:vAlign w:val="center"/>
          </w:tcPr>
          <w:p w:rsidR="0013406B" w:rsidRDefault="00DB0F1A">
            <w:pPr>
              <w:jc w:val="right"/>
            </w:pPr>
            <w:r>
              <w:rPr>
                <w:color w:val="000000"/>
                <w:sz w:val="24"/>
                <w:szCs w:val="24"/>
              </w:rPr>
              <w:t>5.35</w:t>
            </w:r>
          </w:p>
        </w:tc>
      </w:tr>
      <w:tr w:rsidR="0013406B">
        <w:trPr>
          <w:jc w:val="center"/>
        </w:trPr>
        <w:tc>
          <w:tcPr>
            <w:tcW w:w="855" w:type="dxa"/>
            <w:vAlign w:val="center"/>
          </w:tcPr>
          <w:p w:rsidR="0013406B" w:rsidRDefault="00DB0F1A">
            <w:pPr>
              <w:jc w:val="center"/>
            </w:pPr>
            <w:r>
              <w:rPr>
                <w:color w:val="000000"/>
                <w:sz w:val="24"/>
                <w:szCs w:val="24"/>
              </w:rPr>
              <w:t>7</w:t>
            </w:r>
          </w:p>
        </w:tc>
        <w:tc>
          <w:tcPr>
            <w:tcW w:w="1334" w:type="dxa"/>
            <w:vAlign w:val="center"/>
          </w:tcPr>
          <w:p w:rsidR="0013406B" w:rsidRDefault="00DB0F1A">
            <w:pPr>
              <w:jc w:val="center"/>
            </w:pPr>
            <w:r>
              <w:rPr>
                <w:color w:val="000000"/>
                <w:sz w:val="24"/>
                <w:szCs w:val="24"/>
              </w:rPr>
              <w:t>600887</w:t>
            </w:r>
          </w:p>
        </w:tc>
        <w:tc>
          <w:tcPr>
            <w:tcW w:w="1777" w:type="dxa"/>
            <w:vAlign w:val="center"/>
          </w:tcPr>
          <w:p w:rsidR="0013406B" w:rsidRDefault="00DB0F1A">
            <w:pPr>
              <w:jc w:val="center"/>
            </w:pPr>
            <w:r>
              <w:rPr>
                <w:color w:val="000000"/>
                <w:sz w:val="24"/>
                <w:szCs w:val="24"/>
              </w:rPr>
              <w:t>伊利股份</w:t>
            </w:r>
          </w:p>
        </w:tc>
        <w:tc>
          <w:tcPr>
            <w:tcW w:w="1334" w:type="dxa"/>
            <w:vAlign w:val="center"/>
          </w:tcPr>
          <w:p w:rsidR="0013406B" w:rsidRDefault="00DB0F1A">
            <w:pPr>
              <w:jc w:val="right"/>
            </w:pPr>
            <w:r>
              <w:rPr>
                <w:color w:val="000000"/>
                <w:sz w:val="24"/>
                <w:szCs w:val="24"/>
              </w:rPr>
              <w:t>1,702,313</w:t>
            </w:r>
          </w:p>
        </w:tc>
        <w:tc>
          <w:tcPr>
            <w:tcW w:w="1924" w:type="dxa"/>
            <w:vAlign w:val="center"/>
          </w:tcPr>
          <w:p w:rsidR="0013406B" w:rsidRDefault="00DB0F1A">
            <w:pPr>
              <w:jc w:val="right"/>
            </w:pPr>
            <w:r>
              <w:rPr>
                <w:color w:val="000000"/>
                <w:sz w:val="24"/>
                <w:szCs w:val="24"/>
              </w:rPr>
              <w:t>56,380,606.56</w:t>
            </w:r>
          </w:p>
        </w:tc>
        <w:tc>
          <w:tcPr>
            <w:tcW w:w="1644" w:type="dxa"/>
            <w:vAlign w:val="center"/>
          </w:tcPr>
          <w:p w:rsidR="0013406B" w:rsidRDefault="00DB0F1A">
            <w:pPr>
              <w:jc w:val="right"/>
            </w:pPr>
            <w:r>
              <w:rPr>
                <w:color w:val="000000"/>
                <w:sz w:val="24"/>
                <w:szCs w:val="24"/>
              </w:rPr>
              <w:t>5.16</w:t>
            </w:r>
          </w:p>
        </w:tc>
      </w:tr>
      <w:tr w:rsidR="0013406B">
        <w:trPr>
          <w:jc w:val="center"/>
        </w:trPr>
        <w:tc>
          <w:tcPr>
            <w:tcW w:w="855" w:type="dxa"/>
            <w:vAlign w:val="center"/>
          </w:tcPr>
          <w:p w:rsidR="0013406B" w:rsidRDefault="00DB0F1A">
            <w:pPr>
              <w:jc w:val="center"/>
            </w:pPr>
            <w:r>
              <w:rPr>
                <w:color w:val="000000"/>
                <w:sz w:val="24"/>
                <w:szCs w:val="24"/>
              </w:rPr>
              <w:t>8</w:t>
            </w:r>
          </w:p>
        </w:tc>
        <w:tc>
          <w:tcPr>
            <w:tcW w:w="1334" w:type="dxa"/>
            <w:vAlign w:val="center"/>
          </w:tcPr>
          <w:p w:rsidR="0013406B" w:rsidRDefault="00DB0F1A">
            <w:pPr>
              <w:jc w:val="center"/>
            </w:pPr>
            <w:r>
              <w:rPr>
                <w:color w:val="000000"/>
                <w:sz w:val="24"/>
                <w:szCs w:val="24"/>
              </w:rPr>
              <w:t>601933</w:t>
            </w:r>
          </w:p>
        </w:tc>
        <w:tc>
          <w:tcPr>
            <w:tcW w:w="1777" w:type="dxa"/>
            <w:vAlign w:val="center"/>
          </w:tcPr>
          <w:p w:rsidR="0013406B" w:rsidRDefault="00DB0F1A">
            <w:pPr>
              <w:jc w:val="center"/>
            </w:pPr>
            <w:r>
              <w:rPr>
                <w:color w:val="000000"/>
                <w:sz w:val="24"/>
                <w:szCs w:val="24"/>
              </w:rPr>
              <w:t>永辉超市</w:t>
            </w:r>
          </w:p>
        </w:tc>
        <w:tc>
          <w:tcPr>
            <w:tcW w:w="1334" w:type="dxa"/>
            <w:vAlign w:val="center"/>
          </w:tcPr>
          <w:p w:rsidR="0013406B" w:rsidRDefault="00DB0F1A">
            <w:pPr>
              <w:jc w:val="right"/>
            </w:pPr>
            <w:r>
              <w:rPr>
                <w:color w:val="000000"/>
                <w:sz w:val="24"/>
                <w:szCs w:val="24"/>
              </w:rPr>
              <w:t>7,495,546</w:t>
            </w:r>
          </w:p>
        </w:tc>
        <w:tc>
          <w:tcPr>
            <w:tcW w:w="1924" w:type="dxa"/>
            <w:vAlign w:val="center"/>
          </w:tcPr>
          <w:p w:rsidR="0013406B" w:rsidRDefault="00DB0F1A">
            <w:pPr>
              <w:jc w:val="right"/>
            </w:pPr>
            <w:r>
              <w:rPr>
                <w:color w:val="000000"/>
                <w:sz w:val="24"/>
                <w:szCs w:val="24"/>
              </w:rPr>
              <w:t>47,371,850.72</w:t>
            </w:r>
          </w:p>
        </w:tc>
        <w:tc>
          <w:tcPr>
            <w:tcW w:w="1644" w:type="dxa"/>
            <w:vAlign w:val="center"/>
          </w:tcPr>
          <w:p w:rsidR="0013406B" w:rsidRDefault="00DB0F1A">
            <w:pPr>
              <w:jc w:val="right"/>
            </w:pPr>
            <w:r>
              <w:rPr>
                <w:color w:val="000000"/>
                <w:sz w:val="24"/>
                <w:szCs w:val="24"/>
              </w:rPr>
              <w:t>4.34</w:t>
            </w:r>
          </w:p>
        </w:tc>
      </w:tr>
      <w:tr w:rsidR="0013406B">
        <w:trPr>
          <w:jc w:val="center"/>
        </w:trPr>
        <w:tc>
          <w:tcPr>
            <w:tcW w:w="855" w:type="dxa"/>
            <w:vAlign w:val="center"/>
          </w:tcPr>
          <w:p w:rsidR="0013406B" w:rsidRDefault="00DB0F1A">
            <w:pPr>
              <w:jc w:val="center"/>
            </w:pPr>
            <w:r>
              <w:rPr>
                <w:color w:val="000000"/>
                <w:sz w:val="24"/>
                <w:szCs w:val="24"/>
              </w:rPr>
              <w:t>9</w:t>
            </w:r>
          </w:p>
        </w:tc>
        <w:tc>
          <w:tcPr>
            <w:tcW w:w="1334" w:type="dxa"/>
            <w:vAlign w:val="center"/>
          </w:tcPr>
          <w:p w:rsidR="0013406B" w:rsidRDefault="00DB0F1A">
            <w:pPr>
              <w:jc w:val="center"/>
            </w:pPr>
            <w:r>
              <w:rPr>
                <w:color w:val="000000"/>
                <w:sz w:val="24"/>
                <w:szCs w:val="24"/>
              </w:rPr>
              <w:t>600763</w:t>
            </w:r>
          </w:p>
        </w:tc>
        <w:tc>
          <w:tcPr>
            <w:tcW w:w="1777" w:type="dxa"/>
            <w:vAlign w:val="center"/>
          </w:tcPr>
          <w:p w:rsidR="0013406B" w:rsidRDefault="00DB0F1A">
            <w:pPr>
              <w:jc w:val="center"/>
            </w:pPr>
            <w:r>
              <w:rPr>
                <w:color w:val="000000"/>
                <w:sz w:val="24"/>
                <w:szCs w:val="24"/>
              </w:rPr>
              <w:t>通策医疗</w:t>
            </w:r>
          </w:p>
        </w:tc>
        <w:tc>
          <w:tcPr>
            <w:tcW w:w="1334" w:type="dxa"/>
            <w:vAlign w:val="center"/>
          </w:tcPr>
          <w:p w:rsidR="0013406B" w:rsidRDefault="00DB0F1A">
            <w:pPr>
              <w:jc w:val="right"/>
            </w:pPr>
            <w:r>
              <w:rPr>
                <w:color w:val="000000"/>
                <w:sz w:val="24"/>
                <w:szCs w:val="24"/>
              </w:rPr>
              <w:t>1,002,118</w:t>
            </w:r>
          </w:p>
        </w:tc>
        <w:tc>
          <w:tcPr>
            <w:tcW w:w="1924" w:type="dxa"/>
            <w:vAlign w:val="center"/>
          </w:tcPr>
          <w:p w:rsidR="0013406B" w:rsidRDefault="00DB0F1A">
            <w:pPr>
              <w:jc w:val="right"/>
            </w:pPr>
            <w:r>
              <w:rPr>
                <w:color w:val="000000"/>
                <w:sz w:val="24"/>
                <w:szCs w:val="24"/>
              </w:rPr>
              <w:t>40,906,456.76</w:t>
            </w:r>
          </w:p>
        </w:tc>
        <w:tc>
          <w:tcPr>
            <w:tcW w:w="1644" w:type="dxa"/>
            <w:vAlign w:val="center"/>
          </w:tcPr>
          <w:p w:rsidR="0013406B" w:rsidRDefault="00DB0F1A">
            <w:pPr>
              <w:jc w:val="right"/>
            </w:pPr>
            <w:r>
              <w:rPr>
                <w:color w:val="000000"/>
                <w:sz w:val="24"/>
                <w:szCs w:val="24"/>
              </w:rPr>
              <w:t>3.74</w:t>
            </w:r>
          </w:p>
        </w:tc>
      </w:tr>
      <w:tr w:rsidR="0013406B">
        <w:trPr>
          <w:jc w:val="center"/>
        </w:trPr>
        <w:tc>
          <w:tcPr>
            <w:tcW w:w="855" w:type="dxa"/>
            <w:vAlign w:val="center"/>
          </w:tcPr>
          <w:p w:rsidR="0013406B" w:rsidRDefault="00DB0F1A">
            <w:pPr>
              <w:jc w:val="center"/>
            </w:pPr>
            <w:r>
              <w:rPr>
                <w:color w:val="000000"/>
                <w:sz w:val="24"/>
                <w:szCs w:val="24"/>
              </w:rPr>
              <w:t>10</w:t>
            </w:r>
          </w:p>
        </w:tc>
        <w:tc>
          <w:tcPr>
            <w:tcW w:w="1334" w:type="dxa"/>
            <w:vAlign w:val="center"/>
          </w:tcPr>
          <w:p w:rsidR="0013406B" w:rsidRDefault="00DB0F1A">
            <w:pPr>
              <w:jc w:val="center"/>
            </w:pPr>
            <w:r>
              <w:rPr>
                <w:color w:val="000000"/>
                <w:sz w:val="24"/>
                <w:szCs w:val="24"/>
              </w:rPr>
              <w:t>002400</w:t>
            </w:r>
          </w:p>
        </w:tc>
        <w:tc>
          <w:tcPr>
            <w:tcW w:w="1777" w:type="dxa"/>
            <w:vAlign w:val="center"/>
          </w:tcPr>
          <w:p w:rsidR="0013406B" w:rsidRDefault="00DB0F1A">
            <w:pPr>
              <w:jc w:val="center"/>
            </w:pPr>
            <w:r>
              <w:rPr>
                <w:color w:val="000000"/>
                <w:sz w:val="24"/>
                <w:szCs w:val="24"/>
              </w:rPr>
              <w:t>省广股份</w:t>
            </w:r>
          </w:p>
        </w:tc>
        <w:tc>
          <w:tcPr>
            <w:tcW w:w="1334" w:type="dxa"/>
            <w:vAlign w:val="center"/>
          </w:tcPr>
          <w:p w:rsidR="0013406B" w:rsidRDefault="00DB0F1A">
            <w:pPr>
              <w:jc w:val="right"/>
            </w:pPr>
            <w:r>
              <w:rPr>
                <w:color w:val="000000"/>
                <w:sz w:val="24"/>
                <w:szCs w:val="24"/>
              </w:rPr>
              <w:t>1,570,169</w:t>
            </w:r>
          </w:p>
        </w:tc>
        <w:tc>
          <w:tcPr>
            <w:tcW w:w="1924" w:type="dxa"/>
            <w:vAlign w:val="center"/>
          </w:tcPr>
          <w:p w:rsidR="0013406B" w:rsidRDefault="00DB0F1A">
            <w:pPr>
              <w:jc w:val="right"/>
            </w:pPr>
            <w:r>
              <w:rPr>
                <w:color w:val="000000"/>
                <w:sz w:val="24"/>
                <w:szCs w:val="24"/>
              </w:rPr>
              <w:t>38,594,754.02</w:t>
            </w:r>
          </w:p>
        </w:tc>
        <w:tc>
          <w:tcPr>
            <w:tcW w:w="1644" w:type="dxa"/>
            <w:vAlign w:val="center"/>
          </w:tcPr>
          <w:p w:rsidR="0013406B" w:rsidRDefault="00DB0F1A">
            <w:pPr>
              <w:jc w:val="right"/>
            </w:pPr>
            <w:r>
              <w:rPr>
                <w:color w:val="000000"/>
                <w:sz w:val="24"/>
                <w:szCs w:val="24"/>
              </w:rPr>
              <w:t>3.53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F3627D" w:rsidRPr="00F3627D" w:rsidRDefault="00BE5388" w:rsidP="00F3627D">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5.11.1</w:t>
      </w:r>
      <w:r w:rsidR="00F3627D">
        <w:rPr>
          <w:rFonts w:hint="eastAsia"/>
          <w:bCs/>
          <w:color w:val="000000"/>
          <w:kern w:val="0"/>
          <w:sz w:val="24"/>
          <w:szCs w:val="24"/>
        </w:rPr>
        <w:t xml:space="preserve"> </w:t>
      </w:r>
      <w:r w:rsidR="00F3627D" w:rsidRPr="00F3627D">
        <w:rPr>
          <w:rFonts w:hint="eastAsia"/>
          <w:bCs/>
          <w:color w:val="000000"/>
          <w:kern w:val="0"/>
          <w:sz w:val="24"/>
          <w:szCs w:val="24"/>
        </w:rPr>
        <w:t>报告期内本基金投资的前十名证券的发行主体除上海家化（证券代码：</w:t>
      </w:r>
      <w:r w:rsidR="00F3627D" w:rsidRPr="00F3627D">
        <w:rPr>
          <w:bCs/>
          <w:color w:val="000000"/>
          <w:kern w:val="0"/>
          <w:sz w:val="24"/>
          <w:szCs w:val="24"/>
        </w:rPr>
        <w:t>600315</w:t>
      </w:r>
      <w:r w:rsidR="00F3627D" w:rsidRPr="00F3627D">
        <w:rPr>
          <w:rFonts w:hint="eastAsia"/>
          <w:bCs/>
          <w:color w:val="000000"/>
          <w:kern w:val="0"/>
          <w:sz w:val="24"/>
          <w:szCs w:val="24"/>
        </w:rPr>
        <w:t>）外，未出现被监管部门立案调查，或在报告编制日前一年内受到公开谴责、处罚的情形。</w:t>
      </w:r>
    </w:p>
    <w:p w:rsidR="00F3627D" w:rsidRPr="00F3627D" w:rsidRDefault="00F3627D" w:rsidP="00F3627D">
      <w:pPr>
        <w:autoSpaceDE w:val="0"/>
        <w:autoSpaceDN w:val="0"/>
        <w:adjustRightInd w:val="0"/>
        <w:spacing w:before="29" w:line="288" w:lineRule="auto"/>
        <w:jc w:val="left"/>
        <w:rPr>
          <w:bCs/>
          <w:color w:val="000000"/>
          <w:kern w:val="0"/>
          <w:sz w:val="24"/>
          <w:szCs w:val="24"/>
        </w:rPr>
      </w:pPr>
      <w:r w:rsidRPr="00F3627D">
        <w:rPr>
          <w:rFonts w:hint="eastAsia"/>
          <w:bCs/>
          <w:color w:val="000000"/>
          <w:kern w:val="0"/>
          <w:sz w:val="24"/>
          <w:szCs w:val="24"/>
        </w:rPr>
        <w:t>报告期内本基金投资的前十名证券之一上海家化（证券代码：</w:t>
      </w:r>
      <w:r w:rsidRPr="00F3627D">
        <w:rPr>
          <w:bCs/>
          <w:color w:val="000000"/>
          <w:kern w:val="0"/>
          <w:sz w:val="24"/>
          <w:szCs w:val="24"/>
        </w:rPr>
        <w:t>600315</w:t>
      </w:r>
      <w:r w:rsidRPr="00F3627D">
        <w:rPr>
          <w:rFonts w:hint="eastAsia"/>
          <w:bCs/>
          <w:color w:val="000000"/>
          <w:kern w:val="0"/>
          <w:sz w:val="24"/>
          <w:szCs w:val="24"/>
        </w:rPr>
        <w:t>）于</w:t>
      </w:r>
      <w:r w:rsidRPr="00F3627D">
        <w:rPr>
          <w:bCs/>
          <w:color w:val="000000"/>
          <w:kern w:val="0"/>
          <w:sz w:val="24"/>
          <w:szCs w:val="24"/>
        </w:rPr>
        <w:t>2013</w:t>
      </w:r>
      <w:r w:rsidRPr="00F3627D">
        <w:rPr>
          <w:rFonts w:hint="eastAsia"/>
          <w:bCs/>
          <w:color w:val="000000"/>
          <w:kern w:val="0"/>
          <w:sz w:val="24"/>
          <w:szCs w:val="24"/>
        </w:rPr>
        <w:t>年</w:t>
      </w:r>
      <w:r w:rsidRPr="00F3627D">
        <w:rPr>
          <w:bCs/>
          <w:color w:val="000000"/>
          <w:kern w:val="0"/>
          <w:sz w:val="24"/>
          <w:szCs w:val="24"/>
        </w:rPr>
        <w:t>11</w:t>
      </w:r>
      <w:r w:rsidRPr="00F3627D">
        <w:rPr>
          <w:rFonts w:hint="eastAsia"/>
          <w:bCs/>
          <w:color w:val="000000"/>
          <w:kern w:val="0"/>
          <w:sz w:val="24"/>
          <w:szCs w:val="24"/>
        </w:rPr>
        <w:t>月</w:t>
      </w:r>
      <w:r w:rsidRPr="00F3627D">
        <w:rPr>
          <w:bCs/>
          <w:color w:val="000000"/>
          <w:kern w:val="0"/>
          <w:sz w:val="24"/>
          <w:szCs w:val="24"/>
        </w:rPr>
        <w:t>21</w:t>
      </w:r>
      <w:r w:rsidRPr="00F3627D">
        <w:rPr>
          <w:rFonts w:hint="eastAsia"/>
          <w:bCs/>
          <w:color w:val="000000"/>
          <w:kern w:val="0"/>
          <w:sz w:val="24"/>
          <w:szCs w:val="24"/>
        </w:rPr>
        <w:t>日公告，公司于</w:t>
      </w:r>
      <w:r w:rsidRPr="00F3627D">
        <w:rPr>
          <w:bCs/>
          <w:color w:val="000000"/>
          <w:kern w:val="0"/>
          <w:sz w:val="24"/>
          <w:szCs w:val="24"/>
        </w:rPr>
        <w:t>2013</w:t>
      </w:r>
      <w:r w:rsidRPr="00F3627D">
        <w:rPr>
          <w:rFonts w:hint="eastAsia"/>
          <w:bCs/>
          <w:color w:val="000000"/>
          <w:kern w:val="0"/>
          <w:sz w:val="24"/>
          <w:szCs w:val="24"/>
        </w:rPr>
        <w:t>年</w:t>
      </w:r>
      <w:r w:rsidRPr="00F3627D">
        <w:rPr>
          <w:bCs/>
          <w:color w:val="000000"/>
          <w:kern w:val="0"/>
          <w:sz w:val="24"/>
          <w:szCs w:val="24"/>
        </w:rPr>
        <w:t>11</w:t>
      </w:r>
      <w:r w:rsidRPr="00F3627D">
        <w:rPr>
          <w:rFonts w:hint="eastAsia"/>
          <w:bCs/>
          <w:color w:val="000000"/>
          <w:kern w:val="0"/>
          <w:sz w:val="24"/>
          <w:szCs w:val="24"/>
        </w:rPr>
        <w:t>月</w:t>
      </w:r>
      <w:r w:rsidRPr="00F3627D">
        <w:rPr>
          <w:bCs/>
          <w:color w:val="000000"/>
          <w:kern w:val="0"/>
          <w:sz w:val="24"/>
          <w:szCs w:val="24"/>
        </w:rPr>
        <w:t>20</w:t>
      </w:r>
      <w:r w:rsidRPr="00F3627D">
        <w:rPr>
          <w:rFonts w:hint="eastAsia"/>
          <w:bCs/>
          <w:color w:val="000000"/>
          <w:kern w:val="0"/>
          <w:sz w:val="24"/>
          <w:szCs w:val="24"/>
        </w:rPr>
        <w:t>日收到中国证券监督管理委员会《调查通知书》及上海证监局《行政监管措施决定书》，据此上海家化已于</w:t>
      </w:r>
      <w:r w:rsidRPr="00F3627D">
        <w:rPr>
          <w:bCs/>
          <w:color w:val="000000"/>
          <w:kern w:val="0"/>
          <w:sz w:val="24"/>
          <w:szCs w:val="24"/>
        </w:rPr>
        <w:t>2013</w:t>
      </w:r>
      <w:r w:rsidRPr="00F3627D">
        <w:rPr>
          <w:rFonts w:hint="eastAsia"/>
          <w:bCs/>
          <w:color w:val="000000"/>
          <w:kern w:val="0"/>
          <w:sz w:val="24"/>
          <w:szCs w:val="24"/>
        </w:rPr>
        <w:t>年</w:t>
      </w:r>
      <w:r w:rsidRPr="00F3627D">
        <w:rPr>
          <w:bCs/>
          <w:color w:val="000000"/>
          <w:kern w:val="0"/>
          <w:sz w:val="24"/>
          <w:szCs w:val="24"/>
        </w:rPr>
        <w:t>12</w:t>
      </w:r>
      <w:r w:rsidRPr="00F3627D">
        <w:rPr>
          <w:rFonts w:hint="eastAsia"/>
          <w:bCs/>
          <w:color w:val="000000"/>
          <w:kern w:val="0"/>
          <w:sz w:val="24"/>
          <w:szCs w:val="24"/>
        </w:rPr>
        <w:t>月</w:t>
      </w:r>
      <w:r w:rsidRPr="00F3627D">
        <w:rPr>
          <w:bCs/>
          <w:color w:val="000000"/>
          <w:kern w:val="0"/>
          <w:sz w:val="24"/>
          <w:szCs w:val="24"/>
        </w:rPr>
        <w:t>18</w:t>
      </w:r>
      <w:r w:rsidRPr="00F3627D">
        <w:rPr>
          <w:rFonts w:hint="eastAsia"/>
          <w:bCs/>
          <w:color w:val="000000"/>
          <w:kern w:val="0"/>
          <w:sz w:val="24"/>
          <w:szCs w:val="24"/>
        </w:rPr>
        <w:t>日公告，按照上海证监局要求对关联交易进行了相关信息披露。证监会对于关联交易的调查还在进行中，截止</w:t>
      </w:r>
      <w:r w:rsidRPr="00F3627D">
        <w:rPr>
          <w:bCs/>
          <w:color w:val="000000"/>
          <w:kern w:val="0"/>
          <w:sz w:val="24"/>
          <w:szCs w:val="24"/>
        </w:rPr>
        <w:t>2014</w:t>
      </w:r>
      <w:r w:rsidRPr="00F3627D">
        <w:rPr>
          <w:rFonts w:hint="eastAsia"/>
          <w:bCs/>
          <w:color w:val="000000"/>
          <w:kern w:val="0"/>
          <w:sz w:val="24"/>
          <w:szCs w:val="24"/>
        </w:rPr>
        <w:t>年</w:t>
      </w:r>
      <w:r w:rsidRPr="00F3627D">
        <w:rPr>
          <w:bCs/>
          <w:color w:val="000000"/>
          <w:kern w:val="0"/>
          <w:sz w:val="24"/>
          <w:szCs w:val="24"/>
        </w:rPr>
        <w:t>6</w:t>
      </w:r>
      <w:r w:rsidRPr="00F3627D">
        <w:rPr>
          <w:rFonts w:hint="eastAsia"/>
          <w:bCs/>
          <w:color w:val="000000"/>
          <w:kern w:val="0"/>
          <w:sz w:val="24"/>
          <w:szCs w:val="24"/>
        </w:rPr>
        <w:t>月</w:t>
      </w:r>
      <w:r w:rsidRPr="00F3627D">
        <w:rPr>
          <w:bCs/>
          <w:color w:val="000000"/>
          <w:kern w:val="0"/>
          <w:sz w:val="24"/>
          <w:szCs w:val="24"/>
        </w:rPr>
        <w:t>30</w:t>
      </w:r>
      <w:r w:rsidRPr="00F3627D">
        <w:rPr>
          <w:rFonts w:hint="eastAsia"/>
          <w:bCs/>
          <w:color w:val="000000"/>
          <w:kern w:val="0"/>
          <w:sz w:val="24"/>
          <w:szCs w:val="24"/>
        </w:rPr>
        <w:t>日尚未作出任何决定。</w:t>
      </w:r>
    </w:p>
    <w:p w:rsidR="00F3627D" w:rsidRPr="00F3627D" w:rsidRDefault="00F3627D" w:rsidP="00B12F49">
      <w:pPr>
        <w:autoSpaceDE w:val="0"/>
        <w:autoSpaceDN w:val="0"/>
        <w:adjustRightInd w:val="0"/>
        <w:spacing w:before="29" w:line="288" w:lineRule="auto"/>
        <w:ind w:firstLine="420"/>
        <w:jc w:val="left"/>
        <w:rPr>
          <w:bCs/>
          <w:color w:val="000000"/>
          <w:kern w:val="0"/>
          <w:sz w:val="24"/>
          <w:szCs w:val="24"/>
        </w:rPr>
      </w:pPr>
      <w:r w:rsidRPr="00F3627D">
        <w:rPr>
          <w:rFonts w:hint="eastAsia"/>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00F3627D">
        <w:rPr>
          <w:rFonts w:hint="eastAsia"/>
          <w:bCs/>
          <w:color w:val="000000"/>
          <w:kern w:val="0"/>
          <w:sz w:val="24"/>
          <w:szCs w:val="24"/>
        </w:rPr>
        <w:t xml:space="preserve"> </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188,356.25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5,451,289.14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39,595.42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45,768.43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5,725,009.24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987,915,075.09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14,099,000.67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49,402,954.01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952,611,121.75</w:t>
            </w:r>
          </w:p>
        </w:tc>
      </w:tr>
    </w:tbl>
    <w:p w:rsidR="0013406B" w:rsidRDefault="00DB0F1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B0F1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32,044,493.17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32,044,493.17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3.36</w:t>
            </w:r>
          </w:p>
        </w:tc>
      </w:tr>
    </w:tbl>
    <w:p w:rsidR="0013406B" w:rsidRDefault="00DB0F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DB0F1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）基金行业股票估值指数的通知》的指导意见，经与基金托管人协商一致，本基金对其所持有的鱼跃医疗（证券代码：</w:t>
      </w:r>
      <w:r w:rsidRPr="00414345">
        <w:rPr>
          <w:color w:val="000000"/>
          <w:sz w:val="24"/>
          <w:szCs w:val="24"/>
        </w:rPr>
        <w:t>002223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24</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DB0F1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3406B" w:rsidRDefault="00DB0F1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13406B" w:rsidRDefault="00DB0F1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、《交银施罗德先锋股票证券投资基金基金合同》；</w:t>
      </w:r>
    </w:p>
    <w:p w:rsidR="0013406B" w:rsidRDefault="00DB0F1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、《交银施罗德先锋股票证券投资基金招募说明书》；</w:t>
      </w:r>
    </w:p>
    <w:p w:rsidR="0013406B" w:rsidRDefault="00DB0F1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、《交银施罗德先锋股票证券投资基金托管协议》；</w:t>
      </w:r>
    </w:p>
    <w:p w:rsidR="0013406B" w:rsidRDefault="00DB0F1A">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3406B" w:rsidRDefault="00DB0F1A">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3406B" w:rsidRDefault="00DB0F1A">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3406B" w:rsidRDefault="00DB0F1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C7" w:rsidRDefault="00B27FC7" w:rsidP="00876D65">
      <w:r>
        <w:separator/>
      </w:r>
    </w:p>
  </w:endnote>
  <w:endnote w:type="continuationSeparator" w:id="0">
    <w:p w:rsidR="00B27FC7" w:rsidRDefault="00B27FC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13406B">
      <w:rPr>
        <w:kern w:val="0"/>
        <w:szCs w:val="21"/>
      </w:rPr>
      <w:fldChar w:fldCharType="begin"/>
    </w:r>
    <w:r>
      <w:rPr>
        <w:kern w:val="0"/>
        <w:szCs w:val="21"/>
      </w:rPr>
      <w:instrText xml:space="preserve"> PAGE </w:instrText>
    </w:r>
    <w:r w:rsidR="0013406B">
      <w:rPr>
        <w:kern w:val="0"/>
        <w:szCs w:val="21"/>
      </w:rPr>
      <w:fldChar w:fldCharType="separate"/>
    </w:r>
    <w:r w:rsidR="0018028C">
      <w:rPr>
        <w:noProof/>
        <w:kern w:val="0"/>
        <w:szCs w:val="21"/>
      </w:rPr>
      <w:t>1</w:t>
    </w:r>
    <w:r w:rsidR="0013406B">
      <w:rPr>
        <w:kern w:val="0"/>
        <w:szCs w:val="21"/>
      </w:rPr>
      <w:fldChar w:fldCharType="end"/>
    </w:r>
    <w:r>
      <w:rPr>
        <w:rFonts w:hint="eastAsia"/>
        <w:kern w:val="0"/>
        <w:szCs w:val="21"/>
      </w:rPr>
      <w:t>页共</w:t>
    </w:r>
    <w:r w:rsidR="0013406B">
      <w:rPr>
        <w:kern w:val="0"/>
        <w:szCs w:val="21"/>
      </w:rPr>
      <w:fldChar w:fldCharType="begin"/>
    </w:r>
    <w:r>
      <w:rPr>
        <w:kern w:val="0"/>
        <w:szCs w:val="21"/>
      </w:rPr>
      <w:instrText xml:space="preserve"> NUMPAGES </w:instrText>
    </w:r>
    <w:r w:rsidR="0013406B">
      <w:rPr>
        <w:kern w:val="0"/>
        <w:szCs w:val="21"/>
      </w:rPr>
      <w:fldChar w:fldCharType="separate"/>
    </w:r>
    <w:r w:rsidR="0018028C">
      <w:rPr>
        <w:noProof/>
        <w:kern w:val="0"/>
        <w:szCs w:val="21"/>
      </w:rPr>
      <w:t>11</w:t>
    </w:r>
    <w:r w:rsidR="0013406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C7" w:rsidRDefault="00B27FC7" w:rsidP="00876D65">
      <w:r>
        <w:separator/>
      </w:r>
    </w:p>
  </w:footnote>
  <w:footnote w:type="continuationSeparator" w:id="0">
    <w:p w:rsidR="00B27FC7" w:rsidRDefault="00B27FC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406B"/>
    <w:rsid w:val="00137452"/>
    <w:rsid w:val="00137B31"/>
    <w:rsid w:val="00144F93"/>
    <w:rsid w:val="00147376"/>
    <w:rsid w:val="0015450B"/>
    <w:rsid w:val="00154BE1"/>
    <w:rsid w:val="0015710B"/>
    <w:rsid w:val="00160EDC"/>
    <w:rsid w:val="001675CD"/>
    <w:rsid w:val="001717D5"/>
    <w:rsid w:val="00171EF0"/>
    <w:rsid w:val="001761D2"/>
    <w:rsid w:val="00176C21"/>
    <w:rsid w:val="0018028C"/>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8FE"/>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3FBC"/>
    <w:rsid w:val="00727DD8"/>
    <w:rsid w:val="00727FCD"/>
    <w:rsid w:val="007311DB"/>
    <w:rsid w:val="00733DDD"/>
    <w:rsid w:val="00750CDF"/>
    <w:rsid w:val="00752BA5"/>
    <w:rsid w:val="00755D86"/>
    <w:rsid w:val="007570FE"/>
    <w:rsid w:val="00767C98"/>
    <w:rsid w:val="00770971"/>
    <w:rsid w:val="00772547"/>
    <w:rsid w:val="007815D8"/>
    <w:rsid w:val="00784A50"/>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2F49"/>
    <w:rsid w:val="00B16985"/>
    <w:rsid w:val="00B22DEE"/>
    <w:rsid w:val="00B27479"/>
    <w:rsid w:val="00B27FC7"/>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B0F1A"/>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627D"/>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128CAC-E0E7-47F7-A59E-4110E4F8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rsid w:val="004061AC"/>
    <w:rPr>
      <w:rFonts w:ascii="宋体" w:hAnsi="Courier New" w:cs="宋体"/>
    </w:rPr>
  </w:style>
  <w:style w:type="character" w:customStyle="1" w:styleId="Char0">
    <w:name w:val="纯文本 Char"/>
    <w:basedOn w:val="a1"/>
    <w:link w:val="a5"/>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0A80-13E5-4578-B413-AB8EC018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1</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532</cp:revision>
  <dcterms:created xsi:type="dcterms:W3CDTF">2012-10-16T06:07:00Z</dcterms:created>
  <dcterms:modified xsi:type="dcterms:W3CDTF">2014-07-15T09:06:00Z</dcterms:modified>
</cp:coreProperties>
</file>