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202B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82C81" w:rsidRDefault="00202B7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B82C81" w:rsidRDefault="00202B7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B82C81" w:rsidRDefault="00202B7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B82C81" w:rsidRDefault="00202B7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B82C81" w:rsidRDefault="00202B7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202B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2,652,342,623.85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富时中国国债指数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本基金是一只股票型基金，以具有良好成长性的公司为主要投资对象，追求超额收益，属于证券投资基金中较高预期收益和较高风险的品种。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02B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2B7B" w:rsidRPr="00414345" w:rsidTr="00202B7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02B7B" w:rsidRPr="00414345" w:rsidTr="00202B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-125,999,658.81</w:t>
            </w:r>
          </w:p>
        </w:tc>
      </w:tr>
      <w:tr w:rsidR="00202B7B" w:rsidRPr="00414345" w:rsidTr="00202B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286,045,042.83</w:t>
            </w:r>
          </w:p>
        </w:tc>
      </w:tr>
      <w:tr w:rsidR="00202B7B" w:rsidRPr="00414345" w:rsidTr="00202B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0.1082</w:t>
            </w:r>
          </w:p>
        </w:tc>
      </w:tr>
      <w:tr w:rsidR="00202B7B" w:rsidRPr="00414345" w:rsidTr="00202B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7,647,150,502.32</w:t>
            </w:r>
          </w:p>
        </w:tc>
      </w:tr>
      <w:tr w:rsidR="00202B7B" w:rsidRPr="00414345" w:rsidTr="00202B7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2.8832</w:t>
            </w:r>
          </w:p>
        </w:tc>
      </w:tr>
    </w:tbl>
    <w:p w:rsidR="00B82C81" w:rsidRDefault="00202B7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82C81">
        <w:trPr>
          <w:jc w:val="center"/>
        </w:trPr>
        <w:tc>
          <w:tcPr>
            <w:tcW w:w="1701" w:type="dxa"/>
            <w:vAlign w:val="center"/>
          </w:tcPr>
          <w:p w:rsidR="00B82C81" w:rsidRDefault="00202B7B">
            <w:pPr>
              <w:jc w:val="left"/>
            </w:pPr>
            <w:r>
              <w:rPr>
                <w:color w:val="000000"/>
                <w:sz w:val="24"/>
                <w:szCs w:val="24"/>
              </w:rPr>
              <w:t>过去三个月</w:t>
            </w:r>
          </w:p>
        </w:tc>
        <w:tc>
          <w:tcPr>
            <w:tcW w:w="1045" w:type="dxa"/>
            <w:vAlign w:val="center"/>
          </w:tcPr>
          <w:p w:rsidR="00B82C81" w:rsidRDefault="00202B7B">
            <w:pPr>
              <w:jc w:val="center"/>
            </w:pPr>
            <w:r>
              <w:rPr>
                <w:color w:val="000000"/>
                <w:sz w:val="24"/>
                <w:szCs w:val="24"/>
              </w:rPr>
              <w:t>3.67%</w:t>
            </w:r>
          </w:p>
        </w:tc>
        <w:tc>
          <w:tcPr>
            <w:tcW w:w="1344" w:type="dxa"/>
            <w:vAlign w:val="center"/>
          </w:tcPr>
          <w:p w:rsidR="00B82C81" w:rsidRDefault="00202B7B">
            <w:pPr>
              <w:jc w:val="center"/>
            </w:pPr>
            <w:r>
              <w:rPr>
                <w:color w:val="000000"/>
                <w:sz w:val="24"/>
                <w:szCs w:val="24"/>
              </w:rPr>
              <w:t>1.05%</w:t>
            </w:r>
          </w:p>
        </w:tc>
        <w:tc>
          <w:tcPr>
            <w:tcW w:w="1194" w:type="dxa"/>
            <w:vAlign w:val="center"/>
          </w:tcPr>
          <w:p w:rsidR="00B82C81" w:rsidRDefault="00202B7B">
            <w:pPr>
              <w:jc w:val="center"/>
            </w:pPr>
            <w:r>
              <w:rPr>
                <w:color w:val="000000"/>
                <w:sz w:val="24"/>
                <w:szCs w:val="24"/>
              </w:rPr>
              <w:t>0.77%</w:t>
            </w:r>
          </w:p>
        </w:tc>
        <w:tc>
          <w:tcPr>
            <w:tcW w:w="1492" w:type="dxa"/>
            <w:vAlign w:val="center"/>
          </w:tcPr>
          <w:p w:rsidR="00B82C81" w:rsidRDefault="00202B7B">
            <w:pPr>
              <w:jc w:val="center"/>
            </w:pPr>
            <w:r>
              <w:rPr>
                <w:color w:val="000000"/>
                <w:sz w:val="24"/>
                <w:szCs w:val="24"/>
              </w:rPr>
              <w:t>0.70%</w:t>
            </w:r>
          </w:p>
        </w:tc>
        <w:tc>
          <w:tcPr>
            <w:tcW w:w="1194" w:type="dxa"/>
            <w:vAlign w:val="center"/>
          </w:tcPr>
          <w:p w:rsidR="00B82C81" w:rsidRDefault="00202B7B">
            <w:pPr>
              <w:jc w:val="center"/>
            </w:pPr>
            <w:r>
              <w:rPr>
                <w:color w:val="000000"/>
                <w:sz w:val="24"/>
                <w:szCs w:val="24"/>
              </w:rPr>
              <w:t>2.90%</w:t>
            </w:r>
          </w:p>
        </w:tc>
        <w:tc>
          <w:tcPr>
            <w:tcW w:w="898" w:type="dxa"/>
            <w:vAlign w:val="center"/>
          </w:tcPr>
          <w:p w:rsidR="00B82C81" w:rsidRDefault="00202B7B">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202B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82C81">
        <w:trPr>
          <w:jc w:val="center"/>
        </w:trPr>
        <w:tc>
          <w:tcPr>
            <w:tcW w:w="846" w:type="dxa"/>
            <w:vAlign w:val="center"/>
          </w:tcPr>
          <w:p w:rsidR="00B82C81" w:rsidRDefault="00202B7B">
            <w:pPr>
              <w:jc w:val="center"/>
            </w:pPr>
            <w:r>
              <w:rPr>
                <w:color w:val="000000"/>
                <w:sz w:val="24"/>
                <w:szCs w:val="24"/>
              </w:rPr>
              <w:t>管华雨</w:t>
            </w:r>
          </w:p>
        </w:tc>
        <w:tc>
          <w:tcPr>
            <w:tcW w:w="845" w:type="dxa"/>
            <w:vAlign w:val="center"/>
          </w:tcPr>
          <w:p w:rsidR="00B82C81" w:rsidRDefault="00202B7B">
            <w:pPr>
              <w:jc w:val="center"/>
            </w:pPr>
            <w:r>
              <w:rPr>
                <w:color w:val="000000"/>
                <w:sz w:val="24"/>
                <w:szCs w:val="24"/>
              </w:rPr>
              <w:t>本基金、交银趋势股票、交银成长</w:t>
            </w:r>
            <w:r>
              <w:rPr>
                <w:color w:val="000000"/>
                <w:sz w:val="24"/>
                <w:szCs w:val="24"/>
              </w:rPr>
              <w:t>30</w:t>
            </w:r>
            <w:r>
              <w:rPr>
                <w:color w:val="000000"/>
                <w:sz w:val="24"/>
                <w:szCs w:val="24"/>
              </w:rPr>
              <w:t>股票、交银新成长股票的基金经理，</w:t>
            </w:r>
            <w:r>
              <w:rPr>
                <w:color w:val="000000"/>
                <w:sz w:val="24"/>
                <w:szCs w:val="24"/>
              </w:rPr>
              <w:lastRenderedPageBreak/>
              <w:t>公司权益投资总监</w:t>
            </w:r>
          </w:p>
        </w:tc>
        <w:tc>
          <w:tcPr>
            <w:tcW w:w="1549" w:type="dxa"/>
            <w:vAlign w:val="center"/>
          </w:tcPr>
          <w:p w:rsidR="00B82C81" w:rsidRDefault="00202B7B">
            <w:pPr>
              <w:jc w:val="center"/>
            </w:pPr>
            <w:r>
              <w:rPr>
                <w:color w:val="000000"/>
                <w:sz w:val="24"/>
                <w:szCs w:val="24"/>
              </w:rPr>
              <w:lastRenderedPageBreak/>
              <w:t>2010-10-08</w:t>
            </w:r>
          </w:p>
        </w:tc>
        <w:tc>
          <w:tcPr>
            <w:tcW w:w="1548" w:type="dxa"/>
            <w:vAlign w:val="center"/>
          </w:tcPr>
          <w:p w:rsidR="00B82C81" w:rsidRDefault="00202B7B">
            <w:pPr>
              <w:jc w:val="center"/>
            </w:pPr>
            <w:r>
              <w:rPr>
                <w:color w:val="000000"/>
                <w:sz w:val="24"/>
                <w:szCs w:val="24"/>
              </w:rPr>
              <w:t>-</w:t>
            </w:r>
          </w:p>
        </w:tc>
        <w:tc>
          <w:tcPr>
            <w:tcW w:w="1407" w:type="dxa"/>
            <w:vAlign w:val="center"/>
          </w:tcPr>
          <w:p w:rsidR="00B82C81" w:rsidRDefault="00202B7B">
            <w:pPr>
              <w:jc w:val="center"/>
            </w:pPr>
            <w:r>
              <w:rPr>
                <w:color w:val="000000"/>
                <w:sz w:val="24"/>
                <w:szCs w:val="24"/>
              </w:rPr>
              <w:t>12</w:t>
            </w:r>
            <w:r>
              <w:rPr>
                <w:color w:val="000000"/>
                <w:sz w:val="24"/>
                <w:szCs w:val="24"/>
              </w:rPr>
              <w:t>年</w:t>
            </w:r>
          </w:p>
        </w:tc>
        <w:tc>
          <w:tcPr>
            <w:tcW w:w="2673" w:type="dxa"/>
            <w:vAlign w:val="center"/>
          </w:tcPr>
          <w:p w:rsidR="00B82C81" w:rsidRDefault="00202B7B">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w:t>
            </w:r>
            <w:r>
              <w:rPr>
                <w:color w:val="000000"/>
                <w:sz w:val="24"/>
                <w:szCs w:val="24"/>
              </w:rPr>
              <w:lastRenderedPageBreak/>
              <w:t>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82C81" w:rsidRDefault="00202B7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82C81" w:rsidRDefault="00202B7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82C81" w:rsidRDefault="00202B7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82C81" w:rsidRDefault="00202B7B">
      <w:pPr>
        <w:spacing w:before="29" w:line="288" w:lineRule="auto"/>
        <w:ind w:firstLineChars="200" w:firstLine="480"/>
        <w:rPr>
          <w:color w:val="000000"/>
          <w:sz w:val="24"/>
          <w:szCs w:val="24"/>
        </w:rPr>
      </w:pPr>
      <w:r>
        <w:rPr>
          <w:color w:val="000000"/>
          <w:sz w:val="24"/>
          <w:szCs w:val="24"/>
        </w:rPr>
        <w:t>二季度整体经济依然存在下行压力，但是预调微调政策及时出台，起到了</w:t>
      </w:r>
      <w:r>
        <w:rPr>
          <w:color w:val="000000"/>
          <w:sz w:val="24"/>
          <w:szCs w:val="24"/>
        </w:rPr>
        <w:t>“</w:t>
      </w:r>
      <w:r>
        <w:rPr>
          <w:color w:val="000000"/>
          <w:sz w:val="24"/>
          <w:szCs w:val="24"/>
        </w:rPr>
        <w:t>托底</w:t>
      </w:r>
      <w:r>
        <w:rPr>
          <w:color w:val="000000"/>
          <w:sz w:val="24"/>
          <w:szCs w:val="24"/>
        </w:rPr>
        <w:t>”</w:t>
      </w:r>
      <w:r>
        <w:rPr>
          <w:color w:val="000000"/>
          <w:sz w:val="24"/>
          <w:szCs w:val="24"/>
        </w:rPr>
        <w:t>作用。整体看，经济低位出现回稳迹象，流动性逐渐由紧趋松，因此</w:t>
      </w:r>
      <w:r>
        <w:rPr>
          <w:color w:val="000000"/>
          <w:sz w:val="24"/>
          <w:szCs w:val="24"/>
        </w:rPr>
        <w:t>A</w:t>
      </w:r>
      <w:r>
        <w:rPr>
          <w:color w:val="000000"/>
          <w:sz w:val="24"/>
          <w:szCs w:val="24"/>
        </w:rPr>
        <w:t>股主板市场相应在低位企稳，波动区间狭窄；创业板在</w:t>
      </w:r>
      <w:r>
        <w:rPr>
          <w:color w:val="000000"/>
          <w:sz w:val="24"/>
          <w:szCs w:val="24"/>
        </w:rPr>
        <w:t>4</w:t>
      </w:r>
      <w:r>
        <w:rPr>
          <w:color w:val="000000"/>
          <w:sz w:val="24"/>
          <w:szCs w:val="24"/>
        </w:rPr>
        <w:t>、</w:t>
      </w:r>
      <w:r>
        <w:rPr>
          <w:color w:val="000000"/>
          <w:sz w:val="24"/>
          <w:szCs w:val="24"/>
        </w:rPr>
        <w:t>5</w:t>
      </w:r>
      <w:r>
        <w:rPr>
          <w:color w:val="000000"/>
          <w:sz w:val="24"/>
          <w:szCs w:val="24"/>
        </w:rPr>
        <w:t>月份经济疲弱之际出现显著下跌，然后又随着微刺激以及流动性好转稳步反弹，波动幅度大于主板。从行业和板块看，周期股低位企稳，成长股内部依然分化，小市值概念股被持续炒作，热点较为散乱，基金重仓持有的中大市值白马股则继续表现不佳。</w:t>
      </w:r>
    </w:p>
    <w:p w:rsidR="00B82C81" w:rsidRDefault="00202B7B">
      <w:pPr>
        <w:spacing w:before="29" w:line="288" w:lineRule="auto"/>
        <w:ind w:firstLineChars="200" w:firstLine="480"/>
        <w:rPr>
          <w:color w:val="000000"/>
          <w:sz w:val="24"/>
          <w:szCs w:val="24"/>
        </w:rPr>
      </w:pPr>
      <w:r>
        <w:rPr>
          <w:color w:val="000000"/>
          <w:sz w:val="24"/>
          <w:szCs w:val="24"/>
        </w:rPr>
        <w:t>二季度前半期，本基金相对谨慎，降低了股票仓位和高弹性股票的比重；进入</w:t>
      </w:r>
      <w:r>
        <w:rPr>
          <w:color w:val="000000"/>
          <w:sz w:val="24"/>
          <w:szCs w:val="24"/>
        </w:rPr>
        <w:t>5</w:t>
      </w:r>
      <w:r>
        <w:rPr>
          <w:color w:val="000000"/>
          <w:sz w:val="24"/>
          <w:szCs w:val="24"/>
        </w:rPr>
        <w:t>月份，由于观察到微刺激政策出台，流动性逐渐好转，本基金又增加了股票仓位，持股上同时考虑了安全边际和想象空间，起到了一定的积极效果。</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本基金认为，在微刺激遇到限制条件之前，市场会反复活跃；并且随着政策见效，整体市场可能出现阶段性反弹行情。但是从稍长的时间区间看，改革和转型还是主战场。本基金将继续深挖改革和转型的投资机会，同时密切关注国内外政策、流动性的变化对整体市场的影响，深入研究，严控风险，力争取得好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00B12F91">
        <w:rPr>
          <w:rFonts w:hint="eastAsia"/>
          <w:color w:val="000000"/>
          <w:sz w:val="24"/>
          <w:szCs w:val="24"/>
        </w:rPr>
        <w:t>3</w:t>
      </w:r>
      <w:r w:rsidRPr="00414345">
        <w:rPr>
          <w:color w:val="000000"/>
          <w:sz w:val="24"/>
          <w:szCs w:val="24"/>
        </w:rPr>
        <w:t>0</w:t>
      </w:r>
      <w:r w:rsidRPr="00414345">
        <w:rPr>
          <w:color w:val="000000"/>
          <w:sz w:val="24"/>
          <w:szCs w:val="24"/>
        </w:rPr>
        <w:t>日，本基金份额净值为</w:t>
      </w:r>
      <w:r w:rsidRPr="00414345">
        <w:rPr>
          <w:color w:val="000000"/>
          <w:sz w:val="24"/>
          <w:szCs w:val="24"/>
        </w:rPr>
        <w:t>2.8832</w:t>
      </w:r>
      <w:r w:rsidRPr="00414345">
        <w:rPr>
          <w:color w:val="000000"/>
          <w:sz w:val="24"/>
          <w:szCs w:val="24"/>
        </w:rPr>
        <w:t>元，本报告期份额净值增长率为</w:t>
      </w:r>
      <w:r w:rsidRPr="00414345">
        <w:rPr>
          <w:color w:val="000000"/>
          <w:sz w:val="24"/>
          <w:szCs w:val="24"/>
        </w:rPr>
        <w:t>3.67%</w:t>
      </w:r>
      <w:r w:rsidRPr="00414345">
        <w:rPr>
          <w:color w:val="000000"/>
          <w:sz w:val="24"/>
          <w:szCs w:val="24"/>
        </w:rPr>
        <w:t>，同期业绩比较基准增长率</w:t>
      </w:r>
      <w:r w:rsidRPr="00414345">
        <w:rPr>
          <w:color w:val="000000"/>
          <w:sz w:val="24"/>
          <w:szCs w:val="24"/>
        </w:rPr>
        <w:t>0.77%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202B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6,787,958,856.62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6,787,958,856.62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338,349,474.80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338,349,474.80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249,851,034.78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3.23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339,937,936.77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8,459,824.27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7,724,557,127.24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202B7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202B7B">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4,843,807,209.40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75,946,245.32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114,799,253.80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150,125,642.90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202B7B">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668,635,761.99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317,920,000.00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151,113,670.65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117,039,955.94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45,736,505.16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104,905,399.82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197,929,211.64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6,787,958,856.62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82C81">
        <w:trPr>
          <w:jc w:val="center"/>
        </w:trPr>
        <w:tc>
          <w:tcPr>
            <w:tcW w:w="855" w:type="dxa"/>
            <w:vAlign w:val="center"/>
          </w:tcPr>
          <w:p w:rsidR="00B82C81" w:rsidRDefault="00202B7B">
            <w:pPr>
              <w:jc w:val="center"/>
            </w:pPr>
            <w:r>
              <w:rPr>
                <w:color w:val="000000"/>
                <w:sz w:val="24"/>
                <w:szCs w:val="24"/>
              </w:rPr>
              <w:t>1</w:t>
            </w:r>
          </w:p>
        </w:tc>
        <w:tc>
          <w:tcPr>
            <w:tcW w:w="1334" w:type="dxa"/>
            <w:vAlign w:val="center"/>
          </w:tcPr>
          <w:p w:rsidR="00B82C81" w:rsidRDefault="00202B7B">
            <w:pPr>
              <w:jc w:val="center"/>
            </w:pPr>
            <w:r>
              <w:rPr>
                <w:color w:val="000000"/>
                <w:sz w:val="24"/>
                <w:szCs w:val="24"/>
              </w:rPr>
              <w:t>000625</w:t>
            </w:r>
          </w:p>
        </w:tc>
        <w:tc>
          <w:tcPr>
            <w:tcW w:w="1777" w:type="dxa"/>
            <w:vAlign w:val="center"/>
          </w:tcPr>
          <w:p w:rsidR="00B82C81" w:rsidRDefault="00202B7B">
            <w:pPr>
              <w:jc w:val="center"/>
            </w:pPr>
            <w:r>
              <w:rPr>
                <w:color w:val="000000"/>
                <w:sz w:val="24"/>
                <w:szCs w:val="24"/>
              </w:rPr>
              <w:t>长安汽车</w:t>
            </w:r>
          </w:p>
        </w:tc>
        <w:tc>
          <w:tcPr>
            <w:tcW w:w="1334" w:type="dxa"/>
            <w:vAlign w:val="center"/>
          </w:tcPr>
          <w:p w:rsidR="00B82C81" w:rsidRDefault="00202B7B">
            <w:pPr>
              <w:jc w:val="right"/>
            </w:pPr>
            <w:r>
              <w:rPr>
                <w:color w:val="000000"/>
                <w:sz w:val="24"/>
                <w:szCs w:val="24"/>
              </w:rPr>
              <w:t>45,187,523</w:t>
            </w:r>
          </w:p>
        </w:tc>
        <w:tc>
          <w:tcPr>
            <w:tcW w:w="1924" w:type="dxa"/>
            <w:vAlign w:val="center"/>
          </w:tcPr>
          <w:p w:rsidR="00B82C81" w:rsidRDefault="00202B7B">
            <w:pPr>
              <w:jc w:val="right"/>
            </w:pPr>
            <w:r>
              <w:rPr>
                <w:color w:val="000000"/>
                <w:sz w:val="24"/>
                <w:szCs w:val="24"/>
              </w:rPr>
              <w:t>556,258,408.13</w:t>
            </w:r>
          </w:p>
        </w:tc>
        <w:tc>
          <w:tcPr>
            <w:tcW w:w="1644" w:type="dxa"/>
            <w:vAlign w:val="center"/>
          </w:tcPr>
          <w:p w:rsidR="00B82C81" w:rsidRDefault="00202B7B">
            <w:pPr>
              <w:jc w:val="right"/>
            </w:pPr>
            <w:r>
              <w:rPr>
                <w:color w:val="000000"/>
                <w:sz w:val="24"/>
                <w:szCs w:val="24"/>
              </w:rPr>
              <w:t>7.27</w:t>
            </w:r>
          </w:p>
        </w:tc>
      </w:tr>
      <w:tr w:rsidR="00B82C81">
        <w:trPr>
          <w:jc w:val="center"/>
        </w:trPr>
        <w:tc>
          <w:tcPr>
            <w:tcW w:w="855" w:type="dxa"/>
            <w:vAlign w:val="center"/>
          </w:tcPr>
          <w:p w:rsidR="00B82C81" w:rsidRDefault="00202B7B">
            <w:pPr>
              <w:jc w:val="center"/>
            </w:pPr>
            <w:r>
              <w:rPr>
                <w:color w:val="000000"/>
                <w:sz w:val="24"/>
                <w:szCs w:val="24"/>
              </w:rPr>
              <w:t>2</w:t>
            </w:r>
          </w:p>
        </w:tc>
        <w:tc>
          <w:tcPr>
            <w:tcW w:w="1334" w:type="dxa"/>
            <w:vAlign w:val="center"/>
          </w:tcPr>
          <w:p w:rsidR="00B82C81" w:rsidRDefault="00202B7B">
            <w:pPr>
              <w:jc w:val="center"/>
            </w:pPr>
            <w:r>
              <w:rPr>
                <w:color w:val="000000"/>
                <w:sz w:val="24"/>
                <w:szCs w:val="24"/>
              </w:rPr>
              <w:t>002415</w:t>
            </w:r>
          </w:p>
        </w:tc>
        <w:tc>
          <w:tcPr>
            <w:tcW w:w="1777" w:type="dxa"/>
            <w:vAlign w:val="center"/>
          </w:tcPr>
          <w:p w:rsidR="00B82C81" w:rsidRDefault="00202B7B">
            <w:pPr>
              <w:jc w:val="center"/>
            </w:pPr>
            <w:r>
              <w:rPr>
                <w:color w:val="000000"/>
                <w:sz w:val="24"/>
                <w:szCs w:val="24"/>
              </w:rPr>
              <w:t>海康威视</w:t>
            </w:r>
          </w:p>
        </w:tc>
        <w:tc>
          <w:tcPr>
            <w:tcW w:w="1334" w:type="dxa"/>
            <w:vAlign w:val="center"/>
          </w:tcPr>
          <w:p w:rsidR="00B82C81" w:rsidRDefault="00202B7B">
            <w:pPr>
              <w:jc w:val="right"/>
            </w:pPr>
            <w:r>
              <w:rPr>
                <w:color w:val="000000"/>
                <w:sz w:val="24"/>
                <w:szCs w:val="24"/>
              </w:rPr>
              <w:t>23,980,000</w:t>
            </w:r>
          </w:p>
        </w:tc>
        <w:tc>
          <w:tcPr>
            <w:tcW w:w="1924" w:type="dxa"/>
            <w:vAlign w:val="center"/>
          </w:tcPr>
          <w:p w:rsidR="00B82C81" w:rsidRDefault="00202B7B">
            <w:pPr>
              <w:jc w:val="right"/>
            </w:pPr>
            <w:r>
              <w:rPr>
                <w:color w:val="000000"/>
                <w:sz w:val="24"/>
                <w:szCs w:val="24"/>
              </w:rPr>
              <w:t>406,221,200.00</w:t>
            </w:r>
          </w:p>
        </w:tc>
        <w:tc>
          <w:tcPr>
            <w:tcW w:w="1644" w:type="dxa"/>
            <w:vAlign w:val="center"/>
          </w:tcPr>
          <w:p w:rsidR="00B82C81" w:rsidRDefault="00202B7B">
            <w:pPr>
              <w:jc w:val="right"/>
            </w:pPr>
            <w:r>
              <w:rPr>
                <w:color w:val="000000"/>
                <w:sz w:val="24"/>
                <w:szCs w:val="24"/>
              </w:rPr>
              <w:t>5.31</w:t>
            </w:r>
          </w:p>
        </w:tc>
      </w:tr>
      <w:tr w:rsidR="00B82C81">
        <w:trPr>
          <w:jc w:val="center"/>
        </w:trPr>
        <w:tc>
          <w:tcPr>
            <w:tcW w:w="855" w:type="dxa"/>
            <w:vAlign w:val="center"/>
          </w:tcPr>
          <w:p w:rsidR="00B82C81" w:rsidRDefault="00202B7B">
            <w:pPr>
              <w:jc w:val="center"/>
            </w:pPr>
            <w:r>
              <w:rPr>
                <w:color w:val="000000"/>
                <w:sz w:val="24"/>
                <w:szCs w:val="24"/>
              </w:rPr>
              <w:t>3</w:t>
            </w:r>
          </w:p>
        </w:tc>
        <w:tc>
          <w:tcPr>
            <w:tcW w:w="1334" w:type="dxa"/>
            <w:vAlign w:val="center"/>
          </w:tcPr>
          <w:p w:rsidR="00B82C81" w:rsidRDefault="00202B7B">
            <w:pPr>
              <w:jc w:val="center"/>
            </w:pPr>
            <w:r>
              <w:rPr>
                <w:color w:val="000000"/>
                <w:sz w:val="24"/>
                <w:szCs w:val="24"/>
              </w:rPr>
              <w:t>600109</w:t>
            </w:r>
          </w:p>
        </w:tc>
        <w:tc>
          <w:tcPr>
            <w:tcW w:w="1777" w:type="dxa"/>
            <w:vAlign w:val="center"/>
          </w:tcPr>
          <w:p w:rsidR="00B82C81" w:rsidRDefault="00202B7B">
            <w:pPr>
              <w:jc w:val="center"/>
            </w:pPr>
            <w:r>
              <w:rPr>
                <w:color w:val="000000"/>
                <w:sz w:val="24"/>
                <w:szCs w:val="24"/>
              </w:rPr>
              <w:t>国金证券</w:t>
            </w:r>
          </w:p>
        </w:tc>
        <w:tc>
          <w:tcPr>
            <w:tcW w:w="1334" w:type="dxa"/>
            <w:vAlign w:val="center"/>
          </w:tcPr>
          <w:p w:rsidR="00B82C81" w:rsidRDefault="00202B7B">
            <w:pPr>
              <w:jc w:val="right"/>
            </w:pPr>
            <w:r>
              <w:rPr>
                <w:color w:val="000000"/>
                <w:sz w:val="24"/>
                <w:szCs w:val="24"/>
              </w:rPr>
              <w:t>16,000,000</w:t>
            </w:r>
          </w:p>
        </w:tc>
        <w:tc>
          <w:tcPr>
            <w:tcW w:w="1924" w:type="dxa"/>
            <w:vAlign w:val="center"/>
          </w:tcPr>
          <w:p w:rsidR="00B82C81" w:rsidRDefault="00202B7B">
            <w:pPr>
              <w:jc w:val="right"/>
            </w:pPr>
            <w:r>
              <w:rPr>
                <w:color w:val="000000"/>
                <w:sz w:val="24"/>
                <w:szCs w:val="24"/>
              </w:rPr>
              <w:t>317,920,000.00</w:t>
            </w:r>
          </w:p>
        </w:tc>
        <w:tc>
          <w:tcPr>
            <w:tcW w:w="1644" w:type="dxa"/>
            <w:vAlign w:val="center"/>
          </w:tcPr>
          <w:p w:rsidR="00B82C81" w:rsidRDefault="00202B7B">
            <w:pPr>
              <w:jc w:val="right"/>
            </w:pPr>
            <w:r>
              <w:rPr>
                <w:color w:val="000000"/>
                <w:sz w:val="24"/>
                <w:szCs w:val="24"/>
              </w:rPr>
              <w:t>4.16</w:t>
            </w:r>
          </w:p>
        </w:tc>
      </w:tr>
      <w:tr w:rsidR="00B82C81">
        <w:trPr>
          <w:jc w:val="center"/>
        </w:trPr>
        <w:tc>
          <w:tcPr>
            <w:tcW w:w="855" w:type="dxa"/>
            <w:vAlign w:val="center"/>
          </w:tcPr>
          <w:p w:rsidR="00B82C81" w:rsidRDefault="00202B7B">
            <w:pPr>
              <w:jc w:val="center"/>
            </w:pPr>
            <w:r>
              <w:rPr>
                <w:color w:val="000000"/>
                <w:sz w:val="24"/>
                <w:szCs w:val="24"/>
              </w:rPr>
              <w:t>4</w:t>
            </w:r>
          </w:p>
        </w:tc>
        <w:tc>
          <w:tcPr>
            <w:tcW w:w="1334" w:type="dxa"/>
            <w:vAlign w:val="center"/>
          </w:tcPr>
          <w:p w:rsidR="00B82C81" w:rsidRDefault="00202B7B">
            <w:pPr>
              <w:jc w:val="center"/>
            </w:pPr>
            <w:r>
              <w:rPr>
                <w:color w:val="000000"/>
                <w:sz w:val="24"/>
                <w:szCs w:val="24"/>
              </w:rPr>
              <w:t>002008</w:t>
            </w:r>
          </w:p>
        </w:tc>
        <w:tc>
          <w:tcPr>
            <w:tcW w:w="1777" w:type="dxa"/>
            <w:vAlign w:val="center"/>
          </w:tcPr>
          <w:p w:rsidR="00B82C81" w:rsidRDefault="00202B7B">
            <w:pPr>
              <w:jc w:val="center"/>
            </w:pPr>
            <w:r>
              <w:rPr>
                <w:color w:val="000000"/>
                <w:sz w:val="24"/>
                <w:szCs w:val="24"/>
              </w:rPr>
              <w:t>大族激光</w:t>
            </w:r>
          </w:p>
        </w:tc>
        <w:tc>
          <w:tcPr>
            <w:tcW w:w="1334" w:type="dxa"/>
            <w:vAlign w:val="center"/>
          </w:tcPr>
          <w:p w:rsidR="00B82C81" w:rsidRDefault="00202B7B">
            <w:pPr>
              <w:jc w:val="right"/>
            </w:pPr>
            <w:r>
              <w:rPr>
                <w:color w:val="000000"/>
                <w:sz w:val="24"/>
                <w:szCs w:val="24"/>
              </w:rPr>
              <w:t>17,000,000</w:t>
            </w:r>
          </w:p>
        </w:tc>
        <w:tc>
          <w:tcPr>
            <w:tcW w:w="1924" w:type="dxa"/>
            <w:vAlign w:val="center"/>
          </w:tcPr>
          <w:p w:rsidR="00B82C81" w:rsidRDefault="00202B7B">
            <w:pPr>
              <w:jc w:val="right"/>
            </w:pPr>
            <w:r>
              <w:rPr>
                <w:color w:val="000000"/>
                <w:sz w:val="24"/>
                <w:szCs w:val="24"/>
              </w:rPr>
              <w:t>294,780,000.00</w:t>
            </w:r>
          </w:p>
        </w:tc>
        <w:tc>
          <w:tcPr>
            <w:tcW w:w="1644" w:type="dxa"/>
            <w:vAlign w:val="center"/>
          </w:tcPr>
          <w:p w:rsidR="00B82C81" w:rsidRDefault="00202B7B">
            <w:pPr>
              <w:jc w:val="right"/>
            </w:pPr>
            <w:r>
              <w:rPr>
                <w:color w:val="000000"/>
                <w:sz w:val="24"/>
                <w:szCs w:val="24"/>
              </w:rPr>
              <w:t>3.85</w:t>
            </w:r>
          </w:p>
        </w:tc>
      </w:tr>
      <w:tr w:rsidR="00B82C81">
        <w:trPr>
          <w:jc w:val="center"/>
        </w:trPr>
        <w:tc>
          <w:tcPr>
            <w:tcW w:w="855" w:type="dxa"/>
            <w:vAlign w:val="center"/>
          </w:tcPr>
          <w:p w:rsidR="00B82C81" w:rsidRDefault="00202B7B">
            <w:pPr>
              <w:jc w:val="center"/>
            </w:pPr>
            <w:r>
              <w:rPr>
                <w:color w:val="000000"/>
                <w:sz w:val="24"/>
                <w:szCs w:val="24"/>
              </w:rPr>
              <w:t>5</w:t>
            </w:r>
          </w:p>
        </w:tc>
        <w:tc>
          <w:tcPr>
            <w:tcW w:w="1334" w:type="dxa"/>
            <w:vAlign w:val="center"/>
          </w:tcPr>
          <w:p w:rsidR="00B82C81" w:rsidRDefault="00202B7B">
            <w:pPr>
              <w:jc w:val="center"/>
            </w:pPr>
            <w:r>
              <w:rPr>
                <w:color w:val="000000"/>
                <w:sz w:val="24"/>
                <w:szCs w:val="24"/>
              </w:rPr>
              <w:t>002223</w:t>
            </w:r>
          </w:p>
        </w:tc>
        <w:tc>
          <w:tcPr>
            <w:tcW w:w="1777" w:type="dxa"/>
            <w:vAlign w:val="center"/>
          </w:tcPr>
          <w:p w:rsidR="00B82C81" w:rsidRDefault="00202B7B">
            <w:pPr>
              <w:jc w:val="center"/>
            </w:pPr>
            <w:r>
              <w:rPr>
                <w:color w:val="000000"/>
                <w:sz w:val="24"/>
                <w:szCs w:val="24"/>
              </w:rPr>
              <w:t>鱼跃医疗</w:t>
            </w:r>
          </w:p>
        </w:tc>
        <w:tc>
          <w:tcPr>
            <w:tcW w:w="1334" w:type="dxa"/>
            <w:vAlign w:val="center"/>
          </w:tcPr>
          <w:p w:rsidR="00B82C81" w:rsidRDefault="00202B7B">
            <w:pPr>
              <w:jc w:val="right"/>
            </w:pPr>
            <w:r>
              <w:rPr>
                <w:color w:val="000000"/>
                <w:sz w:val="24"/>
                <w:szCs w:val="24"/>
              </w:rPr>
              <w:t>10,000,000</w:t>
            </w:r>
          </w:p>
        </w:tc>
        <w:tc>
          <w:tcPr>
            <w:tcW w:w="1924" w:type="dxa"/>
            <w:vAlign w:val="center"/>
          </w:tcPr>
          <w:p w:rsidR="00B82C81" w:rsidRDefault="00202B7B">
            <w:pPr>
              <w:jc w:val="right"/>
            </w:pPr>
            <w:r>
              <w:rPr>
                <w:color w:val="000000"/>
                <w:sz w:val="24"/>
                <w:szCs w:val="24"/>
              </w:rPr>
              <w:t>242,500,000.00</w:t>
            </w:r>
          </w:p>
        </w:tc>
        <w:tc>
          <w:tcPr>
            <w:tcW w:w="1644" w:type="dxa"/>
            <w:vAlign w:val="center"/>
          </w:tcPr>
          <w:p w:rsidR="00B82C81" w:rsidRDefault="00202B7B">
            <w:pPr>
              <w:jc w:val="right"/>
            </w:pPr>
            <w:r>
              <w:rPr>
                <w:color w:val="000000"/>
                <w:sz w:val="24"/>
                <w:szCs w:val="24"/>
              </w:rPr>
              <w:t>3.17</w:t>
            </w:r>
          </w:p>
        </w:tc>
      </w:tr>
      <w:tr w:rsidR="00B82C81">
        <w:trPr>
          <w:jc w:val="center"/>
        </w:trPr>
        <w:tc>
          <w:tcPr>
            <w:tcW w:w="855" w:type="dxa"/>
            <w:vAlign w:val="center"/>
          </w:tcPr>
          <w:p w:rsidR="00B82C81" w:rsidRDefault="00202B7B">
            <w:pPr>
              <w:jc w:val="center"/>
            </w:pPr>
            <w:r>
              <w:rPr>
                <w:color w:val="000000"/>
                <w:sz w:val="24"/>
                <w:szCs w:val="24"/>
              </w:rPr>
              <w:t>6</w:t>
            </w:r>
          </w:p>
        </w:tc>
        <w:tc>
          <w:tcPr>
            <w:tcW w:w="1334" w:type="dxa"/>
            <w:vAlign w:val="center"/>
          </w:tcPr>
          <w:p w:rsidR="00B82C81" w:rsidRDefault="00202B7B">
            <w:pPr>
              <w:jc w:val="center"/>
            </w:pPr>
            <w:r>
              <w:rPr>
                <w:color w:val="000000"/>
                <w:sz w:val="24"/>
                <w:szCs w:val="24"/>
              </w:rPr>
              <w:t>300017</w:t>
            </w:r>
          </w:p>
        </w:tc>
        <w:tc>
          <w:tcPr>
            <w:tcW w:w="1777" w:type="dxa"/>
            <w:vAlign w:val="center"/>
          </w:tcPr>
          <w:p w:rsidR="00B82C81" w:rsidRDefault="00202B7B">
            <w:pPr>
              <w:jc w:val="center"/>
            </w:pPr>
            <w:r>
              <w:rPr>
                <w:color w:val="000000"/>
                <w:sz w:val="24"/>
                <w:szCs w:val="24"/>
              </w:rPr>
              <w:t>网宿科技</w:t>
            </w:r>
          </w:p>
        </w:tc>
        <w:tc>
          <w:tcPr>
            <w:tcW w:w="1334" w:type="dxa"/>
            <w:vAlign w:val="center"/>
          </w:tcPr>
          <w:p w:rsidR="00B82C81" w:rsidRDefault="00202B7B">
            <w:pPr>
              <w:jc w:val="right"/>
            </w:pPr>
            <w:r>
              <w:rPr>
                <w:color w:val="000000"/>
                <w:sz w:val="24"/>
                <w:szCs w:val="24"/>
              </w:rPr>
              <w:t>3,757,859</w:t>
            </w:r>
          </w:p>
        </w:tc>
        <w:tc>
          <w:tcPr>
            <w:tcW w:w="1924" w:type="dxa"/>
            <w:vAlign w:val="center"/>
          </w:tcPr>
          <w:p w:rsidR="00B82C81" w:rsidRDefault="00202B7B">
            <w:pPr>
              <w:jc w:val="right"/>
            </w:pPr>
            <w:r>
              <w:rPr>
                <w:color w:val="000000"/>
                <w:sz w:val="24"/>
                <w:szCs w:val="24"/>
              </w:rPr>
              <w:t>239,751,404.20</w:t>
            </w:r>
          </w:p>
        </w:tc>
        <w:tc>
          <w:tcPr>
            <w:tcW w:w="1644" w:type="dxa"/>
            <w:vAlign w:val="center"/>
          </w:tcPr>
          <w:p w:rsidR="00B82C81" w:rsidRDefault="00202B7B">
            <w:pPr>
              <w:jc w:val="right"/>
            </w:pPr>
            <w:r>
              <w:rPr>
                <w:color w:val="000000"/>
                <w:sz w:val="24"/>
                <w:szCs w:val="24"/>
              </w:rPr>
              <w:t>3.14</w:t>
            </w:r>
          </w:p>
        </w:tc>
      </w:tr>
      <w:tr w:rsidR="00B82C81">
        <w:trPr>
          <w:jc w:val="center"/>
        </w:trPr>
        <w:tc>
          <w:tcPr>
            <w:tcW w:w="855" w:type="dxa"/>
            <w:vAlign w:val="center"/>
          </w:tcPr>
          <w:p w:rsidR="00B82C81" w:rsidRDefault="00202B7B">
            <w:pPr>
              <w:jc w:val="center"/>
            </w:pPr>
            <w:r>
              <w:rPr>
                <w:color w:val="000000"/>
                <w:sz w:val="24"/>
                <w:szCs w:val="24"/>
              </w:rPr>
              <w:t>7</w:t>
            </w:r>
          </w:p>
        </w:tc>
        <w:tc>
          <w:tcPr>
            <w:tcW w:w="1334" w:type="dxa"/>
            <w:vAlign w:val="center"/>
          </w:tcPr>
          <w:p w:rsidR="00B82C81" w:rsidRDefault="00202B7B">
            <w:pPr>
              <w:jc w:val="center"/>
            </w:pPr>
            <w:r>
              <w:rPr>
                <w:color w:val="000000"/>
                <w:sz w:val="24"/>
                <w:szCs w:val="24"/>
              </w:rPr>
              <w:t>300026</w:t>
            </w:r>
          </w:p>
        </w:tc>
        <w:tc>
          <w:tcPr>
            <w:tcW w:w="1777" w:type="dxa"/>
            <w:vAlign w:val="center"/>
          </w:tcPr>
          <w:p w:rsidR="00B82C81" w:rsidRDefault="00202B7B">
            <w:pPr>
              <w:jc w:val="center"/>
            </w:pPr>
            <w:r>
              <w:rPr>
                <w:color w:val="000000"/>
                <w:sz w:val="24"/>
                <w:szCs w:val="24"/>
              </w:rPr>
              <w:t>红日药业</w:t>
            </w:r>
          </w:p>
        </w:tc>
        <w:tc>
          <w:tcPr>
            <w:tcW w:w="1334" w:type="dxa"/>
            <w:vAlign w:val="center"/>
          </w:tcPr>
          <w:p w:rsidR="00B82C81" w:rsidRDefault="00202B7B">
            <w:pPr>
              <w:jc w:val="right"/>
            </w:pPr>
            <w:r>
              <w:rPr>
                <w:color w:val="000000"/>
                <w:sz w:val="24"/>
                <w:szCs w:val="24"/>
              </w:rPr>
              <w:t>7,941,838</w:t>
            </w:r>
          </w:p>
        </w:tc>
        <w:tc>
          <w:tcPr>
            <w:tcW w:w="1924" w:type="dxa"/>
            <w:vAlign w:val="center"/>
          </w:tcPr>
          <w:p w:rsidR="00B82C81" w:rsidRDefault="00202B7B">
            <w:pPr>
              <w:jc w:val="right"/>
            </w:pPr>
            <w:r>
              <w:rPr>
                <w:color w:val="000000"/>
                <w:sz w:val="24"/>
                <w:szCs w:val="24"/>
              </w:rPr>
              <w:t>232,695,853.40</w:t>
            </w:r>
          </w:p>
        </w:tc>
        <w:tc>
          <w:tcPr>
            <w:tcW w:w="1644" w:type="dxa"/>
            <w:vAlign w:val="center"/>
          </w:tcPr>
          <w:p w:rsidR="00B82C81" w:rsidRDefault="00202B7B">
            <w:pPr>
              <w:jc w:val="right"/>
            </w:pPr>
            <w:r>
              <w:rPr>
                <w:color w:val="000000"/>
                <w:sz w:val="24"/>
                <w:szCs w:val="24"/>
              </w:rPr>
              <w:t>3.04</w:t>
            </w:r>
          </w:p>
        </w:tc>
      </w:tr>
      <w:tr w:rsidR="00B82C81">
        <w:trPr>
          <w:jc w:val="center"/>
        </w:trPr>
        <w:tc>
          <w:tcPr>
            <w:tcW w:w="855" w:type="dxa"/>
            <w:vAlign w:val="center"/>
          </w:tcPr>
          <w:p w:rsidR="00B82C81" w:rsidRDefault="00202B7B">
            <w:pPr>
              <w:jc w:val="center"/>
            </w:pPr>
            <w:r>
              <w:rPr>
                <w:color w:val="000000"/>
                <w:sz w:val="24"/>
                <w:szCs w:val="24"/>
              </w:rPr>
              <w:t>8</w:t>
            </w:r>
          </w:p>
        </w:tc>
        <w:tc>
          <w:tcPr>
            <w:tcW w:w="1334" w:type="dxa"/>
            <w:vAlign w:val="center"/>
          </w:tcPr>
          <w:p w:rsidR="00B82C81" w:rsidRDefault="00202B7B">
            <w:pPr>
              <w:jc w:val="center"/>
            </w:pPr>
            <w:r>
              <w:rPr>
                <w:color w:val="000000"/>
                <w:sz w:val="24"/>
                <w:szCs w:val="24"/>
              </w:rPr>
              <w:t>600535</w:t>
            </w:r>
          </w:p>
        </w:tc>
        <w:tc>
          <w:tcPr>
            <w:tcW w:w="1777" w:type="dxa"/>
            <w:vAlign w:val="center"/>
          </w:tcPr>
          <w:p w:rsidR="00B82C81" w:rsidRDefault="00202B7B">
            <w:pPr>
              <w:jc w:val="center"/>
            </w:pPr>
            <w:r>
              <w:rPr>
                <w:color w:val="000000"/>
                <w:sz w:val="24"/>
                <w:szCs w:val="24"/>
              </w:rPr>
              <w:t>天士力</w:t>
            </w:r>
          </w:p>
        </w:tc>
        <w:tc>
          <w:tcPr>
            <w:tcW w:w="1334" w:type="dxa"/>
            <w:vAlign w:val="center"/>
          </w:tcPr>
          <w:p w:rsidR="00B82C81" w:rsidRDefault="00202B7B">
            <w:pPr>
              <w:jc w:val="right"/>
            </w:pPr>
            <w:r>
              <w:rPr>
                <w:color w:val="000000"/>
                <w:sz w:val="24"/>
                <w:szCs w:val="24"/>
              </w:rPr>
              <w:t>6,000,000</w:t>
            </w:r>
          </w:p>
        </w:tc>
        <w:tc>
          <w:tcPr>
            <w:tcW w:w="1924" w:type="dxa"/>
            <w:vAlign w:val="center"/>
          </w:tcPr>
          <w:p w:rsidR="00B82C81" w:rsidRDefault="00202B7B">
            <w:pPr>
              <w:jc w:val="right"/>
            </w:pPr>
            <w:r>
              <w:rPr>
                <w:color w:val="000000"/>
                <w:sz w:val="24"/>
                <w:szCs w:val="24"/>
              </w:rPr>
              <w:t>232,620,000.00</w:t>
            </w:r>
          </w:p>
        </w:tc>
        <w:tc>
          <w:tcPr>
            <w:tcW w:w="1644" w:type="dxa"/>
            <w:vAlign w:val="center"/>
          </w:tcPr>
          <w:p w:rsidR="00B82C81" w:rsidRDefault="00202B7B">
            <w:pPr>
              <w:jc w:val="right"/>
            </w:pPr>
            <w:r>
              <w:rPr>
                <w:color w:val="000000"/>
                <w:sz w:val="24"/>
                <w:szCs w:val="24"/>
              </w:rPr>
              <w:t>3.04</w:t>
            </w:r>
          </w:p>
        </w:tc>
      </w:tr>
      <w:tr w:rsidR="00B82C81">
        <w:trPr>
          <w:jc w:val="center"/>
        </w:trPr>
        <w:tc>
          <w:tcPr>
            <w:tcW w:w="855" w:type="dxa"/>
            <w:vAlign w:val="center"/>
          </w:tcPr>
          <w:p w:rsidR="00B82C81" w:rsidRDefault="00202B7B">
            <w:pPr>
              <w:jc w:val="center"/>
            </w:pPr>
            <w:r>
              <w:rPr>
                <w:color w:val="000000"/>
                <w:sz w:val="24"/>
                <w:szCs w:val="24"/>
              </w:rPr>
              <w:t>9</w:t>
            </w:r>
          </w:p>
        </w:tc>
        <w:tc>
          <w:tcPr>
            <w:tcW w:w="1334" w:type="dxa"/>
            <w:vAlign w:val="center"/>
          </w:tcPr>
          <w:p w:rsidR="00B82C81" w:rsidRDefault="00202B7B">
            <w:pPr>
              <w:jc w:val="center"/>
            </w:pPr>
            <w:r>
              <w:rPr>
                <w:color w:val="000000"/>
                <w:sz w:val="24"/>
                <w:szCs w:val="24"/>
              </w:rPr>
              <w:t>002317</w:t>
            </w:r>
          </w:p>
        </w:tc>
        <w:tc>
          <w:tcPr>
            <w:tcW w:w="1777" w:type="dxa"/>
            <w:vAlign w:val="center"/>
          </w:tcPr>
          <w:p w:rsidR="00B82C81" w:rsidRDefault="00202B7B">
            <w:pPr>
              <w:jc w:val="center"/>
            </w:pPr>
            <w:r>
              <w:rPr>
                <w:color w:val="000000"/>
                <w:sz w:val="24"/>
                <w:szCs w:val="24"/>
              </w:rPr>
              <w:t>众生药业</w:t>
            </w:r>
          </w:p>
        </w:tc>
        <w:tc>
          <w:tcPr>
            <w:tcW w:w="1334" w:type="dxa"/>
            <w:vAlign w:val="center"/>
          </w:tcPr>
          <w:p w:rsidR="00B82C81" w:rsidRDefault="00202B7B">
            <w:pPr>
              <w:jc w:val="right"/>
            </w:pPr>
            <w:r>
              <w:rPr>
                <w:color w:val="000000"/>
                <w:sz w:val="24"/>
                <w:szCs w:val="24"/>
              </w:rPr>
              <w:t>11,000,000</w:t>
            </w:r>
          </w:p>
        </w:tc>
        <w:tc>
          <w:tcPr>
            <w:tcW w:w="1924" w:type="dxa"/>
            <w:vAlign w:val="center"/>
          </w:tcPr>
          <w:p w:rsidR="00B82C81" w:rsidRDefault="00202B7B">
            <w:pPr>
              <w:jc w:val="right"/>
            </w:pPr>
            <w:r>
              <w:rPr>
                <w:color w:val="000000"/>
                <w:sz w:val="24"/>
                <w:szCs w:val="24"/>
              </w:rPr>
              <w:t>219,670,000.00</w:t>
            </w:r>
          </w:p>
        </w:tc>
        <w:tc>
          <w:tcPr>
            <w:tcW w:w="1644" w:type="dxa"/>
            <w:vAlign w:val="center"/>
          </w:tcPr>
          <w:p w:rsidR="00B82C81" w:rsidRDefault="00202B7B">
            <w:pPr>
              <w:jc w:val="right"/>
            </w:pPr>
            <w:r>
              <w:rPr>
                <w:color w:val="000000"/>
                <w:sz w:val="24"/>
                <w:szCs w:val="24"/>
              </w:rPr>
              <w:t>2.87</w:t>
            </w:r>
          </w:p>
        </w:tc>
      </w:tr>
      <w:tr w:rsidR="00B82C81">
        <w:trPr>
          <w:jc w:val="center"/>
        </w:trPr>
        <w:tc>
          <w:tcPr>
            <w:tcW w:w="855" w:type="dxa"/>
            <w:vAlign w:val="center"/>
          </w:tcPr>
          <w:p w:rsidR="00B82C81" w:rsidRDefault="00202B7B">
            <w:pPr>
              <w:jc w:val="center"/>
            </w:pPr>
            <w:r>
              <w:rPr>
                <w:color w:val="000000"/>
                <w:sz w:val="24"/>
                <w:szCs w:val="24"/>
              </w:rPr>
              <w:t>10</w:t>
            </w:r>
          </w:p>
        </w:tc>
        <w:tc>
          <w:tcPr>
            <w:tcW w:w="1334" w:type="dxa"/>
            <w:vAlign w:val="center"/>
          </w:tcPr>
          <w:p w:rsidR="00B82C81" w:rsidRDefault="00202B7B">
            <w:pPr>
              <w:jc w:val="center"/>
            </w:pPr>
            <w:r>
              <w:rPr>
                <w:color w:val="000000"/>
                <w:sz w:val="24"/>
                <w:szCs w:val="24"/>
              </w:rPr>
              <w:t>300146</w:t>
            </w:r>
          </w:p>
        </w:tc>
        <w:tc>
          <w:tcPr>
            <w:tcW w:w="1777" w:type="dxa"/>
            <w:vAlign w:val="center"/>
          </w:tcPr>
          <w:p w:rsidR="00B82C81" w:rsidRDefault="00202B7B">
            <w:pPr>
              <w:jc w:val="center"/>
            </w:pPr>
            <w:r>
              <w:rPr>
                <w:color w:val="000000"/>
                <w:sz w:val="24"/>
                <w:szCs w:val="24"/>
              </w:rPr>
              <w:t>汤臣倍健</w:t>
            </w:r>
          </w:p>
        </w:tc>
        <w:tc>
          <w:tcPr>
            <w:tcW w:w="1334" w:type="dxa"/>
            <w:vAlign w:val="center"/>
          </w:tcPr>
          <w:p w:rsidR="00B82C81" w:rsidRDefault="00202B7B">
            <w:pPr>
              <w:jc w:val="right"/>
            </w:pPr>
            <w:r>
              <w:rPr>
                <w:color w:val="000000"/>
                <w:sz w:val="24"/>
                <w:szCs w:val="24"/>
              </w:rPr>
              <w:t>8,671,346</w:t>
            </w:r>
          </w:p>
        </w:tc>
        <w:tc>
          <w:tcPr>
            <w:tcW w:w="1924" w:type="dxa"/>
            <w:vAlign w:val="center"/>
          </w:tcPr>
          <w:p w:rsidR="00B82C81" w:rsidRDefault="00202B7B">
            <w:pPr>
              <w:jc w:val="right"/>
            </w:pPr>
            <w:r>
              <w:rPr>
                <w:color w:val="000000"/>
                <w:sz w:val="24"/>
                <w:szCs w:val="24"/>
              </w:rPr>
              <w:t>213,748,678.90</w:t>
            </w:r>
          </w:p>
        </w:tc>
        <w:tc>
          <w:tcPr>
            <w:tcW w:w="1644" w:type="dxa"/>
            <w:vAlign w:val="center"/>
          </w:tcPr>
          <w:p w:rsidR="00B82C81" w:rsidRDefault="00202B7B">
            <w:pPr>
              <w:jc w:val="right"/>
            </w:pPr>
            <w:r>
              <w:rPr>
                <w:color w:val="000000"/>
                <w:sz w:val="24"/>
                <w:szCs w:val="24"/>
              </w:rPr>
              <w:t>2.80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300,955,000.00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300,955,000.00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37,394,474.80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338,349,474.80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82C81">
        <w:trPr>
          <w:jc w:val="center"/>
        </w:trPr>
        <w:tc>
          <w:tcPr>
            <w:tcW w:w="850" w:type="dxa"/>
            <w:vAlign w:val="center"/>
          </w:tcPr>
          <w:p w:rsidR="00B82C81" w:rsidRDefault="00202B7B">
            <w:pPr>
              <w:jc w:val="center"/>
            </w:pPr>
            <w:r>
              <w:rPr>
                <w:color w:val="000000"/>
                <w:sz w:val="24"/>
                <w:szCs w:val="24"/>
              </w:rPr>
              <w:t>1</w:t>
            </w:r>
          </w:p>
        </w:tc>
        <w:tc>
          <w:tcPr>
            <w:tcW w:w="1475" w:type="dxa"/>
            <w:vAlign w:val="center"/>
          </w:tcPr>
          <w:p w:rsidR="00B82C81" w:rsidRDefault="00202B7B">
            <w:pPr>
              <w:jc w:val="center"/>
            </w:pPr>
            <w:r>
              <w:rPr>
                <w:color w:val="000000"/>
                <w:sz w:val="24"/>
                <w:szCs w:val="24"/>
              </w:rPr>
              <w:t>140207</w:t>
            </w:r>
          </w:p>
        </w:tc>
        <w:tc>
          <w:tcPr>
            <w:tcW w:w="1769" w:type="dxa"/>
            <w:vAlign w:val="center"/>
          </w:tcPr>
          <w:p w:rsidR="00B82C81" w:rsidRDefault="00202B7B">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B82C81" w:rsidRDefault="00202B7B">
            <w:pPr>
              <w:jc w:val="right"/>
            </w:pPr>
            <w:r>
              <w:rPr>
                <w:color w:val="000000"/>
                <w:sz w:val="24"/>
                <w:szCs w:val="24"/>
              </w:rPr>
              <w:t>2,000,000</w:t>
            </w:r>
          </w:p>
        </w:tc>
        <w:tc>
          <w:tcPr>
            <w:tcW w:w="2150" w:type="dxa"/>
            <w:vAlign w:val="center"/>
          </w:tcPr>
          <w:p w:rsidR="00B82C81" w:rsidRDefault="00202B7B">
            <w:pPr>
              <w:jc w:val="right"/>
            </w:pPr>
            <w:r>
              <w:rPr>
                <w:color w:val="000000"/>
                <w:sz w:val="24"/>
                <w:szCs w:val="24"/>
              </w:rPr>
              <w:t>200,720,000.00</w:t>
            </w:r>
          </w:p>
        </w:tc>
        <w:tc>
          <w:tcPr>
            <w:tcW w:w="1237" w:type="dxa"/>
            <w:vAlign w:val="center"/>
          </w:tcPr>
          <w:p w:rsidR="00B82C81" w:rsidRDefault="00202B7B">
            <w:pPr>
              <w:jc w:val="right"/>
            </w:pPr>
            <w:r>
              <w:rPr>
                <w:color w:val="000000"/>
                <w:sz w:val="24"/>
                <w:szCs w:val="24"/>
              </w:rPr>
              <w:t>2.62</w:t>
            </w:r>
          </w:p>
        </w:tc>
      </w:tr>
      <w:tr w:rsidR="00B82C81">
        <w:trPr>
          <w:jc w:val="center"/>
        </w:trPr>
        <w:tc>
          <w:tcPr>
            <w:tcW w:w="850" w:type="dxa"/>
            <w:vAlign w:val="center"/>
          </w:tcPr>
          <w:p w:rsidR="00B82C81" w:rsidRDefault="00202B7B">
            <w:pPr>
              <w:jc w:val="center"/>
            </w:pPr>
            <w:r>
              <w:rPr>
                <w:color w:val="000000"/>
                <w:sz w:val="24"/>
                <w:szCs w:val="24"/>
              </w:rPr>
              <w:lastRenderedPageBreak/>
              <w:t>2</w:t>
            </w:r>
          </w:p>
        </w:tc>
        <w:tc>
          <w:tcPr>
            <w:tcW w:w="1475" w:type="dxa"/>
            <w:vAlign w:val="center"/>
          </w:tcPr>
          <w:p w:rsidR="00B82C81" w:rsidRDefault="00202B7B">
            <w:pPr>
              <w:jc w:val="center"/>
            </w:pPr>
            <w:r>
              <w:rPr>
                <w:color w:val="000000"/>
                <w:sz w:val="24"/>
                <w:szCs w:val="24"/>
              </w:rPr>
              <w:t>140204</w:t>
            </w:r>
          </w:p>
        </w:tc>
        <w:tc>
          <w:tcPr>
            <w:tcW w:w="1769" w:type="dxa"/>
            <w:vAlign w:val="center"/>
          </w:tcPr>
          <w:p w:rsidR="00B82C81" w:rsidRDefault="00202B7B">
            <w:pPr>
              <w:jc w:val="center"/>
            </w:pPr>
            <w:r>
              <w:rPr>
                <w:color w:val="000000"/>
                <w:sz w:val="24"/>
                <w:szCs w:val="24"/>
              </w:rPr>
              <w:t>14</w:t>
            </w:r>
            <w:r>
              <w:rPr>
                <w:color w:val="000000"/>
                <w:sz w:val="24"/>
                <w:szCs w:val="24"/>
              </w:rPr>
              <w:t>国开</w:t>
            </w:r>
            <w:r>
              <w:rPr>
                <w:color w:val="000000"/>
                <w:sz w:val="24"/>
                <w:szCs w:val="24"/>
              </w:rPr>
              <w:t>04</w:t>
            </w:r>
          </w:p>
        </w:tc>
        <w:tc>
          <w:tcPr>
            <w:tcW w:w="1387" w:type="dxa"/>
            <w:vAlign w:val="center"/>
          </w:tcPr>
          <w:p w:rsidR="00B82C81" w:rsidRDefault="00202B7B">
            <w:pPr>
              <w:jc w:val="right"/>
            </w:pPr>
            <w:r>
              <w:rPr>
                <w:color w:val="000000"/>
                <w:sz w:val="24"/>
                <w:szCs w:val="24"/>
              </w:rPr>
              <w:t>500,000</w:t>
            </w:r>
          </w:p>
        </w:tc>
        <w:tc>
          <w:tcPr>
            <w:tcW w:w="2150" w:type="dxa"/>
            <w:vAlign w:val="center"/>
          </w:tcPr>
          <w:p w:rsidR="00B82C81" w:rsidRDefault="00202B7B">
            <w:pPr>
              <w:jc w:val="right"/>
            </w:pPr>
            <w:r>
              <w:rPr>
                <w:color w:val="000000"/>
                <w:sz w:val="24"/>
                <w:szCs w:val="24"/>
              </w:rPr>
              <w:t>50,225,000.00</w:t>
            </w:r>
          </w:p>
        </w:tc>
        <w:tc>
          <w:tcPr>
            <w:tcW w:w="1237" w:type="dxa"/>
            <w:vAlign w:val="center"/>
          </w:tcPr>
          <w:p w:rsidR="00B82C81" w:rsidRDefault="00202B7B">
            <w:pPr>
              <w:jc w:val="right"/>
            </w:pPr>
            <w:r>
              <w:rPr>
                <w:color w:val="000000"/>
                <w:sz w:val="24"/>
                <w:szCs w:val="24"/>
              </w:rPr>
              <w:t>0.66</w:t>
            </w:r>
          </w:p>
        </w:tc>
      </w:tr>
      <w:tr w:rsidR="00B82C81">
        <w:trPr>
          <w:jc w:val="center"/>
        </w:trPr>
        <w:tc>
          <w:tcPr>
            <w:tcW w:w="850" w:type="dxa"/>
            <w:vAlign w:val="center"/>
          </w:tcPr>
          <w:p w:rsidR="00B82C81" w:rsidRDefault="00202B7B">
            <w:pPr>
              <w:jc w:val="center"/>
            </w:pPr>
            <w:r>
              <w:rPr>
                <w:color w:val="000000"/>
                <w:sz w:val="24"/>
                <w:szCs w:val="24"/>
              </w:rPr>
              <w:t>3</w:t>
            </w:r>
          </w:p>
        </w:tc>
        <w:tc>
          <w:tcPr>
            <w:tcW w:w="1475" w:type="dxa"/>
            <w:vAlign w:val="center"/>
          </w:tcPr>
          <w:p w:rsidR="00B82C81" w:rsidRDefault="00202B7B">
            <w:pPr>
              <w:jc w:val="center"/>
            </w:pPr>
            <w:r>
              <w:rPr>
                <w:color w:val="000000"/>
                <w:sz w:val="24"/>
                <w:szCs w:val="24"/>
              </w:rPr>
              <w:t>130236</w:t>
            </w:r>
          </w:p>
        </w:tc>
        <w:tc>
          <w:tcPr>
            <w:tcW w:w="1769" w:type="dxa"/>
            <w:vAlign w:val="center"/>
          </w:tcPr>
          <w:p w:rsidR="00B82C81" w:rsidRDefault="00202B7B">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B82C81" w:rsidRDefault="00202B7B">
            <w:pPr>
              <w:jc w:val="right"/>
            </w:pPr>
            <w:r>
              <w:rPr>
                <w:color w:val="000000"/>
                <w:sz w:val="24"/>
                <w:szCs w:val="24"/>
              </w:rPr>
              <w:t>500,000</w:t>
            </w:r>
          </w:p>
        </w:tc>
        <w:tc>
          <w:tcPr>
            <w:tcW w:w="2150" w:type="dxa"/>
            <w:vAlign w:val="center"/>
          </w:tcPr>
          <w:p w:rsidR="00B82C81" w:rsidRDefault="00202B7B">
            <w:pPr>
              <w:jc w:val="right"/>
            </w:pPr>
            <w:r>
              <w:rPr>
                <w:color w:val="000000"/>
                <w:sz w:val="24"/>
                <w:szCs w:val="24"/>
              </w:rPr>
              <w:t>50,010,000.00</w:t>
            </w:r>
          </w:p>
        </w:tc>
        <w:tc>
          <w:tcPr>
            <w:tcW w:w="1237" w:type="dxa"/>
            <w:vAlign w:val="center"/>
          </w:tcPr>
          <w:p w:rsidR="00B82C81" w:rsidRDefault="00202B7B">
            <w:pPr>
              <w:jc w:val="right"/>
            </w:pPr>
            <w:r>
              <w:rPr>
                <w:color w:val="000000"/>
                <w:sz w:val="24"/>
                <w:szCs w:val="24"/>
              </w:rPr>
              <w:t>0.65</w:t>
            </w:r>
          </w:p>
        </w:tc>
      </w:tr>
      <w:tr w:rsidR="00B82C81">
        <w:trPr>
          <w:jc w:val="center"/>
        </w:trPr>
        <w:tc>
          <w:tcPr>
            <w:tcW w:w="850" w:type="dxa"/>
            <w:vAlign w:val="center"/>
          </w:tcPr>
          <w:p w:rsidR="00B82C81" w:rsidRDefault="00202B7B">
            <w:pPr>
              <w:jc w:val="center"/>
            </w:pPr>
            <w:r>
              <w:rPr>
                <w:color w:val="000000"/>
                <w:sz w:val="24"/>
                <w:szCs w:val="24"/>
              </w:rPr>
              <w:t>4</w:t>
            </w:r>
          </w:p>
        </w:tc>
        <w:tc>
          <w:tcPr>
            <w:tcW w:w="1475" w:type="dxa"/>
            <w:vAlign w:val="center"/>
          </w:tcPr>
          <w:p w:rsidR="00B82C81" w:rsidRDefault="00202B7B">
            <w:pPr>
              <w:jc w:val="center"/>
            </w:pPr>
            <w:r>
              <w:rPr>
                <w:color w:val="000000"/>
                <w:sz w:val="24"/>
                <w:szCs w:val="24"/>
              </w:rPr>
              <w:t>110025</w:t>
            </w:r>
          </w:p>
        </w:tc>
        <w:tc>
          <w:tcPr>
            <w:tcW w:w="1769" w:type="dxa"/>
            <w:vAlign w:val="center"/>
          </w:tcPr>
          <w:p w:rsidR="00B82C81" w:rsidRDefault="00202B7B">
            <w:pPr>
              <w:jc w:val="center"/>
            </w:pPr>
            <w:r>
              <w:rPr>
                <w:color w:val="000000"/>
                <w:sz w:val="24"/>
                <w:szCs w:val="24"/>
              </w:rPr>
              <w:t>国金转债</w:t>
            </w:r>
          </w:p>
        </w:tc>
        <w:tc>
          <w:tcPr>
            <w:tcW w:w="1387" w:type="dxa"/>
            <w:vAlign w:val="center"/>
          </w:tcPr>
          <w:p w:rsidR="00B82C81" w:rsidRDefault="00202B7B">
            <w:pPr>
              <w:jc w:val="right"/>
            </w:pPr>
            <w:r>
              <w:rPr>
                <w:color w:val="000000"/>
                <w:sz w:val="24"/>
                <w:szCs w:val="24"/>
              </w:rPr>
              <w:t>308,960</w:t>
            </w:r>
          </w:p>
        </w:tc>
        <w:tc>
          <w:tcPr>
            <w:tcW w:w="2150" w:type="dxa"/>
            <w:vAlign w:val="center"/>
          </w:tcPr>
          <w:p w:rsidR="00B82C81" w:rsidRDefault="00202B7B">
            <w:pPr>
              <w:jc w:val="right"/>
            </w:pPr>
            <w:r>
              <w:rPr>
                <w:color w:val="000000"/>
                <w:sz w:val="24"/>
                <w:szCs w:val="24"/>
              </w:rPr>
              <w:t>35,468,608.00</w:t>
            </w:r>
          </w:p>
        </w:tc>
        <w:tc>
          <w:tcPr>
            <w:tcW w:w="1237" w:type="dxa"/>
            <w:vAlign w:val="center"/>
          </w:tcPr>
          <w:p w:rsidR="00B82C81" w:rsidRDefault="00202B7B">
            <w:pPr>
              <w:jc w:val="right"/>
            </w:pPr>
            <w:r>
              <w:rPr>
                <w:color w:val="000000"/>
                <w:sz w:val="24"/>
                <w:szCs w:val="24"/>
              </w:rPr>
              <w:t>0.46</w:t>
            </w:r>
          </w:p>
        </w:tc>
      </w:tr>
      <w:tr w:rsidR="00B82C81">
        <w:trPr>
          <w:jc w:val="center"/>
        </w:trPr>
        <w:tc>
          <w:tcPr>
            <w:tcW w:w="850" w:type="dxa"/>
            <w:vAlign w:val="center"/>
          </w:tcPr>
          <w:p w:rsidR="00B82C81" w:rsidRDefault="00202B7B">
            <w:pPr>
              <w:jc w:val="center"/>
            </w:pPr>
            <w:r>
              <w:rPr>
                <w:color w:val="000000"/>
                <w:sz w:val="24"/>
                <w:szCs w:val="24"/>
              </w:rPr>
              <w:t>5</w:t>
            </w:r>
          </w:p>
        </w:tc>
        <w:tc>
          <w:tcPr>
            <w:tcW w:w="1475" w:type="dxa"/>
            <w:vAlign w:val="center"/>
          </w:tcPr>
          <w:p w:rsidR="00B82C81" w:rsidRDefault="00202B7B">
            <w:pPr>
              <w:jc w:val="center"/>
            </w:pPr>
            <w:r>
              <w:rPr>
                <w:color w:val="000000"/>
                <w:sz w:val="24"/>
                <w:szCs w:val="24"/>
              </w:rPr>
              <w:t>113001</w:t>
            </w:r>
          </w:p>
        </w:tc>
        <w:tc>
          <w:tcPr>
            <w:tcW w:w="1769" w:type="dxa"/>
            <w:vAlign w:val="center"/>
          </w:tcPr>
          <w:p w:rsidR="00B82C81" w:rsidRDefault="00202B7B">
            <w:pPr>
              <w:jc w:val="center"/>
            </w:pPr>
            <w:r>
              <w:rPr>
                <w:color w:val="000000"/>
                <w:sz w:val="24"/>
                <w:szCs w:val="24"/>
              </w:rPr>
              <w:t>中行转债</w:t>
            </w:r>
          </w:p>
        </w:tc>
        <w:tc>
          <w:tcPr>
            <w:tcW w:w="1387" w:type="dxa"/>
            <w:vAlign w:val="center"/>
          </w:tcPr>
          <w:p w:rsidR="00B82C81" w:rsidRDefault="00202B7B">
            <w:pPr>
              <w:jc w:val="right"/>
            </w:pPr>
            <w:r>
              <w:rPr>
                <w:color w:val="000000"/>
                <w:sz w:val="24"/>
                <w:szCs w:val="24"/>
              </w:rPr>
              <w:t>18,920</w:t>
            </w:r>
          </w:p>
        </w:tc>
        <w:tc>
          <w:tcPr>
            <w:tcW w:w="2150" w:type="dxa"/>
            <w:vAlign w:val="center"/>
          </w:tcPr>
          <w:p w:rsidR="00B82C81" w:rsidRDefault="00202B7B">
            <w:pPr>
              <w:jc w:val="right"/>
            </w:pPr>
            <w:r>
              <w:rPr>
                <w:color w:val="000000"/>
                <w:sz w:val="24"/>
                <w:szCs w:val="24"/>
              </w:rPr>
              <w:t>1,925,866.80</w:t>
            </w:r>
          </w:p>
        </w:tc>
        <w:tc>
          <w:tcPr>
            <w:tcW w:w="1237" w:type="dxa"/>
            <w:vAlign w:val="center"/>
          </w:tcPr>
          <w:p w:rsidR="00B82C81" w:rsidRDefault="00202B7B">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2,461,213.19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5,341,749.79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656,861.29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8,459,824.27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82C81">
        <w:trPr>
          <w:jc w:val="center"/>
        </w:trPr>
        <w:tc>
          <w:tcPr>
            <w:tcW w:w="1883" w:type="dxa"/>
            <w:vAlign w:val="center"/>
          </w:tcPr>
          <w:p w:rsidR="00B82C81" w:rsidRDefault="00202B7B">
            <w:pPr>
              <w:jc w:val="center"/>
            </w:pPr>
            <w:r>
              <w:rPr>
                <w:color w:val="000000"/>
                <w:sz w:val="24"/>
                <w:szCs w:val="24"/>
              </w:rPr>
              <w:t>1</w:t>
            </w:r>
          </w:p>
        </w:tc>
        <w:tc>
          <w:tcPr>
            <w:tcW w:w="1801" w:type="dxa"/>
            <w:vAlign w:val="center"/>
          </w:tcPr>
          <w:p w:rsidR="00B82C81" w:rsidRDefault="00202B7B">
            <w:pPr>
              <w:jc w:val="center"/>
            </w:pPr>
            <w:r>
              <w:rPr>
                <w:color w:val="000000"/>
                <w:sz w:val="24"/>
                <w:szCs w:val="24"/>
              </w:rPr>
              <w:t>113001</w:t>
            </w:r>
          </w:p>
        </w:tc>
        <w:tc>
          <w:tcPr>
            <w:tcW w:w="1727" w:type="dxa"/>
            <w:vAlign w:val="center"/>
          </w:tcPr>
          <w:p w:rsidR="00B82C81" w:rsidRDefault="00202B7B">
            <w:pPr>
              <w:jc w:val="center"/>
            </w:pPr>
            <w:r>
              <w:rPr>
                <w:color w:val="000000"/>
                <w:sz w:val="24"/>
                <w:szCs w:val="24"/>
              </w:rPr>
              <w:t>中行转债</w:t>
            </w:r>
          </w:p>
        </w:tc>
        <w:tc>
          <w:tcPr>
            <w:tcW w:w="1768" w:type="dxa"/>
            <w:vAlign w:val="center"/>
          </w:tcPr>
          <w:p w:rsidR="00B82C81" w:rsidRDefault="00202B7B">
            <w:pPr>
              <w:jc w:val="right"/>
            </w:pPr>
            <w:r>
              <w:rPr>
                <w:color w:val="000000"/>
                <w:sz w:val="24"/>
                <w:szCs w:val="24"/>
              </w:rPr>
              <w:t>1,925,866.80</w:t>
            </w:r>
          </w:p>
        </w:tc>
        <w:tc>
          <w:tcPr>
            <w:tcW w:w="1689" w:type="dxa"/>
            <w:vAlign w:val="center"/>
          </w:tcPr>
          <w:p w:rsidR="00B82C81" w:rsidRDefault="00202B7B">
            <w:pPr>
              <w:jc w:val="right"/>
            </w:pPr>
            <w:r>
              <w:rPr>
                <w:color w:val="000000"/>
                <w:sz w:val="24"/>
                <w:szCs w:val="24"/>
              </w:rPr>
              <w:t>0.03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2,771,576,039.69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112,492,368.55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231,725,784.39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2,652,342,623.85</w:t>
            </w:r>
          </w:p>
        </w:tc>
      </w:tr>
    </w:tbl>
    <w:p w:rsidR="00B82C81" w:rsidRDefault="00202B7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02B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202B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202B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82C81" w:rsidRDefault="00202B7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、中国证监会批准交银施罗德成长股票证券投资基金募集的文件；</w:t>
      </w:r>
      <w:r>
        <w:rPr>
          <w:color w:val="000000"/>
          <w:sz w:val="24"/>
          <w:szCs w:val="24"/>
        </w:rPr>
        <w:t xml:space="preserve"> </w:t>
      </w:r>
    </w:p>
    <w:p w:rsidR="00B82C81" w:rsidRDefault="00202B7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、《交银施罗德成长股票证券投资基金基金合同》；</w:t>
      </w:r>
      <w:r>
        <w:rPr>
          <w:color w:val="000000"/>
          <w:sz w:val="24"/>
          <w:szCs w:val="24"/>
        </w:rPr>
        <w:t xml:space="preserve"> </w:t>
      </w:r>
    </w:p>
    <w:p w:rsidR="00B82C81" w:rsidRDefault="00202B7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、《交银施罗德成长股票证券投资基金招募说明书》；</w:t>
      </w:r>
      <w:r>
        <w:rPr>
          <w:color w:val="000000"/>
          <w:sz w:val="24"/>
          <w:szCs w:val="24"/>
        </w:rPr>
        <w:t xml:space="preserve"> </w:t>
      </w:r>
    </w:p>
    <w:p w:rsidR="00B82C81" w:rsidRDefault="00202B7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、《交银施罗德成长股票证券投资基金托管协议》；</w:t>
      </w:r>
      <w:r>
        <w:rPr>
          <w:color w:val="000000"/>
          <w:sz w:val="24"/>
          <w:szCs w:val="24"/>
        </w:rPr>
        <w:t xml:space="preserve"> </w:t>
      </w:r>
    </w:p>
    <w:p w:rsidR="00B82C81" w:rsidRDefault="00202B7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、关于募集交银施罗德成长股票证券投资基金之法律意见书；</w:t>
      </w:r>
      <w:r>
        <w:rPr>
          <w:color w:val="000000"/>
          <w:sz w:val="24"/>
          <w:szCs w:val="24"/>
        </w:rPr>
        <w:t xml:space="preserve"> </w:t>
      </w:r>
    </w:p>
    <w:p w:rsidR="00B82C81" w:rsidRDefault="00202B7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82C81" w:rsidRDefault="00202B7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82C81" w:rsidRDefault="00202B7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1A" w:rsidRDefault="0013421A" w:rsidP="00876D65">
      <w:r>
        <w:separator/>
      </w:r>
    </w:p>
  </w:endnote>
  <w:endnote w:type="continuationSeparator" w:id="0">
    <w:p w:rsidR="0013421A" w:rsidRDefault="0013421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B82C81">
      <w:rPr>
        <w:kern w:val="0"/>
        <w:szCs w:val="21"/>
      </w:rPr>
      <w:fldChar w:fldCharType="begin"/>
    </w:r>
    <w:r>
      <w:rPr>
        <w:kern w:val="0"/>
        <w:szCs w:val="21"/>
      </w:rPr>
      <w:instrText xml:space="preserve"> PAGE </w:instrText>
    </w:r>
    <w:r w:rsidR="00B82C81">
      <w:rPr>
        <w:kern w:val="0"/>
        <w:szCs w:val="21"/>
      </w:rPr>
      <w:fldChar w:fldCharType="separate"/>
    </w:r>
    <w:r w:rsidR="00E00046">
      <w:rPr>
        <w:noProof/>
        <w:kern w:val="0"/>
        <w:szCs w:val="21"/>
      </w:rPr>
      <w:t>1</w:t>
    </w:r>
    <w:r w:rsidR="00B82C81">
      <w:rPr>
        <w:kern w:val="0"/>
        <w:szCs w:val="21"/>
      </w:rPr>
      <w:fldChar w:fldCharType="end"/>
    </w:r>
    <w:r>
      <w:rPr>
        <w:rFonts w:hint="eastAsia"/>
        <w:kern w:val="0"/>
        <w:szCs w:val="21"/>
      </w:rPr>
      <w:t>页共</w:t>
    </w:r>
    <w:r w:rsidR="00B82C81">
      <w:rPr>
        <w:kern w:val="0"/>
        <w:szCs w:val="21"/>
      </w:rPr>
      <w:fldChar w:fldCharType="begin"/>
    </w:r>
    <w:r>
      <w:rPr>
        <w:kern w:val="0"/>
        <w:szCs w:val="21"/>
      </w:rPr>
      <w:instrText xml:space="preserve"> NUMPAGES </w:instrText>
    </w:r>
    <w:r w:rsidR="00B82C81">
      <w:rPr>
        <w:kern w:val="0"/>
        <w:szCs w:val="21"/>
      </w:rPr>
      <w:fldChar w:fldCharType="separate"/>
    </w:r>
    <w:r w:rsidR="00E00046">
      <w:rPr>
        <w:noProof/>
        <w:kern w:val="0"/>
        <w:szCs w:val="21"/>
      </w:rPr>
      <w:t>11</w:t>
    </w:r>
    <w:r w:rsidR="00B82C8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1A" w:rsidRDefault="0013421A" w:rsidP="00876D65">
      <w:r>
        <w:separator/>
      </w:r>
    </w:p>
  </w:footnote>
  <w:footnote w:type="continuationSeparator" w:id="0">
    <w:p w:rsidR="0013421A" w:rsidRDefault="0013421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421A"/>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02B7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2F91"/>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2C81"/>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0046"/>
    <w:rsid w:val="00E02660"/>
    <w:rsid w:val="00E0781D"/>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A7DF0-D3BE-499E-9382-BF20DCC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7BA3-E9DC-418C-8E0B-1E8EF498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530</cp:revision>
  <dcterms:created xsi:type="dcterms:W3CDTF">2012-10-16T06:07:00Z</dcterms:created>
  <dcterms:modified xsi:type="dcterms:W3CDTF">2014-07-15T09:06:00Z</dcterms:modified>
</cp:coreProperties>
</file>