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C2EF9" w:rsidRDefault="009C2EF9">
      <w:pPr>
        <w:adjustRightInd w:val="0"/>
        <w:snapToGrid w:val="0"/>
        <w:spacing w:line="360" w:lineRule="auto"/>
        <w:jc w:val="center"/>
        <w:rPr>
          <w:rFonts w:ascii="宋体" w:hAnsi="宋体"/>
          <w:color w:val="000000"/>
          <w:sz w:val="28"/>
        </w:rPr>
      </w:pPr>
    </w:p>
    <w:p w:rsidR="009C2EF9" w:rsidRDefault="009C2EF9">
      <w:pPr>
        <w:adjustRightInd w:val="0"/>
        <w:snapToGrid w:val="0"/>
        <w:spacing w:line="360" w:lineRule="auto"/>
        <w:jc w:val="center"/>
        <w:rPr>
          <w:rFonts w:ascii="宋体" w:hAnsi="宋体"/>
          <w:color w:val="000000"/>
          <w:sz w:val="28"/>
        </w:rPr>
      </w:pPr>
    </w:p>
    <w:p w:rsidR="009C2EF9" w:rsidRDefault="009C2EF9">
      <w:pPr>
        <w:adjustRightInd w:val="0"/>
        <w:snapToGrid w:val="0"/>
        <w:spacing w:line="360" w:lineRule="auto"/>
        <w:jc w:val="center"/>
        <w:rPr>
          <w:rFonts w:ascii="宋体" w:hAnsi="宋体"/>
          <w:color w:val="000000"/>
          <w:sz w:val="28"/>
        </w:rPr>
      </w:pPr>
    </w:p>
    <w:p w:rsidR="009C2EF9" w:rsidRDefault="009C2EF9">
      <w:pPr>
        <w:adjustRightInd w:val="0"/>
        <w:snapToGrid w:val="0"/>
        <w:spacing w:line="360" w:lineRule="auto"/>
        <w:jc w:val="center"/>
        <w:rPr>
          <w:rFonts w:ascii="宋体" w:hAnsi="宋体"/>
          <w:color w:val="000000"/>
          <w:sz w:val="28"/>
        </w:rPr>
      </w:pPr>
    </w:p>
    <w:p w:rsidR="009C2EF9" w:rsidRDefault="009C2EF9">
      <w:pPr>
        <w:adjustRightInd w:val="0"/>
        <w:snapToGrid w:val="0"/>
        <w:spacing w:line="360" w:lineRule="auto"/>
        <w:jc w:val="center"/>
        <w:rPr>
          <w:rFonts w:ascii="宋体" w:hAnsi="宋体"/>
          <w:color w:val="000000"/>
          <w:sz w:val="28"/>
        </w:rPr>
      </w:pPr>
    </w:p>
    <w:p w:rsidR="009C2EF9" w:rsidRDefault="009C2EF9">
      <w:pPr>
        <w:adjustRightInd w:val="0"/>
        <w:snapToGrid w:val="0"/>
        <w:spacing w:line="360" w:lineRule="auto"/>
        <w:jc w:val="center"/>
        <w:rPr>
          <w:rFonts w:ascii="宋体" w:hAnsi="宋体"/>
          <w:color w:val="000000"/>
          <w:sz w:val="28"/>
        </w:rPr>
      </w:pPr>
    </w:p>
    <w:p w:rsidR="009C2EF9" w:rsidRDefault="009C2EF9">
      <w:pPr>
        <w:adjustRightInd w:val="0"/>
        <w:snapToGrid w:val="0"/>
        <w:spacing w:line="360" w:lineRule="auto"/>
        <w:jc w:val="center"/>
        <w:rPr>
          <w:rFonts w:ascii="宋体" w:hAnsi="宋体"/>
          <w:b/>
          <w:color w:val="000000"/>
          <w:sz w:val="44"/>
        </w:rPr>
      </w:pPr>
      <w:r>
        <w:rPr>
          <w:rFonts w:ascii="宋体" w:hAnsi="宋体" w:hint="eastAsia"/>
          <w:b/>
          <w:color w:val="000000"/>
          <w:sz w:val="44"/>
        </w:rPr>
        <w:t>交银施罗德荣祥保本混合型</w:t>
      </w:r>
      <w:r>
        <w:rPr>
          <w:rFonts w:ascii="宋体" w:hAnsi="宋体"/>
          <w:b/>
          <w:color w:val="000000"/>
          <w:sz w:val="44"/>
        </w:rPr>
        <w:t>证券投资基金</w:t>
      </w:r>
    </w:p>
    <w:p w:rsidR="009C2EF9" w:rsidRDefault="009C2EF9">
      <w:pPr>
        <w:adjustRightInd w:val="0"/>
        <w:snapToGrid w:val="0"/>
        <w:spacing w:line="360" w:lineRule="auto"/>
        <w:jc w:val="center"/>
        <w:rPr>
          <w:rFonts w:ascii="宋体" w:hAnsi="宋体"/>
          <w:b/>
          <w:color w:val="000000"/>
          <w:sz w:val="44"/>
        </w:rPr>
      </w:pPr>
      <w:r>
        <w:rPr>
          <w:rFonts w:ascii="宋体" w:hAnsi="宋体"/>
          <w:b/>
          <w:color w:val="000000"/>
          <w:sz w:val="44"/>
        </w:rPr>
        <w:t>托管协议</w:t>
      </w:r>
    </w:p>
    <w:p w:rsidR="009C2EF9" w:rsidRDefault="009C2EF9">
      <w:pPr>
        <w:adjustRightInd w:val="0"/>
        <w:snapToGrid w:val="0"/>
        <w:spacing w:line="360" w:lineRule="auto"/>
        <w:jc w:val="center"/>
        <w:outlineLvl w:val="0"/>
        <w:rPr>
          <w:rFonts w:ascii="宋体" w:hAnsi="宋体"/>
          <w:color w:val="000000"/>
          <w:sz w:val="28"/>
        </w:rPr>
      </w:pPr>
    </w:p>
    <w:p w:rsidR="009C2EF9" w:rsidRDefault="009C2EF9">
      <w:pPr>
        <w:adjustRightInd w:val="0"/>
        <w:snapToGrid w:val="0"/>
        <w:spacing w:line="360" w:lineRule="auto"/>
        <w:jc w:val="center"/>
        <w:outlineLvl w:val="0"/>
        <w:rPr>
          <w:rFonts w:ascii="宋体" w:hAnsi="宋体"/>
          <w:color w:val="000000"/>
          <w:sz w:val="28"/>
        </w:rPr>
      </w:pPr>
    </w:p>
    <w:p w:rsidR="009C2EF9" w:rsidRDefault="009C2EF9">
      <w:pPr>
        <w:adjustRightInd w:val="0"/>
        <w:snapToGrid w:val="0"/>
        <w:spacing w:line="360" w:lineRule="auto"/>
        <w:jc w:val="center"/>
        <w:outlineLvl w:val="0"/>
        <w:rPr>
          <w:rFonts w:ascii="宋体" w:hAnsi="宋体"/>
          <w:color w:val="000000"/>
          <w:sz w:val="28"/>
        </w:rPr>
      </w:pPr>
    </w:p>
    <w:p w:rsidR="009C2EF9" w:rsidRDefault="009C2EF9">
      <w:pPr>
        <w:adjustRightInd w:val="0"/>
        <w:snapToGrid w:val="0"/>
        <w:spacing w:line="360" w:lineRule="auto"/>
        <w:outlineLvl w:val="0"/>
        <w:rPr>
          <w:rFonts w:ascii="宋体" w:hAnsi="宋体"/>
          <w:color w:val="000000"/>
          <w:sz w:val="28"/>
        </w:rPr>
      </w:pPr>
    </w:p>
    <w:p w:rsidR="009C2EF9" w:rsidRDefault="009C2EF9">
      <w:pPr>
        <w:adjustRightInd w:val="0"/>
        <w:snapToGrid w:val="0"/>
        <w:spacing w:line="360" w:lineRule="auto"/>
        <w:jc w:val="center"/>
        <w:outlineLvl w:val="0"/>
        <w:rPr>
          <w:rFonts w:ascii="宋体" w:hAnsi="宋体"/>
          <w:color w:val="000000"/>
          <w:sz w:val="28"/>
        </w:rPr>
      </w:pPr>
    </w:p>
    <w:p w:rsidR="009C2EF9" w:rsidRDefault="009C2EF9">
      <w:pPr>
        <w:adjustRightInd w:val="0"/>
        <w:snapToGrid w:val="0"/>
        <w:spacing w:line="360" w:lineRule="auto"/>
        <w:ind w:firstLineChars="560" w:firstLine="1574"/>
        <w:jc w:val="left"/>
        <w:outlineLvl w:val="0"/>
        <w:rPr>
          <w:rFonts w:ascii="宋体" w:hAnsi="宋体"/>
          <w:b/>
          <w:color w:val="000000"/>
          <w:sz w:val="28"/>
        </w:rPr>
      </w:pPr>
      <w:r>
        <w:rPr>
          <w:rFonts w:ascii="宋体" w:hAnsi="宋体"/>
          <w:b/>
          <w:color w:val="000000"/>
          <w:sz w:val="28"/>
        </w:rPr>
        <w:t>基金管理人：</w:t>
      </w:r>
      <w:r>
        <w:rPr>
          <w:rFonts w:ascii="宋体" w:hAnsi="宋体" w:hint="eastAsia"/>
          <w:b/>
          <w:color w:val="000000"/>
          <w:sz w:val="28"/>
        </w:rPr>
        <w:t>交银施罗德</w:t>
      </w:r>
      <w:r>
        <w:rPr>
          <w:rFonts w:ascii="宋体" w:hAnsi="宋体"/>
          <w:b/>
          <w:color w:val="000000"/>
          <w:sz w:val="28"/>
        </w:rPr>
        <w:t>基金管理有限公司</w:t>
      </w:r>
    </w:p>
    <w:p w:rsidR="009C2EF9" w:rsidRDefault="009C2EF9">
      <w:pPr>
        <w:adjustRightInd w:val="0"/>
        <w:snapToGrid w:val="0"/>
        <w:spacing w:line="360" w:lineRule="auto"/>
        <w:ind w:firstLineChars="562" w:firstLine="1580"/>
        <w:jc w:val="left"/>
        <w:outlineLvl w:val="0"/>
        <w:rPr>
          <w:rFonts w:ascii="宋体" w:hAnsi="宋体"/>
          <w:b/>
          <w:color w:val="000000"/>
          <w:sz w:val="28"/>
        </w:rPr>
      </w:pPr>
      <w:r>
        <w:rPr>
          <w:rFonts w:ascii="宋体" w:hAnsi="宋体"/>
          <w:b/>
          <w:color w:val="000000"/>
          <w:sz w:val="28"/>
        </w:rPr>
        <w:t>基金托管人：中国农业银行</w:t>
      </w:r>
      <w:r>
        <w:rPr>
          <w:rFonts w:ascii="宋体" w:hAnsi="宋体" w:hint="eastAsia"/>
          <w:b/>
          <w:color w:val="000000"/>
          <w:sz w:val="28"/>
        </w:rPr>
        <w:t>股份有限公司</w:t>
      </w:r>
    </w:p>
    <w:p w:rsidR="009C2EF9" w:rsidRDefault="009C2EF9">
      <w:pPr>
        <w:adjustRightInd w:val="0"/>
        <w:snapToGrid w:val="0"/>
        <w:spacing w:line="360" w:lineRule="auto"/>
        <w:jc w:val="center"/>
        <w:outlineLvl w:val="0"/>
        <w:rPr>
          <w:rFonts w:ascii="宋体" w:hAnsi="宋体"/>
          <w:color w:val="000000"/>
          <w:sz w:val="28"/>
        </w:rPr>
      </w:pPr>
    </w:p>
    <w:p w:rsidR="009C2EF9" w:rsidRDefault="009C2EF9">
      <w:pPr>
        <w:adjustRightInd w:val="0"/>
        <w:snapToGrid w:val="0"/>
        <w:spacing w:line="360" w:lineRule="auto"/>
        <w:jc w:val="center"/>
        <w:outlineLvl w:val="0"/>
        <w:rPr>
          <w:rFonts w:ascii="宋体" w:hAnsi="宋体"/>
          <w:color w:val="000000"/>
          <w:sz w:val="28"/>
        </w:rPr>
      </w:pPr>
    </w:p>
    <w:p w:rsidR="009C2EF9" w:rsidRDefault="009C2EF9">
      <w:pPr>
        <w:spacing w:line="360" w:lineRule="auto"/>
        <w:jc w:val="center"/>
        <w:rPr>
          <w:rFonts w:ascii="宋体" w:hAnsi="宋体"/>
          <w:b/>
          <w:sz w:val="28"/>
        </w:rPr>
      </w:pPr>
    </w:p>
    <w:p w:rsidR="009C2EF9" w:rsidRDefault="009C2EF9">
      <w:pPr>
        <w:adjustRightInd w:val="0"/>
        <w:snapToGrid w:val="0"/>
        <w:spacing w:line="360" w:lineRule="auto"/>
        <w:jc w:val="center"/>
        <w:outlineLvl w:val="0"/>
        <w:rPr>
          <w:rFonts w:ascii="宋体" w:hAnsi="宋体"/>
          <w:color w:val="000000"/>
          <w:sz w:val="28"/>
        </w:rPr>
      </w:pPr>
    </w:p>
    <w:p w:rsidR="009C2EF9" w:rsidRDefault="009C2EF9">
      <w:pPr>
        <w:adjustRightInd w:val="0"/>
        <w:snapToGrid w:val="0"/>
        <w:spacing w:line="360" w:lineRule="auto"/>
        <w:outlineLvl w:val="0"/>
        <w:rPr>
          <w:rFonts w:ascii="宋体" w:hAnsi="宋体"/>
          <w:color w:val="000000"/>
          <w:sz w:val="28"/>
        </w:rPr>
        <w:sectPr w:rsidR="009C2EF9">
          <w:headerReference w:type="even" r:id="rId6"/>
          <w:headerReference w:type="default" r:id="rId7"/>
          <w:footerReference w:type="even" r:id="rId8"/>
          <w:footerReference w:type="default" r:id="rId9"/>
          <w:headerReference w:type="first" r:id="rId10"/>
          <w:footerReference w:type="first" r:id="rId11"/>
          <w:pgSz w:w="11906" w:h="16838"/>
          <w:pgMar w:top="1440" w:right="1797" w:bottom="1440" w:left="1797" w:header="851" w:footer="992" w:gutter="0"/>
          <w:cols w:space="720"/>
          <w:titlePg/>
          <w:docGrid w:type="lines" w:linePitch="312"/>
        </w:sectPr>
      </w:pPr>
    </w:p>
    <w:p w:rsidR="009C2EF9" w:rsidRDefault="009C2EF9">
      <w:pPr>
        <w:adjustRightInd w:val="0"/>
        <w:snapToGrid w:val="0"/>
        <w:spacing w:line="360" w:lineRule="auto"/>
        <w:outlineLvl w:val="0"/>
        <w:rPr>
          <w:rFonts w:ascii="宋体" w:hAnsi="宋体"/>
          <w:color w:val="000000"/>
          <w:sz w:val="28"/>
        </w:rPr>
      </w:pPr>
    </w:p>
    <w:p w:rsidR="009C2EF9" w:rsidRPr="0061142D" w:rsidRDefault="009C2EF9">
      <w:pPr>
        <w:spacing w:line="360" w:lineRule="auto"/>
        <w:jc w:val="center"/>
        <w:rPr>
          <w:b/>
          <w:color w:val="000000"/>
          <w:sz w:val="28"/>
        </w:rPr>
      </w:pPr>
      <w:r w:rsidRPr="0061142D">
        <w:rPr>
          <w:rFonts w:hAnsi="宋体"/>
          <w:b/>
          <w:color w:val="000000"/>
          <w:sz w:val="28"/>
        </w:rPr>
        <w:t>目</w:t>
      </w:r>
      <w:r w:rsidRPr="0061142D">
        <w:rPr>
          <w:b/>
          <w:color w:val="000000"/>
          <w:sz w:val="28"/>
        </w:rPr>
        <w:t xml:space="preserve">    </w:t>
      </w:r>
      <w:r w:rsidRPr="0061142D">
        <w:rPr>
          <w:rFonts w:hAnsi="宋体"/>
          <w:b/>
          <w:color w:val="000000"/>
          <w:sz w:val="28"/>
        </w:rPr>
        <w:t>录</w:t>
      </w:r>
    </w:p>
    <w:p w:rsidR="009C2EF9" w:rsidRPr="0061142D" w:rsidRDefault="00942CAD" w:rsidP="00DA03D3">
      <w:pPr>
        <w:pStyle w:val="20"/>
        <w:tabs>
          <w:tab w:val="right" w:leader="dot" w:pos="8302"/>
        </w:tabs>
        <w:adjustRightInd w:val="0"/>
        <w:snapToGrid w:val="0"/>
        <w:spacing w:line="360" w:lineRule="auto"/>
        <w:ind w:leftChars="0" w:left="0"/>
        <w:rPr>
          <w:noProof/>
          <w:sz w:val="28"/>
          <w:szCs w:val="28"/>
        </w:rPr>
      </w:pPr>
      <w:r w:rsidRPr="0061142D">
        <w:rPr>
          <w:color w:val="000000"/>
          <w:sz w:val="28"/>
          <w:szCs w:val="28"/>
        </w:rPr>
        <w:fldChar w:fldCharType="begin"/>
      </w:r>
      <w:r w:rsidR="009C2EF9" w:rsidRPr="0061142D">
        <w:rPr>
          <w:color w:val="000000"/>
          <w:sz w:val="28"/>
          <w:szCs w:val="28"/>
        </w:rPr>
        <w:instrText xml:space="preserve"> TOC \o "1-2" \h \z </w:instrText>
      </w:r>
      <w:r w:rsidRPr="0061142D">
        <w:rPr>
          <w:color w:val="000000"/>
          <w:sz w:val="28"/>
          <w:szCs w:val="28"/>
        </w:rPr>
        <w:fldChar w:fldCharType="separate"/>
      </w:r>
      <w:hyperlink w:anchor="_Toc145818935" w:history="1">
        <w:r w:rsidR="009C2EF9" w:rsidRPr="0061142D">
          <w:rPr>
            <w:rFonts w:hAnsi="宋体"/>
            <w:noProof/>
            <w:sz w:val="28"/>
            <w:szCs w:val="28"/>
          </w:rPr>
          <w:t>一、基金托管协议当事人</w:t>
        </w:r>
        <w:r w:rsidR="009C2EF9" w:rsidRPr="0061142D">
          <w:rPr>
            <w:noProof/>
            <w:sz w:val="28"/>
            <w:szCs w:val="28"/>
          </w:rPr>
          <w:tab/>
        </w:r>
        <w:r w:rsidRPr="0061142D">
          <w:rPr>
            <w:noProof/>
            <w:sz w:val="28"/>
            <w:szCs w:val="28"/>
          </w:rPr>
          <w:fldChar w:fldCharType="begin"/>
        </w:r>
        <w:r w:rsidR="009C2EF9" w:rsidRPr="0061142D">
          <w:rPr>
            <w:noProof/>
            <w:sz w:val="28"/>
            <w:szCs w:val="28"/>
          </w:rPr>
          <w:instrText xml:space="preserve"> PAGEREF _Toc145818935 \h </w:instrText>
        </w:r>
        <w:r w:rsidRPr="0061142D">
          <w:rPr>
            <w:noProof/>
            <w:sz w:val="28"/>
            <w:szCs w:val="28"/>
          </w:rPr>
        </w:r>
        <w:r w:rsidRPr="0061142D">
          <w:rPr>
            <w:noProof/>
            <w:sz w:val="28"/>
            <w:szCs w:val="28"/>
          </w:rPr>
          <w:fldChar w:fldCharType="separate"/>
        </w:r>
        <w:r w:rsidR="006664A7">
          <w:rPr>
            <w:noProof/>
            <w:sz w:val="28"/>
            <w:szCs w:val="28"/>
          </w:rPr>
          <w:t>3</w:t>
        </w:r>
        <w:r w:rsidRPr="0061142D">
          <w:rPr>
            <w:noProof/>
            <w:sz w:val="28"/>
            <w:szCs w:val="28"/>
          </w:rPr>
          <w:fldChar w:fldCharType="end"/>
        </w:r>
      </w:hyperlink>
    </w:p>
    <w:p w:rsidR="009C2EF9" w:rsidRPr="0061142D" w:rsidRDefault="00942CAD" w:rsidP="00DA03D3">
      <w:pPr>
        <w:pStyle w:val="20"/>
        <w:tabs>
          <w:tab w:val="right" w:leader="dot" w:pos="8302"/>
        </w:tabs>
        <w:adjustRightInd w:val="0"/>
        <w:snapToGrid w:val="0"/>
        <w:spacing w:line="360" w:lineRule="auto"/>
        <w:ind w:leftChars="0" w:left="0"/>
        <w:rPr>
          <w:noProof/>
          <w:sz w:val="28"/>
          <w:szCs w:val="28"/>
        </w:rPr>
      </w:pPr>
      <w:hyperlink w:anchor="_Toc145818936" w:history="1">
        <w:r w:rsidR="009C2EF9" w:rsidRPr="0061142D">
          <w:rPr>
            <w:rFonts w:hAnsi="宋体"/>
            <w:noProof/>
            <w:sz w:val="28"/>
            <w:szCs w:val="28"/>
          </w:rPr>
          <w:t>二、基金托管协议的依据、目的和原则</w:t>
        </w:r>
        <w:r w:rsidR="009C2EF9" w:rsidRPr="0061142D">
          <w:rPr>
            <w:noProof/>
            <w:sz w:val="28"/>
            <w:szCs w:val="28"/>
          </w:rPr>
          <w:tab/>
        </w:r>
        <w:r w:rsidRPr="0061142D">
          <w:rPr>
            <w:noProof/>
            <w:sz w:val="28"/>
            <w:szCs w:val="28"/>
          </w:rPr>
          <w:fldChar w:fldCharType="begin"/>
        </w:r>
        <w:r w:rsidR="009C2EF9" w:rsidRPr="0061142D">
          <w:rPr>
            <w:noProof/>
            <w:sz w:val="28"/>
            <w:szCs w:val="28"/>
          </w:rPr>
          <w:instrText xml:space="preserve"> PAGEREF _Toc145818936 \h </w:instrText>
        </w:r>
        <w:r w:rsidRPr="0061142D">
          <w:rPr>
            <w:noProof/>
            <w:sz w:val="28"/>
            <w:szCs w:val="28"/>
          </w:rPr>
        </w:r>
        <w:r w:rsidRPr="0061142D">
          <w:rPr>
            <w:noProof/>
            <w:sz w:val="28"/>
            <w:szCs w:val="28"/>
          </w:rPr>
          <w:fldChar w:fldCharType="separate"/>
        </w:r>
        <w:r w:rsidR="006664A7">
          <w:rPr>
            <w:noProof/>
            <w:sz w:val="28"/>
            <w:szCs w:val="28"/>
          </w:rPr>
          <w:t>5</w:t>
        </w:r>
        <w:r w:rsidRPr="0061142D">
          <w:rPr>
            <w:noProof/>
            <w:sz w:val="28"/>
            <w:szCs w:val="28"/>
          </w:rPr>
          <w:fldChar w:fldCharType="end"/>
        </w:r>
      </w:hyperlink>
    </w:p>
    <w:p w:rsidR="009C2EF9" w:rsidRPr="0061142D" w:rsidRDefault="00942CAD" w:rsidP="00DA03D3">
      <w:pPr>
        <w:pStyle w:val="20"/>
        <w:tabs>
          <w:tab w:val="right" w:leader="dot" w:pos="8302"/>
        </w:tabs>
        <w:adjustRightInd w:val="0"/>
        <w:snapToGrid w:val="0"/>
        <w:spacing w:line="360" w:lineRule="auto"/>
        <w:ind w:leftChars="0" w:left="0"/>
        <w:rPr>
          <w:noProof/>
          <w:sz w:val="28"/>
          <w:szCs w:val="28"/>
        </w:rPr>
      </w:pPr>
      <w:hyperlink w:anchor="_Toc145818937" w:history="1">
        <w:r w:rsidR="009C2EF9" w:rsidRPr="0061142D">
          <w:rPr>
            <w:rFonts w:hAnsi="宋体"/>
            <w:noProof/>
            <w:sz w:val="28"/>
            <w:szCs w:val="28"/>
          </w:rPr>
          <w:t>三、基金托管人对基金管理人的业务监督和核查</w:t>
        </w:r>
        <w:r w:rsidR="009C2EF9" w:rsidRPr="0061142D">
          <w:rPr>
            <w:noProof/>
            <w:sz w:val="28"/>
            <w:szCs w:val="28"/>
          </w:rPr>
          <w:tab/>
        </w:r>
        <w:r w:rsidRPr="0061142D">
          <w:rPr>
            <w:noProof/>
            <w:sz w:val="28"/>
            <w:szCs w:val="28"/>
          </w:rPr>
          <w:fldChar w:fldCharType="begin"/>
        </w:r>
        <w:r w:rsidR="009C2EF9" w:rsidRPr="0061142D">
          <w:rPr>
            <w:noProof/>
            <w:sz w:val="28"/>
            <w:szCs w:val="28"/>
          </w:rPr>
          <w:instrText xml:space="preserve"> PAGEREF _Toc145818937 \h </w:instrText>
        </w:r>
        <w:r w:rsidRPr="0061142D">
          <w:rPr>
            <w:noProof/>
            <w:sz w:val="28"/>
            <w:szCs w:val="28"/>
          </w:rPr>
        </w:r>
        <w:r w:rsidRPr="0061142D">
          <w:rPr>
            <w:noProof/>
            <w:sz w:val="28"/>
            <w:szCs w:val="28"/>
          </w:rPr>
          <w:fldChar w:fldCharType="separate"/>
        </w:r>
        <w:r w:rsidR="006664A7">
          <w:rPr>
            <w:noProof/>
            <w:sz w:val="28"/>
            <w:szCs w:val="28"/>
          </w:rPr>
          <w:t>6</w:t>
        </w:r>
        <w:r w:rsidRPr="0061142D">
          <w:rPr>
            <w:noProof/>
            <w:sz w:val="28"/>
            <w:szCs w:val="28"/>
          </w:rPr>
          <w:fldChar w:fldCharType="end"/>
        </w:r>
      </w:hyperlink>
    </w:p>
    <w:p w:rsidR="009C2EF9" w:rsidRPr="0061142D" w:rsidRDefault="00942CAD" w:rsidP="00DA03D3">
      <w:pPr>
        <w:pStyle w:val="20"/>
        <w:tabs>
          <w:tab w:val="right" w:leader="dot" w:pos="8302"/>
        </w:tabs>
        <w:adjustRightInd w:val="0"/>
        <w:snapToGrid w:val="0"/>
        <w:spacing w:line="360" w:lineRule="auto"/>
        <w:ind w:leftChars="0" w:left="0"/>
        <w:rPr>
          <w:noProof/>
          <w:sz w:val="28"/>
          <w:szCs w:val="28"/>
        </w:rPr>
      </w:pPr>
      <w:hyperlink w:anchor="_Toc145818938" w:history="1">
        <w:r w:rsidR="009C2EF9" w:rsidRPr="0061142D">
          <w:rPr>
            <w:rFonts w:hAnsi="宋体"/>
            <w:noProof/>
            <w:sz w:val="28"/>
            <w:szCs w:val="28"/>
          </w:rPr>
          <w:t>四、基金管理人对基金托管人的业务核查</w:t>
        </w:r>
        <w:r w:rsidR="009C2EF9" w:rsidRPr="0061142D">
          <w:rPr>
            <w:noProof/>
            <w:sz w:val="28"/>
            <w:szCs w:val="28"/>
          </w:rPr>
          <w:tab/>
        </w:r>
        <w:r w:rsidRPr="0061142D">
          <w:rPr>
            <w:noProof/>
            <w:sz w:val="28"/>
            <w:szCs w:val="28"/>
          </w:rPr>
          <w:fldChar w:fldCharType="begin"/>
        </w:r>
        <w:r w:rsidR="009C2EF9" w:rsidRPr="0061142D">
          <w:rPr>
            <w:noProof/>
            <w:sz w:val="28"/>
            <w:szCs w:val="28"/>
          </w:rPr>
          <w:instrText xml:space="preserve"> PAGEREF _Toc145818938 \h </w:instrText>
        </w:r>
        <w:r w:rsidRPr="0061142D">
          <w:rPr>
            <w:noProof/>
            <w:sz w:val="28"/>
            <w:szCs w:val="28"/>
          </w:rPr>
        </w:r>
        <w:r w:rsidRPr="0061142D">
          <w:rPr>
            <w:noProof/>
            <w:sz w:val="28"/>
            <w:szCs w:val="28"/>
          </w:rPr>
          <w:fldChar w:fldCharType="separate"/>
        </w:r>
        <w:r w:rsidR="006664A7">
          <w:rPr>
            <w:noProof/>
            <w:sz w:val="28"/>
            <w:szCs w:val="28"/>
          </w:rPr>
          <w:t>17</w:t>
        </w:r>
        <w:r w:rsidRPr="0061142D">
          <w:rPr>
            <w:noProof/>
            <w:sz w:val="28"/>
            <w:szCs w:val="28"/>
          </w:rPr>
          <w:fldChar w:fldCharType="end"/>
        </w:r>
      </w:hyperlink>
    </w:p>
    <w:p w:rsidR="009C2EF9" w:rsidRPr="0061142D" w:rsidRDefault="00942CAD" w:rsidP="00DA03D3">
      <w:pPr>
        <w:pStyle w:val="20"/>
        <w:tabs>
          <w:tab w:val="right" w:leader="dot" w:pos="8302"/>
        </w:tabs>
        <w:adjustRightInd w:val="0"/>
        <w:snapToGrid w:val="0"/>
        <w:spacing w:line="360" w:lineRule="auto"/>
        <w:ind w:leftChars="0" w:left="0"/>
        <w:rPr>
          <w:noProof/>
          <w:sz w:val="28"/>
          <w:szCs w:val="28"/>
        </w:rPr>
      </w:pPr>
      <w:hyperlink w:anchor="_Toc145818939" w:history="1">
        <w:r w:rsidR="009C2EF9" w:rsidRPr="0061142D">
          <w:rPr>
            <w:rFonts w:hAnsi="宋体"/>
            <w:noProof/>
            <w:sz w:val="28"/>
            <w:szCs w:val="28"/>
          </w:rPr>
          <w:t>五、基金财产的</w:t>
        </w:r>
        <w:bookmarkStart w:id="0" w:name="_Hlt155060667"/>
        <w:bookmarkStart w:id="1" w:name="_Hlt155060668"/>
        <w:r w:rsidR="009C2EF9" w:rsidRPr="0061142D">
          <w:rPr>
            <w:rFonts w:hAnsi="宋体"/>
            <w:noProof/>
            <w:sz w:val="28"/>
            <w:szCs w:val="28"/>
          </w:rPr>
          <w:t>保</w:t>
        </w:r>
        <w:bookmarkEnd w:id="0"/>
        <w:bookmarkEnd w:id="1"/>
        <w:r w:rsidR="009C2EF9" w:rsidRPr="0061142D">
          <w:rPr>
            <w:rFonts w:hAnsi="宋体"/>
            <w:noProof/>
            <w:sz w:val="28"/>
            <w:szCs w:val="28"/>
          </w:rPr>
          <w:t>管</w:t>
        </w:r>
        <w:r w:rsidR="009C2EF9" w:rsidRPr="0061142D">
          <w:rPr>
            <w:noProof/>
            <w:sz w:val="28"/>
            <w:szCs w:val="28"/>
          </w:rPr>
          <w:tab/>
        </w:r>
        <w:r w:rsidRPr="0061142D">
          <w:rPr>
            <w:noProof/>
            <w:sz w:val="28"/>
            <w:szCs w:val="28"/>
          </w:rPr>
          <w:fldChar w:fldCharType="begin"/>
        </w:r>
        <w:r w:rsidR="009C2EF9" w:rsidRPr="0061142D">
          <w:rPr>
            <w:noProof/>
            <w:sz w:val="28"/>
            <w:szCs w:val="28"/>
          </w:rPr>
          <w:instrText xml:space="preserve"> PAGEREF _Toc145818939 \h </w:instrText>
        </w:r>
        <w:r w:rsidRPr="0061142D">
          <w:rPr>
            <w:noProof/>
            <w:sz w:val="28"/>
            <w:szCs w:val="28"/>
          </w:rPr>
        </w:r>
        <w:r w:rsidRPr="0061142D">
          <w:rPr>
            <w:noProof/>
            <w:sz w:val="28"/>
            <w:szCs w:val="28"/>
          </w:rPr>
          <w:fldChar w:fldCharType="separate"/>
        </w:r>
        <w:r w:rsidR="006664A7">
          <w:rPr>
            <w:noProof/>
            <w:sz w:val="28"/>
            <w:szCs w:val="28"/>
          </w:rPr>
          <w:t>18</w:t>
        </w:r>
        <w:r w:rsidRPr="0061142D">
          <w:rPr>
            <w:noProof/>
            <w:sz w:val="28"/>
            <w:szCs w:val="28"/>
          </w:rPr>
          <w:fldChar w:fldCharType="end"/>
        </w:r>
      </w:hyperlink>
    </w:p>
    <w:p w:rsidR="009C2EF9" w:rsidRPr="0061142D" w:rsidRDefault="00942CAD" w:rsidP="00DA03D3">
      <w:pPr>
        <w:pStyle w:val="20"/>
        <w:tabs>
          <w:tab w:val="right" w:leader="dot" w:pos="8302"/>
        </w:tabs>
        <w:adjustRightInd w:val="0"/>
        <w:snapToGrid w:val="0"/>
        <w:spacing w:line="360" w:lineRule="auto"/>
        <w:ind w:leftChars="0" w:left="0"/>
        <w:rPr>
          <w:noProof/>
          <w:sz w:val="28"/>
          <w:szCs w:val="28"/>
        </w:rPr>
      </w:pPr>
      <w:hyperlink w:anchor="_Toc145818940" w:history="1">
        <w:r w:rsidR="009C2EF9" w:rsidRPr="0061142D">
          <w:rPr>
            <w:rFonts w:hAnsi="宋体"/>
            <w:noProof/>
            <w:sz w:val="28"/>
            <w:szCs w:val="28"/>
          </w:rPr>
          <w:t>六、指令的发送、确认及执行</w:t>
        </w:r>
        <w:r w:rsidR="009C2EF9" w:rsidRPr="0061142D">
          <w:rPr>
            <w:noProof/>
            <w:sz w:val="28"/>
            <w:szCs w:val="28"/>
          </w:rPr>
          <w:tab/>
        </w:r>
        <w:r w:rsidRPr="0061142D">
          <w:rPr>
            <w:noProof/>
            <w:sz w:val="28"/>
            <w:szCs w:val="28"/>
          </w:rPr>
          <w:fldChar w:fldCharType="begin"/>
        </w:r>
        <w:r w:rsidR="009C2EF9" w:rsidRPr="0061142D">
          <w:rPr>
            <w:noProof/>
            <w:sz w:val="28"/>
            <w:szCs w:val="28"/>
          </w:rPr>
          <w:instrText xml:space="preserve"> PAGEREF _Toc145818940 \h </w:instrText>
        </w:r>
        <w:r w:rsidRPr="0061142D">
          <w:rPr>
            <w:noProof/>
            <w:sz w:val="28"/>
            <w:szCs w:val="28"/>
          </w:rPr>
        </w:r>
        <w:r w:rsidRPr="0061142D">
          <w:rPr>
            <w:noProof/>
            <w:sz w:val="28"/>
            <w:szCs w:val="28"/>
          </w:rPr>
          <w:fldChar w:fldCharType="separate"/>
        </w:r>
        <w:r w:rsidR="006664A7">
          <w:rPr>
            <w:noProof/>
            <w:sz w:val="28"/>
            <w:szCs w:val="28"/>
          </w:rPr>
          <w:t>21</w:t>
        </w:r>
        <w:r w:rsidRPr="0061142D">
          <w:rPr>
            <w:noProof/>
            <w:sz w:val="28"/>
            <w:szCs w:val="28"/>
          </w:rPr>
          <w:fldChar w:fldCharType="end"/>
        </w:r>
      </w:hyperlink>
    </w:p>
    <w:p w:rsidR="009C2EF9" w:rsidRPr="0061142D" w:rsidRDefault="00942CAD" w:rsidP="00DA03D3">
      <w:pPr>
        <w:pStyle w:val="20"/>
        <w:tabs>
          <w:tab w:val="right" w:leader="dot" w:pos="8302"/>
        </w:tabs>
        <w:adjustRightInd w:val="0"/>
        <w:snapToGrid w:val="0"/>
        <w:spacing w:line="360" w:lineRule="auto"/>
        <w:ind w:leftChars="0" w:left="0"/>
        <w:rPr>
          <w:noProof/>
          <w:sz w:val="28"/>
          <w:szCs w:val="28"/>
        </w:rPr>
      </w:pPr>
      <w:hyperlink w:anchor="_Toc145818941" w:history="1">
        <w:r w:rsidR="009C2EF9" w:rsidRPr="0061142D">
          <w:rPr>
            <w:rFonts w:hAnsi="宋体"/>
            <w:noProof/>
            <w:sz w:val="28"/>
            <w:szCs w:val="28"/>
          </w:rPr>
          <w:t>七、交易及清算交收安排</w:t>
        </w:r>
        <w:r w:rsidR="009C2EF9" w:rsidRPr="0061142D">
          <w:rPr>
            <w:noProof/>
            <w:sz w:val="28"/>
            <w:szCs w:val="28"/>
          </w:rPr>
          <w:tab/>
        </w:r>
        <w:r w:rsidRPr="0061142D">
          <w:rPr>
            <w:noProof/>
            <w:sz w:val="28"/>
            <w:szCs w:val="28"/>
          </w:rPr>
          <w:fldChar w:fldCharType="begin"/>
        </w:r>
        <w:r w:rsidR="009C2EF9" w:rsidRPr="0061142D">
          <w:rPr>
            <w:noProof/>
            <w:sz w:val="28"/>
            <w:szCs w:val="28"/>
          </w:rPr>
          <w:instrText xml:space="preserve"> PAGEREF _Toc145818941 \h </w:instrText>
        </w:r>
        <w:r w:rsidRPr="0061142D">
          <w:rPr>
            <w:noProof/>
            <w:sz w:val="28"/>
            <w:szCs w:val="28"/>
          </w:rPr>
        </w:r>
        <w:r w:rsidRPr="0061142D">
          <w:rPr>
            <w:noProof/>
            <w:sz w:val="28"/>
            <w:szCs w:val="28"/>
          </w:rPr>
          <w:fldChar w:fldCharType="separate"/>
        </w:r>
        <w:r w:rsidR="006664A7">
          <w:rPr>
            <w:noProof/>
            <w:sz w:val="28"/>
            <w:szCs w:val="28"/>
          </w:rPr>
          <w:t>25</w:t>
        </w:r>
        <w:r w:rsidRPr="0061142D">
          <w:rPr>
            <w:noProof/>
            <w:sz w:val="28"/>
            <w:szCs w:val="28"/>
          </w:rPr>
          <w:fldChar w:fldCharType="end"/>
        </w:r>
      </w:hyperlink>
    </w:p>
    <w:p w:rsidR="009C2EF9" w:rsidRPr="0061142D" w:rsidRDefault="00942CAD" w:rsidP="00DA03D3">
      <w:pPr>
        <w:pStyle w:val="20"/>
        <w:tabs>
          <w:tab w:val="right" w:leader="dot" w:pos="8302"/>
        </w:tabs>
        <w:adjustRightInd w:val="0"/>
        <w:snapToGrid w:val="0"/>
        <w:spacing w:line="360" w:lineRule="auto"/>
        <w:ind w:leftChars="0" w:left="0"/>
        <w:rPr>
          <w:noProof/>
          <w:sz w:val="28"/>
          <w:szCs w:val="28"/>
        </w:rPr>
      </w:pPr>
      <w:hyperlink w:anchor="_Toc145818942" w:history="1">
        <w:r w:rsidR="009C2EF9" w:rsidRPr="0061142D">
          <w:rPr>
            <w:rFonts w:hAnsi="宋体"/>
            <w:noProof/>
            <w:sz w:val="28"/>
            <w:szCs w:val="28"/>
          </w:rPr>
          <w:t>八、基金资产净值计算和会计核算</w:t>
        </w:r>
        <w:r w:rsidR="009C2EF9" w:rsidRPr="0061142D">
          <w:rPr>
            <w:noProof/>
            <w:sz w:val="28"/>
            <w:szCs w:val="28"/>
          </w:rPr>
          <w:tab/>
        </w:r>
        <w:r w:rsidRPr="0061142D">
          <w:rPr>
            <w:noProof/>
            <w:sz w:val="28"/>
            <w:szCs w:val="28"/>
          </w:rPr>
          <w:fldChar w:fldCharType="begin"/>
        </w:r>
        <w:r w:rsidR="009C2EF9" w:rsidRPr="0061142D">
          <w:rPr>
            <w:noProof/>
            <w:sz w:val="28"/>
            <w:szCs w:val="28"/>
          </w:rPr>
          <w:instrText xml:space="preserve"> PAGEREF _Toc145818942 \h </w:instrText>
        </w:r>
        <w:r w:rsidRPr="0061142D">
          <w:rPr>
            <w:noProof/>
            <w:sz w:val="28"/>
            <w:szCs w:val="28"/>
          </w:rPr>
        </w:r>
        <w:r w:rsidRPr="0061142D">
          <w:rPr>
            <w:noProof/>
            <w:sz w:val="28"/>
            <w:szCs w:val="28"/>
          </w:rPr>
          <w:fldChar w:fldCharType="separate"/>
        </w:r>
        <w:r w:rsidR="006664A7">
          <w:rPr>
            <w:noProof/>
            <w:sz w:val="28"/>
            <w:szCs w:val="28"/>
          </w:rPr>
          <w:t>29</w:t>
        </w:r>
        <w:r w:rsidRPr="0061142D">
          <w:rPr>
            <w:noProof/>
            <w:sz w:val="28"/>
            <w:szCs w:val="28"/>
          </w:rPr>
          <w:fldChar w:fldCharType="end"/>
        </w:r>
      </w:hyperlink>
    </w:p>
    <w:p w:rsidR="009C2EF9" w:rsidRPr="0061142D" w:rsidRDefault="00942CAD" w:rsidP="00DA03D3">
      <w:pPr>
        <w:pStyle w:val="20"/>
        <w:tabs>
          <w:tab w:val="right" w:leader="dot" w:pos="8302"/>
        </w:tabs>
        <w:adjustRightInd w:val="0"/>
        <w:snapToGrid w:val="0"/>
        <w:spacing w:line="360" w:lineRule="auto"/>
        <w:ind w:leftChars="0" w:left="0"/>
        <w:rPr>
          <w:noProof/>
          <w:sz w:val="28"/>
          <w:szCs w:val="28"/>
        </w:rPr>
      </w:pPr>
      <w:hyperlink w:anchor="_Toc145818943" w:history="1">
        <w:r w:rsidR="009C2EF9" w:rsidRPr="0061142D">
          <w:rPr>
            <w:rFonts w:hAnsi="宋体"/>
            <w:noProof/>
            <w:sz w:val="28"/>
            <w:szCs w:val="28"/>
          </w:rPr>
          <w:t>九、基金收益分配</w:t>
        </w:r>
        <w:r w:rsidR="009C2EF9" w:rsidRPr="0061142D">
          <w:rPr>
            <w:noProof/>
            <w:sz w:val="28"/>
            <w:szCs w:val="28"/>
          </w:rPr>
          <w:tab/>
        </w:r>
        <w:r w:rsidRPr="0061142D">
          <w:rPr>
            <w:noProof/>
            <w:sz w:val="28"/>
            <w:szCs w:val="28"/>
          </w:rPr>
          <w:fldChar w:fldCharType="begin"/>
        </w:r>
        <w:r w:rsidR="009C2EF9" w:rsidRPr="0061142D">
          <w:rPr>
            <w:noProof/>
            <w:sz w:val="28"/>
            <w:szCs w:val="28"/>
          </w:rPr>
          <w:instrText xml:space="preserve"> PAGEREF _Toc145818943 \h </w:instrText>
        </w:r>
        <w:r w:rsidRPr="0061142D">
          <w:rPr>
            <w:noProof/>
            <w:sz w:val="28"/>
            <w:szCs w:val="28"/>
          </w:rPr>
        </w:r>
        <w:r w:rsidRPr="0061142D">
          <w:rPr>
            <w:noProof/>
            <w:sz w:val="28"/>
            <w:szCs w:val="28"/>
          </w:rPr>
          <w:fldChar w:fldCharType="separate"/>
        </w:r>
        <w:r w:rsidR="006664A7">
          <w:rPr>
            <w:noProof/>
            <w:sz w:val="28"/>
            <w:szCs w:val="28"/>
          </w:rPr>
          <w:t>35</w:t>
        </w:r>
        <w:r w:rsidRPr="0061142D">
          <w:rPr>
            <w:noProof/>
            <w:sz w:val="28"/>
            <w:szCs w:val="28"/>
          </w:rPr>
          <w:fldChar w:fldCharType="end"/>
        </w:r>
      </w:hyperlink>
    </w:p>
    <w:p w:rsidR="009C2EF9" w:rsidRPr="0061142D" w:rsidRDefault="00942CAD" w:rsidP="00DA03D3">
      <w:pPr>
        <w:pStyle w:val="20"/>
        <w:tabs>
          <w:tab w:val="right" w:leader="dot" w:pos="8302"/>
        </w:tabs>
        <w:adjustRightInd w:val="0"/>
        <w:snapToGrid w:val="0"/>
        <w:spacing w:line="360" w:lineRule="auto"/>
        <w:ind w:leftChars="0" w:left="0"/>
        <w:rPr>
          <w:noProof/>
          <w:sz w:val="28"/>
          <w:szCs w:val="28"/>
        </w:rPr>
      </w:pPr>
      <w:hyperlink w:anchor="_Toc145818944" w:history="1">
        <w:r w:rsidR="009C2EF9" w:rsidRPr="0061142D">
          <w:rPr>
            <w:rFonts w:hAnsi="宋体"/>
            <w:noProof/>
            <w:sz w:val="28"/>
            <w:szCs w:val="28"/>
          </w:rPr>
          <w:t>十、基金信息披露</w:t>
        </w:r>
        <w:r w:rsidR="009C2EF9" w:rsidRPr="0061142D">
          <w:rPr>
            <w:noProof/>
            <w:sz w:val="28"/>
            <w:szCs w:val="28"/>
          </w:rPr>
          <w:tab/>
        </w:r>
        <w:r w:rsidRPr="0061142D">
          <w:rPr>
            <w:noProof/>
            <w:sz w:val="28"/>
            <w:szCs w:val="28"/>
          </w:rPr>
          <w:fldChar w:fldCharType="begin"/>
        </w:r>
        <w:r w:rsidR="009C2EF9" w:rsidRPr="0061142D">
          <w:rPr>
            <w:noProof/>
            <w:sz w:val="28"/>
            <w:szCs w:val="28"/>
          </w:rPr>
          <w:instrText xml:space="preserve"> PAGEREF _Toc145818944 \h </w:instrText>
        </w:r>
        <w:r w:rsidRPr="0061142D">
          <w:rPr>
            <w:noProof/>
            <w:sz w:val="28"/>
            <w:szCs w:val="28"/>
          </w:rPr>
        </w:r>
        <w:r w:rsidRPr="0061142D">
          <w:rPr>
            <w:noProof/>
            <w:sz w:val="28"/>
            <w:szCs w:val="28"/>
          </w:rPr>
          <w:fldChar w:fldCharType="separate"/>
        </w:r>
        <w:r w:rsidR="006664A7">
          <w:rPr>
            <w:noProof/>
            <w:sz w:val="28"/>
            <w:szCs w:val="28"/>
          </w:rPr>
          <w:t>37</w:t>
        </w:r>
        <w:r w:rsidRPr="0061142D">
          <w:rPr>
            <w:noProof/>
            <w:sz w:val="28"/>
            <w:szCs w:val="28"/>
          </w:rPr>
          <w:fldChar w:fldCharType="end"/>
        </w:r>
      </w:hyperlink>
    </w:p>
    <w:p w:rsidR="009C2EF9" w:rsidRPr="0061142D" w:rsidRDefault="00942CAD" w:rsidP="00DA03D3">
      <w:pPr>
        <w:pStyle w:val="20"/>
        <w:tabs>
          <w:tab w:val="right" w:leader="dot" w:pos="8302"/>
        </w:tabs>
        <w:adjustRightInd w:val="0"/>
        <w:snapToGrid w:val="0"/>
        <w:spacing w:line="360" w:lineRule="auto"/>
        <w:ind w:leftChars="0" w:left="0"/>
        <w:rPr>
          <w:noProof/>
          <w:sz w:val="28"/>
          <w:szCs w:val="28"/>
        </w:rPr>
      </w:pPr>
      <w:hyperlink w:anchor="_Toc145818945" w:history="1">
        <w:r w:rsidR="009C2EF9" w:rsidRPr="0061142D">
          <w:rPr>
            <w:rFonts w:hAnsi="宋体"/>
            <w:noProof/>
            <w:sz w:val="28"/>
            <w:szCs w:val="28"/>
          </w:rPr>
          <w:t>十一、基金费用</w:t>
        </w:r>
        <w:r w:rsidR="009C2EF9" w:rsidRPr="0061142D">
          <w:rPr>
            <w:noProof/>
            <w:sz w:val="28"/>
            <w:szCs w:val="28"/>
          </w:rPr>
          <w:tab/>
        </w:r>
        <w:r w:rsidRPr="0061142D">
          <w:rPr>
            <w:noProof/>
            <w:sz w:val="28"/>
            <w:szCs w:val="28"/>
          </w:rPr>
          <w:fldChar w:fldCharType="begin"/>
        </w:r>
        <w:r w:rsidR="009C2EF9" w:rsidRPr="0061142D">
          <w:rPr>
            <w:noProof/>
            <w:sz w:val="28"/>
            <w:szCs w:val="28"/>
          </w:rPr>
          <w:instrText xml:space="preserve"> PAGEREF _Toc145818945 \h </w:instrText>
        </w:r>
        <w:r w:rsidRPr="0061142D">
          <w:rPr>
            <w:noProof/>
            <w:sz w:val="28"/>
            <w:szCs w:val="28"/>
          </w:rPr>
        </w:r>
        <w:r w:rsidRPr="0061142D">
          <w:rPr>
            <w:noProof/>
            <w:sz w:val="28"/>
            <w:szCs w:val="28"/>
          </w:rPr>
          <w:fldChar w:fldCharType="separate"/>
        </w:r>
        <w:r w:rsidR="006664A7">
          <w:rPr>
            <w:noProof/>
            <w:sz w:val="28"/>
            <w:szCs w:val="28"/>
          </w:rPr>
          <w:t>39</w:t>
        </w:r>
        <w:r w:rsidRPr="0061142D">
          <w:rPr>
            <w:noProof/>
            <w:sz w:val="28"/>
            <w:szCs w:val="28"/>
          </w:rPr>
          <w:fldChar w:fldCharType="end"/>
        </w:r>
      </w:hyperlink>
    </w:p>
    <w:p w:rsidR="009C2EF9" w:rsidRPr="0061142D" w:rsidRDefault="00942CAD" w:rsidP="00DA03D3">
      <w:pPr>
        <w:pStyle w:val="20"/>
        <w:tabs>
          <w:tab w:val="right" w:leader="dot" w:pos="8302"/>
        </w:tabs>
        <w:adjustRightInd w:val="0"/>
        <w:snapToGrid w:val="0"/>
        <w:spacing w:line="360" w:lineRule="auto"/>
        <w:ind w:leftChars="0" w:left="0"/>
        <w:rPr>
          <w:noProof/>
          <w:sz w:val="28"/>
          <w:szCs w:val="28"/>
        </w:rPr>
      </w:pPr>
      <w:hyperlink w:anchor="_Toc145818946" w:history="1">
        <w:r w:rsidR="009C2EF9" w:rsidRPr="0061142D">
          <w:rPr>
            <w:rFonts w:hAnsi="宋体"/>
            <w:noProof/>
            <w:sz w:val="28"/>
            <w:szCs w:val="28"/>
          </w:rPr>
          <w:t>十二、基金份额持有人名册的的登记与保管</w:t>
        </w:r>
        <w:r w:rsidR="009C2EF9" w:rsidRPr="0061142D">
          <w:rPr>
            <w:noProof/>
            <w:sz w:val="28"/>
            <w:szCs w:val="28"/>
          </w:rPr>
          <w:tab/>
        </w:r>
        <w:r w:rsidRPr="0061142D">
          <w:rPr>
            <w:noProof/>
            <w:sz w:val="28"/>
            <w:szCs w:val="28"/>
          </w:rPr>
          <w:fldChar w:fldCharType="begin"/>
        </w:r>
        <w:r w:rsidR="009C2EF9" w:rsidRPr="0061142D">
          <w:rPr>
            <w:noProof/>
            <w:sz w:val="28"/>
            <w:szCs w:val="28"/>
          </w:rPr>
          <w:instrText xml:space="preserve"> PAGEREF _Toc145818946 \h </w:instrText>
        </w:r>
        <w:r w:rsidRPr="0061142D">
          <w:rPr>
            <w:noProof/>
            <w:sz w:val="28"/>
            <w:szCs w:val="28"/>
          </w:rPr>
        </w:r>
        <w:r w:rsidRPr="0061142D">
          <w:rPr>
            <w:noProof/>
            <w:sz w:val="28"/>
            <w:szCs w:val="28"/>
          </w:rPr>
          <w:fldChar w:fldCharType="separate"/>
        </w:r>
        <w:r w:rsidR="006664A7">
          <w:rPr>
            <w:noProof/>
            <w:sz w:val="28"/>
            <w:szCs w:val="28"/>
          </w:rPr>
          <w:t>41</w:t>
        </w:r>
        <w:r w:rsidRPr="0061142D">
          <w:rPr>
            <w:noProof/>
            <w:sz w:val="28"/>
            <w:szCs w:val="28"/>
          </w:rPr>
          <w:fldChar w:fldCharType="end"/>
        </w:r>
      </w:hyperlink>
    </w:p>
    <w:p w:rsidR="009C2EF9" w:rsidRPr="0061142D" w:rsidRDefault="00942CAD" w:rsidP="00DA03D3">
      <w:pPr>
        <w:pStyle w:val="20"/>
        <w:tabs>
          <w:tab w:val="right" w:leader="dot" w:pos="8302"/>
        </w:tabs>
        <w:adjustRightInd w:val="0"/>
        <w:snapToGrid w:val="0"/>
        <w:spacing w:line="360" w:lineRule="auto"/>
        <w:ind w:leftChars="0" w:left="0"/>
        <w:rPr>
          <w:noProof/>
          <w:sz w:val="28"/>
          <w:szCs w:val="28"/>
        </w:rPr>
      </w:pPr>
      <w:hyperlink w:anchor="_Toc145818947" w:history="1">
        <w:r w:rsidR="009C2EF9" w:rsidRPr="0061142D">
          <w:rPr>
            <w:rFonts w:hAnsi="宋体"/>
            <w:noProof/>
            <w:sz w:val="28"/>
            <w:szCs w:val="28"/>
          </w:rPr>
          <w:t>十三、基金有关文件档案的保存</w:t>
        </w:r>
        <w:r w:rsidR="009C2EF9" w:rsidRPr="0061142D">
          <w:rPr>
            <w:noProof/>
            <w:sz w:val="28"/>
            <w:szCs w:val="28"/>
          </w:rPr>
          <w:tab/>
        </w:r>
        <w:r w:rsidRPr="0061142D">
          <w:rPr>
            <w:noProof/>
            <w:sz w:val="28"/>
            <w:szCs w:val="28"/>
          </w:rPr>
          <w:fldChar w:fldCharType="begin"/>
        </w:r>
        <w:r w:rsidR="009C2EF9" w:rsidRPr="0061142D">
          <w:rPr>
            <w:noProof/>
            <w:sz w:val="28"/>
            <w:szCs w:val="28"/>
          </w:rPr>
          <w:instrText xml:space="preserve"> PAGEREF _Toc145818947 \h </w:instrText>
        </w:r>
        <w:r w:rsidRPr="0061142D">
          <w:rPr>
            <w:noProof/>
            <w:sz w:val="28"/>
            <w:szCs w:val="28"/>
          </w:rPr>
        </w:r>
        <w:r w:rsidRPr="0061142D">
          <w:rPr>
            <w:noProof/>
            <w:sz w:val="28"/>
            <w:szCs w:val="28"/>
          </w:rPr>
          <w:fldChar w:fldCharType="separate"/>
        </w:r>
        <w:r w:rsidR="006664A7">
          <w:rPr>
            <w:noProof/>
            <w:sz w:val="28"/>
            <w:szCs w:val="28"/>
          </w:rPr>
          <w:t>42</w:t>
        </w:r>
        <w:r w:rsidRPr="0061142D">
          <w:rPr>
            <w:noProof/>
            <w:sz w:val="28"/>
            <w:szCs w:val="28"/>
          </w:rPr>
          <w:fldChar w:fldCharType="end"/>
        </w:r>
      </w:hyperlink>
    </w:p>
    <w:p w:rsidR="009C2EF9" w:rsidRPr="0061142D" w:rsidRDefault="00942CAD" w:rsidP="00DA03D3">
      <w:pPr>
        <w:pStyle w:val="20"/>
        <w:tabs>
          <w:tab w:val="right" w:leader="dot" w:pos="8302"/>
        </w:tabs>
        <w:adjustRightInd w:val="0"/>
        <w:snapToGrid w:val="0"/>
        <w:spacing w:line="360" w:lineRule="auto"/>
        <w:ind w:leftChars="0" w:left="0"/>
        <w:rPr>
          <w:noProof/>
          <w:sz w:val="28"/>
          <w:szCs w:val="28"/>
        </w:rPr>
      </w:pPr>
      <w:hyperlink w:anchor="_Toc145818948" w:history="1">
        <w:r w:rsidR="009C2EF9" w:rsidRPr="0061142D">
          <w:rPr>
            <w:rFonts w:hAnsi="宋体"/>
            <w:noProof/>
            <w:sz w:val="28"/>
            <w:szCs w:val="28"/>
          </w:rPr>
          <w:t>十四、基金管理人和基金托管人的更换</w:t>
        </w:r>
        <w:r w:rsidR="009C2EF9" w:rsidRPr="0061142D">
          <w:rPr>
            <w:noProof/>
            <w:sz w:val="28"/>
            <w:szCs w:val="28"/>
          </w:rPr>
          <w:tab/>
        </w:r>
        <w:r w:rsidRPr="0061142D">
          <w:rPr>
            <w:noProof/>
            <w:sz w:val="28"/>
            <w:szCs w:val="28"/>
          </w:rPr>
          <w:fldChar w:fldCharType="begin"/>
        </w:r>
        <w:r w:rsidR="009C2EF9" w:rsidRPr="0061142D">
          <w:rPr>
            <w:noProof/>
            <w:sz w:val="28"/>
            <w:szCs w:val="28"/>
          </w:rPr>
          <w:instrText xml:space="preserve"> PAGEREF _Toc145818948 \h </w:instrText>
        </w:r>
        <w:r w:rsidRPr="0061142D">
          <w:rPr>
            <w:noProof/>
            <w:sz w:val="28"/>
            <w:szCs w:val="28"/>
          </w:rPr>
        </w:r>
        <w:r w:rsidRPr="0061142D">
          <w:rPr>
            <w:noProof/>
            <w:sz w:val="28"/>
            <w:szCs w:val="28"/>
          </w:rPr>
          <w:fldChar w:fldCharType="separate"/>
        </w:r>
        <w:r w:rsidR="006664A7">
          <w:rPr>
            <w:noProof/>
            <w:sz w:val="28"/>
            <w:szCs w:val="28"/>
          </w:rPr>
          <w:t>43</w:t>
        </w:r>
        <w:r w:rsidRPr="0061142D">
          <w:rPr>
            <w:noProof/>
            <w:sz w:val="28"/>
            <w:szCs w:val="28"/>
          </w:rPr>
          <w:fldChar w:fldCharType="end"/>
        </w:r>
      </w:hyperlink>
    </w:p>
    <w:p w:rsidR="009C2EF9" w:rsidRPr="0061142D" w:rsidRDefault="00942CAD" w:rsidP="00DA03D3">
      <w:pPr>
        <w:pStyle w:val="20"/>
        <w:tabs>
          <w:tab w:val="right" w:leader="dot" w:pos="8302"/>
        </w:tabs>
        <w:adjustRightInd w:val="0"/>
        <w:snapToGrid w:val="0"/>
        <w:spacing w:line="360" w:lineRule="auto"/>
        <w:ind w:leftChars="0" w:left="0"/>
        <w:rPr>
          <w:noProof/>
          <w:sz w:val="28"/>
          <w:szCs w:val="28"/>
        </w:rPr>
      </w:pPr>
      <w:hyperlink w:anchor="_Toc145818949" w:history="1">
        <w:r w:rsidR="009C2EF9" w:rsidRPr="0061142D">
          <w:rPr>
            <w:rFonts w:hAnsi="宋体"/>
            <w:noProof/>
            <w:sz w:val="28"/>
            <w:szCs w:val="28"/>
          </w:rPr>
          <w:t>十五、禁止行为</w:t>
        </w:r>
        <w:r w:rsidR="009C2EF9" w:rsidRPr="0061142D">
          <w:rPr>
            <w:noProof/>
            <w:sz w:val="28"/>
            <w:szCs w:val="28"/>
          </w:rPr>
          <w:tab/>
        </w:r>
        <w:r w:rsidRPr="0061142D">
          <w:rPr>
            <w:noProof/>
            <w:sz w:val="28"/>
            <w:szCs w:val="28"/>
          </w:rPr>
          <w:fldChar w:fldCharType="begin"/>
        </w:r>
        <w:r w:rsidR="009C2EF9" w:rsidRPr="0061142D">
          <w:rPr>
            <w:noProof/>
            <w:sz w:val="28"/>
            <w:szCs w:val="28"/>
          </w:rPr>
          <w:instrText xml:space="preserve"> PAGEREF _Toc145818949 \h </w:instrText>
        </w:r>
        <w:r w:rsidRPr="0061142D">
          <w:rPr>
            <w:noProof/>
            <w:sz w:val="28"/>
            <w:szCs w:val="28"/>
          </w:rPr>
        </w:r>
        <w:r w:rsidRPr="0061142D">
          <w:rPr>
            <w:noProof/>
            <w:sz w:val="28"/>
            <w:szCs w:val="28"/>
          </w:rPr>
          <w:fldChar w:fldCharType="separate"/>
        </w:r>
        <w:r w:rsidR="006664A7">
          <w:rPr>
            <w:noProof/>
            <w:sz w:val="28"/>
            <w:szCs w:val="28"/>
          </w:rPr>
          <w:t>46</w:t>
        </w:r>
        <w:r w:rsidRPr="0061142D">
          <w:rPr>
            <w:noProof/>
            <w:sz w:val="28"/>
            <w:szCs w:val="28"/>
          </w:rPr>
          <w:fldChar w:fldCharType="end"/>
        </w:r>
      </w:hyperlink>
    </w:p>
    <w:p w:rsidR="009C2EF9" w:rsidRPr="0061142D" w:rsidRDefault="00942CAD" w:rsidP="00DA03D3">
      <w:pPr>
        <w:pStyle w:val="20"/>
        <w:tabs>
          <w:tab w:val="right" w:leader="dot" w:pos="8302"/>
        </w:tabs>
        <w:adjustRightInd w:val="0"/>
        <w:snapToGrid w:val="0"/>
        <w:spacing w:line="360" w:lineRule="auto"/>
        <w:ind w:leftChars="0" w:left="0"/>
        <w:rPr>
          <w:noProof/>
          <w:sz w:val="28"/>
          <w:szCs w:val="28"/>
        </w:rPr>
      </w:pPr>
      <w:hyperlink w:anchor="_Toc145818950" w:history="1">
        <w:r w:rsidR="009C2EF9" w:rsidRPr="0061142D">
          <w:rPr>
            <w:rFonts w:hAnsi="宋体"/>
            <w:noProof/>
            <w:sz w:val="28"/>
            <w:szCs w:val="28"/>
          </w:rPr>
          <w:t>十六、托管协议的变更、终止与基金财产的清算</w:t>
        </w:r>
        <w:r w:rsidR="009C2EF9" w:rsidRPr="0061142D">
          <w:rPr>
            <w:noProof/>
            <w:sz w:val="28"/>
            <w:szCs w:val="28"/>
          </w:rPr>
          <w:tab/>
        </w:r>
        <w:r w:rsidRPr="0061142D">
          <w:rPr>
            <w:noProof/>
            <w:sz w:val="28"/>
            <w:szCs w:val="28"/>
          </w:rPr>
          <w:fldChar w:fldCharType="begin"/>
        </w:r>
        <w:r w:rsidR="009C2EF9" w:rsidRPr="0061142D">
          <w:rPr>
            <w:noProof/>
            <w:sz w:val="28"/>
            <w:szCs w:val="28"/>
          </w:rPr>
          <w:instrText xml:space="preserve"> PAGEREF _Toc145818950 \h </w:instrText>
        </w:r>
        <w:r w:rsidRPr="0061142D">
          <w:rPr>
            <w:noProof/>
            <w:sz w:val="28"/>
            <w:szCs w:val="28"/>
          </w:rPr>
        </w:r>
        <w:r w:rsidRPr="0061142D">
          <w:rPr>
            <w:noProof/>
            <w:sz w:val="28"/>
            <w:szCs w:val="28"/>
          </w:rPr>
          <w:fldChar w:fldCharType="separate"/>
        </w:r>
        <w:r w:rsidR="006664A7">
          <w:rPr>
            <w:noProof/>
            <w:sz w:val="28"/>
            <w:szCs w:val="28"/>
          </w:rPr>
          <w:t>47</w:t>
        </w:r>
        <w:r w:rsidRPr="0061142D">
          <w:rPr>
            <w:noProof/>
            <w:sz w:val="28"/>
            <w:szCs w:val="28"/>
          </w:rPr>
          <w:fldChar w:fldCharType="end"/>
        </w:r>
      </w:hyperlink>
    </w:p>
    <w:p w:rsidR="009C2EF9" w:rsidRPr="0061142D" w:rsidRDefault="00942CAD" w:rsidP="00DA03D3">
      <w:pPr>
        <w:pStyle w:val="20"/>
        <w:tabs>
          <w:tab w:val="right" w:leader="dot" w:pos="8302"/>
        </w:tabs>
        <w:adjustRightInd w:val="0"/>
        <w:snapToGrid w:val="0"/>
        <w:spacing w:line="360" w:lineRule="auto"/>
        <w:ind w:leftChars="0" w:left="0"/>
        <w:rPr>
          <w:noProof/>
          <w:sz w:val="28"/>
          <w:szCs w:val="28"/>
        </w:rPr>
      </w:pPr>
      <w:hyperlink w:anchor="_Toc145818951" w:history="1">
        <w:r w:rsidR="009C2EF9" w:rsidRPr="0061142D">
          <w:rPr>
            <w:rFonts w:hAnsi="宋体"/>
            <w:noProof/>
            <w:sz w:val="28"/>
            <w:szCs w:val="28"/>
          </w:rPr>
          <w:t>十七、违约责任</w:t>
        </w:r>
        <w:r w:rsidR="009C2EF9" w:rsidRPr="0061142D">
          <w:rPr>
            <w:noProof/>
            <w:sz w:val="28"/>
            <w:szCs w:val="28"/>
          </w:rPr>
          <w:tab/>
        </w:r>
        <w:r w:rsidRPr="0061142D">
          <w:rPr>
            <w:noProof/>
            <w:sz w:val="28"/>
            <w:szCs w:val="28"/>
          </w:rPr>
          <w:fldChar w:fldCharType="begin"/>
        </w:r>
        <w:r w:rsidR="009C2EF9" w:rsidRPr="0061142D">
          <w:rPr>
            <w:noProof/>
            <w:sz w:val="28"/>
            <w:szCs w:val="28"/>
          </w:rPr>
          <w:instrText xml:space="preserve"> PAGEREF _Toc145818951 \h </w:instrText>
        </w:r>
        <w:r w:rsidRPr="0061142D">
          <w:rPr>
            <w:noProof/>
            <w:sz w:val="28"/>
            <w:szCs w:val="28"/>
          </w:rPr>
        </w:r>
        <w:r w:rsidRPr="0061142D">
          <w:rPr>
            <w:noProof/>
            <w:sz w:val="28"/>
            <w:szCs w:val="28"/>
          </w:rPr>
          <w:fldChar w:fldCharType="separate"/>
        </w:r>
        <w:r w:rsidR="006664A7">
          <w:rPr>
            <w:noProof/>
            <w:sz w:val="28"/>
            <w:szCs w:val="28"/>
          </w:rPr>
          <w:t>50</w:t>
        </w:r>
        <w:r w:rsidRPr="0061142D">
          <w:rPr>
            <w:noProof/>
            <w:sz w:val="28"/>
            <w:szCs w:val="28"/>
          </w:rPr>
          <w:fldChar w:fldCharType="end"/>
        </w:r>
      </w:hyperlink>
    </w:p>
    <w:p w:rsidR="009C2EF9" w:rsidRPr="0061142D" w:rsidRDefault="00942CAD" w:rsidP="00DA03D3">
      <w:pPr>
        <w:pStyle w:val="20"/>
        <w:tabs>
          <w:tab w:val="right" w:leader="dot" w:pos="8302"/>
        </w:tabs>
        <w:adjustRightInd w:val="0"/>
        <w:snapToGrid w:val="0"/>
        <w:spacing w:line="360" w:lineRule="auto"/>
        <w:ind w:leftChars="0" w:left="0"/>
        <w:rPr>
          <w:noProof/>
          <w:sz w:val="28"/>
          <w:szCs w:val="28"/>
        </w:rPr>
      </w:pPr>
      <w:hyperlink w:anchor="_Toc145818952" w:history="1">
        <w:r w:rsidR="009C2EF9" w:rsidRPr="0061142D">
          <w:rPr>
            <w:rFonts w:hAnsi="宋体"/>
            <w:noProof/>
            <w:sz w:val="28"/>
            <w:szCs w:val="28"/>
          </w:rPr>
          <w:t>十八、争议解决方式</w:t>
        </w:r>
        <w:r w:rsidR="009C2EF9" w:rsidRPr="0061142D">
          <w:rPr>
            <w:noProof/>
            <w:sz w:val="28"/>
            <w:szCs w:val="28"/>
          </w:rPr>
          <w:tab/>
        </w:r>
        <w:r w:rsidRPr="0061142D">
          <w:rPr>
            <w:noProof/>
            <w:sz w:val="28"/>
            <w:szCs w:val="28"/>
          </w:rPr>
          <w:fldChar w:fldCharType="begin"/>
        </w:r>
        <w:r w:rsidR="009C2EF9" w:rsidRPr="0061142D">
          <w:rPr>
            <w:noProof/>
            <w:sz w:val="28"/>
            <w:szCs w:val="28"/>
          </w:rPr>
          <w:instrText xml:space="preserve"> PAGEREF _Toc145818952 \h </w:instrText>
        </w:r>
        <w:r w:rsidRPr="0061142D">
          <w:rPr>
            <w:noProof/>
            <w:sz w:val="28"/>
            <w:szCs w:val="28"/>
          </w:rPr>
        </w:r>
        <w:r w:rsidRPr="0061142D">
          <w:rPr>
            <w:noProof/>
            <w:sz w:val="28"/>
            <w:szCs w:val="28"/>
          </w:rPr>
          <w:fldChar w:fldCharType="separate"/>
        </w:r>
        <w:r w:rsidR="006664A7">
          <w:rPr>
            <w:noProof/>
            <w:sz w:val="28"/>
            <w:szCs w:val="28"/>
          </w:rPr>
          <w:t>51</w:t>
        </w:r>
        <w:r w:rsidRPr="0061142D">
          <w:rPr>
            <w:noProof/>
            <w:sz w:val="28"/>
            <w:szCs w:val="28"/>
          </w:rPr>
          <w:fldChar w:fldCharType="end"/>
        </w:r>
      </w:hyperlink>
    </w:p>
    <w:p w:rsidR="009C2EF9" w:rsidRPr="0061142D" w:rsidRDefault="00942CAD" w:rsidP="00DA03D3">
      <w:pPr>
        <w:pStyle w:val="20"/>
        <w:tabs>
          <w:tab w:val="right" w:leader="dot" w:pos="8302"/>
        </w:tabs>
        <w:adjustRightInd w:val="0"/>
        <w:snapToGrid w:val="0"/>
        <w:spacing w:line="360" w:lineRule="auto"/>
        <w:ind w:leftChars="0" w:left="0"/>
        <w:rPr>
          <w:noProof/>
          <w:sz w:val="28"/>
          <w:szCs w:val="28"/>
        </w:rPr>
      </w:pPr>
      <w:hyperlink w:anchor="_Toc145818953" w:history="1">
        <w:r w:rsidR="009C2EF9" w:rsidRPr="0061142D">
          <w:rPr>
            <w:rFonts w:hAnsi="宋体"/>
            <w:noProof/>
            <w:sz w:val="28"/>
            <w:szCs w:val="28"/>
          </w:rPr>
          <w:t>十九、托管协议的效力</w:t>
        </w:r>
        <w:r w:rsidR="009C2EF9" w:rsidRPr="0061142D">
          <w:rPr>
            <w:noProof/>
            <w:sz w:val="28"/>
            <w:szCs w:val="28"/>
          </w:rPr>
          <w:tab/>
        </w:r>
        <w:r w:rsidRPr="0061142D">
          <w:rPr>
            <w:noProof/>
            <w:sz w:val="28"/>
            <w:szCs w:val="28"/>
          </w:rPr>
          <w:fldChar w:fldCharType="begin"/>
        </w:r>
        <w:r w:rsidR="009C2EF9" w:rsidRPr="0061142D">
          <w:rPr>
            <w:noProof/>
            <w:sz w:val="28"/>
            <w:szCs w:val="28"/>
          </w:rPr>
          <w:instrText xml:space="preserve"> PAGEREF _Toc145818953 \h </w:instrText>
        </w:r>
        <w:r w:rsidRPr="0061142D">
          <w:rPr>
            <w:noProof/>
            <w:sz w:val="28"/>
            <w:szCs w:val="28"/>
          </w:rPr>
        </w:r>
        <w:r w:rsidRPr="0061142D">
          <w:rPr>
            <w:noProof/>
            <w:sz w:val="28"/>
            <w:szCs w:val="28"/>
          </w:rPr>
          <w:fldChar w:fldCharType="separate"/>
        </w:r>
        <w:r w:rsidR="006664A7">
          <w:rPr>
            <w:noProof/>
            <w:sz w:val="28"/>
            <w:szCs w:val="28"/>
          </w:rPr>
          <w:t>51</w:t>
        </w:r>
        <w:r w:rsidRPr="0061142D">
          <w:rPr>
            <w:noProof/>
            <w:sz w:val="28"/>
            <w:szCs w:val="28"/>
          </w:rPr>
          <w:fldChar w:fldCharType="end"/>
        </w:r>
      </w:hyperlink>
    </w:p>
    <w:p w:rsidR="009C2EF9" w:rsidRPr="0061142D" w:rsidRDefault="00942CAD" w:rsidP="00DA03D3">
      <w:pPr>
        <w:pStyle w:val="20"/>
        <w:tabs>
          <w:tab w:val="right" w:leader="dot" w:pos="8302"/>
        </w:tabs>
        <w:adjustRightInd w:val="0"/>
        <w:snapToGrid w:val="0"/>
        <w:spacing w:line="360" w:lineRule="auto"/>
        <w:ind w:leftChars="0" w:left="0"/>
        <w:rPr>
          <w:noProof/>
          <w:sz w:val="28"/>
          <w:szCs w:val="28"/>
        </w:rPr>
      </w:pPr>
      <w:hyperlink w:anchor="_Toc145818954" w:history="1">
        <w:r w:rsidR="009C2EF9" w:rsidRPr="0061142D">
          <w:rPr>
            <w:rFonts w:hAnsi="宋体"/>
            <w:noProof/>
            <w:sz w:val="28"/>
            <w:szCs w:val="28"/>
          </w:rPr>
          <w:t>二十、其他事项</w:t>
        </w:r>
        <w:r w:rsidR="009C2EF9" w:rsidRPr="0061142D">
          <w:rPr>
            <w:noProof/>
            <w:sz w:val="28"/>
            <w:szCs w:val="28"/>
          </w:rPr>
          <w:tab/>
        </w:r>
        <w:r w:rsidRPr="0061142D">
          <w:rPr>
            <w:noProof/>
            <w:sz w:val="28"/>
            <w:szCs w:val="28"/>
          </w:rPr>
          <w:fldChar w:fldCharType="begin"/>
        </w:r>
        <w:r w:rsidR="009C2EF9" w:rsidRPr="0061142D">
          <w:rPr>
            <w:noProof/>
            <w:sz w:val="28"/>
            <w:szCs w:val="28"/>
          </w:rPr>
          <w:instrText xml:space="preserve"> PAGEREF _Toc145818954 \h </w:instrText>
        </w:r>
        <w:r w:rsidRPr="0061142D">
          <w:rPr>
            <w:noProof/>
            <w:sz w:val="28"/>
            <w:szCs w:val="28"/>
          </w:rPr>
        </w:r>
        <w:r w:rsidRPr="0061142D">
          <w:rPr>
            <w:noProof/>
            <w:sz w:val="28"/>
            <w:szCs w:val="28"/>
          </w:rPr>
          <w:fldChar w:fldCharType="separate"/>
        </w:r>
        <w:r w:rsidR="006664A7">
          <w:rPr>
            <w:noProof/>
            <w:sz w:val="28"/>
            <w:szCs w:val="28"/>
          </w:rPr>
          <w:t>52</w:t>
        </w:r>
        <w:r w:rsidRPr="0061142D">
          <w:rPr>
            <w:noProof/>
            <w:sz w:val="28"/>
            <w:szCs w:val="28"/>
          </w:rPr>
          <w:fldChar w:fldCharType="end"/>
        </w:r>
      </w:hyperlink>
    </w:p>
    <w:p w:rsidR="009C2EF9" w:rsidRPr="0061142D" w:rsidRDefault="00942CAD" w:rsidP="00DA03D3">
      <w:pPr>
        <w:pStyle w:val="20"/>
        <w:tabs>
          <w:tab w:val="right" w:leader="dot" w:pos="8302"/>
        </w:tabs>
        <w:adjustRightInd w:val="0"/>
        <w:snapToGrid w:val="0"/>
        <w:spacing w:line="360" w:lineRule="auto"/>
        <w:ind w:leftChars="0" w:left="0"/>
        <w:rPr>
          <w:noProof/>
          <w:sz w:val="28"/>
          <w:szCs w:val="28"/>
        </w:rPr>
      </w:pPr>
      <w:hyperlink w:anchor="_Toc145818955" w:history="1">
        <w:r w:rsidR="009C2EF9" w:rsidRPr="0061142D">
          <w:rPr>
            <w:rFonts w:hAnsi="宋体"/>
            <w:noProof/>
            <w:sz w:val="28"/>
            <w:szCs w:val="28"/>
          </w:rPr>
          <w:t>二十一、托管协议的签订</w:t>
        </w:r>
        <w:r w:rsidR="009C2EF9" w:rsidRPr="0061142D">
          <w:rPr>
            <w:noProof/>
            <w:sz w:val="28"/>
            <w:szCs w:val="28"/>
          </w:rPr>
          <w:tab/>
        </w:r>
        <w:r w:rsidRPr="0061142D">
          <w:rPr>
            <w:noProof/>
            <w:sz w:val="28"/>
            <w:szCs w:val="28"/>
          </w:rPr>
          <w:fldChar w:fldCharType="begin"/>
        </w:r>
        <w:r w:rsidR="009C2EF9" w:rsidRPr="0061142D">
          <w:rPr>
            <w:noProof/>
            <w:sz w:val="28"/>
            <w:szCs w:val="28"/>
          </w:rPr>
          <w:instrText xml:space="preserve"> PAGEREF _Toc145818955 \h </w:instrText>
        </w:r>
        <w:r w:rsidRPr="0061142D">
          <w:rPr>
            <w:noProof/>
            <w:sz w:val="28"/>
            <w:szCs w:val="28"/>
          </w:rPr>
        </w:r>
        <w:r w:rsidRPr="0061142D">
          <w:rPr>
            <w:noProof/>
            <w:sz w:val="28"/>
            <w:szCs w:val="28"/>
          </w:rPr>
          <w:fldChar w:fldCharType="separate"/>
        </w:r>
        <w:r w:rsidR="006664A7">
          <w:rPr>
            <w:noProof/>
            <w:sz w:val="28"/>
            <w:szCs w:val="28"/>
          </w:rPr>
          <w:t>52</w:t>
        </w:r>
        <w:r w:rsidRPr="0061142D">
          <w:rPr>
            <w:noProof/>
            <w:sz w:val="28"/>
            <w:szCs w:val="28"/>
          </w:rPr>
          <w:fldChar w:fldCharType="end"/>
        </w:r>
      </w:hyperlink>
    </w:p>
    <w:p w:rsidR="009C2EF9" w:rsidRPr="0061142D" w:rsidRDefault="00942CAD" w:rsidP="00DA03D3">
      <w:pPr>
        <w:adjustRightInd w:val="0"/>
        <w:snapToGrid w:val="0"/>
        <w:spacing w:line="360" w:lineRule="auto"/>
        <w:rPr>
          <w:color w:val="000000"/>
          <w:sz w:val="28"/>
        </w:rPr>
      </w:pPr>
      <w:r w:rsidRPr="0061142D">
        <w:rPr>
          <w:color w:val="000000"/>
          <w:sz w:val="28"/>
          <w:szCs w:val="28"/>
        </w:rPr>
        <w:fldChar w:fldCharType="end"/>
      </w:r>
    </w:p>
    <w:p w:rsidR="009C2EF9" w:rsidRPr="0061142D" w:rsidRDefault="009C2EF9">
      <w:pPr>
        <w:spacing w:line="360" w:lineRule="auto"/>
        <w:rPr>
          <w:color w:val="000000"/>
          <w:sz w:val="28"/>
        </w:rPr>
      </w:pPr>
      <w:r w:rsidRPr="0061142D">
        <w:rPr>
          <w:color w:val="000000"/>
          <w:sz w:val="28"/>
        </w:rPr>
        <w:br w:type="page"/>
      </w:r>
    </w:p>
    <w:p w:rsidR="009C2EF9" w:rsidRPr="0061142D" w:rsidRDefault="009C2EF9">
      <w:pPr>
        <w:widowControl/>
        <w:adjustRightInd w:val="0"/>
        <w:snapToGrid w:val="0"/>
        <w:spacing w:line="360" w:lineRule="auto"/>
        <w:ind w:firstLineChars="200" w:firstLine="560"/>
        <w:rPr>
          <w:color w:val="000000"/>
          <w:kern w:val="0"/>
          <w:sz w:val="28"/>
        </w:rPr>
      </w:pPr>
      <w:r w:rsidRPr="0061142D">
        <w:rPr>
          <w:rFonts w:hAnsi="宋体"/>
          <w:color w:val="000000"/>
          <w:kern w:val="0"/>
          <w:sz w:val="28"/>
        </w:rPr>
        <w:lastRenderedPageBreak/>
        <w:t>鉴于交银施罗德基金管理有限公司系一家依照中国法律合法成立并有效存续的有限责任公司，按照相关法律法规的规定具备担任基金管理人的资格和能力</w:t>
      </w:r>
      <w:r w:rsidR="0087516D">
        <w:rPr>
          <w:color w:val="000000"/>
          <w:kern w:val="0"/>
          <w:sz w:val="28"/>
        </w:rPr>
        <w:t>，</w:t>
      </w:r>
      <w:r w:rsidRPr="0061142D">
        <w:rPr>
          <w:rFonts w:hAnsi="宋体"/>
          <w:color w:val="000000"/>
          <w:kern w:val="0"/>
          <w:sz w:val="28"/>
        </w:rPr>
        <w:t>拟募集发行交银施罗德荣祥保本混合型证券投资基金；</w:t>
      </w:r>
    </w:p>
    <w:p w:rsidR="009C2EF9" w:rsidRPr="0061142D" w:rsidRDefault="009C2EF9">
      <w:pPr>
        <w:widowControl/>
        <w:adjustRightInd w:val="0"/>
        <w:snapToGrid w:val="0"/>
        <w:spacing w:line="360" w:lineRule="auto"/>
        <w:ind w:firstLineChars="200" w:firstLine="560"/>
        <w:rPr>
          <w:color w:val="000000"/>
          <w:kern w:val="0"/>
          <w:sz w:val="28"/>
        </w:rPr>
      </w:pPr>
      <w:r w:rsidRPr="0061142D">
        <w:rPr>
          <w:rFonts w:hAnsi="宋体"/>
          <w:color w:val="000000"/>
          <w:kern w:val="0"/>
          <w:sz w:val="28"/>
        </w:rPr>
        <w:t>鉴于中国农业银行股份有限公司系一家依照中国法律合法成立并有效存续的银行，按照相关法律法规的规定具备担任基金托管人的资格和能力；</w:t>
      </w:r>
    </w:p>
    <w:p w:rsidR="009C2EF9" w:rsidRPr="0061142D" w:rsidRDefault="009C2EF9">
      <w:pPr>
        <w:widowControl/>
        <w:adjustRightInd w:val="0"/>
        <w:snapToGrid w:val="0"/>
        <w:spacing w:line="360" w:lineRule="auto"/>
        <w:ind w:firstLineChars="200" w:firstLine="560"/>
        <w:rPr>
          <w:color w:val="000000"/>
          <w:kern w:val="0"/>
          <w:sz w:val="28"/>
        </w:rPr>
      </w:pPr>
      <w:r w:rsidRPr="0061142D">
        <w:rPr>
          <w:rFonts w:hAnsi="宋体"/>
          <w:color w:val="000000"/>
          <w:kern w:val="0"/>
          <w:sz w:val="28"/>
        </w:rPr>
        <w:t>鉴于交银施罗德</w:t>
      </w:r>
      <w:r w:rsidR="00033E31" w:rsidRPr="0061142D">
        <w:rPr>
          <w:rFonts w:hAnsi="宋体"/>
          <w:color w:val="000000"/>
          <w:kern w:val="0"/>
          <w:sz w:val="28"/>
        </w:rPr>
        <w:t>基金</w:t>
      </w:r>
      <w:r w:rsidRPr="0061142D">
        <w:rPr>
          <w:rFonts w:hAnsi="宋体"/>
          <w:color w:val="000000"/>
          <w:kern w:val="0"/>
          <w:sz w:val="28"/>
        </w:rPr>
        <w:t>管理有限公司拟担任交银施罗德荣祥保本混合型证券投资基金的基金管理人，中国农业银行股份有限公司拟担任交银施罗德荣祥保本混合型证券投资基金的基金托管人；</w:t>
      </w:r>
    </w:p>
    <w:p w:rsidR="009C2EF9" w:rsidRPr="0061142D" w:rsidRDefault="009C2EF9">
      <w:pPr>
        <w:widowControl/>
        <w:adjustRightInd w:val="0"/>
        <w:snapToGrid w:val="0"/>
        <w:spacing w:line="360" w:lineRule="auto"/>
        <w:ind w:firstLineChars="200" w:firstLine="560"/>
        <w:rPr>
          <w:color w:val="000000"/>
          <w:kern w:val="0"/>
          <w:sz w:val="28"/>
        </w:rPr>
      </w:pPr>
      <w:r w:rsidRPr="0061142D">
        <w:rPr>
          <w:rFonts w:hAnsi="宋体"/>
          <w:color w:val="000000"/>
          <w:kern w:val="0"/>
          <w:sz w:val="28"/>
        </w:rPr>
        <w:t>为明确交银施罗德荣祥保本混合型证券投资基金的基金管理人和基金托管人之间的权利义务关系，特制订本托管协议；</w:t>
      </w:r>
    </w:p>
    <w:p w:rsidR="009C2EF9" w:rsidRPr="0061142D" w:rsidRDefault="009C2EF9">
      <w:pPr>
        <w:widowControl/>
        <w:adjustRightInd w:val="0"/>
        <w:snapToGrid w:val="0"/>
        <w:spacing w:line="360" w:lineRule="auto"/>
        <w:ind w:firstLineChars="200" w:firstLine="560"/>
        <w:rPr>
          <w:color w:val="000000"/>
          <w:kern w:val="0"/>
          <w:sz w:val="28"/>
          <w:lang w:val="en-GB"/>
        </w:rPr>
      </w:pPr>
      <w:r w:rsidRPr="0061142D">
        <w:rPr>
          <w:rFonts w:hAnsi="宋体"/>
          <w:color w:val="000000"/>
          <w:kern w:val="0"/>
          <w:sz w:val="28"/>
          <w:lang w:val="en-GB"/>
        </w:rPr>
        <w:t>除非另有约定，《</w:t>
      </w:r>
      <w:r w:rsidRPr="0061142D">
        <w:rPr>
          <w:rFonts w:hAnsi="宋体"/>
          <w:color w:val="000000"/>
          <w:kern w:val="0"/>
          <w:sz w:val="28"/>
        </w:rPr>
        <w:t>交银施罗德荣祥保本混合型</w:t>
      </w:r>
      <w:r w:rsidRPr="0061142D">
        <w:rPr>
          <w:rFonts w:hAnsi="宋体"/>
          <w:color w:val="000000"/>
          <w:kern w:val="0"/>
          <w:sz w:val="28"/>
          <w:lang w:val="en-GB"/>
        </w:rPr>
        <w:t>证券投资基金基金合同》</w:t>
      </w:r>
      <w:r w:rsidRPr="0061142D">
        <w:rPr>
          <w:color w:val="000000"/>
          <w:kern w:val="0"/>
          <w:sz w:val="28"/>
          <w:lang w:val="en-GB"/>
        </w:rPr>
        <w:t>(</w:t>
      </w:r>
      <w:r w:rsidRPr="0061142D">
        <w:rPr>
          <w:rFonts w:hAnsi="宋体"/>
          <w:color w:val="000000"/>
          <w:kern w:val="0"/>
          <w:sz w:val="28"/>
          <w:lang w:val="en-GB"/>
        </w:rPr>
        <w:t>以下简称</w:t>
      </w:r>
      <w:r w:rsidRPr="0061142D">
        <w:rPr>
          <w:color w:val="000000"/>
          <w:kern w:val="0"/>
          <w:sz w:val="28"/>
          <w:lang w:val="en-GB"/>
        </w:rPr>
        <w:t>“</w:t>
      </w:r>
      <w:r w:rsidRPr="0061142D">
        <w:rPr>
          <w:rFonts w:hAnsi="宋体"/>
          <w:color w:val="000000"/>
          <w:kern w:val="0"/>
          <w:sz w:val="28"/>
          <w:lang w:val="en-GB"/>
        </w:rPr>
        <w:t>基金合同</w:t>
      </w:r>
      <w:r w:rsidRPr="0061142D">
        <w:rPr>
          <w:color w:val="000000"/>
          <w:kern w:val="0"/>
          <w:sz w:val="28"/>
          <w:lang w:val="en-GB"/>
        </w:rPr>
        <w:t>”)</w:t>
      </w:r>
      <w:r w:rsidRPr="0061142D">
        <w:rPr>
          <w:rFonts w:hAnsi="宋体"/>
          <w:color w:val="000000"/>
          <w:kern w:val="0"/>
          <w:sz w:val="28"/>
          <w:lang w:val="en-GB"/>
        </w:rPr>
        <w:t>中定义的术语在用于本托管协议时应具有相同的含义；若有抵触应以基金合同为准，并依其</w:t>
      </w:r>
      <w:r w:rsidRPr="0061142D">
        <w:rPr>
          <w:rFonts w:hAnsi="宋体"/>
          <w:color w:val="000000"/>
          <w:kern w:val="0"/>
          <w:sz w:val="28"/>
        </w:rPr>
        <w:t>条款</w:t>
      </w:r>
      <w:r w:rsidRPr="0061142D">
        <w:rPr>
          <w:rFonts w:hAnsi="宋体"/>
          <w:color w:val="000000"/>
          <w:kern w:val="0"/>
          <w:sz w:val="28"/>
          <w:lang w:val="en-GB"/>
        </w:rPr>
        <w:t>解释。</w:t>
      </w:r>
    </w:p>
    <w:p w:rsidR="00EE5132" w:rsidRPr="0061142D" w:rsidRDefault="00EE5132">
      <w:pPr>
        <w:widowControl/>
        <w:adjustRightInd w:val="0"/>
        <w:snapToGrid w:val="0"/>
        <w:spacing w:line="360" w:lineRule="auto"/>
        <w:ind w:firstLineChars="200" w:firstLine="560"/>
        <w:rPr>
          <w:color w:val="000000"/>
          <w:sz w:val="28"/>
          <w:lang w:val="en-GB"/>
        </w:rPr>
      </w:pPr>
    </w:p>
    <w:p w:rsidR="009C2EF9" w:rsidRPr="0061142D" w:rsidRDefault="009C2EF9">
      <w:pPr>
        <w:pStyle w:val="2"/>
        <w:spacing w:line="360" w:lineRule="auto"/>
        <w:jc w:val="center"/>
        <w:rPr>
          <w:rFonts w:ascii="Times New Roman" w:eastAsia="宋体" w:hAnsi="Times New Roman"/>
          <w:color w:val="000000"/>
          <w:sz w:val="28"/>
        </w:rPr>
      </w:pPr>
      <w:bookmarkStart w:id="2" w:name="_Toc145818935"/>
      <w:r w:rsidRPr="0061142D">
        <w:rPr>
          <w:rFonts w:ascii="Times New Roman" w:eastAsia="宋体" w:hAnsi="宋体"/>
          <w:color w:val="000000"/>
          <w:sz w:val="28"/>
        </w:rPr>
        <w:t>一、基金托管协议当事人</w:t>
      </w:r>
      <w:bookmarkEnd w:id="2"/>
    </w:p>
    <w:p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（一）基金管理人</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名称：交银施罗德基金管理有限公司</w:t>
      </w:r>
    </w:p>
    <w:p w:rsidR="009C2EF9" w:rsidRPr="0061142D" w:rsidRDefault="009C2EF9" w:rsidP="00EE5132">
      <w:pPr>
        <w:adjustRightInd w:val="0"/>
        <w:snapToGrid w:val="0"/>
        <w:spacing w:line="360" w:lineRule="auto"/>
        <w:ind w:firstLineChars="200" w:firstLine="560"/>
        <w:rPr>
          <w:color w:val="0000FF"/>
          <w:sz w:val="28"/>
        </w:rPr>
      </w:pPr>
      <w:r w:rsidRPr="0061142D">
        <w:rPr>
          <w:rFonts w:hAnsi="宋体"/>
          <w:color w:val="000000"/>
          <w:sz w:val="28"/>
        </w:rPr>
        <w:t>注册地址：上海市浦东新区银城中路</w:t>
      </w:r>
      <w:r w:rsidRPr="0061142D">
        <w:rPr>
          <w:color w:val="000000"/>
          <w:sz w:val="28"/>
        </w:rPr>
        <w:t>188</w:t>
      </w:r>
      <w:r w:rsidRPr="0061142D">
        <w:rPr>
          <w:rFonts w:hAnsi="宋体"/>
          <w:color w:val="000000"/>
          <w:sz w:val="28"/>
        </w:rPr>
        <w:t>号交通银行大楼二层（裙）</w:t>
      </w:r>
    </w:p>
    <w:p w:rsidR="009C2EF9" w:rsidRPr="0061142D" w:rsidRDefault="009C2EF9" w:rsidP="00EE5132">
      <w:pPr>
        <w:adjustRightInd w:val="0"/>
        <w:snapToGrid w:val="0"/>
        <w:spacing w:line="360" w:lineRule="auto"/>
        <w:ind w:firstLineChars="200" w:firstLine="560"/>
        <w:rPr>
          <w:sz w:val="28"/>
        </w:rPr>
      </w:pPr>
      <w:r w:rsidRPr="0061142D">
        <w:rPr>
          <w:rFonts w:hAnsi="宋体"/>
          <w:color w:val="000000"/>
          <w:sz w:val="28"/>
        </w:rPr>
        <w:t>办公地址：上海市浦东新区世纪大道</w:t>
      </w:r>
      <w:r w:rsidRPr="0061142D">
        <w:rPr>
          <w:color w:val="000000"/>
          <w:sz w:val="28"/>
        </w:rPr>
        <w:t>201</w:t>
      </w:r>
      <w:r w:rsidRPr="0061142D">
        <w:rPr>
          <w:rFonts w:hAnsi="宋体"/>
          <w:color w:val="000000"/>
          <w:sz w:val="28"/>
        </w:rPr>
        <w:t>号渣打银行大厦</w:t>
      </w:r>
      <w:r w:rsidRPr="0061142D">
        <w:rPr>
          <w:color w:val="000000"/>
          <w:sz w:val="28"/>
        </w:rPr>
        <w:t>10</w:t>
      </w:r>
      <w:r w:rsidRPr="0061142D">
        <w:rPr>
          <w:rFonts w:hAnsi="宋体"/>
          <w:color w:val="000000"/>
          <w:sz w:val="28"/>
        </w:rPr>
        <w:t>楼</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邮政编码：</w:t>
      </w:r>
      <w:r w:rsidRPr="0061142D">
        <w:rPr>
          <w:color w:val="000000"/>
          <w:sz w:val="28"/>
        </w:rPr>
        <w:t>200120</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法定代表人：钱文挥</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lastRenderedPageBreak/>
        <w:t>成立日期：</w:t>
      </w:r>
      <w:r w:rsidRPr="0061142D">
        <w:rPr>
          <w:color w:val="000000"/>
          <w:sz w:val="28"/>
        </w:rPr>
        <w:t>2005</w:t>
      </w:r>
      <w:r w:rsidRPr="0061142D">
        <w:rPr>
          <w:rFonts w:hAnsi="宋体"/>
          <w:color w:val="000000"/>
          <w:sz w:val="28"/>
        </w:rPr>
        <w:t>年</w:t>
      </w:r>
      <w:r w:rsidRPr="0061142D">
        <w:rPr>
          <w:color w:val="000000"/>
          <w:sz w:val="28"/>
        </w:rPr>
        <w:t>8</w:t>
      </w:r>
      <w:r w:rsidRPr="0061142D">
        <w:rPr>
          <w:rFonts w:hAnsi="宋体"/>
          <w:color w:val="000000"/>
          <w:sz w:val="28"/>
        </w:rPr>
        <w:t>月</w:t>
      </w:r>
      <w:r w:rsidRPr="0061142D">
        <w:rPr>
          <w:color w:val="000000"/>
          <w:sz w:val="28"/>
        </w:rPr>
        <w:t>4</w:t>
      </w:r>
      <w:r w:rsidRPr="0061142D">
        <w:rPr>
          <w:rFonts w:hAnsi="宋体"/>
          <w:color w:val="000000"/>
          <w:sz w:val="28"/>
        </w:rPr>
        <w:t>日</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批准设立机关及批准设立文号：中国证监会证监基金字</w:t>
      </w:r>
      <w:r w:rsidRPr="0061142D">
        <w:rPr>
          <w:rStyle w:val="read"/>
          <w:color w:val="000000"/>
          <w:sz w:val="28"/>
        </w:rPr>
        <w:t>[2005]128</w:t>
      </w:r>
      <w:r w:rsidRPr="0061142D">
        <w:rPr>
          <w:rFonts w:hAnsi="宋体"/>
          <w:color w:val="000000"/>
          <w:sz w:val="28"/>
        </w:rPr>
        <w:t>号</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组织形式：有限责任公司</w:t>
      </w:r>
    </w:p>
    <w:p w:rsidR="009C2EF9" w:rsidRPr="0061142D" w:rsidRDefault="009C2EF9" w:rsidP="00EE5132">
      <w:pPr>
        <w:adjustRightInd w:val="0"/>
        <w:snapToGrid w:val="0"/>
        <w:spacing w:line="360" w:lineRule="auto"/>
        <w:ind w:firstLineChars="200" w:firstLine="560"/>
        <w:rPr>
          <w:sz w:val="28"/>
        </w:rPr>
      </w:pPr>
      <w:r w:rsidRPr="0061142D">
        <w:rPr>
          <w:rFonts w:hAnsi="宋体"/>
          <w:color w:val="000000"/>
          <w:sz w:val="28"/>
        </w:rPr>
        <w:t>注册</w:t>
      </w:r>
      <w:r w:rsidRPr="0061142D">
        <w:rPr>
          <w:rFonts w:hAnsi="宋体"/>
          <w:sz w:val="28"/>
        </w:rPr>
        <w:t>资本：</w:t>
      </w:r>
      <w:r w:rsidRPr="0061142D">
        <w:rPr>
          <w:sz w:val="28"/>
        </w:rPr>
        <w:t>2</w:t>
      </w:r>
      <w:r w:rsidRPr="0061142D">
        <w:rPr>
          <w:rFonts w:hAnsi="宋体"/>
          <w:sz w:val="28"/>
        </w:rPr>
        <w:t>亿元人民币</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存续期间：持续经营</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经营范围：</w:t>
      </w:r>
      <w:r w:rsidRPr="0061142D">
        <w:rPr>
          <w:rFonts w:hAnsi="宋体"/>
          <w:sz w:val="28"/>
        </w:rPr>
        <w:t>基金管理业务、发起设立基金及中国证券监督管理委员会批准的其他业务。</w:t>
      </w:r>
    </w:p>
    <w:p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（二）基金托管人</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名称：中国农业银行股份有限公司</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注册地址：北京市东城区建国门内大街</w:t>
      </w:r>
      <w:r w:rsidRPr="0061142D">
        <w:rPr>
          <w:color w:val="000000"/>
          <w:sz w:val="28"/>
        </w:rPr>
        <w:t>69</w:t>
      </w:r>
      <w:r w:rsidRPr="0061142D">
        <w:rPr>
          <w:rFonts w:hAnsi="宋体"/>
          <w:color w:val="000000"/>
          <w:sz w:val="28"/>
        </w:rPr>
        <w:t>号</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办公地址：北京市西城区复兴门内大街</w:t>
      </w:r>
      <w:r w:rsidRPr="0061142D">
        <w:rPr>
          <w:color w:val="000000"/>
          <w:sz w:val="28"/>
        </w:rPr>
        <w:t>28</w:t>
      </w:r>
      <w:r w:rsidRPr="0061142D">
        <w:rPr>
          <w:rFonts w:hAnsi="宋体"/>
          <w:color w:val="000000"/>
          <w:sz w:val="28"/>
        </w:rPr>
        <w:t>号凯晨世贸中心东座九层</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邮政编码：</w:t>
      </w:r>
      <w:r w:rsidRPr="0061142D">
        <w:rPr>
          <w:color w:val="000000"/>
          <w:sz w:val="28"/>
        </w:rPr>
        <w:t>100031</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法定代表人：蒋超良</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成立时间：</w:t>
      </w:r>
      <w:r w:rsidRPr="0061142D">
        <w:rPr>
          <w:color w:val="000000"/>
          <w:sz w:val="28"/>
        </w:rPr>
        <w:t>2009</w:t>
      </w:r>
      <w:r w:rsidRPr="0061142D">
        <w:rPr>
          <w:rFonts w:hAnsi="宋体"/>
          <w:color w:val="000000"/>
          <w:sz w:val="28"/>
        </w:rPr>
        <w:t>年</w:t>
      </w:r>
      <w:r w:rsidRPr="0061142D">
        <w:rPr>
          <w:color w:val="000000"/>
          <w:sz w:val="28"/>
        </w:rPr>
        <w:t>1</w:t>
      </w:r>
      <w:r w:rsidRPr="0061142D">
        <w:rPr>
          <w:rFonts w:hAnsi="宋体"/>
          <w:color w:val="000000"/>
          <w:sz w:val="28"/>
        </w:rPr>
        <w:t>月</w:t>
      </w:r>
      <w:r w:rsidRPr="0061142D">
        <w:rPr>
          <w:color w:val="000000"/>
          <w:sz w:val="28"/>
        </w:rPr>
        <w:t>15</w:t>
      </w:r>
      <w:r w:rsidRPr="0061142D">
        <w:rPr>
          <w:rFonts w:hAnsi="宋体"/>
          <w:color w:val="000000"/>
          <w:sz w:val="28"/>
        </w:rPr>
        <w:t>日</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基金托管资格批准文号：中国证监会证监基字</w:t>
      </w:r>
      <w:r w:rsidRPr="0061142D">
        <w:rPr>
          <w:color w:val="000000"/>
          <w:sz w:val="28"/>
        </w:rPr>
        <w:t>[1998]23</w:t>
      </w:r>
      <w:r w:rsidRPr="0061142D">
        <w:rPr>
          <w:rFonts w:hAnsi="宋体"/>
          <w:color w:val="000000"/>
          <w:sz w:val="28"/>
        </w:rPr>
        <w:t>号</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注册</w:t>
      </w:r>
      <w:r w:rsidRPr="0061142D">
        <w:rPr>
          <w:rFonts w:hAnsi="宋体"/>
          <w:sz w:val="28"/>
        </w:rPr>
        <w:t>资本</w:t>
      </w:r>
      <w:r w:rsidRPr="0061142D">
        <w:rPr>
          <w:rFonts w:hAnsi="宋体"/>
          <w:color w:val="000000"/>
          <w:sz w:val="28"/>
        </w:rPr>
        <w:t>：</w:t>
      </w:r>
      <w:r w:rsidRPr="0061142D">
        <w:rPr>
          <w:sz w:val="28"/>
        </w:rPr>
        <w:t>32,</w:t>
      </w:r>
      <w:r w:rsidR="0087516D" w:rsidRPr="0061142D">
        <w:rPr>
          <w:sz w:val="28"/>
        </w:rPr>
        <w:t xml:space="preserve"> </w:t>
      </w:r>
      <w:r w:rsidRPr="0061142D">
        <w:rPr>
          <w:sz w:val="28"/>
        </w:rPr>
        <w:t>479,</w:t>
      </w:r>
      <w:r w:rsidR="0087516D" w:rsidRPr="0061142D">
        <w:rPr>
          <w:sz w:val="28"/>
        </w:rPr>
        <w:t xml:space="preserve"> </w:t>
      </w:r>
      <w:r w:rsidRPr="0061142D">
        <w:rPr>
          <w:sz w:val="28"/>
        </w:rPr>
        <w:t>411.7</w:t>
      </w:r>
      <w:r w:rsidRPr="0061142D">
        <w:rPr>
          <w:rFonts w:hAnsi="宋体"/>
          <w:sz w:val="28"/>
        </w:rPr>
        <w:t>万</w:t>
      </w:r>
      <w:r w:rsidRPr="0061142D">
        <w:rPr>
          <w:rFonts w:hAnsi="宋体"/>
          <w:color w:val="000000"/>
          <w:sz w:val="28"/>
        </w:rPr>
        <w:t>元人民币</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存续期间：持续经营</w:t>
      </w:r>
    </w:p>
    <w:p w:rsidR="009C2EF9" w:rsidRPr="0061142D" w:rsidRDefault="009C2EF9" w:rsidP="00EE5132">
      <w:pPr>
        <w:tabs>
          <w:tab w:val="left" w:pos="540"/>
        </w:tabs>
        <w:adjustRightInd w:val="0"/>
        <w:snapToGrid w:val="0"/>
        <w:spacing w:line="360" w:lineRule="auto"/>
        <w:ind w:firstLineChars="200" w:firstLine="560"/>
        <w:rPr>
          <w:color w:val="000000"/>
          <w:sz w:val="28"/>
        </w:rPr>
      </w:pPr>
      <w:r w:rsidRPr="0061142D">
        <w:rPr>
          <w:rFonts w:hAnsi="宋体"/>
          <w:color w:val="000000"/>
          <w:sz w:val="28"/>
        </w:rPr>
        <w:t>经营范围：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提供保管箱服务；代理资金清算；各类汇兑业务；代理政策性银行、外国政府和国际金融机构贷款业务；贷款承诺；组</w:t>
      </w:r>
      <w:r w:rsidRPr="0061142D">
        <w:rPr>
          <w:rFonts w:hAnsi="宋体"/>
          <w:color w:val="000000"/>
          <w:sz w:val="28"/>
        </w:rPr>
        <w:lastRenderedPageBreak/>
        <w:t>织或参加银团贷款；外汇存款；外汇贷款；外汇汇款；外汇借款；发行、代理发行、买卖或代理买卖股票以外的外币有价证券；外币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保险兼业代理业务。</w:t>
      </w:r>
    </w:p>
    <w:p w:rsidR="009C2EF9" w:rsidRPr="0061142D" w:rsidRDefault="009C2EF9">
      <w:pPr>
        <w:tabs>
          <w:tab w:val="left" w:pos="540"/>
        </w:tabs>
        <w:adjustRightInd w:val="0"/>
        <w:snapToGrid w:val="0"/>
        <w:spacing w:line="360" w:lineRule="auto"/>
        <w:ind w:firstLineChars="200" w:firstLine="560"/>
        <w:rPr>
          <w:color w:val="000000"/>
          <w:sz w:val="28"/>
        </w:rPr>
      </w:pPr>
    </w:p>
    <w:p w:rsidR="009C2EF9" w:rsidRPr="0061142D" w:rsidRDefault="009C2EF9">
      <w:pPr>
        <w:pStyle w:val="2"/>
        <w:spacing w:line="360" w:lineRule="auto"/>
        <w:jc w:val="center"/>
        <w:rPr>
          <w:rFonts w:ascii="Times New Roman" w:eastAsia="宋体" w:hAnsi="Times New Roman"/>
          <w:color w:val="000000"/>
          <w:sz w:val="28"/>
        </w:rPr>
      </w:pPr>
      <w:bookmarkStart w:id="3" w:name="_Toc145818936"/>
      <w:r w:rsidRPr="0061142D">
        <w:rPr>
          <w:rFonts w:ascii="Times New Roman" w:eastAsia="宋体" w:hAnsi="宋体"/>
          <w:color w:val="000000"/>
          <w:sz w:val="28"/>
        </w:rPr>
        <w:t>二、基金托管协议的依据、目的和原则</w:t>
      </w:r>
      <w:bookmarkEnd w:id="3"/>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（一）订立托管协议的依据</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本协议依据《中华人民共和国证券投资基金法》</w:t>
      </w:r>
      <w:r w:rsidRPr="0061142D">
        <w:rPr>
          <w:color w:val="000000"/>
          <w:sz w:val="28"/>
        </w:rPr>
        <w:t>(</w:t>
      </w:r>
      <w:r w:rsidRPr="0061142D">
        <w:rPr>
          <w:rFonts w:hAnsi="宋体"/>
          <w:color w:val="000000"/>
          <w:sz w:val="28"/>
        </w:rPr>
        <w:t>以下简称</w:t>
      </w:r>
      <w:r w:rsidRPr="0061142D">
        <w:rPr>
          <w:color w:val="000000"/>
          <w:sz w:val="28"/>
        </w:rPr>
        <w:t>“</w:t>
      </w:r>
      <w:r w:rsidRPr="0061142D">
        <w:rPr>
          <w:rFonts w:hAnsi="宋体"/>
          <w:color w:val="000000"/>
          <w:sz w:val="28"/>
        </w:rPr>
        <w:t>《基金法》</w:t>
      </w:r>
      <w:r w:rsidRPr="0061142D">
        <w:rPr>
          <w:color w:val="000000"/>
          <w:sz w:val="28"/>
        </w:rPr>
        <w:t>”)</w:t>
      </w:r>
      <w:r w:rsidRPr="0061142D">
        <w:rPr>
          <w:rFonts w:hAnsi="宋体"/>
          <w:color w:val="000000"/>
          <w:sz w:val="28"/>
        </w:rPr>
        <w:t>等有关法律、法规</w:t>
      </w:r>
      <w:r w:rsidRPr="0061142D">
        <w:rPr>
          <w:color w:val="000000"/>
          <w:sz w:val="28"/>
        </w:rPr>
        <w:t>(</w:t>
      </w:r>
      <w:r w:rsidRPr="0061142D">
        <w:rPr>
          <w:rFonts w:hAnsi="宋体"/>
          <w:color w:val="000000"/>
          <w:sz w:val="28"/>
        </w:rPr>
        <w:t>以下简称</w:t>
      </w:r>
      <w:r w:rsidRPr="0061142D">
        <w:rPr>
          <w:color w:val="000000"/>
          <w:sz w:val="28"/>
        </w:rPr>
        <w:t>“</w:t>
      </w:r>
      <w:r w:rsidRPr="0061142D">
        <w:rPr>
          <w:rFonts w:hAnsi="宋体"/>
          <w:color w:val="000000"/>
          <w:sz w:val="28"/>
        </w:rPr>
        <w:t>法律法规</w:t>
      </w:r>
      <w:r w:rsidRPr="0061142D">
        <w:rPr>
          <w:color w:val="000000"/>
          <w:sz w:val="28"/>
        </w:rPr>
        <w:t>”)</w:t>
      </w:r>
      <w:r w:rsidRPr="0061142D">
        <w:rPr>
          <w:rFonts w:hAnsi="宋体"/>
          <w:color w:val="000000"/>
          <w:sz w:val="28"/>
        </w:rPr>
        <w:t>、基金合同及其他有关规定制订。</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（二）订立托管协议的目的</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（三）订立托管协议的原则</w:t>
      </w:r>
    </w:p>
    <w:p w:rsidR="009C2EF9" w:rsidRPr="0061142D" w:rsidRDefault="009C2EF9" w:rsidP="00EE5132">
      <w:pPr>
        <w:pStyle w:val="Style6"/>
        <w:spacing w:line="360" w:lineRule="auto"/>
        <w:ind w:firstLine="560"/>
        <w:rPr>
          <w:rFonts w:ascii="Times New Roman" w:eastAsia="宋体" w:hAnsi="Times New Roman"/>
          <w:sz w:val="28"/>
        </w:rPr>
      </w:pPr>
      <w:r w:rsidRPr="0061142D">
        <w:rPr>
          <w:rFonts w:ascii="Times New Roman" w:eastAsia="宋体"/>
          <w:sz w:val="28"/>
        </w:rPr>
        <w:t>基金管理人和基金托管人本着平等自愿、诚实信用、充分保护基金投资者合法权益的原则，经协商一致，签订本协议。</w:t>
      </w:r>
    </w:p>
    <w:p w:rsidR="009C2EF9" w:rsidRPr="0061142D" w:rsidRDefault="009C2EF9" w:rsidP="00EE5132">
      <w:pPr>
        <w:pStyle w:val="Style6"/>
        <w:spacing w:line="360" w:lineRule="auto"/>
        <w:ind w:firstLine="560"/>
        <w:rPr>
          <w:rFonts w:ascii="Times New Roman" w:eastAsia="宋体" w:hAnsi="Times New Roman"/>
          <w:sz w:val="28"/>
        </w:rPr>
      </w:pPr>
      <w:r w:rsidRPr="0061142D">
        <w:rPr>
          <w:rFonts w:ascii="Times New Roman" w:eastAsia="宋体"/>
          <w:sz w:val="28"/>
        </w:rPr>
        <w:t>（四）解释</w:t>
      </w:r>
    </w:p>
    <w:p w:rsidR="009C2EF9" w:rsidRPr="0061142D" w:rsidRDefault="009C2EF9" w:rsidP="00EE5132">
      <w:pPr>
        <w:pStyle w:val="af1"/>
        <w:adjustRightInd w:val="0"/>
        <w:snapToGrid w:val="0"/>
        <w:spacing w:after="0" w:line="360" w:lineRule="auto"/>
        <w:ind w:leftChars="0" w:left="0" w:firstLineChars="200" w:firstLine="560"/>
        <w:rPr>
          <w:kern w:val="0"/>
          <w:sz w:val="28"/>
        </w:rPr>
      </w:pPr>
      <w:r w:rsidRPr="0061142D">
        <w:rPr>
          <w:sz w:val="28"/>
        </w:rPr>
        <w:lastRenderedPageBreak/>
        <w:t>除非文义另有所指，</w:t>
      </w:r>
      <w:r w:rsidRPr="0061142D">
        <w:rPr>
          <w:kern w:val="0"/>
          <w:sz w:val="28"/>
        </w:rPr>
        <w:t>本协议所使用的</w:t>
      </w:r>
      <w:r w:rsidRPr="0061142D">
        <w:rPr>
          <w:rFonts w:hAnsi="宋体"/>
          <w:kern w:val="0"/>
          <w:sz w:val="28"/>
        </w:rPr>
        <w:t>所有术语与基金合同的相应术语具有相</w:t>
      </w:r>
      <w:r w:rsidRPr="0061142D">
        <w:rPr>
          <w:kern w:val="0"/>
          <w:sz w:val="28"/>
        </w:rPr>
        <w:t>同含义。</w:t>
      </w:r>
    </w:p>
    <w:p w:rsidR="00EE5132" w:rsidRPr="0061142D" w:rsidRDefault="00EE5132" w:rsidP="00EE5132">
      <w:pPr>
        <w:pStyle w:val="af1"/>
        <w:adjustRightInd w:val="0"/>
        <w:snapToGrid w:val="0"/>
        <w:spacing w:after="0" w:line="360" w:lineRule="auto"/>
        <w:ind w:leftChars="0" w:left="0" w:firstLineChars="200" w:firstLine="560"/>
        <w:rPr>
          <w:sz w:val="28"/>
        </w:rPr>
      </w:pPr>
    </w:p>
    <w:p w:rsidR="009C2EF9" w:rsidRPr="0061142D" w:rsidRDefault="009C2EF9">
      <w:pPr>
        <w:pStyle w:val="2"/>
        <w:spacing w:line="360" w:lineRule="auto"/>
        <w:jc w:val="center"/>
        <w:rPr>
          <w:rFonts w:ascii="Times New Roman" w:eastAsia="宋体" w:hAnsi="Times New Roman"/>
          <w:color w:val="000000"/>
          <w:sz w:val="28"/>
        </w:rPr>
      </w:pPr>
      <w:bookmarkStart w:id="4" w:name="_Toc145818937"/>
      <w:r w:rsidRPr="0061142D">
        <w:rPr>
          <w:rFonts w:ascii="Times New Roman" w:eastAsia="宋体" w:hAnsi="宋体"/>
          <w:color w:val="000000"/>
          <w:sz w:val="28"/>
        </w:rPr>
        <w:t>三、基金托管人对基金管理人的业务监督和核查</w:t>
      </w:r>
      <w:bookmarkEnd w:id="4"/>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一）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本基金的投资范围为：</w:t>
      </w:r>
    </w:p>
    <w:p w:rsidR="009C2EF9" w:rsidRPr="0061142D" w:rsidRDefault="009C2EF9" w:rsidP="00EE5132">
      <w:pPr>
        <w:adjustRightInd w:val="0"/>
        <w:snapToGrid w:val="0"/>
        <w:spacing w:line="360" w:lineRule="auto"/>
        <w:ind w:firstLineChars="200" w:firstLine="560"/>
        <w:rPr>
          <w:sz w:val="28"/>
        </w:rPr>
      </w:pPr>
      <w:r w:rsidRPr="0061142D">
        <w:rPr>
          <w:sz w:val="28"/>
        </w:rPr>
        <w:t>1</w:t>
      </w:r>
      <w:r w:rsidRPr="0061142D">
        <w:rPr>
          <w:rFonts w:hAnsi="宋体"/>
          <w:sz w:val="28"/>
        </w:rPr>
        <w:t>、保本周期内的投资范围</w:t>
      </w:r>
    </w:p>
    <w:p w:rsidR="009C2EF9" w:rsidRPr="0061142D" w:rsidRDefault="009C2EF9" w:rsidP="00EE5132">
      <w:pPr>
        <w:adjustRightInd w:val="0"/>
        <w:snapToGrid w:val="0"/>
        <w:spacing w:line="360" w:lineRule="auto"/>
        <w:ind w:firstLineChars="200" w:firstLine="560"/>
        <w:rPr>
          <w:sz w:val="28"/>
        </w:rPr>
      </w:pPr>
      <w:r w:rsidRPr="0061142D">
        <w:rPr>
          <w:rFonts w:hAnsi="宋体"/>
          <w:sz w:val="28"/>
        </w:rPr>
        <w:t>在保本周期内，本基金的投资范围为具有良好流动性的金融工具，包括国内依法公开发行交易的债券、股票（包括中小板、创业板及其他经中国证监会核准上市的股票）、货币市场工具、权证、股指期货以及法律法规或中国证监会允许基金投资的其他金融工具，但需符合中国证监会的相关规定。</w:t>
      </w:r>
    </w:p>
    <w:p w:rsidR="009C2EF9" w:rsidRPr="0061142D" w:rsidRDefault="009C2EF9" w:rsidP="00EE5132">
      <w:pPr>
        <w:adjustRightInd w:val="0"/>
        <w:snapToGrid w:val="0"/>
        <w:spacing w:line="360" w:lineRule="auto"/>
        <w:ind w:firstLineChars="200" w:firstLine="560"/>
        <w:rPr>
          <w:sz w:val="28"/>
        </w:rPr>
      </w:pPr>
      <w:r w:rsidRPr="0061142D">
        <w:rPr>
          <w:rFonts w:hAnsi="宋体"/>
          <w:sz w:val="28"/>
        </w:rPr>
        <w:t>本基金的基金资产包括稳健资产和风险资产，稳健资产为国内依法发行交易的债券、货币市场工具和定期存款等，其中债券包括国债、金融债、央行票据、地方政府债券、企业债券、公司债券、</w:t>
      </w:r>
      <w:r w:rsidR="00302D6E" w:rsidRPr="0061142D">
        <w:rPr>
          <w:rFonts w:hAnsi="宋体"/>
          <w:sz w:val="28"/>
        </w:rPr>
        <w:t>中期票据、</w:t>
      </w:r>
      <w:r w:rsidRPr="0061142D">
        <w:rPr>
          <w:rFonts w:hAnsi="宋体"/>
          <w:sz w:val="28"/>
        </w:rPr>
        <w:t>短期融资券、可转换公司债券（含分离交易的可转换公司债券）、资产支持证券、债券回购等。风险资产为股票（包括中小板、创业板及其他经中国证监会核准上市的股票）、权证、股指期货等。</w:t>
      </w:r>
    </w:p>
    <w:p w:rsidR="009C2EF9" w:rsidRPr="0061142D" w:rsidRDefault="009C2EF9" w:rsidP="00EE5132">
      <w:pPr>
        <w:adjustRightInd w:val="0"/>
        <w:snapToGrid w:val="0"/>
        <w:spacing w:line="360" w:lineRule="auto"/>
        <w:ind w:firstLineChars="200" w:firstLine="560"/>
        <w:rPr>
          <w:sz w:val="28"/>
        </w:rPr>
      </w:pPr>
      <w:r w:rsidRPr="0061142D">
        <w:rPr>
          <w:rFonts w:hAnsi="宋体"/>
          <w:sz w:val="28"/>
        </w:rPr>
        <w:t>如法律法规或监管机构以后允许基金投资其他品种，基金管理人</w:t>
      </w:r>
      <w:r w:rsidRPr="0061142D">
        <w:rPr>
          <w:rFonts w:hAnsi="宋体"/>
          <w:sz w:val="28"/>
        </w:rPr>
        <w:lastRenderedPageBreak/>
        <w:t>在履行适当程序后，可以将其纳入投资范围。</w:t>
      </w:r>
    </w:p>
    <w:p w:rsidR="009C2EF9" w:rsidRPr="0061142D" w:rsidRDefault="009C2EF9" w:rsidP="00EE5132">
      <w:pPr>
        <w:adjustRightInd w:val="0"/>
        <w:snapToGrid w:val="0"/>
        <w:spacing w:line="360" w:lineRule="auto"/>
        <w:ind w:firstLineChars="200" w:firstLine="560"/>
        <w:rPr>
          <w:sz w:val="28"/>
        </w:rPr>
      </w:pPr>
      <w:r w:rsidRPr="0061142D">
        <w:rPr>
          <w:rFonts w:hAnsi="宋体"/>
          <w:sz w:val="28"/>
        </w:rPr>
        <w:t>本基金的配置比例为债券、货币市场工具等稳健资产占基金资产的比例不低于</w:t>
      </w:r>
      <w:r w:rsidRPr="0061142D">
        <w:rPr>
          <w:sz w:val="28"/>
        </w:rPr>
        <w:t>60%</w:t>
      </w:r>
      <w:r w:rsidRPr="0061142D">
        <w:rPr>
          <w:rFonts w:hAnsi="宋体"/>
          <w:sz w:val="28"/>
        </w:rPr>
        <w:t>，其中基金应保留不低于基金资产净值</w:t>
      </w:r>
      <w:r w:rsidRPr="0061142D">
        <w:rPr>
          <w:sz w:val="28"/>
        </w:rPr>
        <w:t>5%</w:t>
      </w:r>
      <w:r w:rsidRPr="0061142D">
        <w:rPr>
          <w:rFonts w:hAnsi="宋体"/>
          <w:sz w:val="28"/>
        </w:rPr>
        <w:t>的现金或到期日在一年以内的政府债券；股票、权证、股指期货等风险资产占基金资产的比例不高于</w:t>
      </w:r>
      <w:r w:rsidRPr="0061142D">
        <w:rPr>
          <w:sz w:val="28"/>
        </w:rPr>
        <w:t>40%</w:t>
      </w:r>
      <w:r w:rsidRPr="0061142D">
        <w:rPr>
          <w:rFonts w:hAnsi="宋体"/>
          <w:sz w:val="28"/>
        </w:rPr>
        <w:t>，其中，基金持有的全部权证的市值不超过基金资产净值的</w:t>
      </w:r>
      <w:r w:rsidRPr="0061142D">
        <w:rPr>
          <w:sz w:val="28"/>
        </w:rPr>
        <w:t>3%</w:t>
      </w:r>
      <w:r w:rsidRPr="0061142D">
        <w:rPr>
          <w:rFonts w:hAnsi="宋体"/>
          <w:sz w:val="28"/>
        </w:rPr>
        <w:t>。</w:t>
      </w:r>
    </w:p>
    <w:p w:rsidR="009C2EF9" w:rsidRPr="0061142D" w:rsidRDefault="009C2EF9" w:rsidP="00EE5132">
      <w:pPr>
        <w:adjustRightInd w:val="0"/>
        <w:snapToGrid w:val="0"/>
        <w:spacing w:line="360" w:lineRule="auto"/>
        <w:ind w:firstLineChars="200" w:firstLine="560"/>
        <w:rPr>
          <w:sz w:val="28"/>
        </w:rPr>
      </w:pPr>
      <w:r w:rsidRPr="0061142D">
        <w:rPr>
          <w:sz w:val="28"/>
        </w:rPr>
        <w:t>2</w:t>
      </w:r>
      <w:r w:rsidRPr="0061142D">
        <w:rPr>
          <w:rFonts w:hAnsi="宋体"/>
          <w:sz w:val="28"/>
        </w:rPr>
        <w:t>、变更后的</w:t>
      </w:r>
      <w:r w:rsidRPr="0061142D">
        <w:rPr>
          <w:sz w:val="28"/>
        </w:rPr>
        <w:t>“</w:t>
      </w:r>
      <w:r w:rsidRPr="0061142D">
        <w:rPr>
          <w:rFonts w:hAnsi="宋体"/>
          <w:sz w:val="28"/>
        </w:rPr>
        <w:t>交银施罗德稳固收益债券型证券投资基金</w:t>
      </w:r>
      <w:r w:rsidRPr="0061142D">
        <w:rPr>
          <w:sz w:val="28"/>
        </w:rPr>
        <w:t>”</w:t>
      </w:r>
      <w:r w:rsidRPr="0061142D">
        <w:rPr>
          <w:rFonts w:hAnsi="宋体"/>
          <w:sz w:val="28"/>
        </w:rPr>
        <w:t>的投资范围</w:t>
      </w:r>
    </w:p>
    <w:p w:rsidR="009C2EF9" w:rsidRPr="0061142D" w:rsidRDefault="009C2EF9" w:rsidP="00EE5132">
      <w:pPr>
        <w:adjustRightInd w:val="0"/>
        <w:snapToGrid w:val="0"/>
        <w:spacing w:line="360" w:lineRule="auto"/>
        <w:ind w:firstLineChars="200" w:firstLine="560"/>
        <w:rPr>
          <w:sz w:val="28"/>
        </w:rPr>
      </w:pPr>
      <w:r w:rsidRPr="0061142D">
        <w:rPr>
          <w:rFonts w:hAnsi="宋体"/>
          <w:sz w:val="28"/>
        </w:rPr>
        <w:t>本基金变更为</w:t>
      </w:r>
      <w:r w:rsidRPr="0061142D">
        <w:rPr>
          <w:sz w:val="28"/>
        </w:rPr>
        <w:t>“</w:t>
      </w:r>
      <w:r w:rsidRPr="0061142D">
        <w:rPr>
          <w:rFonts w:hAnsi="宋体"/>
          <w:sz w:val="28"/>
        </w:rPr>
        <w:t>交银施罗德稳固收益债券型证券投资基金</w:t>
      </w:r>
      <w:r w:rsidRPr="0061142D">
        <w:rPr>
          <w:sz w:val="28"/>
        </w:rPr>
        <w:t>”</w:t>
      </w:r>
      <w:r w:rsidRPr="0061142D">
        <w:rPr>
          <w:rFonts w:hAnsi="宋体"/>
          <w:sz w:val="28"/>
        </w:rPr>
        <w:t>后，投资范围为具有良好流动性的金融工具，包括国内依法公开发行交易的债券、股票（包括中小板、创业板及其他经中国证监会核准上市的股票）、货币市场工具、权证以及法律法规或中国证监会允许基金投资的其他金融工具，但需符合中国证监会的相关规定。</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sz w:val="28"/>
        </w:rPr>
        <w:t>如法律法规或监管机构以后允许基金投资的其他品种，基金管理人在履行适当程序后，可以将其纳入投资范围。</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sz w:val="28"/>
        </w:rPr>
        <w:t>该基金的配置比例为固定收益类资产占基金资产的比例不低于</w:t>
      </w:r>
      <w:r w:rsidRPr="0061142D">
        <w:rPr>
          <w:sz w:val="28"/>
        </w:rPr>
        <w:t>80%</w:t>
      </w:r>
      <w:r w:rsidRPr="0061142D">
        <w:rPr>
          <w:rFonts w:hAnsi="宋体"/>
          <w:sz w:val="28"/>
        </w:rPr>
        <w:t>，固定收益类资产包括国债、金融债、央行票据、地方政府债、企业债券、公司债券、</w:t>
      </w:r>
      <w:r w:rsidR="00302D6E" w:rsidRPr="0061142D">
        <w:rPr>
          <w:rFonts w:hAnsi="宋体"/>
          <w:sz w:val="28"/>
        </w:rPr>
        <w:t>中期票据、</w:t>
      </w:r>
      <w:r w:rsidRPr="0061142D">
        <w:rPr>
          <w:rFonts w:hAnsi="宋体"/>
          <w:sz w:val="28"/>
        </w:rPr>
        <w:t>短期融资券、可转换债券（含分离交易的可转换公司债券）、资产支持证券、次级债、债券回购等金融工具；股票、权证等权益类资产占基金资产的比例不高于</w:t>
      </w:r>
      <w:r w:rsidRPr="0061142D">
        <w:rPr>
          <w:sz w:val="28"/>
        </w:rPr>
        <w:t>20%</w:t>
      </w:r>
      <w:r w:rsidRPr="0061142D">
        <w:rPr>
          <w:rFonts w:hAnsi="宋体"/>
          <w:sz w:val="28"/>
        </w:rPr>
        <w:t>；现金或到期日在一年以内的政府债券的投资比例合计不低于基金资产净值的</w:t>
      </w:r>
      <w:r w:rsidRPr="0061142D">
        <w:rPr>
          <w:sz w:val="28"/>
        </w:rPr>
        <w:t>5%</w:t>
      </w:r>
      <w:r w:rsidRPr="0061142D">
        <w:rPr>
          <w:rFonts w:hAnsi="宋体"/>
          <w:sz w:val="28"/>
        </w:rPr>
        <w:t>，该基金持有的全部权证，其市值不得超过基金资产净值的</w:t>
      </w:r>
      <w:r w:rsidRPr="0061142D">
        <w:rPr>
          <w:sz w:val="28"/>
        </w:rPr>
        <w:t>3%</w:t>
      </w:r>
      <w:r w:rsidRPr="0061142D">
        <w:rPr>
          <w:rFonts w:hAnsi="宋体"/>
          <w:sz w:val="28"/>
        </w:rPr>
        <w:t>。</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（二）基金托管人根据有关法律法规的规定及基金合同的约定，对基金投资、融资、融券比例进行监督。基金托管人按下述比例和调</w:t>
      </w:r>
      <w:r w:rsidRPr="0061142D">
        <w:rPr>
          <w:rFonts w:hAnsi="宋体"/>
          <w:color w:val="000000"/>
          <w:sz w:val="28"/>
        </w:rPr>
        <w:lastRenderedPageBreak/>
        <w:t>整期限进行监督：</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I</w:t>
      </w:r>
      <w:r w:rsidRPr="0061142D">
        <w:rPr>
          <w:rFonts w:hAnsi="宋体"/>
          <w:color w:val="000000"/>
          <w:sz w:val="28"/>
        </w:rPr>
        <w:t>、保本周期内的投资比例限制：</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、本基金持有一家上市公司的股票，其市值不超过基金资产净值的</w:t>
      </w:r>
      <w:r w:rsidRPr="0061142D">
        <w:rPr>
          <w:color w:val="000000"/>
          <w:sz w:val="28"/>
        </w:rPr>
        <w:t>10%</w:t>
      </w:r>
      <w:r w:rsidRPr="0061142D">
        <w:rPr>
          <w:rFonts w:hAnsi="宋体"/>
          <w:color w:val="000000"/>
          <w:sz w:val="28"/>
        </w:rPr>
        <w:t>；</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、本基金与本基金管理人管理的其他基金持有一家公司发行的证券，其市值不超过该证券的</w:t>
      </w:r>
      <w:r w:rsidRPr="0061142D">
        <w:rPr>
          <w:color w:val="000000"/>
          <w:sz w:val="28"/>
        </w:rPr>
        <w:t>10%</w:t>
      </w:r>
      <w:r w:rsidRPr="0061142D">
        <w:rPr>
          <w:rFonts w:hAnsi="宋体"/>
          <w:color w:val="000000"/>
          <w:sz w:val="28"/>
        </w:rPr>
        <w:t>；</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、进入全国银行间同业市场进行债券回购的资金余额不超过基金资产净值的</w:t>
      </w:r>
      <w:r w:rsidRPr="0061142D">
        <w:rPr>
          <w:color w:val="000000"/>
          <w:sz w:val="28"/>
        </w:rPr>
        <w:t>40%</w:t>
      </w:r>
      <w:r w:rsidRPr="0061142D">
        <w:rPr>
          <w:rFonts w:hAnsi="宋体"/>
          <w:color w:val="000000"/>
          <w:sz w:val="28"/>
        </w:rPr>
        <w:t>，债券回购最长期限为</w:t>
      </w:r>
      <w:r w:rsidRPr="0061142D">
        <w:rPr>
          <w:color w:val="000000"/>
          <w:sz w:val="28"/>
        </w:rPr>
        <w:t>1</w:t>
      </w:r>
      <w:r w:rsidRPr="0061142D">
        <w:rPr>
          <w:rFonts w:hAnsi="宋体"/>
          <w:color w:val="000000"/>
          <w:sz w:val="28"/>
        </w:rPr>
        <w:t>年，债券回购到期后不得展期</w:t>
      </w:r>
      <w:r w:rsidRPr="0061142D">
        <w:rPr>
          <w:color w:val="000000"/>
          <w:kern w:val="0"/>
          <w:sz w:val="28"/>
        </w:rPr>
        <w:t>；</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、本基金参与股票发行申购，本基金所申报的金额不超过本基金的总资产，本基金所申报的股票数量不超过拟发行股票公司本次发行股票的总量；</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5</w:t>
      </w:r>
      <w:r w:rsidRPr="0061142D">
        <w:rPr>
          <w:rFonts w:hAnsi="宋体"/>
          <w:color w:val="000000"/>
          <w:sz w:val="28"/>
        </w:rPr>
        <w:t>、本基金在任何交易日买入权证的总金额，不得超过上一交易日基金资产净值的</w:t>
      </w:r>
      <w:r w:rsidRPr="0061142D">
        <w:rPr>
          <w:color w:val="000000"/>
          <w:sz w:val="28"/>
        </w:rPr>
        <w:t>5‰</w:t>
      </w:r>
      <w:r w:rsidRPr="0061142D">
        <w:rPr>
          <w:rFonts w:hAnsi="宋体"/>
          <w:color w:val="000000"/>
          <w:sz w:val="28"/>
        </w:rPr>
        <w:t>；本基金持有的全部权证，其市值不得超过基金资产净值的</w:t>
      </w:r>
      <w:r w:rsidRPr="0061142D">
        <w:rPr>
          <w:color w:val="000000"/>
          <w:sz w:val="28"/>
        </w:rPr>
        <w:t>3</w:t>
      </w:r>
      <w:r w:rsidR="00B138D3" w:rsidRPr="0061142D">
        <w:rPr>
          <w:color w:val="000000"/>
          <w:sz w:val="28"/>
        </w:rPr>
        <w:t>%</w:t>
      </w:r>
      <w:r w:rsidRPr="0061142D">
        <w:rPr>
          <w:rFonts w:hAnsi="宋体"/>
          <w:color w:val="000000"/>
          <w:sz w:val="28"/>
        </w:rPr>
        <w:t>；本基金与本基金管理人管理的其他基金持有的同一权证，不得超过该权证的</w:t>
      </w:r>
      <w:r w:rsidRPr="0061142D">
        <w:rPr>
          <w:color w:val="000000"/>
          <w:sz w:val="28"/>
        </w:rPr>
        <w:t>10</w:t>
      </w:r>
      <w:r w:rsidR="00B138D3" w:rsidRPr="0061142D">
        <w:rPr>
          <w:color w:val="000000"/>
          <w:sz w:val="28"/>
        </w:rPr>
        <w:t>%</w:t>
      </w:r>
      <w:r w:rsidRPr="0061142D">
        <w:rPr>
          <w:rFonts w:hAnsi="宋体"/>
          <w:color w:val="000000"/>
          <w:sz w:val="28"/>
        </w:rPr>
        <w:t>；</w:t>
      </w:r>
    </w:p>
    <w:p w:rsidR="009C2EF9" w:rsidRPr="0061142D" w:rsidRDefault="009C2EF9" w:rsidP="00EE5132">
      <w:pPr>
        <w:adjustRightInd w:val="0"/>
        <w:snapToGrid w:val="0"/>
        <w:spacing w:line="360" w:lineRule="auto"/>
        <w:ind w:firstLineChars="200" w:firstLine="560"/>
        <w:rPr>
          <w:sz w:val="28"/>
        </w:rPr>
      </w:pPr>
      <w:r w:rsidRPr="0061142D">
        <w:rPr>
          <w:color w:val="000000"/>
          <w:sz w:val="28"/>
        </w:rPr>
        <w:t>6</w:t>
      </w:r>
      <w:r w:rsidRPr="0061142D">
        <w:rPr>
          <w:rFonts w:hAnsi="宋体"/>
          <w:color w:val="000000"/>
          <w:sz w:val="28"/>
        </w:rPr>
        <w:t>、</w:t>
      </w:r>
      <w:r w:rsidRPr="0061142D">
        <w:rPr>
          <w:rFonts w:hAnsi="宋体"/>
          <w:sz w:val="28"/>
        </w:rPr>
        <w:t>本基金持有的同一（指同一信用级别）资产支持证券的比例，不得超过该资产支持证券规模的</w:t>
      </w:r>
      <w:r w:rsidRPr="0061142D">
        <w:rPr>
          <w:sz w:val="28"/>
        </w:rPr>
        <w:t>10%</w:t>
      </w:r>
      <w:r w:rsidRPr="0061142D">
        <w:rPr>
          <w:rFonts w:hAnsi="宋体"/>
          <w:sz w:val="28"/>
        </w:rPr>
        <w:t>；本基金投资于同一原始权益人的各类资产支持证券的比例，不得超过本基金资产净值的</w:t>
      </w:r>
      <w:r w:rsidRPr="0061142D">
        <w:rPr>
          <w:sz w:val="28"/>
        </w:rPr>
        <w:t>10%</w:t>
      </w:r>
      <w:r w:rsidRPr="0061142D">
        <w:rPr>
          <w:rFonts w:hAnsi="宋体"/>
          <w:sz w:val="28"/>
        </w:rPr>
        <w:t>；本基金管理人管理的全部证券投资基金投资于同一原始权益人的各类资产支持证券，不得超过其各类资产支持证券合计规模的</w:t>
      </w:r>
      <w:r w:rsidRPr="0061142D">
        <w:rPr>
          <w:sz w:val="28"/>
        </w:rPr>
        <w:t>10%</w:t>
      </w:r>
      <w:r w:rsidRPr="0061142D">
        <w:rPr>
          <w:rFonts w:hAnsi="宋体"/>
          <w:sz w:val="28"/>
        </w:rPr>
        <w:t>；本基金持有的全部资产支持证券，其市值不得超过本基金资产净值的</w:t>
      </w:r>
      <w:r w:rsidRPr="0061142D">
        <w:rPr>
          <w:sz w:val="28"/>
        </w:rPr>
        <w:t>20%</w:t>
      </w:r>
      <w:r w:rsidRPr="0061142D">
        <w:rPr>
          <w:rFonts w:hAnsi="宋体"/>
          <w:sz w:val="28"/>
        </w:rPr>
        <w:t>；</w:t>
      </w:r>
    </w:p>
    <w:p w:rsidR="009C2EF9" w:rsidRPr="0061142D" w:rsidRDefault="009C2EF9" w:rsidP="00EE5132">
      <w:pPr>
        <w:adjustRightInd w:val="0"/>
        <w:snapToGrid w:val="0"/>
        <w:spacing w:line="360" w:lineRule="auto"/>
        <w:ind w:firstLineChars="200" w:firstLine="560"/>
        <w:rPr>
          <w:sz w:val="28"/>
        </w:rPr>
      </w:pPr>
      <w:r w:rsidRPr="0061142D">
        <w:rPr>
          <w:sz w:val="28"/>
        </w:rPr>
        <w:t>7</w:t>
      </w:r>
      <w:r w:rsidRPr="0061142D">
        <w:rPr>
          <w:rFonts w:hAnsi="宋体"/>
          <w:sz w:val="28"/>
        </w:rPr>
        <w:t>、保持不低于基金资产净值</w:t>
      </w:r>
      <w:r w:rsidRPr="0061142D">
        <w:rPr>
          <w:sz w:val="28"/>
        </w:rPr>
        <w:t>5%</w:t>
      </w:r>
      <w:r w:rsidRPr="0061142D">
        <w:rPr>
          <w:rFonts w:hAnsi="宋体"/>
          <w:sz w:val="28"/>
        </w:rPr>
        <w:t>的现金或者到期日在一年以内的政府债券；</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8</w:t>
      </w:r>
      <w:r w:rsidRPr="0061142D">
        <w:rPr>
          <w:rFonts w:hAnsi="宋体"/>
          <w:color w:val="000000"/>
          <w:sz w:val="28"/>
        </w:rPr>
        <w:t>、本基金不得违反基金合同中有关投资范围、投资策略、投资</w:t>
      </w:r>
      <w:r w:rsidRPr="0061142D">
        <w:rPr>
          <w:rFonts w:hAnsi="宋体"/>
          <w:color w:val="000000"/>
          <w:sz w:val="28"/>
        </w:rPr>
        <w:lastRenderedPageBreak/>
        <w:t>比例的规定；</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9</w:t>
      </w:r>
      <w:r w:rsidRPr="0061142D">
        <w:rPr>
          <w:rFonts w:hAnsi="宋体"/>
          <w:color w:val="000000"/>
          <w:sz w:val="28"/>
        </w:rPr>
        <w:t>、</w:t>
      </w:r>
      <w:r w:rsidRPr="0061142D">
        <w:rPr>
          <w:rFonts w:hAnsi="宋体"/>
          <w:sz w:val="28"/>
        </w:rPr>
        <w:t>本基金应投资于信用级别评级为</w:t>
      </w:r>
      <w:r w:rsidRPr="0061142D">
        <w:rPr>
          <w:sz w:val="28"/>
        </w:rPr>
        <w:t>BBB</w:t>
      </w:r>
      <w:r w:rsidRPr="0061142D">
        <w:rPr>
          <w:rFonts w:hAnsi="宋体"/>
          <w:sz w:val="28"/>
        </w:rPr>
        <w:t>以上</w:t>
      </w:r>
      <w:r w:rsidRPr="0061142D">
        <w:rPr>
          <w:sz w:val="28"/>
        </w:rPr>
        <w:t>(</w:t>
      </w:r>
      <w:r w:rsidRPr="0061142D">
        <w:rPr>
          <w:rFonts w:hAnsi="宋体"/>
          <w:sz w:val="28"/>
        </w:rPr>
        <w:t>含</w:t>
      </w:r>
      <w:r w:rsidRPr="0061142D">
        <w:rPr>
          <w:sz w:val="28"/>
        </w:rPr>
        <w:t>BBB)</w:t>
      </w:r>
      <w:r w:rsidRPr="0061142D">
        <w:rPr>
          <w:rFonts w:hAnsi="宋体"/>
          <w:sz w:val="28"/>
        </w:rPr>
        <w:t>的资产支持证券。基金持有资产支持证券期间，如果其信用等级下降、不再符合投资标准，应在评级报告发布之日起</w:t>
      </w:r>
      <w:r w:rsidRPr="0061142D">
        <w:rPr>
          <w:sz w:val="28"/>
        </w:rPr>
        <w:t>3</w:t>
      </w:r>
      <w:r w:rsidRPr="0061142D">
        <w:rPr>
          <w:rFonts w:hAnsi="宋体"/>
          <w:sz w:val="28"/>
        </w:rPr>
        <w:t>个月内予以全部卖出；</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10</w:t>
      </w:r>
      <w:r w:rsidRPr="0061142D">
        <w:rPr>
          <w:rFonts w:hAnsi="宋体"/>
          <w:color w:val="000000"/>
          <w:sz w:val="28"/>
        </w:rPr>
        <w:t>、本基金参与股指期货交易应当符合基金合同约定的保本策略和投资目标；本基金在每个交易日日终所持有的股票、权证市值和买入、卖出股指期货合约价值，合计（轧差计算）不超过基金资产的</w:t>
      </w:r>
      <w:r w:rsidRPr="0061142D">
        <w:rPr>
          <w:color w:val="000000"/>
          <w:sz w:val="28"/>
        </w:rPr>
        <w:t>40%</w:t>
      </w:r>
      <w:r w:rsidRPr="0061142D">
        <w:rPr>
          <w:rFonts w:hAnsi="宋体"/>
          <w:color w:val="000000"/>
          <w:sz w:val="28"/>
        </w:rPr>
        <w:t>；本基金每日所持期货合约及有价证券的最大可能损失不得超过基金净资产扣除用于保本部分资产后的余额；</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11</w:t>
      </w:r>
      <w:r w:rsidRPr="0061142D">
        <w:rPr>
          <w:rFonts w:hAnsi="宋体"/>
          <w:color w:val="000000"/>
          <w:sz w:val="28"/>
        </w:rPr>
        <w:t>、本基金持有的所有流通受限证券，其公允价值不得超过本基金资产净值的</w:t>
      </w:r>
      <w:r w:rsidRPr="0061142D">
        <w:rPr>
          <w:color w:val="000000"/>
          <w:sz w:val="28"/>
        </w:rPr>
        <w:t>15%</w:t>
      </w:r>
      <w:r w:rsidRPr="0061142D">
        <w:rPr>
          <w:rFonts w:hAnsi="宋体"/>
          <w:color w:val="000000"/>
          <w:sz w:val="28"/>
        </w:rPr>
        <w:t>；本基金持有的同一流通受限证券，其公允价值不得超过本基金资产净值的</w:t>
      </w:r>
      <w:r w:rsidRPr="0061142D">
        <w:rPr>
          <w:color w:val="000000"/>
          <w:sz w:val="28"/>
        </w:rPr>
        <w:t>2%</w:t>
      </w:r>
      <w:r w:rsidRPr="0061142D">
        <w:rPr>
          <w:rFonts w:hAnsi="宋体"/>
          <w:color w:val="000000"/>
          <w:sz w:val="28"/>
        </w:rPr>
        <w:t>；</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12</w:t>
      </w:r>
      <w:r w:rsidRPr="0061142D">
        <w:rPr>
          <w:rFonts w:hAnsi="宋体"/>
          <w:color w:val="000000"/>
          <w:sz w:val="28"/>
        </w:rPr>
        <w:t>、</w:t>
      </w:r>
      <w:r w:rsidRPr="0061142D">
        <w:rPr>
          <w:rFonts w:hAnsi="宋体"/>
          <w:kern w:val="0"/>
          <w:sz w:val="28"/>
        </w:rPr>
        <w:t>法律法规或监管部门对上述比例限制另有规定的，从其规定。</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因证券、期货市场波动、上市公司合并、基金规模变动等基金管理人之外的因素致使基金投资比例不符合上述规定的投资比例的，基金管理人应当在</w:t>
      </w:r>
      <w:r w:rsidRPr="0061142D">
        <w:rPr>
          <w:color w:val="000000"/>
          <w:sz w:val="28"/>
        </w:rPr>
        <w:t>10</w:t>
      </w:r>
      <w:r w:rsidRPr="0061142D">
        <w:rPr>
          <w:rFonts w:hAnsi="宋体"/>
          <w:color w:val="000000"/>
          <w:sz w:val="28"/>
        </w:rPr>
        <w:t>个交易日内进行调整，法律法规另有规定的从其规定。</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基金管理人应当自基金合同生效之日起</w:t>
      </w:r>
      <w:r w:rsidRPr="0061142D">
        <w:rPr>
          <w:color w:val="000000"/>
          <w:sz w:val="28"/>
        </w:rPr>
        <w:t>6</w:t>
      </w:r>
      <w:r w:rsidRPr="0061142D">
        <w:rPr>
          <w:rFonts w:hAnsi="宋体"/>
          <w:color w:val="000000"/>
          <w:sz w:val="28"/>
        </w:rPr>
        <w:t>个月内使基金的投资组合比例符合基金合同的有关约定。</w:t>
      </w:r>
      <w:r w:rsidRPr="0061142D">
        <w:rPr>
          <w:rFonts w:hAnsi="宋体"/>
          <w:color w:val="000000"/>
          <w:kern w:val="0"/>
          <w:sz w:val="28"/>
        </w:rPr>
        <w:t>法律法规或监管部门另有规定的，从其规定。</w:t>
      </w:r>
    </w:p>
    <w:p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托管人对基金投资的监督和检查自基金合同生效之日起开始。如果法律法规或监管部门对上述投资组合比例限制进行变更的，以变更后的规定为准；当法律法规或监管部门取消上述限制，如适用于本基金，基金管理人在履行适当程序后，本基金投资可不受上述规定限制。</w:t>
      </w:r>
    </w:p>
    <w:p w:rsidR="009C2EF9" w:rsidRPr="0061142D" w:rsidRDefault="009C2EF9" w:rsidP="00EE5132">
      <w:pPr>
        <w:adjustRightInd w:val="0"/>
        <w:snapToGrid w:val="0"/>
        <w:spacing w:line="360" w:lineRule="auto"/>
        <w:ind w:firstLineChars="200" w:firstLine="560"/>
        <w:rPr>
          <w:sz w:val="28"/>
        </w:rPr>
      </w:pPr>
      <w:r w:rsidRPr="0061142D">
        <w:rPr>
          <w:sz w:val="28"/>
        </w:rPr>
        <w:lastRenderedPageBreak/>
        <w:t>II</w:t>
      </w:r>
      <w:r w:rsidRPr="0061142D">
        <w:rPr>
          <w:rFonts w:hAnsi="宋体"/>
          <w:sz w:val="28"/>
        </w:rPr>
        <w:t>、变更后的</w:t>
      </w:r>
      <w:r w:rsidRPr="0061142D">
        <w:rPr>
          <w:sz w:val="28"/>
        </w:rPr>
        <w:t>“</w:t>
      </w:r>
      <w:r w:rsidRPr="0061142D">
        <w:rPr>
          <w:rFonts w:hAnsi="宋体"/>
          <w:sz w:val="28"/>
        </w:rPr>
        <w:t>交银施罗德稳固收益债券型证券投资基金</w:t>
      </w:r>
      <w:r w:rsidRPr="0061142D">
        <w:rPr>
          <w:sz w:val="28"/>
        </w:rPr>
        <w:t>”</w:t>
      </w:r>
      <w:r w:rsidRPr="0061142D">
        <w:rPr>
          <w:rFonts w:hAnsi="宋体"/>
          <w:sz w:val="28"/>
        </w:rPr>
        <w:t>（以下简称</w:t>
      </w:r>
      <w:r w:rsidRPr="0061142D">
        <w:rPr>
          <w:sz w:val="28"/>
        </w:rPr>
        <w:t>“</w:t>
      </w:r>
      <w:r w:rsidRPr="0061142D">
        <w:rPr>
          <w:rFonts w:hAnsi="宋体"/>
          <w:sz w:val="28"/>
        </w:rPr>
        <w:t>该基金</w:t>
      </w:r>
      <w:r w:rsidRPr="0061142D">
        <w:rPr>
          <w:sz w:val="28"/>
        </w:rPr>
        <w:t>”</w:t>
      </w:r>
      <w:r w:rsidRPr="0061142D">
        <w:rPr>
          <w:rFonts w:hAnsi="宋体"/>
          <w:sz w:val="28"/>
        </w:rPr>
        <w:t>或</w:t>
      </w:r>
      <w:r w:rsidRPr="0061142D">
        <w:rPr>
          <w:sz w:val="28"/>
        </w:rPr>
        <w:t>“</w:t>
      </w:r>
      <w:r w:rsidRPr="0061142D">
        <w:rPr>
          <w:rFonts w:hAnsi="宋体"/>
          <w:sz w:val="28"/>
        </w:rPr>
        <w:t>该债券型基金</w:t>
      </w:r>
      <w:r w:rsidRPr="0061142D">
        <w:rPr>
          <w:sz w:val="28"/>
        </w:rPr>
        <w:t>”</w:t>
      </w:r>
      <w:r w:rsidRPr="0061142D">
        <w:rPr>
          <w:rFonts w:hAnsi="宋体"/>
          <w:sz w:val="28"/>
        </w:rPr>
        <w:t>）的投资比例限制</w:t>
      </w:r>
    </w:p>
    <w:p w:rsidR="009C2EF9" w:rsidRPr="0061142D" w:rsidRDefault="009C2EF9" w:rsidP="00EE5132">
      <w:pPr>
        <w:adjustRightInd w:val="0"/>
        <w:snapToGrid w:val="0"/>
        <w:spacing w:line="360" w:lineRule="auto"/>
        <w:ind w:firstLineChars="200" w:firstLine="560"/>
        <w:rPr>
          <w:sz w:val="28"/>
        </w:rPr>
      </w:pPr>
      <w:r w:rsidRPr="0061142D">
        <w:rPr>
          <w:sz w:val="28"/>
        </w:rPr>
        <w:t>1</w:t>
      </w:r>
      <w:r w:rsidRPr="0061142D">
        <w:rPr>
          <w:rFonts w:hAnsi="宋体"/>
          <w:sz w:val="28"/>
        </w:rPr>
        <w:t>、该基金持有一家上市公司的股票，其市值不超过基金资产净值的</w:t>
      </w:r>
      <w:r w:rsidRPr="0061142D">
        <w:rPr>
          <w:sz w:val="28"/>
        </w:rPr>
        <w:t>10</w:t>
      </w:r>
      <w:r w:rsidR="00B138D3" w:rsidRPr="0061142D">
        <w:rPr>
          <w:color w:val="000000"/>
          <w:sz w:val="28"/>
        </w:rPr>
        <w:t>%</w:t>
      </w:r>
      <w:r w:rsidRPr="0061142D">
        <w:rPr>
          <w:rFonts w:hAnsi="宋体"/>
          <w:sz w:val="28"/>
        </w:rPr>
        <w:t>；</w:t>
      </w:r>
    </w:p>
    <w:p w:rsidR="009C2EF9" w:rsidRPr="0061142D" w:rsidRDefault="009C2EF9" w:rsidP="00EE5132">
      <w:pPr>
        <w:adjustRightInd w:val="0"/>
        <w:snapToGrid w:val="0"/>
        <w:spacing w:line="360" w:lineRule="auto"/>
        <w:ind w:firstLineChars="200" w:firstLine="560"/>
        <w:rPr>
          <w:sz w:val="28"/>
        </w:rPr>
      </w:pPr>
      <w:r w:rsidRPr="0061142D">
        <w:rPr>
          <w:sz w:val="28"/>
        </w:rPr>
        <w:t>2</w:t>
      </w:r>
      <w:r w:rsidRPr="0061142D">
        <w:rPr>
          <w:rFonts w:hAnsi="宋体"/>
          <w:sz w:val="28"/>
        </w:rPr>
        <w:t>、</w:t>
      </w:r>
      <w:r w:rsidR="00C91C80" w:rsidRPr="0061142D">
        <w:rPr>
          <w:rFonts w:hAnsi="宋体"/>
          <w:sz w:val="28"/>
        </w:rPr>
        <w:t>该</w:t>
      </w:r>
      <w:r w:rsidRPr="0061142D">
        <w:rPr>
          <w:rFonts w:hAnsi="宋体"/>
          <w:sz w:val="28"/>
        </w:rPr>
        <w:t>基金管理人管理的全部基金持有一家公司发行的证券，不超过该证券的</w:t>
      </w:r>
      <w:r w:rsidRPr="0061142D">
        <w:rPr>
          <w:sz w:val="28"/>
        </w:rPr>
        <w:t>10</w:t>
      </w:r>
      <w:r w:rsidR="00B138D3" w:rsidRPr="0061142D">
        <w:rPr>
          <w:color w:val="000000"/>
          <w:sz w:val="28"/>
        </w:rPr>
        <w:t>%</w:t>
      </w:r>
      <w:r w:rsidRPr="0061142D">
        <w:rPr>
          <w:rFonts w:hAnsi="宋体"/>
          <w:sz w:val="28"/>
        </w:rPr>
        <w:t>；</w:t>
      </w:r>
    </w:p>
    <w:p w:rsidR="009C2EF9" w:rsidRPr="0061142D" w:rsidRDefault="009C2EF9" w:rsidP="00EE5132">
      <w:pPr>
        <w:adjustRightInd w:val="0"/>
        <w:snapToGrid w:val="0"/>
        <w:spacing w:line="360" w:lineRule="auto"/>
        <w:ind w:firstLineChars="200" w:firstLine="560"/>
        <w:rPr>
          <w:sz w:val="28"/>
        </w:rPr>
      </w:pPr>
      <w:r w:rsidRPr="0061142D">
        <w:rPr>
          <w:sz w:val="28"/>
        </w:rPr>
        <w:t>3</w:t>
      </w:r>
      <w:r w:rsidRPr="0061142D">
        <w:rPr>
          <w:rFonts w:hAnsi="宋体"/>
          <w:sz w:val="28"/>
        </w:rPr>
        <w:t>、该基金进入全国银行间同业市场进行债券回购的资金余额不得超过基金资产净值的</w:t>
      </w:r>
      <w:r w:rsidRPr="0061142D">
        <w:rPr>
          <w:sz w:val="28"/>
        </w:rPr>
        <w:t>40</w:t>
      </w:r>
      <w:r w:rsidR="00B138D3" w:rsidRPr="0061142D">
        <w:rPr>
          <w:color w:val="000000"/>
          <w:sz w:val="28"/>
        </w:rPr>
        <w:t>%</w:t>
      </w:r>
      <w:r w:rsidR="006664A7">
        <w:rPr>
          <w:rFonts w:hint="eastAsia"/>
          <w:sz w:val="28"/>
        </w:rPr>
        <w:t>，</w:t>
      </w:r>
      <w:r w:rsidR="00302D6E" w:rsidRPr="0061142D">
        <w:rPr>
          <w:rFonts w:hAnsi="宋体"/>
          <w:sz w:val="28"/>
        </w:rPr>
        <w:t>债券回购最长期限为</w:t>
      </w:r>
      <w:r w:rsidR="00302D6E" w:rsidRPr="0061142D">
        <w:rPr>
          <w:sz w:val="28"/>
        </w:rPr>
        <w:t>1</w:t>
      </w:r>
      <w:r w:rsidR="00302D6E" w:rsidRPr="0061142D">
        <w:rPr>
          <w:rFonts w:hAnsi="宋体"/>
          <w:sz w:val="28"/>
        </w:rPr>
        <w:t>年，债券回购到期后不得展期</w:t>
      </w:r>
      <w:r w:rsidRPr="0061142D">
        <w:rPr>
          <w:rFonts w:hAnsi="宋体"/>
          <w:sz w:val="28"/>
        </w:rPr>
        <w:t>；</w:t>
      </w:r>
    </w:p>
    <w:p w:rsidR="009C2EF9" w:rsidRPr="0061142D" w:rsidRDefault="009C2EF9" w:rsidP="00EE5132">
      <w:pPr>
        <w:adjustRightInd w:val="0"/>
        <w:snapToGrid w:val="0"/>
        <w:spacing w:line="360" w:lineRule="auto"/>
        <w:ind w:firstLineChars="200" w:firstLine="560"/>
        <w:rPr>
          <w:color w:val="000000"/>
          <w:sz w:val="28"/>
        </w:rPr>
      </w:pPr>
      <w:r w:rsidRPr="0061142D">
        <w:rPr>
          <w:sz w:val="28"/>
        </w:rPr>
        <w:t>4</w:t>
      </w:r>
      <w:r w:rsidRPr="0061142D">
        <w:rPr>
          <w:rFonts w:hAnsi="宋体"/>
          <w:sz w:val="28"/>
        </w:rPr>
        <w:t>、</w:t>
      </w:r>
      <w:r w:rsidRPr="0061142D">
        <w:rPr>
          <w:rFonts w:hAnsi="宋体"/>
          <w:color w:val="000000"/>
          <w:sz w:val="28"/>
        </w:rPr>
        <w:t>该基金参与股票发行申购，该基金所申报的金额不超过本基金的总资产，该基金所申报的股票数量不超过拟发行股票公司本次发行股票的总量；</w:t>
      </w:r>
    </w:p>
    <w:p w:rsidR="009C2EF9" w:rsidRPr="0061142D" w:rsidRDefault="009C2EF9" w:rsidP="00EE5132">
      <w:pPr>
        <w:adjustRightInd w:val="0"/>
        <w:snapToGrid w:val="0"/>
        <w:spacing w:line="360" w:lineRule="auto"/>
        <w:ind w:firstLineChars="200" w:firstLine="560"/>
        <w:rPr>
          <w:sz w:val="28"/>
        </w:rPr>
      </w:pPr>
      <w:r w:rsidRPr="0061142D">
        <w:rPr>
          <w:color w:val="000000"/>
          <w:sz w:val="28"/>
        </w:rPr>
        <w:t>5</w:t>
      </w:r>
      <w:r w:rsidRPr="0061142D">
        <w:rPr>
          <w:rFonts w:hAnsi="宋体"/>
          <w:color w:val="000000"/>
          <w:sz w:val="28"/>
        </w:rPr>
        <w:t>、该基金在任何交易日买入权证的总金额，不得超过上一交易日基金资产净值的</w:t>
      </w:r>
      <w:r w:rsidRPr="0061142D">
        <w:rPr>
          <w:color w:val="000000"/>
          <w:sz w:val="28"/>
        </w:rPr>
        <w:t>5‰</w:t>
      </w:r>
      <w:r w:rsidRPr="0061142D">
        <w:rPr>
          <w:rFonts w:hAnsi="宋体"/>
          <w:color w:val="000000"/>
          <w:sz w:val="28"/>
        </w:rPr>
        <w:t>；该基金持有的全部权证，其市值不得超过基金资产净值的</w:t>
      </w:r>
      <w:r w:rsidRPr="0061142D">
        <w:rPr>
          <w:color w:val="000000"/>
          <w:sz w:val="28"/>
        </w:rPr>
        <w:t>3</w:t>
      </w:r>
      <w:r w:rsidR="00B138D3" w:rsidRPr="0061142D">
        <w:rPr>
          <w:color w:val="000000"/>
          <w:sz w:val="28"/>
        </w:rPr>
        <w:t>%</w:t>
      </w:r>
      <w:r w:rsidRPr="0061142D">
        <w:rPr>
          <w:rFonts w:hAnsi="宋体"/>
          <w:color w:val="000000"/>
          <w:sz w:val="28"/>
        </w:rPr>
        <w:t>；该基金与本基金管理人管理的其他基金持有的同一权证，不得超过该权证的</w:t>
      </w:r>
      <w:r w:rsidRPr="0061142D">
        <w:rPr>
          <w:color w:val="000000"/>
          <w:sz w:val="28"/>
        </w:rPr>
        <w:t>10</w:t>
      </w:r>
      <w:r w:rsidR="00B138D3" w:rsidRPr="0061142D">
        <w:rPr>
          <w:color w:val="000000"/>
          <w:sz w:val="28"/>
        </w:rPr>
        <w:t>%</w:t>
      </w:r>
      <w:r w:rsidRPr="0061142D">
        <w:rPr>
          <w:rFonts w:hAnsi="宋体"/>
          <w:color w:val="000000"/>
          <w:sz w:val="28"/>
        </w:rPr>
        <w:t>；</w:t>
      </w:r>
    </w:p>
    <w:p w:rsidR="009C2EF9" w:rsidRPr="0061142D" w:rsidRDefault="009C2EF9" w:rsidP="00EE5132">
      <w:pPr>
        <w:adjustRightInd w:val="0"/>
        <w:snapToGrid w:val="0"/>
        <w:spacing w:line="360" w:lineRule="auto"/>
        <w:ind w:firstLineChars="200" w:firstLine="560"/>
        <w:rPr>
          <w:sz w:val="28"/>
        </w:rPr>
      </w:pPr>
      <w:r w:rsidRPr="0061142D">
        <w:rPr>
          <w:sz w:val="28"/>
        </w:rPr>
        <w:t>6</w:t>
      </w:r>
      <w:r w:rsidRPr="0061142D">
        <w:rPr>
          <w:rFonts w:hAnsi="宋体"/>
          <w:sz w:val="28"/>
        </w:rPr>
        <w:t>、</w:t>
      </w:r>
      <w:r w:rsidRPr="0061142D">
        <w:rPr>
          <w:rFonts w:hAnsi="宋体"/>
          <w:color w:val="000000"/>
          <w:sz w:val="28"/>
        </w:rPr>
        <w:t>该</w:t>
      </w:r>
      <w:r w:rsidRPr="0061142D">
        <w:rPr>
          <w:rFonts w:hAnsi="宋体"/>
          <w:sz w:val="28"/>
        </w:rPr>
        <w:t>基金持有的同一</w:t>
      </w:r>
      <w:r w:rsidR="006664A7">
        <w:rPr>
          <w:rFonts w:hint="eastAsia"/>
          <w:sz w:val="28"/>
        </w:rPr>
        <w:t>（</w:t>
      </w:r>
      <w:r w:rsidRPr="0061142D">
        <w:rPr>
          <w:rFonts w:hAnsi="宋体"/>
          <w:sz w:val="28"/>
        </w:rPr>
        <w:t>指同一信用级别</w:t>
      </w:r>
      <w:r w:rsidR="006664A7">
        <w:rPr>
          <w:rFonts w:hint="eastAsia"/>
          <w:sz w:val="28"/>
        </w:rPr>
        <w:t>）</w:t>
      </w:r>
      <w:r w:rsidRPr="0061142D">
        <w:rPr>
          <w:rFonts w:hAnsi="宋体"/>
          <w:sz w:val="28"/>
        </w:rPr>
        <w:t>资产支持证券的比例，不得超过该资产支持证券规模的</w:t>
      </w:r>
      <w:r w:rsidRPr="0061142D">
        <w:rPr>
          <w:sz w:val="28"/>
        </w:rPr>
        <w:t>10</w:t>
      </w:r>
      <w:r w:rsidR="00B138D3" w:rsidRPr="0061142D">
        <w:rPr>
          <w:color w:val="000000"/>
          <w:sz w:val="28"/>
        </w:rPr>
        <w:t>%</w:t>
      </w:r>
      <w:r w:rsidRPr="0061142D">
        <w:rPr>
          <w:rFonts w:hAnsi="宋体"/>
          <w:sz w:val="28"/>
        </w:rPr>
        <w:t>；</w:t>
      </w:r>
      <w:r w:rsidRPr="0061142D">
        <w:rPr>
          <w:rFonts w:hAnsi="宋体"/>
          <w:color w:val="000000"/>
          <w:sz w:val="28"/>
        </w:rPr>
        <w:t>该</w:t>
      </w:r>
      <w:r w:rsidRPr="0061142D">
        <w:rPr>
          <w:rFonts w:hAnsi="宋体"/>
          <w:sz w:val="28"/>
        </w:rPr>
        <w:t>基金投资于同一原始权益人的各类资产支持证券的比例，不得超过基金资产净值的</w:t>
      </w:r>
      <w:r w:rsidRPr="0061142D">
        <w:rPr>
          <w:sz w:val="28"/>
        </w:rPr>
        <w:t>10</w:t>
      </w:r>
      <w:r w:rsidR="00B138D3" w:rsidRPr="0061142D">
        <w:rPr>
          <w:color w:val="000000"/>
          <w:sz w:val="28"/>
        </w:rPr>
        <w:t>%</w:t>
      </w:r>
      <w:r w:rsidRPr="0061142D">
        <w:rPr>
          <w:rFonts w:hAnsi="宋体"/>
          <w:sz w:val="28"/>
        </w:rPr>
        <w:t>；本基金管理人管理的全部证券投资基金投资于同一原始权益人的各类资产支持证券，不得超过其各类资产支持证券合计规模的</w:t>
      </w:r>
      <w:r w:rsidRPr="0061142D">
        <w:rPr>
          <w:sz w:val="28"/>
        </w:rPr>
        <w:t>10%</w:t>
      </w:r>
      <w:r w:rsidRPr="0061142D">
        <w:rPr>
          <w:rFonts w:hAnsi="宋体"/>
          <w:sz w:val="28"/>
        </w:rPr>
        <w:t>；</w:t>
      </w:r>
      <w:r w:rsidRPr="0061142D">
        <w:rPr>
          <w:rFonts w:hAnsi="宋体"/>
          <w:color w:val="000000"/>
          <w:sz w:val="28"/>
        </w:rPr>
        <w:t>该</w:t>
      </w:r>
      <w:r w:rsidRPr="0061142D">
        <w:rPr>
          <w:rFonts w:hAnsi="宋体"/>
          <w:sz w:val="28"/>
        </w:rPr>
        <w:t>基金持有的全部资产支持证券，其市值不得超过基金资产净值的</w:t>
      </w:r>
      <w:r w:rsidRPr="0061142D">
        <w:rPr>
          <w:sz w:val="28"/>
        </w:rPr>
        <w:t>20</w:t>
      </w:r>
      <w:r w:rsidR="00B138D3" w:rsidRPr="0061142D">
        <w:rPr>
          <w:color w:val="000000"/>
          <w:sz w:val="28"/>
        </w:rPr>
        <w:t>%</w:t>
      </w:r>
      <w:r w:rsidRPr="0061142D">
        <w:rPr>
          <w:rFonts w:hAnsi="宋体"/>
          <w:sz w:val="28"/>
        </w:rPr>
        <w:t>；</w:t>
      </w:r>
    </w:p>
    <w:p w:rsidR="009C2EF9" w:rsidRPr="0061142D" w:rsidRDefault="009C2EF9" w:rsidP="00EE5132">
      <w:pPr>
        <w:adjustRightInd w:val="0"/>
        <w:snapToGrid w:val="0"/>
        <w:spacing w:line="360" w:lineRule="auto"/>
        <w:ind w:firstLineChars="200" w:firstLine="560"/>
        <w:rPr>
          <w:sz w:val="28"/>
        </w:rPr>
      </w:pPr>
      <w:r w:rsidRPr="0061142D">
        <w:rPr>
          <w:sz w:val="28"/>
        </w:rPr>
        <w:t>7</w:t>
      </w:r>
      <w:r w:rsidRPr="0061142D">
        <w:rPr>
          <w:rFonts w:hAnsi="宋体"/>
          <w:sz w:val="28"/>
        </w:rPr>
        <w:t>、保持不低于基金资产净值</w:t>
      </w:r>
      <w:r w:rsidRPr="0061142D">
        <w:rPr>
          <w:sz w:val="28"/>
        </w:rPr>
        <w:t>5</w:t>
      </w:r>
      <w:r w:rsidR="00B138D3" w:rsidRPr="0061142D">
        <w:rPr>
          <w:color w:val="000000"/>
          <w:sz w:val="28"/>
        </w:rPr>
        <w:t>%</w:t>
      </w:r>
      <w:r w:rsidRPr="0061142D">
        <w:rPr>
          <w:rFonts w:hAnsi="宋体"/>
          <w:sz w:val="28"/>
        </w:rPr>
        <w:t>的现金或者到期日在一年以内的政府债券；</w:t>
      </w:r>
    </w:p>
    <w:p w:rsidR="009C2EF9" w:rsidRPr="0061142D" w:rsidRDefault="009C2EF9" w:rsidP="00EE5132">
      <w:pPr>
        <w:adjustRightInd w:val="0"/>
        <w:snapToGrid w:val="0"/>
        <w:spacing w:line="360" w:lineRule="auto"/>
        <w:ind w:firstLineChars="200" w:firstLine="560"/>
        <w:rPr>
          <w:color w:val="000000"/>
          <w:sz w:val="28"/>
        </w:rPr>
      </w:pPr>
      <w:r w:rsidRPr="0061142D">
        <w:rPr>
          <w:sz w:val="28"/>
        </w:rPr>
        <w:t>8</w:t>
      </w:r>
      <w:r w:rsidRPr="0061142D">
        <w:rPr>
          <w:rFonts w:hAnsi="宋体"/>
          <w:sz w:val="28"/>
        </w:rPr>
        <w:t>、</w:t>
      </w:r>
      <w:r w:rsidRPr="0061142D">
        <w:rPr>
          <w:rFonts w:hAnsi="宋体"/>
          <w:color w:val="000000"/>
          <w:sz w:val="28"/>
        </w:rPr>
        <w:t>该基金不得违反基金合同中有关投资范围、投资策略、投资</w:t>
      </w:r>
      <w:r w:rsidRPr="0061142D">
        <w:rPr>
          <w:rFonts w:hAnsi="宋体"/>
          <w:color w:val="000000"/>
          <w:sz w:val="28"/>
        </w:rPr>
        <w:lastRenderedPageBreak/>
        <w:t>比例的规定；</w:t>
      </w:r>
    </w:p>
    <w:p w:rsidR="009C2EF9" w:rsidRPr="0061142D" w:rsidRDefault="009C2EF9" w:rsidP="00EE5132">
      <w:pPr>
        <w:adjustRightInd w:val="0"/>
        <w:snapToGrid w:val="0"/>
        <w:spacing w:line="360" w:lineRule="auto"/>
        <w:ind w:firstLineChars="200" w:firstLine="560"/>
        <w:rPr>
          <w:sz w:val="28"/>
        </w:rPr>
      </w:pPr>
      <w:r w:rsidRPr="0061142D">
        <w:rPr>
          <w:sz w:val="28"/>
        </w:rPr>
        <w:t>9</w:t>
      </w:r>
      <w:r w:rsidRPr="0061142D">
        <w:rPr>
          <w:rFonts w:hAnsi="宋体"/>
          <w:sz w:val="28"/>
        </w:rPr>
        <w:t>、</w:t>
      </w:r>
      <w:r w:rsidRPr="0061142D">
        <w:rPr>
          <w:rFonts w:hAnsi="宋体"/>
          <w:color w:val="000000"/>
          <w:sz w:val="28"/>
        </w:rPr>
        <w:t>该</w:t>
      </w:r>
      <w:r w:rsidRPr="0061142D">
        <w:rPr>
          <w:rFonts w:hAnsi="宋体"/>
          <w:sz w:val="28"/>
        </w:rPr>
        <w:t>基金应投资于信用级别评级为</w:t>
      </w:r>
      <w:r w:rsidRPr="0061142D">
        <w:rPr>
          <w:sz w:val="28"/>
        </w:rPr>
        <w:t>BBB</w:t>
      </w:r>
      <w:r w:rsidRPr="0061142D">
        <w:rPr>
          <w:rFonts w:hAnsi="宋体"/>
          <w:sz w:val="28"/>
        </w:rPr>
        <w:t>以上</w:t>
      </w:r>
      <w:r w:rsidRPr="0061142D">
        <w:rPr>
          <w:sz w:val="28"/>
        </w:rPr>
        <w:t>(</w:t>
      </w:r>
      <w:r w:rsidRPr="0061142D">
        <w:rPr>
          <w:rFonts w:hAnsi="宋体"/>
          <w:sz w:val="28"/>
        </w:rPr>
        <w:t>含</w:t>
      </w:r>
      <w:r w:rsidRPr="0061142D">
        <w:rPr>
          <w:sz w:val="28"/>
        </w:rPr>
        <w:t>BBB)</w:t>
      </w:r>
      <w:r w:rsidRPr="0061142D">
        <w:rPr>
          <w:rFonts w:hAnsi="宋体"/>
          <w:sz w:val="28"/>
        </w:rPr>
        <w:t>的资产支持证券。基金持有资产支持证券期间，如果其信用等级下降、不再符合投资标准，应在评级报告发布之日起</w:t>
      </w:r>
      <w:r w:rsidRPr="0061142D">
        <w:rPr>
          <w:sz w:val="28"/>
        </w:rPr>
        <w:t>3</w:t>
      </w:r>
      <w:r w:rsidRPr="0061142D">
        <w:rPr>
          <w:rFonts w:hAnsi="宋体"/>
          <w:sz w:val="28"/>
        </w:rPr>
        <w:t>个月内予以全部卖出；</w:t>
      </w:r>
    </w:p>
    <w:p w:rsidR="009C2EF9" w:rsidRPr="0061142D" w:rsidRDefault="009C2EF9" w:rsidP="00EE5132">
      <w:pPr>
        <w:adjustRightInd w:val="0"/>
        <w:snapToGrid w:val="0"/>
        <w:spacing w:line="360" w:lineRule="auto"/>
        <w:ind w:firstLineChars="200" w:firstLine="560"/>
        <w:rPr>
          <w:sz w:val="28"/>
        </w:rPr>
      </w:pPr>
      <w:r w:rsidRPr="0061142D">
        <w:rPr>
          <w:sz w:val="28"/>
        </w:rPr>
        <w:t>10</w:t>
      </w:r>
      <w:r w:rsidRPr="0061142D">
        <w:rPr>
          <w:rFonts w:hAnsi="宋体"/>
          <w:sz w:val="28"/>
        </w:rPr>
        <w:t>、</w:t>
      </w:r>
      <w:r w:rsidRPr="0061142D">
        <w:rPr>
          <w:rFonts w:hAnsi="宋体"/>
          <w:color w:val="000000"/>
          <w:sz w:val="28"/>
        </w:rPr>
        <w:t>该</w:t>
      </w:r>
      <w:r w:rsidRPr="0061142D">
        <w:rPr>
          <w:rFonts w:hAnsi="宋体"/>
          <w:sz w:val="28"/>
        </w:rPr>
        <w:t>基金持有的所有流通受限证券，其公允价值不得超过本基金资产净值的</w:t>
      </w:r>
      <w:r w:rsidRPr="0061142D">
        <w:rPr>
          <w:sz w:val="28"/>
        </w:rPr>
        <w:t>15</w:t>
      </w:r>
      <w:r w:rsidR="00B138D3" w:rsidRPr="0061142D">
        <w:rPr>
          <w:color w:val="000000"/>
          <w:sz w:val="28"/>
        </w:rPr>
        <w:t>%</w:t>
      </w:r>
      <w:r w:rsidRPr="0061142D">
        <w:rPr>
          <w:rFonts w:hAnsi="宋体"/>
          <w:sz w:val="28"/>
        </w:rPr>
        <w:t>；</w:t>
      </w:r>
      <w:r w:rsidRPr="0061142D">
        <w:rPr>
          <w:rFonts w:hAnsi="宋体"/>
          <w:color w:val="000000"/>
          <w:sz w:val="28"/>
        </w:rPr>
        <w:t>该</w:t>
      </w:r>
      <w:r w:rsidRPr="0061142D">
        <w:rPr>
          <w:rFonts w:hAnsi="宋体"/>
          <w:sz w:val="28"/>
        </w:rPr>
        <w:t>基金持有的同一流通受限证券，其公允价值不得超过本基金资产净值的</w:t>
      </w:r>
      <w:r w:rsidRPr="0061142D">
        <w:rPr>
          <w:sz w:val="28"/>
        </w:rPr>
        <w:t>2</w:t>
      </w:r>
      <w:r w:rsidR="00B138D3" w:rsidRPr="0061142D">
        <w:rPr>
          <w:color w:val="000000"/>
          <w:sz w:val="28"/>
        </w:rPr>
        <w:t>%</w:t>
      </w:r>
      <w:r w:rsidRPr="0061142D">
        <w:rPr>
          <w:rFonts w:hAnsi="宋体"/>
          <w:sz w:val="28"/>
        </w:rPr>
        <w:t>；</w:t>
      </w:r>
    </w:p>
    <w:p w:rsidR="009C2EF9" w:rsidRPr="0061142D" w:rsidRDefault="009C2EF9" w:rsidP="00EE5132">
      <w:pPr>
        <w:adjustRightInd w:val="0"/>
        <w:snapToGrid w:val="0"/>
        <w:spacing w:line="360" w:lineRule="auto"/>
        <w:ind w:firstLineChars="200" w:firstLine="560"/>
        <w:rPr>
          <w:sz w:val="28"/>
        </w:rPr>
      </w:pPr>
      <w:r w:rsidRPr="0061142D">
        <w:rPr>
          <w:sz w:val="28"/>
        </w:rPr>
        <w:t>11</w:t>
      </w:r>
      <w:r w:rsidRPr="0061142D">
        <w:rPr>
          <w:rFonts w:hAnsi="宋体"/>
          <w:sz w:val="28"/>
        </w:rPr>
        <w:t>、法律法规以及监管部门规定的其他比例限制。</w:t>
      </w:r>
    </w:p>
    <w:p w:rsidR="009C2EF9" w:rsidRPr="0061142D" w:rsidRDefault="009C2EF9" w:rsidP="00EE5132">
      <w:pPr>
        <w:adjustRightInd w:val="0"/>
        <w:snapToGrid w:val="0"/>
        <w:spacing w:line="360" w:lineRule="auto"/>
        <w:ind w:firstLineChars="200" w:firstLine="560"/>
        <w:rPr>
          <w:sz w:val="28"/>
        </w:rPr>
      </w:pPr>
      <w:r w:rsidRPr="0061142D">
        <w:rPr>
          <w:rFonts w:hAnsi="宋体"/>
          <w:sz w:val="28"/>
        </w:rPr>
        <w:t>该债券型基金自变更之日起不超过</w:t>
      </w:r>
      <w:r w:rsidRPr="0061142D">
        <w:rPr>
          <w:sz w:val="28"/>
        </w:rPr>
        <w:t>3</w:t>
      </w:r>
      <w:r w:rsidRPr="0061142D">
        <w:rPr>
          <w:rFonts w:hAnsi="宋体"/>
          <w:sz w:val="28"/>
        </w:rPr>
        <w:t>个月的时间区间内为其投资转型期，投资转型期的具体起止日期由基金管理人确定并届时公告。基金管理人应当自投资转型期结束日起次个工作日使该债券型基金的投资组合比例符合基金合同的有关约定。</w:t>
      </w:r>
    </w:p>
    <w:p w:rsidR="009C2EF9" w:rsidRPr="0061142D" w:rsidRDefault="009C2EF9" w:rsidP="00EE5132">
      <w:pPr>
        <w:adjustRightInd w:val="0"/>
        <w:snapToGrid w:val="0"/>
        <w:spacing w:line="360" w:lineRule="auto"/>
        <w:ind w:firstLineChars="200" w:firstLine="560"/>
        <w:rPr>
          <w:sz w:val="28"/>
        </w:rPr>
      </w:pPr>
      <w:r w:rsidRPr="0061142D">
        <w:rPr>
          <w:rFonts w:hAnsi="宋体"/>
          <w:sz w:val="28"/>
        </w:rPr>
        <w:t>因证券市场波动、上市公司合并、基金规模变动、股权分置改革中支付对价等基金管理人之外的因素致使基金投资比例不符合上述规定投资比例的，基金管理人应当在</w:t>
      </w:r>
      <w:r w:rsidRPr="0061142D">
        <w:rPr>
          <w:sz w:val="28"/>
        </w:rPr>
        <w:t>10</w:t>
      </w:r>
      <w:r w:rsidRPr="0061142D">
        <w:rPr>
          <w:rFonts w:hAnsi="宋体"/>
          <w:sz w:val="28"/>
        </w:rPr>
        <w:t>个交易日内进行调整，法律法规另有规定的从其规定。</w:t>
      </w:r>
    </w:p>
    <w:p w:rsidR="009C2EF9" w:rsidRPr="0061142D" w:rsidRDefault="009C2EF9" w:rsidP="00EE5132">
      <w:pPr>
        <w:adjustRightInd w:val="0"/>
        <w:snapToGrid w:val="0"/>
        <w:spacing w:line="360" w:lineRule="auto"/>
        <w:ind w:firstLineChars="200" w:firstLine="560"/>
        <w:rPr>
          <w:sz w:val="28"/>
        </w:rPr>
      </w:pPr>
      <w:r w:rsidRPr="0061142D">
        <w:rPr>
          <w:rFonts w:hAnsi="宋体"/>
          <w:sz w:val="28"/>
        </w:rPr>
        <w:t>如果法律法规或监管部门对上述投资组合比例限制进行变更的，以变更后的规定为准。法律法规或监管部门取消上述限制，如适用于该债券型基金，基金管理人在履行适当程序后，则该债券型基金投资不再受相关限制。</w:t>
      </w:r>
    </w:p>
    <w:p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基金托管人对基金投资的监督和检查自基金合同生效之日起开始。</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（三）基金托管人</w:t>
      </w:r>
      <w:bookmarkStart w:id="5" w:name="OLE_LINK1"/>
      <w:r w:rsidRPr="0061142D">
        <w:rPr>
          <w:rFonts w:hAnsi="宋体"/>
          <w:color w:val="000000"/>
          <w:sz w:val="28"/>
        </w:rPr>
        <w:t>根据有关法律法规的规定及基金合同的约定，</w:t>
      </w:r>
      <w:bookmarkEnd w:id="5"/>
      <w:r w:rsidRPr="0061142D">
        <w:rPr>
          <w:rFonts w:hAnsi="宋体"/>
          <w:color w:val="000000"/>
          <w:sz w:val="28"/>
        </w:rPr>
        <w:t>对本协议第十五条第九项基金投资禁止行为进行监督。基金托管人通过事后监督方式对基金管理人基金投资禁止行为和关联交易进行监</w:t>
      </w:r>
      <w:r w:rsidRPr="0061142D">
        <w:rPr>
          <w:rFonts w:hAnsi="宋体"/>
          <w:color w:val="000000"/>
          <w:sz w:val="28"/>
        </w:rPr>
        <w:lastRenderedPageBreak/>
        <w:t>督。根据法律法规有关基金禁止从事关联交易的规定，基金管理人和基金托管人相互提供与本机构有控股关系的股东、与本机构有其他重大利害关系的公司名单及有关关联方交易证券名单。基金管理人和基金托管人有责任确保关联交易名单的真实性、准确性、完整性，并负责及时将更新后的名单发送给对方。</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若基金托管人发现基金管理人与关联交易名单中列示的关联方进行法律法规禁止基金从事的关联交易时，基金托管人应及时提醒并协助基金管理人采取必要措施阻止该关联交易的发生，如基金托管人采取必要措施后仍无法阻止关联交易发生时，基金托管人有权向中国证监会报告。对于基金管理人已成交的关联交易，如基金托管人事前已</w:t>
      </w:r>
      <w:r w:rsidRPr="0061142D">
        <w:rPr>
          <w:rFonts w:hAnsi="宋体"/>
          <w:sz w:val="28"/>
        </w:rPr>
        <w:t>严格遵循了监督流程仍</w:t>
      </w:r>
      <w:r w:rsidRPr="0061142D">
        <w:rPr>
          <w:rFonts w:hAnsi="宋体"/>
          <w:color w:val="000000"/>
          <w:sz w:val="28"/>
        </w:rPr>
        <w:t>无法阻止该关联交易的发生，而只能</w:t>
      </w:r>
      <w:r w:rsidRPr="0061142D">
        <w:rPr>
          <w:rFonts w:hAnsi="宋体"/>
          <w:sz w:val="28"/>
        </w:rPr>
        <w:t>按相关法律法规和交易所规则</w:t>
      </w:r>
      <w:r w:rsidRPr="0061142D">
        <w:rPr>
          <w:rFonts w:hAnsi="宋体"/>
          <w:color w:val="000000"/>
          <w:sz w:val="28"/>
        </w:rPr>
        <w:t>进行事后结算，则基金托管人不承担由此造成的损失，并应向中国证监会报告。</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四）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w:t>
      </w:r>
      <w:r w:rsidRPr="0061142D">
        <w:rPr>
          <w:color w:val="000000"/>
          <w:sz w:val="28"/>
        </w:rPr>
        <w:t>1</w:t>
      </w:r>
      <w:r w:rsidRPr="0061142D">
        <w:rPr>
          <w:rFonts w:hAnsi="宋体"/>
          <w:color w:val="000000"/>
          <w:sz w:val="28"/>
        </w:rPr>
        <w:t>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w:t>
      </w:r>
      <w:r w:rsidRPr="0061142D">
        <w:rPr>
          <w:rFonts w:hAnsi="宋体"/>
          <w:color w:val="000000"/>
          <w:sz w:val="28"/>
        </w:rPr>
        <w:lastRenderedPageBreak/>
        <w:t>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rsidR="009C2EF9" w:rsidRPr="0061142D" w:rsidRDefault="009C2EF9" w:rsidP="00EE5132">
      <w:pPr>
        <w:pStyle w:val="CharCharChar1"/>
        <w:adjustRightInd w:val="0"/>
        <w:snapToGrid w:val="0"/>
        <w:spacing w:line="360" w:lineRule="auto"/>
        <w:ind w:firstLineChars="200" w:firstLine="560"/>
        <w:rPr>
          <w:sz w:val="28"/>
        </w:rPr>
      </w:pPr>
      <w:r w:rsidRPr="0061142D">
        <w:rPr>
          <w:rFonts w:hAnsi="宋体"/>
          <w:color w:val="000000"/>
          <w:sz w:val="28"/>
        </w:rPr>
        <w:t>（五）</w:t>
      </w:r>
      <w:r w:rsidRPr="0061142D">
        <w:rPr>
          <w:rFonts w:hAnsi="宋体"/>
          <w:sz w:val="28"/>
        </w:rPr>
        <w:t>基金托管人根据有关法律法规的规定及基金合同的约定，对基金管理人选择存款银行进行监督。</w:t>
      </w:r>
    </w:p>
    <w:p w:rsidR="009C2EF9" w:rsidRPr="0061142D" w:rsidRDefault="009C2EF9" w:rsidP="00EE5132">
      <w:pPr>
        <w:pStyle w:val="CharCharChar1"/>
        <w:adjustRightInd w:val="0"/>
        <w:snapToGrid w:val="0"/>
        <w:spacing w:line="360" w:lineRule="auto"/>
        <w:ind w:firstLineChars="200" w:firstLine="560"/>
        <w:rPr>
          <w:sz w:val="28"/>
        </w:rPr>
      </w:pPr>
      <w:r w:rsidRPr="0061142D">
        <w:rPr>
          <w:rFonts w:hAnsi="宋体"/>
          <w:sz w:val="28"/>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rsidR="009C2EF9" w:rsidRPr="0061142D" w:rsidRDefault="009C2EF9" w:rsidP="00EE5132">
      <w:pPr>
        <w:pStyle w:val="CharCharChar1"/>
        <w:adjustRightInd w:val="0"/>
        <w:snapToGrid w:val="0"/>
        <w:spacing w:line="360" w:lineRule="auto"/>
        <w:ind w:firstLineChars="200" w:firstLine="560"/>
        <w:rPr>
          <w:sz w:val="28"/>
        </w:rPr>
      </w:pPr>
      <w:r w:rsidRPr="0061142D">
        <w:rPr>
          <w:rFonts w:hAnsi="宋体"/>
          <w:sz w:val="28"/>
        </w:rPr>
        <w:t>本基金投资银行存款应符合如下规定：</w:t>
      </w:r>
    </w:p>
    <w:p w:rsidR="009C2EF9" w:rsidRPr="0061142D" w:rsidRDefault="009C2EF9" w:rsidP="00EE5132">
      <w:pPr>
        <w:pStyle w:val="CharCharChar1"/>
        <w:adjustRightInd w:val="0"/>
        <w:snapToGrid w:val="0"/>
        <w:spacing w:line="360" w:lineRule="auto"/>
        <w:ind w:firstLineChars="200" w:firstLine="560"/>
        <w:rPr>
          <w:sz w:val="28"/>
        </w:rPr>
      </w:pPr>
      <w:r w:rsidRPr="0061142D">
        <w:rPr>
          <w:sz w:val="28"/>
        </w:rPr>
        <w:t>1</w:t>
      </w:r>
      <w:r w:rsidRPr="0061142D">
        <w:rPr>
          <w:rFonts w:hAnsi="宋体"/>
          <w:sz w:val="28"/>
        </w:rPr>
        <w:t>、基金管理人、基金托管人应当与存款银行建立定期对账机制，确保基金银行存款业务账目及核算的真实、准确。</w:t>
      </w:r>
    </w:p>
    <w:p w:rsidR="009C2EF9" w:rsidRPr="0061142D" w:rsidRDefault="009C2EF9" w:rsidP="00EE5132">
      <w:pPr>
        <w:pStyle w:val="CharCharChar1"/>
        <w:adjustRightInd w:val="0"/>
        <w:snapToGrid w:val="0"/>
        <w:spacing w:line="360" w:lineRule="auto"/>
        <w:ind w:firstLineChars="200" w:firstLine="560"/>
        <w:rPr>
          <w:sz w:val="28"/>
        </w:rPr>
      </w:pPr>
      <w:r w:rsidRPr="0061142D">
        <w:rPr>
          <w:sz w:val="28"/>
        </w:rPr>
        <w:t>2</w:t>
      </w:r>
      <w:r w:rsidRPr="0061142D">
        <w:rPr>
          <w:rFonts w:hAnsi="宋体"/>
          <w:sz w:val="28"/>
        </w:rPr>
        <w:t>、基金托管人应加强对基金银行存款业务的监督与核查，严格审查、复核相关协议、账户资料、投资指令、存款证实书等有关文件，切实履行托管职责。</w:t>
      </w:r>
    </w:p>
    <w:p w:rsidR="009C2EF9" w:rsidRPr="0061142D" w:rsidRDefault="009C2EF9" w:rsidP="00EE5132">
      <w:pPr>
        <w:pStyle w:val="CharCharChar1"/>
        <w:adjustRightInd w:val="0"/>
        <w:snapToGrid w:val="0"/>
        <w:spacing w:line="360" w:lineRule="auto"/>
        <w:ind w:firstLineChars="200" w:firstLine="560"/>
        <w:rPr>
          <w:sz w:val="28"/>
        </w:rPr>
      </w:pPr>
      <w:r w:rsidRPr="0061142D">
        <w:rPr>
          <w:sz w:val="28"/>
        </w:rPr>
        <w:t>3</w:t>
      </w:r>
      <w:r w:rsidRPr="0061142D">
        <w:rPr>
          <w:rFonts w:hAnsi="宋体"/>
          <w:sz w:val="28"/>
        </w:rPr>
        <w:t>、基金管理人与基金托管人在开展基金存款业务时，应严格遵守《基金法》、《运作办法》等有关法律法规，以及国家有关账户管理、利率管理、支付结算等的各项规定。</w:t>
      </w:r>
    </w:p>
    <w:p w:rsidR="009C2EF9" w:rsidRPr="0061142D" w:rsidRDefault="009C2EF9" w:rsidP="00EE5132">
      <w:pPr>
        <w:pStyle w:val="CharCharChar1"/>
        <w:adjustRightInd w:val="0"/>
        <w:snapToGrid w:val="0"/>
        <w:spacing w:line="360" w:lineRule="auto"/>
        <w:ind w:firstLineChars="200" w:firstLine="560"/>
        <w:rPr>
          <w:sz w:val="28"/>
        </w:rPr>
      </w:pPr>
      <w:r w:rsidRPr="0061142D">
        <w:rPr>
          <w:rFonts w:hAnsi="宋体"/>
          <w:sz w:val="28"/>
        </w:rPr>
        <w:t>基金托管人发现基金管理人在选择存款银行时有违反有关法律法规的规定及基金合同的约定的行为，应及时以书面形式通知基金管理人在</w:t>
      </w:r>
      <w:r w:rsidRPr="0061142D">
        <w:rPr>
          <w:sz w:val="28"/>
        </w:rPr>
        <w:t>10</w:t>
      </w:r>
      <w:r w:rsidRPr="0061142D">
        <w:rPr>
          <w:rFonts w:hAnsi="宋体"/>
          <w:sz w:val="28"/>
        </w:rPr>
        <w:t>个工作日内纠正。基金管理人对基金托管人通知的违规事项未能在</w:t>
      </w:r>
      <w:r w:rsidRPr="0061142D">
        <w:rPr>
          <w:sz w:val="28"/>
        </w:rPr>
        <w:t>10</w:t>
      </w:r>
      <w:r w:rsidRPr="0061142D">
        <w:rPr>
          <w:rFonts w:hAnsi="宋体"/>
          <w:sz w:val="28"/>
        </w:rPr>
        <w:t>个工作日内纠正的，基金托管人应报告中国证监会。基金托管人发现基金管理人有重大违规行为，应立即报告中国证监会，同时通知基金管理人在</w:t>
      </w:r>
      <w:r w:rsidRPr="0061142D">
        <w:rPr>
          <w:sz w:val="28"/>
        </w:rPr>
        <w:t>10</w:t>
      </w:r>
      <w:r w:rsidRPr="0061142D">
        <w:rPr>
          <w:rFonts w:hAnsi="宋体"/>
          <w:sz w:val="28"/>
        </w:rPr>
        <w:t>个工作日内纠正或拒绝结算。</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sz w:val="28"/>
        </w:rPr>
        <w:lastRenderedPageBreak/>
        <w:t>（六）</w:t>
      </w:r>
      <w:r w:rsidRPr="0061142D">
        <w:rPr>
          <w:rFonts w:hAnsi="宋体"/>
          <w:color w:val="000000"/>
          <w:sz w:val="28"/>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如果基金管理人未经基金托管人的审核擅自将不实的业绩表现数据印制在宣传推介材料上，则基金托管人对此不承担任何责任，并将在发现后立即报告中国证监会。</w:t>
      </w:r>
    </w:p>
    <w:p w:rsidR="009C2EF9" w:rsidRPr="0061142D" w:rsidRDefault="009C2EF9" w:rsidP="00EE5132">
      <w:pPr>
        <w:pStyle w:val="CharCharChar1"/>
        <w:adjustRightInd w:val="0"/>
        <w:snapToGrid w:val="0"/>
        <w:spacing w:line="360" w:lineRule="auto"/>
        <w:ind w:firstLineChars="200" w:firstLine="560"/>
        <w:rPr>
          <w:sz w:val="28"/>
        </w:rPr>
      </w:pPr>
      <w:r w:rsidRPr="0061142D">
        <w:rPr>
          <w:rFonts w:hAnsi="宋体"/>
          <w:sz w:val="28"/>
        </w:rPr>
        <w:t>（七）基金托管人根据有关法律法规的规定及基金合同的约定，对基金投资流通受限证券进行监督。</w:t>
      </w:r>
    </w:p>
    <w:p w:rsidR="009C2EF9" w:rsidRPr="0061142D" w:rsidRDefault="009C2EF9" w:rsidP="00EE5132">
      <w:pPr>
        <w:pStyle w:val="CharCharChar1"/>
        <w:adjustRightInd w:val="0"/>
        <w:snapToGrid w:val="0"/>
        <w:spacing w:line="360" w:lineRule="auto"/>
        <w:ind w:firstLineChars="200" w:firstLine="560"/>
        <w:rPr>
          <w:sz w:val="28"/>
        </w:rPr>
      </w:pPr>
      <w:r w:rsidRPr="0061142D">
        <w:rPr>
          <w:sz w:val="28"/>
        </w:rPr>
        <w:t>1</w:t>
      </w:r>
      <w:r w:rsidRPr="0061142D">
        <w:rPr>
          <w:rFonts w:hAnsi="宋体"/>
          <w:sz w:val="28"/>
        </w:rPr>
        <w:t>、基金投资流通受限证券，应遵守《关于规范基金投资非公开发行证券行为的紧急通知》、《关于基金投资非公开发行股票等流通受限证券有关问题的通知》等有关法律法规规定。</w:t>
      </w:r>
    </w:p>
    <w:p w:rsidR="009C2EF9" w:rsidRPr="0061142D" w:rsidRDefault="009C2EF9" w:rsidP="00EE5132">
      <w:pPr>
        <w:pStyle w:val="CharCharChar1"/>
        <w:adjustRightInd w:val="0"/>
        <w:snapToGrid w:val="0"/>
        <w:spacing w:line="360" w:lineRule="auto"/>
        <w:ind w:firstLineChars="200" w:firstLine="560"/>
        <w:rPr>
          <w:sz w:val="28"/>
        </w:rPr>
      </w:pPr>
      <w:r w:rsidRPr="0061142D">
        <w:rPr>
          <w:sz w:val="28"/>
        </w:rPr>
        <w:t>2</w:t>
      </w:r>
      <w:r w:rsidRPr="0061142D">
        <w:rPr>
          <w:rFonts w:hAnsi="宋体"/>
          <w:sz w:val="28"/>
        </w:rPr>
        <w:t>、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r w:rsidRPr="0061142D">
        <w:rPr>
          <w:sz w:val="28"/>
        </w:rPr>
        <w:t xml:space="preserve">                                                    </w:t>
      </w:r>
    </w:p>
    <w:p w:rsidR="009C2EF9" w:rsidRPr="0061142D" w:rsidRDefault="009C2EF9" w:rsidP="00EE5132">
      <w:pPr>
        <w:pStyle w:val="CharCharChar1"/>
        <w:adjustRightInd w:val="0"/>
        <w:snapToGrid w:val="0"/>
        <w:spacing w:line="360" w:lineRule="auto"/>
        <w:ind w:firstLineChars="200" w:firstLine="560"/>
        <w:rPr>
          <w:sz w:val="28"/>
        </w:rPr>
      </w:pPr>
      <w:r w:rsidRPr="0061142D">
        <w:rPr>
          <w:sz w:val="28"/>
        </w:rPr>
        <w:t>3</w:t>
      </w:r>
      <w:r w:rsidRPr="0061142D">
        <w:rPr>
          <w:rFonts w:hAnsi="宋体"/>
          <w:sz w:val="28"/>
        </w:rPr>
        <w:t>、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基金托管人据此监督基金管理人的流通受限证券投资行为。</w:t>
      </w:r>
    </w:p>
    <w:p w:rsidR="009C2EF9" w:rsidRPr="0061142D" w:rsidRDefault="009C2EF9" w:rsidP="00EE5132">
      <w:pPr>
        <w:pStyle w:val="CharCharChar1"/>
        <w:adjustRightInd w:val="0"/>
        <w:snapToGrid w:val="0"/>
        <w:spacing w:line="360" w:lineRule="auto"/>
        <w:ind w:firstLineChars="200" w:firstLine="560"/>
        <w:rPr>
          <w:sz w:val="28"/>
        </w:rPr>
      </w:pPr>
      <w:r w:rsidRPr="0061142D">
        <w:rPr>
          <w:sz w:val="28"/>
        </w:rPr>
        <w:lastRenderedPageBreak/>
        <w:t>4</w:t>
      </w:r>
      <w:r w:rsidRPr="0061142D">
        <w:rPr>
          <w:rFonts w:hAnsi="宋体"/>
          <w:sz w:val="28"/>
        </w:rPr>
        <w:t>、在投资流通受限证券之前，基金管理人应至少提前一个交易日向基金托管人提供有关非公开定向增发流通受限证券的相关信息，具体应当包括但不限于如下文件（如有）：</w:t>
      </w:r>
    </w:p>
    <w:p w:rsidR="009C2EF9" w:rsidRPr="0061142D" w:rsidRDefault="009C2EF9" w:rsidP="00EE5132">
      <w:pPr>
        <w:pStyle w:val="CharCharChar1"/>
        <w:adjustRightInd w:val="0"/>
        <w:snapToGrid w:val="0"/>
        <w:spacing w:line="360" w:lineRule="auto"/>
        <w:ind w:firstLineChars="200" w:firstLine="560"/>
        <w:rPr>
          <w:sz w:val="28"/>
        </w:rPr>
      </w:pPr>
      <w:r w:rsidRPr="0061142D">
        <w:rPr>
          <w:rFonts w:hAnsi="宋体"/>
          <w:sz w:val="28"/>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rsidR="009C2EF9" w:rsidRPr="0061142D" w:rsidRDefault="009C2EF9" w:rsidP="00EE5132">
      <w:pPr>
        <w:pStyle w:val="Char"/>
        <w:adjustRightInd w:val="0"/>
        <w:snapToGrid w:val="0"/>
        <w:spacing w:line="360" w:lineRule="auto"/>
        <w:ind w:firstLineChars="200" w:firstLine="560"/>
        <w:rPr>
          <w:sz w:val="28"/>
        </w:rPr>
      </w:pPr>
      <w:r w:rsidRPr="0061142D">
        <w:rPr>
          <w:sz w:val="28"/>
        </w:rPr>
        <w:t>5</w:t>
      </w:r>
      <w:r w:rsidRPr="0061142D">
        <w:rPr>
          <w:rFonts w:hAnsi="宋体"/>
          <w:sz w:val="28"/>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rsidR="009C2EF9" w:rsidRPr="0061142D" w:rsidRDefault="009C2EF9" w:rsidP="00EE5132">
      <w:pPr>
        <w:pStyle w:val="CharCharChar1"/>
        <w:adjustRightInd w:val="0"/>
        <w:snapToGrid w:val="0"/>
        <w:spacing w:line="360" w:lineRule="auto"/>
        <w:ind w:firstLineChars="200" w:firstLine="560"/>
        <w:rPr>
          <w:sz w:val="28"/>
        </w:rPr>
      </w:pPr>
      <w:r w:rsidRPr="0061142D">
        <w:rPr>
          <w:sz w:val="28"/>
        </w:rPr>
        <w:t>6</w:t>
      </w:r>
      <w:r w:rsidRPr="0061142D">
        <w:rPr>
          <w:rFonts w:hAnsi="宋体"/>
          <w:sz w:val="28"/>
        </w:rPr>
        <w:t>、基金管理人应保证基金投资的流通受限证券登记存管在本基金名下，并保证基金托管人能够正常查询。因基金管理人原因产生的流通受限证券登记存管问题，造成基金财产的损失或基金托管人无法安全保管基金财产的责任与损失，由基金管理人承担。</w:t>
      </w:r>
    </w:p>
    <w:p w:rsidR="009C2EF9" w:rsidRPr="0061142D" w:rsidRDefault="009C2EF9" w:rsidP="00EE5132">
      <w:pPr>
        <w:pStyle w:val="CharCharChar1"/>
        <w:adjustRightInd w:val="0"/>
        <w:snapToGrid w:val="0"/>
        <w:spacing w:line="360" w:lineRule="auto"/>
        <w:ind w:firstLineChars="200" w:firstLine="560"/>
        <w:rPr>
          <w:sz w:val="28"/>
        </w:rPr>
      </w:pPr>
      <w:r w:rsidRPr="0061142D">
        <w:rPr>
          <w:sz w:val="28"/>
        </w:rPr>
        <w:t>7</w:t>
      </w:r>
      <w:r w:rsidRPr="0061142D">
        <w:rPr>
          <w:rFonts w:hAnsi="宋体"/>
          <w:sz w:val="28"/>
        </w:rPr>
        <w:t>、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按照本协议履行监督职责后不承担上述损失。</w:t>
      </w:r>
    </w:p>
    <w:p w:rsidR="009C2EF9" w:rsidRPr="0061142D" w:rsidRDefault="009C2EF9" w:rsidP="00EE5132">
      <w:pPr>
        <w:adjustRightInd w:val="0"/>
        <w:snapToGrid w:val="0"/>
        <w:spacing w:line="360" w:lineRule="auto"/>
        <w:ind w:firstLineChars="150" w:firstLine="420"/>
        <w:rPr>
          <w:color w:val="000000"/>
          <w:sz w:val="28"/>
        </w:rPr>
      </w:pPr>
      <w:r w:rsidRPr="0061142D">
        <w:rPr>
          <w:rFonts w:hAnsi="宋体"/>
          <w:color w:val="000000"/>
          <w:sz w:val="28"/>
        </w:rPr>
        <w:t>（八）基金托管人发现基金管理人的上述事项及投资指令或实际投资运作中违反法律法规和基金合同的规定，应及时以书面形式通知</w:t>
      </w:r>
      <w:r w:rsidRPr="0061142D">
        <w:rPr>
          <w:rFonts w:hAnsi="宋体"/>
          <w:color w:val="000000"/>
          <w:sz w:val="28"/>
        </w:rPr>
        <w:lastRenderedPageBreak/>
        <w:t>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w:t>
      </w:r>
      <w:r w:rsidR="0087516D">
        <w:rPr>
          <w:color w:val="000000"/>
          <w:sz w:val="28"/>
        </w:rPr>
        <w:t>，</w:t>
      </w:r>
      <w:r w:rsidRPr="0061142D">
        <w:rPr>
          <w:rFonts w:hAnsi="宋体"/>
          <w:color w:val="000000"/>
          <w:sz w:val="28"/>
        </w:rPr>
        <w:t>基金托管人有权随时对通知事项进行复查</w:t>
      </w:r>
      <w:r w:rsidR="0087516D">
        <w:rPr>
          <w:color w:val="000000"/>
          <w:sz w:val="28"/>
        </w:rPr>
        <w:t>，</w:t>
      </w:r>
      <w:r w:rsidRPr="0061142D">
        <w:rPr>
          <w:rFonts w:hAnsi="宋体"/>
          <w:color w:val="000000"/>
          <w:sz w:val="28"/>
        </w:rPr>
        <w:t>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十）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9C2EF9" w:rsidRPr="0061142D" w:rsidRDefault="009C2EF9" w:rsidP="00EE5132">
      <w:pPr>
        <w:pStyle w:val="CharCharChar1"/>
        <w:adjustRightInd w:val="0"/>
        <w:snapToGrid w:val="0"/>
        <w:spacing w:line="360" w:lineRule="auto"/>
        <w:ind w:firstLineChars="200" w:firstLine="560"/>
        <w:rPr>
          <w:sz w:val="28"/>
        </w:rPr>
      </w:pPr>
    </w:p>
    <w:p w:rsidR="009C2EF9" w:rsidRPr="0061142D" w:rsidRDefault="009C2EF9">
      <w:pPr>
        <w:pStyle w:val="2"/>
        <w:spacing w:line="360" w:lineRule="auto"/>
        <w:jc w:val="center"/>
        <w:rPr>
          <w:rFonts w:ascii="Times New Roman" w:eastAsia="宋体" w:hAnsi="Times New Roman"/>
          <w:color w:val="000000"/>
          <w:sz w:val="28"/>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45818938"/>
      <w:r w:rsidRPr="0061142D">
        <w:rPr>
          <w:rFonts w:ascii="Times New Roman" w:eastAsia="宋体" w:hAnsi="宋体"/>
          <w:color w:val="000000"/>
          <w:sz w:val="28"/>
        </w:rPr>
        <w:lastRenderedPageBreak/>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w:t>
      </w:r>
      <w:r w:rsidR="0087516D">
        <w:rPr>
          <w:color w:val="000000"/>
          <w:sz w:val="28"/>
        </w:rPr>
        <w:t>，</w:t>
      </w:r>
      <w:r w:rsidRPr="0061142D">
        <w:rPr>
          <w:rFonts w:hAnsi="宋体"/>
          <w:color w:val="000000"/>
          <w:sz w:val="28"/>
        </w:rPr>
        <w:t>督促基金托管人改正。基金托管人应积极配合基金管理人的核查行为，包括但不限于：提交相关资料以供基金管理人核查托管财产的完整性和真实性，在规定时间内答复基金管理人并改正。</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9C2EF9" w:rsidRPr="0061142D" w:rsidRDefault="009C2EF9">
      <w:pPr>
        <w:spacing w:line="360" w:lineRule="auto"/>
        <w:rPr>
          <w:color w:val="000000"/>
          <w:sz w:val="28"/>
        </w:rPr>
      </w:pPr>
    </w:p>
    <w:p w:rsidR="009C2EF9" w:rsidRPr="0061142D" w:rsidRDefault="009C2EF9">
      <w:pPr>
        <w:pStyle w:val="2"/>
        <w:spacing w:line="360" w:lineRule="auto"/>
        <w:jc w:val="center"/>
        <w:rPr>
          <w:rFonts w:ascii="Times New Roman" w:eastAsia="宋体" w:hAnsi="Times New Roman"/>
          <w:color w:val="000000"/>
          <w:sz w:val="28"/>
        </w:rPr>
      </w:pPr>
      <w:bookmarkStart w:id="23" w:name="_Toc110765661"/>
      <w:bookmarkStart w:id="24" w:name="_Toc110830493"/>
      <w:bookmarkStart w:id="25" w:name="_Toc118212951"/>
      <w:bookmarkStart w:id="26" w:name="_Toc118774804"/>
      <w:bookmarkStart w:id="27" w:name="_Toc118972649"/>
      <w:bookmarkStart w:id="28" w:name="_Toc119402711"/>
      <w:bookmarkStart w:id="29" w:name="_Toc120435784"/>
      <w:bookmarkStart w:id="30" w:name="_Toc145818939"/>
      <w:bookmarkStart w:id="31" w:name="_Toc84133786"/>
      <w:bookmarkStart w:id="32" w:name="_Toc84234388"/>
      <w:bookmarkStart w:id="33" w:name="_Toc84234435"/>
      <w:bookmarkStart w:id="34" w:name="_Toc86204789"/>
      <w:bookmarkStart w:id="35" w:name="_Toc86223243"/>
      <w:bookmarkStart w:id="36" w:name="_Toc86225292"/>
      <w:bookmarkStart w:id="37" w:name="_Toc86649723"/>
      <w:bookmarkStart w:id="38" w:name="_Toc86726440"/>
      <w:bookmarkStart w:id="39" w:name="_Toc86727356"/>
      <w:bookmarkStart w:id="40" w:name="_Toc86737930"/>
      <w:bookmarkStart w:id="41" w:name="_Toc89163369"/>
      <w:bookmarkStart w:id="42" w:name="_Toc108512359"/>
      <w:bookmarkStart w:id="43" w:name="_Toc110761797"/>
      <w:r w:rsidRPr="0061142D">
        <w:rPr>
          <w:rFonts w:ascii="Times New Roman" w:eastAsia="宋体" w:hAnsi="宋体"/>
          <w:color w:val="000000"/>
          <w:sz w:val="28"/>
        </w:rPr>
        <w:lastRenderedPageBreak/>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（一）基金财产保管的原则</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、基金财产应独立于基金管理人、基金托管人的固有财产。</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、基金托管人应安全保管基金财产。未经基金管理人依据合法程序作出的合法合规指令，基金托管人不得自行运用、处分、分配基金的任何财产。</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、基金托管人按照规定开设基金财产的资金账户和证券账户。</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、基金托管人对所托管的不同基金财产分别设置账户，与基金托管人的其他业务和其他基金的托管业务实行严格的分账管理，确保基金财产的完整与独立。</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5</w:t>
      </w:r>
      <w:r w:rsidRPr="0061142D">
        <w:rPr>
          <w:rFonts w:hAnsi="宋体"/>
          <w:color w:val="000000"/>
          <w:sz w:val="28"/>
        </w:rPr>
        <w:t>、基金托管人根据基金管理人的指令，按照基金合同和本协议的约定保管基金财产，如有特殊情况双方可另行协商解决。</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6</w:t>
      </w:r>
      <w:r w:rsidRPr="0061142D">
        <w:rPr>
          <w:rFonts w:hAnsi="宋体"/>
          <w:color w:val="000000"/>
          <w:sz w:val="28"/>
        </w:rPr>
        <w:t>、对于因为基金申购、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7</w:t>
      </w:r>
      <w:r w:rsidRPr="0061142D">
        <w:rPr>
          <w:rFonts w:hAnsi="宋体"/>
          <w:color w:val="000000"/>
          <w:sz w:val="28"/>
        </w:rPr>
        <w:t>、除依据法律法规和基金合同的规定外，基金托管人不得委托第三人托管基金财产。</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（二）基金募集期间及募集资金的验资</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、基金募集期间的认购款项应存于专用账户。该账户由基金管理人或基金管理人委托的登记机构开立并管理。</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w:t>
      </w:r>
      <w:r w:rsidRPr="0061142D">
        <w:rPr>
          <w:rFonts w:hAnsi="宋体"/>
          <w:sz w:val="28"/>
        </w:rPr>
        <w:t>基金募集期满或基金停止募集时，募集的基金份额总额、基金募集金额、基金份额持有人人数符合《基金法》、《运作办法》等有关规定后，基金管理人应将募集到的属于基金财产的全部资金划入基</w:t>
      </w:r>
      <w:r w:rsidRPr="0061142D">
        <w:rPr>
          <w:rFonts w:hAnsi="宋体"/>
          <w:sz w:val="28"/>
        </w:rPr>
        <w:lastRenderedPageBreak/>
        <w:t>金托管人开立的基金托管资金账户，同时在规定时间内，聘请具有从事证券相关业务资格的会计师事务所进行验资，出具验资报告。出具的验资报告由参加验资的</w:t>
      </w:r>
      <w:r w:rsidRPr="0061142D">
        <w:rPr>
          <w:sz w:val="28"/>
        </w:rPr>
        <w:t>2</w:t>
      </w:r>
      <w:r w:rsidRPr="0061142D">
        <w:rPr>
          <w:rFonts w:hAnsi="宋体"/>
          <w:sz w:val="28"/>
        </w:rPr>
        <w:t>名或</w:t>
      </w:r>
      <w:r w:rsidRPr="0061142D">
        <w:rPr>
          <w:sz w:val="28"/>
        </w:rPr>
        <w:t>2</w:t>
      </w:r>
      <w:r w:rsidRPr="0061142D">
        <w:rPr>
          <w:rFonts w:hAnsi="宋体"/>
          <w:sz w:val="28"/>
        </w:rPr>
        <w:t>名以上中国注册会计师签字方为有效。</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、若基金募集期限届满，未能达到基金备案的条件，由基金管理人按规定办理退款等事宜，基金托管人应提供充分协助。</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（三）基金托管资金账户的开立和管理</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、基金托管人</w:t>
      </w:r>
      <w:r w:rsidRPr="0061142D">
        <w:rPr>
          <w:rFonts w:hAnsi="宋体"/>
          <w:sz w:val="28"/>
        </w:rPr>
        <w:t>应负责本基金的资金账户的开设和管理</w:t>
      </w:r>
      <w:r w:rsidRPr="0061142D">
        <w:rPr>
          <w:rFonts w:hAnsi="宋体"/>
          <w:color w:val="000000"/>
          <w:sz w:val="28"/>
        </w:rPr>
        <w:t>。</w:t>
      </w:r>
    </w:p>
    <w:p w:rsidR="009C2EF9" w:rsidRPr="0061142D" w:rsidRDefault="009C2EF9" w:rsidP="00EE5132">
      <w:pPr>
        <w:adjustRightInd w:val="0"/>
        <w:snapToGrid w:val="0"/>
        <w:spacing w:line="360" w:lineRule="auto"/>
        <w:ind w:firstLineChars="200" w:firstLine="560"/>
        <w:rPr>
          <w:sz w:val="28"/>
        </w:rPr>
      </w:pPr>
      <w:r w:rsidRPr="0061142D">
        <w:rPr>
          <w:color w:val="000000"/>
          <w:sz w:val="28"/>
        </w:rPr>
        <w:t>2</w:t>
      </w:r>
      <w:r w:rsidRPr="0061142D">
        <w:rPr>
          <w:rFonts w:hAnsi="宋体"/>
          <w:color w:val="000000"/>
          <w:sz w:val="28"/>
        </w:rPr>
        <w:t>、</w:t>
      </w:r>
      <w:r w:rsidRPr="0061142D">
        <w:rPr>
          <w:rFonts w:hAnsi="宋体"/>
          <w:sz w:val="28"/>
        </w:rPr>
        <w:t>基金托管人可以本基金的名义在其营业机构开设本基金的资金账户</w:t>
      </w:r>
      <w:r w:rsidRPr="0061142D">
        <w:rPr>
          <w:rFonts w:hAnsi="宋体"/>
          <w:color w:val="000000"/>
          <w:sz w:val="28"/>
        </w:rPr>
        <w:t>，并根据基金管理人合法合规的指令办理资金收付</w:t>
      </w:r>
      <w:r w:rsidRPr="0061142D">
        <w:rPr>
          <w:rFonts w:hAnsi="宋体"/>
          <w:sz w:val="28"/>
        </w:rPr>
        <w:t>。本基金的银行预留印鉴由基金托管人保管和使用。本基金的一切货币收支活动，包括但不限于投资、支付赎回金额、支付基金收益、收取申购款，均需通过本基金的资金账户进行。</w:t>
      </w:r>
    </w:p>
    <w:p w:rsidR="009C2EF9" w:rsidRPr="0061142D" w:rsidRDefault="009C2EF9" w:rsidP="00EE5132">
      <w:pPr>
        <w:adjustRightInd w:val="0"/>
        <w:snapToGrid w:val="0"/>
        <w:spacing w:line="360" w:lineRule="auto"/>
        <w:ind w:firstLineChars="200" w:firstLine="560"/>
        <w:rPr>
          <w:color w:val="000000"/>
          <w:sz w:val="28"/>
        </w:rPr>
      </w:pPr>
      <w:r w:rsidRPr="0061142D">
        <w:rPr>
          <w:sz w:val="28"/>
        </w:rPr>
        <w:t>3</w:t>
      </w:r>
      <w:r w:rsidRPr="0061142D">
        <w:rPr>
          <w:rFonts w:hAnsi="宋体"/>
          <w:sz w:val="28"/>
        </w:rPr>
        <w:t>、</w:t>
      </w:r>
      <w:r w:rsidRPr="0061142D">
        <w:rPr>
          <w:rFonts w:hAnsi="宋体"/>
          <w:color w:val="000000"/>
          <w:sz w:val="28"/>
        </w:rPr>
        <w:t>基金托管资金账户的开立和使用，限于满足开展本基金业务的需要。基金托管人和基金管理人不得假借本基金的名义开立任何其他银行账户；亦不得使用基金的任何账户进行本基金业务以外的活动。</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、基金托管资金账户的开立和管理应符合相关法律法规的有关规定。</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5</w:t>
      </w:r>
      <w:r w:rsidRPr="0061142D">
        <w:rPr>
          <w:rFonts w:hAnsi="宋体"/>
          <w:color w:val="000000"/>
          <w:sz w:val="28"/>
        </w:rPr>
        <w:t>、在符合法律法规规定的条件下，基金托管人可以通过基金托管人专用账户办理基金资产的支付。</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（四）基金证券账户和结算备付金账户的开立和管理</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、基金托管人在中国证券登记结算有限责任公司上海分公司、深圳分公司为本基金开立基金托管人与基金联名的证券账户。</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、基金证券账户的开立和使用，限于满足开展本基金业务的需要。基金托管人和基金管理人不得出借或未经对方同意擅自转让基金</w:t>
      </w:r>
      <w:r w:rsidRPr="0061142D">
        <w:rPr>
          <w:rFonts w:hAnsi="宋体"/>
          <w:color w:val="000000"/>
          <w:sz w:val="28"/>
        </w:rPr>
        <w:lastRenderedPageBreak/>
        <w:t>的任何证券账户，亦不得使用基金的任何账户进行本基金业务以外的活动。</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w:t>
      </w:r>
      <w:r w:rsidRPr="0061142D">
        <w:rPr>
          <w:rFonts w:hAnsi="宋体"/>
          <w:sz w:val="28"/>
        </w:rPr>
        <w:t>基金</w:t>
      </w:r>
      <w:r w:rsidRPr="0061142D">
        <w:rPr>
          <w:rFonts w:hAnsi="宋体"/>
          <w:color w:val="000000"/>
          <w:sz w:val="28"/>
        </w:rPr>
        <w:t>托管人以自身法人名义在中国证券登记结算有限责任公司开立结算备付金账户，并代表所托管的基金完成与中国证券登记结算有限责任公司的一级法人清算工作，基金管理人应予以积极协助。结算</w:t>
      </w:r>
      <w:r w:rsidRPr="0061142D">
        <w:rPr>
          <w:rFonts w:hAnsi="宋体"/>
          <w:sz w:val="28"/>
        </w:rPr>
        <w:t>备付金的收取按照中国证券登记结算有限责任公司的规定执行。</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、基金证券账户的开立和证券账户卡的保管由基金托管人负责，账户资产的管理和运用由基金管理人负责。</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5</w:t>
      </w:r>
      <w:r w:rsidRPr="0061142D">
        <w:rPr>
          <w:rFonts w:hAnsi="宋体"/>
          <w:color w:val="000000"/>
          <w:sz w:val="28"/>
        </w:rPr>
        <w:t>、在本托管协议生效日之后，本基金被允许从事其他投资品种的投资业务，涉及相关账户的开设、使用的，按有关规定开设、使用并管理；若无相关规定，则基金托管人应当比照并遵守上述关于账户开设、使用的规定。</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（五）债券托管专户的开设和管理</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合同生效后，基金托管人根据中国人民银行、中央国债登记结算有限责任公司的有关规定，以本基金的名义在中央国债登记结算有限责任公司开立债券托管与结算账户，并代表基金进行银行间市场债券的结算。基金管理人和基金托管人同时代表基金签订全国银行间债券市场债券回购主协议。</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（六）其他账户的开立和管理</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、因业务发展需要而开立的其他账户，可以根据法律法规和基金合同的规定，</w:t>
      </w:r>
      <w:r w:rsidRPr="0061142D">
        <w:rPr>
          <w:rFonts w:hAnsi="宋体"/>
          <w:sz w:val="28"/>
        </w:rPr>
        <w:t>在基金管理人和基金托管人商议后由基金托管人负责开立</w:t>
      </w:r>
      <w:r w:rsidRPr="0061142D">
        <w:rPr>
          <w:rFonts w:hAnsi="宋体"/>
          <w:color w:val="000000"/>
          <w:sz w:val="28"/>
        </w:rPr>
        <w:t>。新账户按有关规则使用并管理。</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、法律法规等有关规定对相关账户的开立和管理另有规定的，从其规定办理。</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（七）基金财产投资的有关有价凭证等的保管</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lastRenderedPageBreak/>
        <w:t>基金财产投资的有关实物证券、</w:t>
      </w:r>
      <w:r w:rsidRPr="0061142D">
        <w:rPr>
          <w:rFonts w:hAnsi="宋体"/>
          <w:sz w:val="28"/>
        </w:rPr>
        <w:t>银行定期存款存单等有价凭证</w:t>
      </w:r>
      <w:r w:rsidRPr="0061142D">
        <w:rPr>
          <w:rFonts w:hAnsi="宋体"/>
          <w:color w:val="000000"/>
          <w:sz w:val="28"/>
        </w:rPr>
        <w:t>由基金托管人负责妥善保管</w:t>
      </w:r>
      <w:r w:rsidRPr="0061142D">
        <w:rPr>
          <w:rFonts w:hAnsi="宋体"/>
          <w:sz w:val="28"/>
        </w:rPr>
        <w:t>，保管凭证由基金托管人持有</w:t>
      </w:r>
      <w:r w:rsidRPr="0061142D">
        <w:rPr>
          <w:rFonts w:hAnsi="宋体"/>
          <w:color w:val="000000"/>
          <w:sz w:val="28"/>
        </w:rPr>
        <w:t>。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（八）与基金财产有关的重大合同的保管</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w:t>
      </w:r>
      <w:r w:rsidRPr="0061142D">
        <w:rPr>
          <w:color w:val="000000"/>
          <w:sz w:val="28"/>
        </w:rPr>
        <w:t>15</w:t>
      </w:r>
      <w:r w:rsidRPr="0061142D">
        <w:rPr>
          <w:rFonts w:hAnsi="宋体"/>
          <w:color w:val="000000"/>
          <w:sz w:val="28"/>
        </w:rPr>
        <w:t>年。</w:t>
      </w:r>
    </w:p>
    <w:p w:rsidR="009C2EF9" w:rsidRPr="0061142D" w:rsidRDefault="009C2EF9">
      <w:pPr>
        <w:adjustRightInd w:val="0"/>
        <w:snapToGrid w:val="0"/>
        <w:spacing w:line="360" w:lineRule="auto"/>
        <w:ind w:firstLine="480"/>
        <w:rPr>
          <w:color w:val="000000"/>
          <w:sz w:val="28"/>
        </w:rPr>
      </w:pPr>
    </w:p>
    <w:p w:rsidR="009C2EF9" w:rsidRPr="0061142D" w:rsidRDefault="009C2EF9">
      <w:pPr>
        <w:pStyle w:val="2"/>
        <w:spacing w:line="360" w:lineRule="auto"/>
        <w:jc w:val="center"/>
        <w:rPr>
          <w:rFonts w:ascii="Times New Roman" w:eastAsia="宋体" w:hAnsi="Times New Roman"/>
          <w:color w:val="000000"/>
          <w:sz w:val="28"/>
        </w:rPr>
      </w:pPr>
      <w:bookmarkStart w:id="44" w:name="_Toc89163370"/>
      <w:bookmarkStart w:id="45" w:name="_Toc86737931"/>
      <w:bookmarkStart w:id="46" w:name="_Toc86727357"/>
      <w:bookmarkStart w:id="47" w:name="_Toc86726441"/>
      <w:bookmarkStart w:id="48" w:name="_Toc86649724"/>
      <w:bookmarkStart w:id="49" w:name="_Toc86225293"/>
      <w:bookmarkStart w:id="50" w:name="_Toc86223244"/>
      <w:bookmarkStart w:id="51" w:name="_Toc86204790"/>
      <w:bookmarkStart w:id="52" w:name="_Toc84234436"/>
      <w:bookmarkStart w:id="53" w:name="_Toc84234389"/>
      <w:bookmarkStart w:id="54" w:name="_Toc145818940"/>
      <w:bookmarkStart w:id="55" w:name="_Toc120435785"/>
      <w:bookmarkStart w:id="56" w:name="_Toc119402712"/>
      <w:bookmarkStart w:id="57" w:name="_Toc118972650"/>
      <w:bookmarkStart w:id="58" w:name="_Toc118774805"/>
      <w:bookmarkStart w:id="59" w:name="_Toc118212952"/>
      <w:bookmarkStart w:id="60" w:name="_Toc110830494"/>
      <w:bookmarkStart w:id="61" w:name="_Toc110765662"/>
      <w:bookmarkStart w:id="62" w:name="_Toc110761798"/>
      <w:bookmarkStart w:id="63" w:name="_Toc108512360"/>
      <w:bookmarkStart w:id="64" w:name="_Toc84133787"/>
      <w:r w:rsidRPr="0061142D">
        <w:rPr>
          <w:rFonts w:ascii="Times New Roman" w:eastAsia="宋体" w:hAnsi="宋体"/>
          <w:color w:val="000000"/>
          <w:sz w:val="28"/>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基金管理人在运用基金财产时向基金托管人发送资金划拨及其他款项收付指令，基金托管人执行基金管理人的指令、办理基金名下的资金往来等有关事项。</w:t>
      </w:r>
    </w:p>
    <w:p w:rsidR="009C2EF9" w:rsidRPr="0061142D" w:rsidRDefault="009C2EF9" w:rsidP="00EE5132">
      <w:pPr>
        <w:adjustRightInd w:val="0"/>
        <w:snapToGrid w:val="0"/>
        <w:spacing w:line="360" w:lineRule="auto"/>
        <w:ind w:firstLineChars="200" w:firstLine="560"/>
        <w:rPr>
          <w:sz w:val="28"/>
        </w:rPr>
      </w:pPr>
      <w:r w:rsidRPr="0061142D">
        <w:rPr>
          <w:rFonts w:hAnsi="宋体"/>
          <w:sz w:val="28"/>
        </w:rPr>
        <w:t>（一）基金管理人对发送指令人员的书面授权</w:t>
      </w:r>
    </w:p>
    <w:p w:rsidR="009C2EF9" w:rsidRPr="0061142D" w:rsidRDefault="009C2EF9" w:rsidP="00EE5132">
      <w:pPr>
        <w:adjustRightInd w:val="0"/>
        <w:snapToGrid w:val="0"/>
        <w:spacing w:line="360" w:lineRule="auto"/>
        <w:ind w:firstLineChars="200" w:firstLine="560"/>
        <w:rPr>
          <w:sz w:val="28"/>
        </w:rPr>
      </w:pPr>
      <w:r w:rsidRPr="0061142D">
        <w:rPr>
          <w:sz w:val="28"/>
        </w:rPr>
        <w:t>1</w:t>
      </w:r>
      <w:r w:rsidRPr="0061142D">
        <w:rPr>
          <w:rFonts w:hAnsi="宋体"/>
          <w:sz w:val="28"/>
        </w:rPr>
        <w:t>、基金管理人应指定专人、专用传真号码向基金托管人发送指令。</w:t>
      </w:r>
    </w:p>
    <w:p w:rsidR="009C2EF9" w:rsidRPr="0061142D" w:rsidRDefault="009C2EF9" w:rsidP="00EE5132">
      <w:pPr>
        <w:adjustRightInd w:val="0"/>
        <w:snapToGrid w:val="0"/>
        <w:spacing w:line="360" w:lineRule="auto"/>
        <w:ind w:firstLineChars="200" w:firstLine="560"/>
        <w:rPr>
          <w:sz w:val="28"/>
        </w:rPr>
      </w:pPr>
      <w:r w:rsidRPr="0061142D">
        <w:rPr>
          <w:sz w:val="28"/>
        </w:rPr>
        <w:t>2</w:t>
      </w:r>
      <w:r w:rsidRPr="0061142D">
        <w:rPr>
          <w:rFonts w:hAnsi="宋体"/>
          <w:sz w:val="28"/>
        </w:rPr>
        <w:t>、基金管理人应向基金托管人提供书面授权文件，该文件中应含有管理人预留印鉴，该预留印鉴为基金托管人确定基金管理人所发送指令形式真实性的唯一依据。基金管理人向基金托管人发送授权文件后，要及时电话确认，以保证基金托管人及时查收。</w:t>
      </w:r>
    </w:p>
    <w:p w:rsidR="009C2EF9" w:rsidRPr="0061142D" w:rsidRDefault="009C2EF9" w:rsidP="00EE5132">
      <w:pPr>
        <w:adjustRightInd w:val="0"/>
        <w:snapToGrid w:val="0"/>
        <w:spacing w:line="360" w:lineRule="auto"/>
        <w:ind w:firstLineChars="200" w:firstLine="560"/>
        <w:rPr>
          <w:sz w:val="28"/>
        </w:rPr>
      </w:pPr>
      <w:r w:rsidRPr="0061142D">
        <w:rPr>
          <w:sz w:val="28"/>
        </w:rPr>
        <w:lastRenderedPageBreak/>
        <w:t>3</w:t>
      </w:r>
      <w:r w:rsidRPr="0061142D">
        <w:rPr>
          <w:rFonts w:hAnsi="宋体"/>
          <w:sz w:val="28"/>
        </w:rPr>
        <w:t>、基金托管人收到授权文件后并经确认后，授权文件即生效。</w:t>
      </w:r>
    </w:p>
    <w:p w:rsidR="009C2EF9" w:rsidRPr="0061142D" w:rsidRDefault="009C2EF9" w:rsidP="00EE5132">
      <w:pPr>
        <w:adjustRightInd w:val="0"/>
        <w:snapToGrid w:val="0"/>
        <w:spacing w:line="360" w:lineRule="auto"/>
        <w:ind w:firstLineChars="200" w:firstLine="560"/>
        <w:rPr>
          <w:sz w:val="28"/>
        </w:rPr>
      </w:pPr>
      <w:r w:rsidRPr="0061142D">
        <w:rPr>
          <w:sz w:val="28"/>
        </w:rPr>
        <w:t>4</w:t>
      </w:r>
      <w:r w:rsidRPr="0061142D">
        <w:rPr>
          <w:rFonts w:hAnsi="宋体"/>
          <w:sz w:val="28"/>
        </w:rPr>
        <w:t>、基金管理人和基金托管人对授权文件负有保密义务，其内容不得向被授权人及相关操作人员以外的任何人泄漏。</w:t>
      </w:r>
    </w:p>
    <w:p w:rsidR="009C2EF9" w:rsidRPr="0061142D" w:rsidRDefault="009C2EF9" w:rsidP="00EE5132">
      <w:pPr>
        <w:adjustRightInd w:val="0"/>
        <w:snapToGrid w:val="0"/>
        <w:spacing w:line="360" w:lineRule="auto"/>
        <w:ind w:firstLineChars="200" w:firstLine="560"/>
        <w:rPr>
          <w:sz w:val="28"/>
        </w:rPr>
      </w:pPr>
      <w:r w:rsidRPr="0061142D">
        <w:rPr>
          <w:rFonts w:hAnsi="宋体"/>
          <w:sz w:val="28"/>
        </w:rPr>
        <w:t>（二）指令的内容</w:t>
      </w:r>
    </w:p>
    <w:p w:rsidR="009C2EF9" w:rsidRPr="0061142D" w:rsidRDefault="009C2EF9" w:rsidP="00EE5132">
      <w:pPr>
        <w:adjustRightInd w:val="0"/>
        <w:snapToGrid w:val="0"/>
        <w:spacing w:line="360" w:lineRule="auto"/>
        <w:ind w:firstLineChars="200" w:firstLine="560"/>
        <w:rPr>
          <w:sz w:val="28"/>
        </w:rPr>
      </w:pPr>
      <w:r w:rsidRPr="0061142D">
        <w:rPr>
          <w:sz w:val="28"/>
        </w:rPr>
        <w:t>1</w:t>
      </w:r>
      <w:r w:rsidRPr="0061142D">
        <w:rPr>
          <w:rFonts w:hAnsi="宋体"/>
          <w:sz w:val="28"/>
        </w:rPr>
        <w:t>、指令包括付款指令</w:t>
      </w:r>
      <w:r w:rsidRPr="0061142D">
        <w:rPr>
          <w:sz w:val="28"/>
        </w:rPr>
        <w:t>(</w:t>
      </w:r>
      <w:r w:rsidRPr="0061142D">
        <w:rPr>
          <w:rFonts w:hAnsi="宋体"/>
          <w:sz w:val="28"/>
        </w:rPr>
        <w:t>含赎回、分红付款指令、银行间业务划款指令）以及其他资金划拨指令等。</w:t>
      </w:r>
    </w:p>
    <w:p w:rsidR="009C2EF9" w:rsidRPr="0061142D" w:rsidRDefault="009C2EF9" w:rsidP="00EE5132">
      <w:pPr>
        <w:adjustRightInd w:val="0"/>
        <w:snapToGrid w:val="0"/>
        <w:spacing w:line="360" w:lineRule="auto"/>
        <w:ind w:firstLineChars="200" w:firstLine="560"/>
        <w:rPr>
          <w:sz w:val="28"/>
        </w:rPr>
      </w:pPr>
      <w:r w:rsidRPr="0061142D">
        <w:rPr>
          <w:sz w:val="28"/>
        </w:rPr>
        <w:t>2</w:t>
      </w:r>
      <w:r w:rsidRPr="0061142D">
        <w:rPr>
          <w:rFonts w:hAnsi="宋体"/>
          <w:sz w:val="28"/>
        </w:rPr>
        <w:t>、基金管理人发给基金托管人的指令应写明款项事由、支付时间、到账时间、金额、账户资料等，并加盖预留印鉴。</w:t>
      </w:r>
    </w:p>
    <w:p w:rsidR="009C2EF9" w:rsidRPr="0061142D" w:rsidRDefault="009C2EF9" w:rsidP="00EE5132">
      <w:pPr>
        <w:adjustRightInd w:val="0"/>
        <w:snapToGrid w:val="0"/>
        <w:spacing w:line="360" w:lineRule="auto"/>
        <w:ind w:firstLineChars="200" w:firstLine="560"/>
        <w:rPr>
          <w:sz w:val="28"/>
        </w:rPr>
      </w:pPr>
      <w:r w:rsidRPr="0061142D">
        <w:rPr>
          <w:rFonts w:hAnsi="宋体"/>
          <w:sz w:val="28"/>
        </w:rPr>
        <w:t>（三）指令的发送、确认及执行的时间和程序</w:t>
      </w:r>
    </w:p>
    <w:p w:rsidR="009C2EF9" w:rsidRPr="0061142D" w:rsidRDefault="009C2EF9" w:rsidP="00EE5132">
      <w:pPr>
        <w:adjustRightInd w:val="0"/>
        <w:snapToGrid w:val="0"/>
        <w:spacing w:line="360" w:lineRule="auto"/>
        <w:ind w:firstLineChars="200" w:firstLine="560"/>
        <w:rPr>
          <w:sz w:val="28"/>
        </w:rPr>
      </w:pPr>
      <w:r w:rsidRPr="0061142D">
        <w:rPr>
          <w:sz w:val="28"/>
        </w:rPr>
        <w:t>1</w:t>
      </w:r>
      <w:r w:rsidRPr="0061142D">
        <w:rPr>
          <w:rFonts w:hAnsi="宋体"/>
          <w:sz w:val="28"/>
        </w:rPr>
        <w:t>、指令的发送</w:t>
      </w:r>
    </w:p>
    <w:p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基金管理人发送指令应采用加密传真方式或其他基金管理人和基金托管人双方书面共同确认的方式。</w:t>
      </w:r>
    </w:p>
    <w:p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管理人应按照法律法规和基金合同的规定，在其合法的经营权限和交易权限内发送指令；被授权人应严格按照其授权权限发送指令。对于被授权人依约定程序发出的内容合法的指令，基金管理人不得否认其效力。但如果基金管理人已经撤销并在指令执行前及时明确地通知基金托管人或更改对交易指令发送人员的授权，且基金托管人根据本协议确认后，则对于此后该交易指令发送人员无权发送的指令，或超权限发送的指令，基金管理人不承担责任，授权已更改但未通知基金托管人的情况除外。</w:t>
      </w:r>
    </w:p>
    <w:p w:rsidR="009C2EF9" w:rsidRPr="0061142D" w:rsidRDefault="009C2EF9" w:rsidP="00EE5132">
      <w:pPr>
        <w:adjustRightInd w:val="0"/>
        <w:snapToGrid w:val="0"/>
        <w:spacing w:line="360" w:lineRule="auto"/>
        <w:ind w:firstLineChars="200" w:firstLine="560"/>
        <w:rPr>
          <w:sz w:val="28"/>
        </w:rPr>
      </w:pPr>
      <w:r w:rsidRPr="0061142D">
        <w:rPr>
          <w:rFonts w:hAnsi="宋体"/>
          <w:sz w:val="28"/>
        </w:rPr>
        <w:t>指令发出后，基金管理人应及时以电话方式向基金托管人确认。</w:t>
      </w:r>
    </w:p>
    <w:p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基金管理人应在交易结束后将全国银行间交易成交单加盖印章后及时传真给基金托管人，并电话确认。</w:t>
      </w:r>
    </w:p>
    <w:p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基金管理人在发送指令时，应为基金托管人</w:t>
      </w:r>
      <w:r w:rsidR="00302D6E" w:rsidRPr="0061142D">
        <w:rPr>
          <w:rFonts w:hAnsi="宋体"/>
          <w:sz w:val="28"/>
        </w:rPr>
        <w:t>执行指令留出至少两个</w:t>
      </w:r>
      <w:r w:rsidR="006E67CA" w:rsidRPr="0061142D">
        <w:rPr>
          <w:rFonts w:hAnsi="宋体"/>
          <w:sz w:val="28"/>
        </w:rPr>
        <w:t>工作</w:t>
      </w:r>
      <w:r w:rsidR="00302D6E" w:rsidRPr="0061142D">
        <w:rPr>
          <w:rFonts w:hAnsi="宋体"/>
          <w:sz w:val="28"/>
        </w:rPr>
        <w:t>小时</w:t>
      </w:r>
      <w:r w:rsidRPr="0061142D">
        <w:rPr>
          <w:rFonts w:hAnsi="宋体"/>
          <w:sz w:val="28"/>
        </w:rPr>
        <w:t>。由基金管理人的原因造成的指令传输不及时、未能留出</w:t>
      </w:r>
      <w:r w:rsidRPr="0061142D">
        <w:rPr>
          <w:rFonts w:hAnsi="宋体"/>
          <w:sz w:val="28"/>
        </w:rPr>
        <w:lastRenderedPageBreak/>
        <w:t>足够的划款时间，未准备足够资金，致使资金未能及时到账所造成的损失由基金管理人承担。</w:t>
      </w:r>
    </w:p>
    <w:p w:rsidR="009C2EF9" w:rsidRPr="0061142D" w:rsidRDefault="009C2EF9" w:rsidP="00EE5132">
      <w:pPr>
        <w:adjustRightInd w:val="0"/>
        <w:snapToGrid w:val="0"/>
        <w:spacing w:line="360" w:lineRule="auto"/>
        <w:ind w:firstLineChars="200" w:firstLine="560"/>
        <w:rPr>
          <w:sz w:val="28"/>
        </w:rPr>
      </w:pPr>
      <w:r w:rsidRPr="0061142D">
        <w:rPr>
          <w:sz w:val="28"/>
        </w:rPr>
        <w:t>2</w:t>
      </w:r>
      <w:r w:rsidRPr="0061142D">
        <w:rPr>
          <w:rFonts w:hAnsi="宋体"/>
          <w:sz w:val="28"/>
        </w:rPr>
        <w:t>、指令的确认</w:t>
      </w:r>
    </w:p>
    <w:p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托管人应指定专人接收基金管理人的指令，答复基金管理人的指令确认电话。指令到达基金托管人后，基金托管人应指定专人根据基金管理人提供的授权文件及按照双方约定程序进行表面相符的形式审查，及时审慎验证有关内容及印鉴，基金托管人对指令的真实性不承担责任。如有疑问必须及时通知基金管理人。</w:t>
      </w:r>
    </w:p>
    <w:p w:rsidR="009C2EF9" w:rsidRPr="0061142D" w:rsidRDefault="009C2EF9" w:rsidP="00EE5132">
      <w:pPr>
        <w:adjustRightInd w:val="0"/>
        <w:snapToGrid w:val="0"/>
        <w:spacing w:line="360" w:lineRule="auto"/>
        <w:ind w:firstLineChars="200" w:firstLine="560"/>
        <w:rPr>
          <w:sz w:val="28"/>
        </w:rPr>
      </w:pPr>
      <w:r w:rsidRPr="0061142D">
        <w:rPr>
          <w:sz w:val="28"/>
        </w:rPr>
        <w:t>3</w:t>
      </w:r>
      <w:r w:rsidRPr="0061142D">
        <w:rPr>
          <w:rFonts w:hAnsi="宋体"/>
          <w:sz w:val="28"/>
        </w:rPr>
        <w:t>、指令的时间和执行</w:t>
      </w:r>
    </w:p>
    <w:p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基金托管人对指令验证后，应及时办理。</w:t>
      </w:r>
    </w:p>
    <w:p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管理人应确保基金托管人在执行指令时，基金托管资金账户有足够的资金余额，否则基金托管人可不予执行，但应立即通知基金管理人，由基金管理人审核、查明原因，确认此交易指令无效。在及时通知后，基金托管人不承担因未执行该指令造成损失的责任。</w:t>
      </w:r>
    </w:p>
    <w:p w:rsidR="009C2EF9" w:rsidRPr="0061142D" w:rsidRDefault="009C2EF9" w:rsidP="00EE5132">
      <w:pPr>
        <w:adjustRightInd w:val="0"/>
        <w:snapToGrid w:val="0"/>
        <w:spacing w:line="360" w:lineRule="auto"/>
        <w:ind w:firstLineChars="200" w:firstLine="560"/>
        <w:rPr>
          <w:sz w:val="28"/>
        </w:rPr>
      </w:pPr>
      <w:r w:rsidRPr="0061142D">
        <w:rPr>
          <w:rFonts w:hAnsi="宋体"/>
          <w:sz w:val="28"/>
        </w:rPr>
        <w:t>对于申购新股等时效性要求高的指令，基金管理人必须及时将指令传至基金托管人，并预留充足的指令处理时间。</w:t>
      </w:r>
    </w:p>
    <w:p w:rsidR="009C2EF9" w:rsidRPr="0061142D" w:rsidRDefault="009C2EF9" w:rsidP="00EE5132">
      <w:pPr>
        <w:adjustRightInd w:val="0"/>
        <w:snapToGrid w:val="0"/>
        <w:spacing w:line="360" w:lineRule="auto"/>
        <w:ind w:firstLineChars="200" w:firstLine="560"/>
        <w:rPr>
          <w:sz w:val="28"/>
        </w:rPr>
      </w:pPr>
      <w:r w:rsidRPr="0061142D">
        <w:rPr>
          <w:rFonts w:hAnsi="宋体"/>
          <w:sz w:val="28"/>
        </w:rPr>
        <w:t>对于发送时资金不足的指令，基金托管人有权不予执行，应当立即通知基金管理人，基金管理人确认该指令不予取消的，将资金备足并以通知基金托管人的时间视为指令收到时间，因账户资金余额不足导致的投资损失不由</w:t>
      </w:r>
      <w:r w:rsidR="00B138D3">
        <w:rPr>
          <w:rFonts w:hAnsi="宋体" w:hint="eastAsia"/>
          <w:sz w:val="28"/>
        </w:rPr>
        <w:t>基金</w:t>
      </w:r>
      <w:r w:rsidRPr="0061142D">
        <w:rPr>
          <w:rFonts w:hAnsi="宋体"/>
          <w:sz w:val="28"/>
        </w:rPr>
        <w:t>托管人承担。</w:t>
      </w:r>
    </w:p>
    <w:p w:rsidR="009C2EF9" w:rsidRPr="0061142D" w:rsidRDefault="009C2EF9" w:rsidP="00EE5132">
      <w:pPr>
        <w:adjustRightInd w:val="0"/>
        <w:snapToGrid w:val="0"/>
        <w:spacing w:line="360" w:lineRule="auto"/>
        <w:ind w:firstLineChars="200" w:firstLine="560"/>
        <w:rPr>
          <w:sz w:val="28"/>
        </w:rPr>
      </w:pPr>
      <w:r w:rsidRPr="0061142D">
        <w:rPr>
          <w:rFonts w:hAnsi="宋体"/>
          <w:sz w:val="28"/>
        </w:rPr>
        <w:t>（四）基金管理人发送错误指令的情形和处理程序</w:t>
      </w:r>
    </w:p>
    <w:p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管理人发送错误指令的情形包括指令违反法律法规和基金合同，指令发送人员无权或超越权限发送指令，指令标的、价格、金额错误，指令交易方向、交易对手及交割信息错误，指令中重要信息模糊不清或不全及其他错误情况等。</w:t>
      </w:r>
      <w:r w:rsidR="00302D6E" w:rsidRPr="0061142D">
        <w:rPr>
          <w:sz w:val="27"/>
          <w:szCs w:val="27"/>
        </w:rPr>
        <w:t>基金托管人发现指令错误，应及</w:t>
      </w:r>
      <w:r w:rsidR="00302D6E" w:rsidRPr="0061142D">
        <w:rPr>
          <w:sz w:val="27"/>
          <w:szCs w:val="27"/>
        </w:rPr>
        <w:lastRenderedPageBreak/>
        <w:t>时提示基金管理人改正后再予以执行，基金托管人不承担因延迟执行该指令造成损失的责任。</w:t>
      </w:r>
    </w:p>
    <w:p w:rsidR="009C2EF9" w:rsidRPr="0061142D" w:rsidRDefault="009C2EF9" w:rsidP="00EE5132">
      <w:pPr>
        <w:adjustRightInd w:val="0"/>
        <w:snapToGrid w:val="0"/>
        <w:spacing w:line="360" w:lineRule="auto"/>
        <w:ind w:firstLineChars="200" w:firstLine="560"/>
        <w:rPr>
          <w:sz w:val="28"/>
        </w:rPr>
      </w:pPr>
      <w:r w:rsidRPr="0061142D">
        <w:rPr>
          <w:rFonts w:hAnsi="宋体"/>
          <w:sz w:val="28"/>
        </w:rPr>
        <w:t>（五）基金托管人依照法律法规暂缓、拒绝执行指令的情形和处理程序</w:t>
      </w:r>
    </w:p>
    <w:p w:rsidR="009C2EF9" w:rsidRPr="0061142D" w:rsidRDefault="009C2EF9" w:rsidP="00EE5132">
      <w:pPr>
        <w:adjustRightInd w:val="0"/>
        <w:snapToGrid w:val="0"/>
        <w:spacing w:line="360" w:lineRule="auto"/>
        <w:ind w:firstLineChars="200" w:firstLine="560"/>
        <w:rPr>
          <w:sz w:val="28"/>
        </w:rPr>
      </w:pPr>
      <w:r w:rsidRPr="0061142D">
        <w:rPr>
          <w:rFonts w:hAnsi="宋体"/>
          <w:sz w:val="28"/>
        </w:rPr>
        <w:t>若基金托管人发现基金管理人的指令违反法律、行政法规和其他有关规定，或者违反基金合同约定的，应当拒绝执行，及时通知基金管理人。</w:t>
      </w:r>
    </w:p>
    <w:p w:rsidR="009C2EF9" w:rsidRPr="0061142D" w:rsidRDefault="009C2EF9" w:rsidP="00EE5132">
      <w:pPr>
        <w:adjustRightInd w:val="0"/>
        <w:snapToGrid w:val="0"/>
        <w:spacing w:line="360" w:lineRule="auto"/>
        <w:ind w:firstLineChars="200" w:firstLine="560"/>
        <w:rPr>
          <w:sz w:val="28"/>
        </w:rPr>
      </w:pPr>
      <w:r w:rsidRPr="0061142D">
        <w:rPr>
          <w:rFonts w:hAnsi="宋体"/>
          <w:sz w:val="28"/>
        </w:rPr>
        <w:t>若基金托管人发现基金管理人依据交易程序已经生效的指令违反法律、行政法规和其他有关规定，或者违反基金合同约定的，应当及时通知基金管理人，由此造成的损失由基金管理人承担。</w:t>
      </w:r>
    </w:p>
    <w:p w:rsidR="009C2EF9" w:rsidRPr="0061142D" w:rsidRDefault="009C2EF9" w:rsidP="00EE5132">
      <w:pPr>
        <w:adjustRightInd w:val="0"/>
        <w:snapToGrid w:val="0"/>
        <w:spacing w:line="360" w:lineRule="auto"/>
        <w:ind w:firstLineChars="200" w:firstLine="560"/>
        <w:rPr>
          <w:sz w:val="28"/>
        </w:rPr>
      </w:pPr>
      <w:r w:rsidRPr="0061142D">
        <w:rPr>
          <w:rFonts w:hAnsi="宋体"/>
          <w:sz w:val="28"/>
        </w:rPr>
        <w:t>（六）基金托管人未按照基金管理人指令执行的处理方法</w:t>
      </w:r>
    </w:p>
    <w:p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基金托管人由于其自身原因未能执行或错误执行基金管理人指令致使本基金的利益受到损害，应在发现后，及时采取措施予以弥补，给基金份额持有人造成损失的，对由此造成的直接经济损失负赔偿责任。</w:t>
      </w:r>
    </w:p>
    <w:p w:rsidR="009C2EF9" w:rsidRPr="0061142D" w:rsidRDefault="009C2EF9" w:rsidP="00EE5132">
      <w:pPr>
        <w:adjustRightInd w:val="0"/>
        <w:snapToGrid w:val="0"/>
        <w:spacing w:line="360" w:lineRule="auto"/>
        <w:ind w:firstLineChars="200" w:firstLine="560"/>
        <w:rPr>
          <w:sz w:val="28"/>
        </w:rPr>
      </w:pPr>
      <w:r w:rsidRPr="0061142D">
        <w:rPr>
          <w:rFonts w:hAnsi="宋体"/>
          <w:sz w:val="28"/>
        </w:rPr>
        <w:t>（七）更换被授权人员的程序</w:t>
      </w:r>
    </w:p>
    <w:p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管理人更换被授权人、更改或终止对被授权人的授权，应提前通知基金托管人，同时基金管理人向基金托管人提供新的书面授权文件，并及时通过电话确认，确保基金托管人及时查收。基金托管人应在收到授权变更或终止通知书原件当日银行营业时间结束前及时与基金管理人电话确认。被授权人变更或终止通知，自基金管理人与</w:t>
      </w:r>
      <w:r w:rsidR="00B138D3">
        <w:rPr>
          <w:rFonts w:hAnsi="宋体" w:hint="eastAsia"/>
          <w:sz w:val="28"/>
        </w:rPr>
        <w:t>基金</w:t>
      </w:r>
      <w:r w:rsidRPr="0061142D">
        <w:rPr>
          <w:rFonts w:hAnsi="宋体"/>
          <w:sz w:val="28"/>
        </w:rPr>
        <w:t>托管人确认后开始生效。被授权人变更通知生效前，基金托管人仍应按原约定执行指令，基金管理人不得否认其效力。</w:t>
      </w:r>
    </w:p>
    <w:p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基金托管人更换接受基金管理人指令的人员，应提前书面通知基金管理人并及时通过电话确认。</w:t>
      </w:r>
    </w:p>
    <w:p w:rsidR="009C2EF9" w:rsidRPr="0061142D" w:rsidRDefault="009C2EF9" w:rsidP="00EE5132">
      <w:pPr>
        <w:adjustRightInd w:val="0"/>
        <w:snapToGrid w:val="0"/>
        <w:spacing w:line="360" w:lineRule="auto"/>
        <w:ind w:firstLineChars="200" w:firstLine="560"/>
        <w:rPr>
          <w:sz w:val="28"/>
        </w:rPr>
      </w:pPr>
      <w:r w:rsidRPr="0061142D">
        <w:rPr>
          <w:rFonts w:hAnsi="宋体"/>
          <w:sz w:val="28"/>
        </w:rPr>
        <w:t>（八）其他事项</w:t>
      </w:r>
    </w:p>
    <w:p w:rsidR="009C2EF9" w:rsidRPr="0061142D" w:rsidRDefault="009C2EF9" w:rsidP="00EE5132">
      <w:pPr>
        <w:adjustRightInd w:val="0"/>
        <w:snapToGrid w:val="0"/>
        <w:spacing w:line="360" w:lineRule="auto"/>
        <w:ind w:firstLineChars="200" w:firstLine="560"/>
        <w:rPr>
          <w:sz w:val="28"/>
        </w:rPr>
      </w:pPr>
      <w:r w:rsidRPr="0061142D">
        <w:rPr>
          <w:sz w:val="28"/>
        </w:rPr>
        <w:lastRenderedPageBreak/>
        <w:t>1</w:t>
      </w:r>
      <w:r w:rsidRPr="0061142D">
        <w:rPr>
          <w:rFonts w:hAnsi="宋体"/>
          <w:sz w:val="28"/>
        </w:rPr>
        <w:t>、基金托管人在接收指令时，应对指令的要素是否齐全、印鉴与被授权人是否与预留的授权文件内容相符进行检查，如发现问题，应及时通知基金管理人。</w:t>
      </w:r>
    </w:p>
    <w:p w:rsidR="009C2EF9" w:rsidRPr="0061142D" w:rsidRDefault="009C2EF9" w:rsidP="00EE5132">
      <w:pPr>
        <w:adjustRightInd w:val="0"/>
        <w:snapToGrid w:val="0"/>
        <w:spacing w:line="360" w:lineRule="auto"/>
        <w:ind w:firstLineChars="200" w:firstLine="560"/>
        <w:rPr>
          <w:sz w:val="28"/>
        </w:rPr>
      </w:pPr>
      <w:r w:rsidRPr="0061142D">
        <w:rPr>
          <w:rFonts w:hAnsi="宋体"/>
          <w:sz w:val="28"/>
        </w:rPr>
        <w:t>如果基金管理人已经撤销或更改对指令发送人员的授权，并且已通知基金托管人并与基金托管人确认后，则对于在变更通知的启用日期后该指令发送人员无权发送的指令，或超权限发送的指令，基金管理人不承担责任。</w:t>
      </w:r>
    </w:p>
    <w:p w:rsidR="009C2EF9" w:rsidRPr="0061142D" w:rsidRDefault="009C2EF9" w:rsidP="00EE5132">
      <w:pPr>
        <w:adjustRightInd w:val="0"/>
        <w:snapToGrid w:val="0"/>
        <w:spacing w:line="360" w:lineRule="auto"/>
        <w:ind w:firstLineChars="200" w:firstLine="560"/>
        <w:rPr>
          <w:sz w:val="28"/>
        </w:rPr>
      </w:pPr>
      <w:r w:rsidRPr="0061142D">
        <w:rPr>
          <w:sz w:val="28"/>
        </w:rPr>
        <w:t>2</w:t>
      </w:r>
      <w:r w:rsidRPr="0061142D">
        <w:rPr>
          <w:rFonts w:hAnsi="宋体"/>
          <w:sz w:val="28"/>
        </w:rPr>
        <w:t>、除因其自身原因致使基金的利益受到损害而负赔偿责任外，基金托管人对执行基金管理人的合法指令而对基金财产造成的损失不承担赔偿责任。</w:t>
      </w:r>
    </w:p>
    <w:p w:rsidR="00EE5132" w:rsidRPr="0061142D" w:rsidRDefault="00EE5132" w:rsidP="00EE5132">
      <w:pPr>
        <w:adjustRightInd w:val="0"/>
        <w:snapToGrid w:val="0"/>
        <w:spacing w:line="360" w:lineRule="auto"/>
        <w:ind w:firstLineChars="200" w:firstLine="560"/>
        <w:rPr>
          <w:sz w:val="28"/>
        </w:rPr>
      </w:pPr>
    </w:p>
    <w:p w:rsidR="009C2EF9" w:rsidRPr="0061142D" w:rsidRDefault="009C2EF9">
      <w:pPr>
        <w:pStyle w:val="2"/>
        <w:spacing w:line="360" w:lineRule="auto"/>
        <w:jc w:val="center"/>
        <w:rPr>
          <w:rFonts w:ascii="Times New Roman" w:eastAsia="宋体" w:hAnsi="Times New Roman"/>
          <w:color w:val="000000"/>
          <w:sz w:val="28"/>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45818941"/>
      <w:r w:rsidRPr="0061142D">
        <w:rPr>
          <w:rFonts w:ascii="Times New Roman" w:eastAsia="宋体" w:hAnsi="宋体"/>
          <w:color w:val="000000"/>
          <w:sz w:val="28"/>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（一）选择代理证券买卖的证券经营机构</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管理人应设计选择代理证券买卖的证券经营机构的标准和程序。基金管理人负责选择代理本基金证券买卖的证券经营机构，使用其交易单元作为基金的交易单元。基金管理人和被选中的证券经营机构签订委托协议，由基金管理人提前通知基金托管人。交易保证金由被选中的证券经营机构交付。基金管理人应根据有关规定，在基金的中期报告和年度报告中将所选证券经营机构的有关情况、基金通过该证券经营机构买卖证券的成交量、回购成交量和支付的佣金等予以披露，并将上述情况及基金专用交易单元号、佣金费率等基金基本信息以及变更情况及时以书面形式通知基金托管人。因相关法律法规或交易规则的修改带来的变化以届时有效的法律法规和相关交易规则为准。</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lastRenderedPageBreak/>
        <w:t>（二）基金投资证券后的清算交收安排</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、清算与交割</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基金托管人负责基金买卖证券的清算交收。资金汇划由基金托管人根据基金管理人的交易成交结果具体办理。</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如果因为基金托管人自身原因在清算上造成基金资产的损失，应由基金托管人负责赔偿基金的损失；如果因为基金管理人未事先通知基金托管人增加交易单元，致使基金托管人接收数据不完整，造成清算差错的责任由基金管理人承担；如果因为基金管理人未事先通知需要单独结算的交易，造成基金财产损失的由基金管理人承担；如果由于基金管理人违反法律法规、交易规则的规定进行超买、超卖等原因造成基金投资清算困难和风险，基金托管人发现后应立即通知基金管理人，由基金管理人负责解决，由此给基金造成的损失由基金管理人承担。</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基金管理人应采取合理措施，确保在</w:t>
      </w:r>
      <w:r w:rsidRPr="0061142D">
        <w:rPr>
          <w:color w:val="000000"/>
          <w:sz w:val="28"/>
        </w:rPr>
        <w:t>T+1</w:t>
      </w:r>
      <w:r w:rsidRPr="0061142D">
        <w:rPr>
          <w:rFonts w:hAnsi="宋体"/>
          <w:color w:val="000000"/>
          <w:sz w:val="28"/>
        </w:rPr>
        <w:t>日</w:t>
      </w:r>
      <w:r w:rsidRPr="0061142D">
        <w:rPr>
          <w:color w:val="000000"/>
          <w:sz w:val="28"/>
        </w:rPr>
        <w:t>11:30</w:t>
      </w:r>
      <w:r w:rsidRPr="0061142D">
        <w:rPr>
          <w:rFonts w:hAnsi="宋体"/>
          <w:color w:val="000000"/>
          <w:sz w:val="28"/>
        </w:rPr>
        <w:t>之前，最迟不能超过</w:t>
      </w:r>
      <w:r w:rsidRPr="0061142D">
        <w:rPr>
          <w:color w:val="000000"/>
          <w:sz w:val="28"/>
        </w:rPr>
        <w:t>T+1</w:t>
      </w:r>
      <w:r w:rsidRPr="0061142D">
        <w:rPr>
          <w:rFonts w:hAnsi="宋体"/>
          <w:color w:val="000000"/>
          <w:sz w:val="28"/>
        </w:rPr>
        <w:t>日</w:t>
      </w:r>
      <w:r w:rsidRPr="0061142D">
        <w:rPr>
          <w:color w:val="000000"/>
          <w:sz w:val="28"/>
        </w:rPr>
        <w:t>13:00</w:t>
      </w:r>
      <w:r w:rsidRPr="0061142D">
        <w:rPr>
          <w:rFonts w:hAnsi="宋体"/>
          <w:color w:val="000000"/>
          <w:sz w:val="28"/>
        </w:rPr>
        <w:t>前有足够的资金头寸用于中国证券登记结算有限责任公司上海分公司和深圳分公司的资金结算。</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管理人应保证基金托管人在执行基金管理人发送的划款指令时，基金托管资金账户或资金交收账户上有充足的资金。基金的资金头寸不足时，基金托管人有权拒绝基金管理人发送的划款指令，但应及时通知基金管理人。基金管理人在发送划款指令时应充分考虑基金托管人的划款处理时间。在基金资金头寸充足的情况下，基金托管人对基金管理人符合法律法规、基金合同、本协议的指令不得拖延或拒绝执行。</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、交易记录、资金和证券账目核对的时间和方式</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w:t>
      </w:r>
      <w:r w:rsidRPr="0061142D">
        <w:rPr>
          <w:color w:val="000000"/>
          <w:sz w:val="28"/>
        </w:rPr>
        <w:t>1</w:t>
      </w:r>
      <w:r w:rsidRPr="0061142D">
        <w:rPr>
          <w:rFonts w:hAnsi="宋体"/>
          <w:color w:val="000000"/>
          <w:sz w:val="28"/>
        </w:rPr>
        <w:t>）交易记录的核对</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kern w:val="0"/>
          <w:sz w:val="28"/>
        </w:rPr>
        <w:lastRenderedPageBreak/>
        <w:t>基金管理人和基金托管人按日进行交易记录的核对。每日对外披露净值之前，必须保证当天所有实际交易记录与基金会计账簿上的交易记录完全一致。如果实际交易记录与会计账簿记录不一致，造成基金会计核算不完整或不真实，由此给基金造成的损失由基金管理人承担。</w:t>
      </w:r>
      <w:r w:rsidRPr="0061142D">
        <w:rPr>
          <w:color w:val="000000"/>
          <w:kern w:val="0"/>
          <w:sz w:val="28"/>
        </w:rPr>
        <w:t xml:space="preserve">  </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w:t>
      </w:r>
      <w:r w:rsidRPr="0061142D">
        <w:rPr>
          <w:color w:val="000000"/>
          <w:sz w:val="28"/>
        </w:rPr>
        <w:t>2</w:t>
      </w:r>
      <w:r w:rsidRPr="0061142D">
        <w:rPr>
          <w:rFonts w:hAnsi="宋体"/>
          <w:color w:val="000000"/>
          <w:sz w:val="28"/>
        </w:rPr>
        <w:t>）资金账目的核对</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资金账目按日核实，账实相符。</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w:t>
      </w:r>
      <w:r w:rsidRPr="0061142D">
        <w:rPr>
          <w:color w:val="000000"/>
          <w:sz w:val="28"/>
        </w:rPr>
        <w:t>3</w:t>
      </w:r>
      <w:r w:rsidRPr="0061142D">
        <w:rPr>
          <w:rFonts w:hAnsi="宋体"/>
          <w:color w:val="000000"/>
          <w:sz w:val="28"/>
        </w:rPr>
        <w:t>）证券账目的核对</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基金托管人应按时核对证券账户中的种类和数量，确保每日交易结束后证券账户中证券的种类和数量与基金会计账簿中的记载一致。</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w:t>
      </w:r>
      <w:r w:rsidRPr="0061142D">
        <w:rPr>
          <w:color w:val="000000"/>
          <w:sz w:val="28"/>
        </w:rPr>
        <w:t>4</w:t>
      </w:r>
      <w:r w:rsidRPr="0061142D">
        <w:rPr>
          <w:rFonts w:hAnsi="宋体"/>
          <w:color w:val="000000"/>
          <w:sz w:val="28"/>
        </w:rPr>
        <w:t>）实物券账目</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实物券账目，每月月末相关各方进行账实核对。</w:t>
      </w:r>
    </w:p>
    <w:p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（三）基金申购、赎回及转换业务处理的基本规定</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、基金份额申购、赎回及转换的确认、清算由基金管理人指定的登记机构负责。</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、基金管理人应将每个开放日的申购、赎回、转换开放式基金的数据传送给基金托管人。基金管理人应对传递的申购、赎回、转换开放式基金的数据真实性负责。</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、基金管理人应保证其委托的登记机构必须于每个工作日向基金托管人发送前一开放日上述有关数据，并保证相关数据的准确、完整。</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、登记机构应通过与基金托管人建立的加密系统发送有关数据</w:t>
      </w:r>
      <w:r w:rsidRPr="0061142D">
        <w:rPr>
          <w:color w:val="000000"/>
          <w:sz w:val="28"/>
        </w:rPr>
        <w:t>(</w:t>
      </w:r>
      <w:r w:rsidRPr="0061142D">
        <w:rPr>
          <w:rFonts w:hAnsi="宋体"/>
          <w:color w:val="000000"/>
          <w:sz w:val="28"/>
        </w:rPr>
        <w:t>包括电子数据和盖章生效的纸制清算汇总表</w:t>
      </w:r>
      <w:r w:rsidRPr="0061142D">
        <w:rPr>
          <w:color w:val="000000"/>
          <w:sz w:val="28"/>
        </w:rPr>
        <w:t>)</w:t>
      </w:r>
      <w:r w:rsidRPr="0061142D">
        <w:rPr>
          <w:rFonts w:hAnsi="宋体"/>
          <w:color w:val="000000"/>
          <w:sz w:val="28"/>
        </w:rPr>
        <w:t>，如因各种原因，该系统无法正常发送，双方可协商解决处理方式。基金管理人向基金托管人发送的数据，双方各自按有关规定保存。</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lastRenderedPageBreak/>
        <w:t>5</w:t>
      </w:r>
      <w:r w:rsidRPr="0061142D">
        <w:rPr>
          <w:rFonts w:hAnsi="宋体"/>
          <w:color w:val="000000"/>
          <w:sz w:val="28"/>
        </w:rPr>
        <w:t>、如基金管理人委托其他机构办理本基金的注册登记业务，上述事宜由基金管理人负责。</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6</w:t>
      </w:r>
      <w:r w:rsidRPr="0061142D">
        <w:rPr>
          <w:rFonts w:hAnsi="宋体"/>
          <w:color w:val="000000"/>
          <w:sz w:val="28"/>
        </w:rPr>
        <w:t>、关于清算专用账户的设立和管理</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为满足申购、赎回及分红资金汇划的需要，由基金管理人开立资金清算的专用账户，该账户由登记机构管理。</w:t>
      </w:r>
    </w:p>
    <w:p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（四）</w:t>
      </w:r>
      <w:r w:rsidRPr="0061142D">
        <w:rPr>
          <w:rFonts w:hAnsi="宋体"/>
          <w:sz w:val="28"/>
        </w:rPr>
        <w:t>开放式基金申购、赎回和基金转换的资金清算</w:t>
      </w:r>
    </w:p>
    <w:p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基金申购、赎回、转换等款项采用轧差交收的结算方式，净额在最晚不迟于</w:t>
      </w:r>
      <w:r w:rsidRPr="0061142D">
        <w:rPr>
          <w:sz w:val="28"/>
        </w:rPr>
        <w:t>T+2</w:t>
      </w:r>
      <w:r w:rsidRPr="0061142D">
        <w:rPr>
          <w:rFonts w:hAnsi="宋体"/>
          <w:sz w:val="28"/>
        </w:rPr>
        <w:t>日下午</w:t>
      </w:r>
      <w:r w:rsidRPr="0061142D">
        <w:rPr>
          <w:sz w:val="28"/>
        </w:rPr>
        <w:t>15</w:t>
      </w:r>
      <w:r w:rsidRPr="0061142D">
        <w:rPr>
          <w:rFonts w:hAnsi="宋体"/>
          <w:sz w:val="28"/>
        </w:rPr>
        <w:t>：</w:t>
      </w:r>
      <w:r w:rsidRPr="0061142D">
        <w:rPr>
          <w:sz w:val="28"/>
        </w:rPr>
        <w:t>00</w:t>
      </w:r>
      <w:r w:rsidRPr="0061142D">
        <w:rPr>
          <w:rFonts w:hAnsi="宋体"/>
          <w:sz w:val="28"/>
        </w:rPr>
        <w:t>前在基金管理人指定的</w:t>
      </w:r>
      <w:r w:rsidRPr="0061142D">
        <w:rPr>
          <w:sz w:val="28"/>
        </w:rPr>
        <w:t>TA</w:t>
      </w:r>
      <w:r w:rsidRPr="0061142D">
        <w:rPr>
          <w:rFonts w:hAnsi="宋体"/>
          <w:sz w:val="28"/>
        </w:rPr>
        <w:t>专用账户和资产托管资金账户之间交收。发生巨额赎回以及保本周期到期赎回的情形，款项的交收参照本基金基金合同有关条款处理。</w:t>
      </w:r>
    </w:p>
    <w:p w:rsidR="009C2EF9" w:rsidRPr="0061142D" w:rsidRDefault="009C2EF9" w:rsidP="00EE5132">
      <w:pPr>
        <w:adjustRightInd w:val="0"/>
        <w:snapToGrid w:val="0"/>
        <w:spacing w:line="360" w:lineRule="auto"/>
        <w:ind w:firstLineChars="200" w:firstLine="560"/>
        <w:rPr>
          <w:sz w:val="28"/>
        </w:rPr>
      </w:pPr>
      <w:r w:rsidRPr="0061142D">
        <w:rPr>
          <w:rFonts w:hAnsi="宋体"/>
          <w:sz w:val="28"/>
        </w:rPr>
        <w:t>如果当日基金为净应收款，基金托管人应及时查收资金是否到账，对于未准时到账的资金，应及时通知基金管理人划付，由此产生的责任应由基金管理人承担。</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sz w:val="28"/>
        </w:rPr>
        <w:t>如果当日基金为净应付款，基金托管人应根据基金管理人的指令及时进行划付。对于未准时划付的资金，基金管理人应及时通知基金托管人划付，由此产生的责任应由基金托管人承担。</w:t>
      </w:r>
      <w:r w:rsidRPr="0061142D">
        <w:rPr>
          <w:rFonts w:hAnsi="宋体"/>
          <w:color w:val="000000"/>
          <w:sz w:val="28"/>
        </w:rPr>
        <w:t>因基金托管资金账户没有足够的资金，导致基金托管人不能按时拨付，如系基金管理人的原因造成，责任由基金管理人承担，基金托管人不承担垫款义务。</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（五）基金现金分红</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、基金管理人确定分红方案通知基金托管人，双方核定后依照《信息披露办法》的有关规定在中国证监会指定媒体上公告并报中国证监会备案。</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、基金托管人和基金管理人对基金分红进行账务处理并核对后，基金管理人向基金托管人发送现金红利的划款指令，基金托管人应及时将资金划入专用账户。基金管理人在下达指令时，应给基金托管人</w:t>
      </w:r>
      <w:r w:rsidRPr="0061142D">
        <w:rPr>
          <w:rFonts w:hAnsi="宋体"/>
          <w:color w:val="000000"/>
          <w:sz w:val="28"/>
        </w:rPr>
        <w:lastRenderedPageBreak/>
        <w:t>留出必需的划款时间。基金托管人未按约定时间拨付，给投资人造成损失的，基金托管人应承担赔偿责任；因基金托管资金账户没有足够的资金，导致基金托管人不能按时拨付，如系基金管理人的原因造成，责任由基金管理人承担，基金托管人不承担垫款义务。</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（六）基金融资、融券</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如本基金按国家有关规定进行融资时，基金托管人应为基金融资、融券提供必要的协助。</w:t>
      </w:r>
    </w:p>
    <w:p w:rsidR="009C2EF9" w:rsidRPr="0061142D" w:rsidRDefault="009C2EF9" w:rsidP="00EE5132">
      <w:pPr>
        <w:adjustRightInd w:val="0"/>
        <w:snapToGrid w:val="0"/>
        <w:spacing w:line="360" w:lineRule="auto"/>
        <w:ind w:firstLineChars="200" w:firstLine="560"/>
        <w:rPr>
          <w:color w:val="000000"/>
          <w:sz w:val="28"/>
        </w:rPr>
      </w:pPr>
    </w:p>
    <w:p w:rsidR="009C2EF9" w:rsidRPr="0061142D" w:rsidRDefault="009C2EF9">
      <w:pPr>
        <w:pStyle w:val="2"/>
        <w:spacing w:line="360" w:lineRule="auto"/>
        <w:jc w:val="center"/>
        <w:rPr>
          <w:rFonts w:ascii="Times New Roman" w:eastAsia="宋体" w:hAnsi="Times New Roman"/>
          <w:color w:val="000000"/>
          <w:sz w:val="28"/>
        </w:rPr>
      </w:pPr>
      <w:bookmarkStart w:id="86" w:name="_Toc145818942"/>
      <w:r w:rsidRPr="0061142D">
        <w:rPr>
          <w:rFonts w:ascii="Times New Roman" w:eastAsia="宋体" w:hAnsi="宋体"/>
          <w:color w:val="000000"/>
          <w:sz w:val="28"/>
        </w:rPr>
        <w:t>八、基金资产净值计算和会计核算</w:t>
      </w:r>
      <w:bookmarkEnd w:id="86"/>
    </w:p>
    <w:p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（一）基金资产净值的计算及复核程序</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、基金资产净值</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基金资产净值是指基金资产总值减去基金负债后的价值。</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基金份额净值是指计算日基金资产净值除以计算日基金份额总数后得到的数值。基金份额净值的计算，精确到</w:t>
      </w:r>
      <w:r w:rsidRPr="0061142D">
        <w:rPr>
          <w:color w:val="000000"/>
          <w:sz w:val="28"/>
        </w:rPr>
        <w:t>0.001</w:t>
      </w:r>
      <w:r w:rsidRPr="0061142D">
        <w:rPr>
          <w:rFonts w:hAnsi="宋体"/>
          <w:color w:val="000000"/>
          <w:sz w:val="28"/>
        </w:rPr>
        <w:t>元，小数点后第四位四舍五入，由此产生的误差计入基金财产。国家另有规定的，从其规定。</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每工作日计算基金资产净值及基金份额净值，并按规定公告。</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、复核程序</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管理人每工作日对基金资产进行估值后，将基金份额净值结果发送基金托管人，经基金托管人复核无误后，由基金管理人依据基金合同和相关法律法规的规定对外公布。月末、年中和年末估值复核与基金会计账目的核对同时进行。</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（二）基金资产估值方法和特殊情形的处理</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、估值对象</w:t>
      </w:r>
    </w:p>
    <w:p w:rsidR="009C2EF9" w:rsidRPr="0061142D" w:rsidRDefault="009C2EF9" w:rsidP="00EE5132">
      <w:pPr>
        <w:adjustRightInd w:val="0"/>
        <w:snapToGrid w:val="0"/>
        <w:spacing w:line="360" w:lineRule="auto"/>
        <w:ind w:firstLineChars="200" w:firstLine="560"/>
        <w:rPr>
          <w:sz w:val="28"/>
        </w:rPr>
      </w:pPr>
      <w:r w:rsidRPr="0061142D">
        <w:rPr>
          <w:rFonts w:hAnsi="宋体"/>
          <w:sz w:val="28"/>
        </w:rPr>
        <w:lastRenderedPageBreak/>
        <w:t>基金所拥有的股票、权证、债券、股指期货和银行存款本息、应收款项、其它投资等资产及负债。</w:t>
      </w:r>
    </w:p>
    <w:p w:rsidR="009C2EF9" w:rsidRPr="0061142D" w:rsidRDefault="009C2EF9" w:rsidP="00EE5132">
      <w:pPr>
        <w:adjustRightInd w:val="0"/>
        <w:snapToGrid w:val="0"/>
        <w:spacing w:line="360" w:lineRule="auto"/>
        <w:ind w:firstLineChars="200" w:firstLine="560"/>
        <w:rPr>
          <w:sz w:val="28"/>
        </w:rPr>
      </w:pPr>
      <w:r w:rsidRPr="0061142D">
        <w:rPr>
          <w:sz w:val="28"/>
        </w:rPr>
        <w:t>2</w:t>
      </w:r>
      <w:r w:rsidRPr="0061142D">
        <w:rPr>
          <w:rFonts w:hAnsi="宋体"/>
          <w:sz w:val="28"/>
        </w:rPr>
        <w:t>、估值方法</w:t>
      </w:r>
    </w:p>
    <w:p w:rsidR="009C2EF9" w:rsidRPr="0061142D" w:rsidRDefault="009C2EF9" w:rsidP="00EE5132">
      <w:pPr>
        <w:pStyle w:val="1"/>
        <w:tabs>
          <w:tab w:val="left" w:pos="1620"/>
        </w:tabs>
        <w:spacing w:line="360" w:lineRule="auto"/>
        <w:ind w:firstLine="560"/>
        <w:rPr>
          <w:rFonts w:ascii="Times New Roman" w:eastAsia="宋体" w:hAnsi="Times New Roman"/>
          <w:color w:val="auto"/>
          <w:sz w:val="28"/>
        </w:rPr>
      </w:pPr>
      <w:r w:rsidRPr="0061142D">
        <w:rPr>
          <w:rFonts w:ascii="Times New Roman" w:eastAsia="宋体"/>
          <w:color w:val="auto"/>
          <w:sz w:val="28"/>
        </w:rPr>
        <w:t>（</w:t>
      </w:r>
      <w:r w:rsidRPr="0061142D">
        <w:rPr>
          <w:rFonts w:ascii="Times New Roman" w:eastAsia="宋体" w:hAnsi="Times New Roman"/>
          <w:color w:val="auto"/>
          <w:sz w:val="28"/>
        </w:rPr>
        <w:t>1</w:t>
      </w:r>
      <w:r w:rsidRPr="0061142D">
        <w:rPr>
          <w:rFonts w:ascii="Times New Roman" w:eastAsia="宋体"/>
          <w:color w:val="auto"/>
          <w:sz w:val="28"/>
        </w:rPr>
        <w:t>）证券交易所上市的有价证券的估值</w:t>
      </w:r>
    </w:p>
    <w:p w:rsidR="009C2EF9" w:rsidRPr="0061142D" w:rsidRDefault="009C2EF9" w:rsidP="00EE5132">
      <w:pPr>
        <w:pStyle w:val="1"/>
        <w:tabs>
          <w:tab w:val="left" w:pos="1620"/>
        </w:tabs>
        <w:spacing w:line="360" w:lineRule="auto"/>
        <w:ind w:firstLine="560"/>
        <w:rPr>
          <w:rFonts w:ascii="Times New Roman" w:eastAsia="宋体" w:hAnsi="Times New Roman"/>
          <w:sz w:val="28"/>
        </w:rPr>
      </w:pPr>
      <w:r w:rsidRPr="0061142D">
        <w:rPr>
          <w:rFonts w:ascii="Times New Roman" w:eastAsia="宋体" w:hAnsi="Times New Roman"/>
          <w:sz w:val="28"/>
        </w:rPr>
        <w:t>1</w:t>
      </w:r>
      <w:r w:rsidRPr="0061142D">
        <w:rPr>
          <w:rFonts w:ascii="Times New Roman" w:eastAsia="宋体"/>
          <w:sz w:val="28"/>
        </w:rPr>
        <w:t>）交易所上市的有价证券（包括股票、权证等），以其估值日在证券交易所挂牌的市价（收盘价）估值；估值日无交易的，且最近交易日后经济环境未发生重大变化</w:t>
      </w:r>
      <w:r w:rsidR="00033E31" w:rsidRPr="0061142D">
        <w:rPr>
          <w:rFonts w:ascii="Times New Roman" w:eastAsia="宋体"/>
          <w:sz w:val="28"/>
        </w:rPr>
        <w:t>或证券发行机构未发生影响证券价格的重大事件的</w:t>
      </w:r>
      <w:r w:rsidRPr="0061142D">
        <w:rPr>
          <w:rFonts w:ascii="Times New Roman" w:eastAsia="宋体"/>
          <w:sz w:val="28"/>
        </w:rPr>
        <w:t>，以最近交易日的市价（收盘价）估值；如最近交易日后经济环境发生了重大变化</w:t>
      </w:r>
      <w:r w:rsidR="00033E31" w:rsidRPr="0061142D">
        <w:rPr>
          <w:rFonts w:ascii="Times New Roman" w:eastAsia="宋体"/>
          <w:sz w:val="28"/>
        </w:rPr>
        <w:t>或证券发行机构发生影响证券价格的重大事件</w:t>
      </w:r>
      <w:r w:rsidRPr="0061142D">
        <w:rPr>
          <w:rFonts w:ascii="Times New Roman" w:eastAsia="宋体"/>
          <w:sz w:val="28"/>
        </w:rPr>
        <w:t>的，可参考类似投资品种的现行市价及重大变化因素，调整最近交易市价，确定公允价格；</w:t>
      </w:r>
    </w:p>
    <w:p w:rsidR="009C2EF9" w:rsidRPr="0061142D" w:rsidRDefault="009C2EF9" w:rsidP="00EE5132">
      <w:pPr>
        <w:pStyle w:val="1"/>
        <w:tabs>
          <w:tab w:val="left" w:pos="1620"/>
        </w:tabs>
        <w:spacing w:line="360" w:lineRule="auto"/>
        <w:ind w:firstLine="560"/>
        <w:rPr>
          <w:rFonts w:ascii="Times New Roman" w:eastAsia="宋体" w:hAnsi="Times New Roman"/>
          <w:sz w:val="28"/>
        </w:rPr>
      </w:pPr>
      <w:r w:rsidRPr="0061142D">
        <w:rPr>
          <w:rFonts w:ascii="Times New Roman" w:eastAsia="宋体" w:hAnsi="Times New Roman"/>
          <w:color w:val="auto"/>
          <w:sz w:val="28"/>
        </w:rPr>
        <w:t>2</w:t>
      </w:r>
      <w:r w:rsidRPr="0061142D">
        <w:rPr>
          <w:rFonts w:ascii="Times New Roman" w:eastAsia="宋体"/>
          <w:color w:val="auto"/>
          <w:sz w:val="28"/>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9C2EF9" w:rsidRPr="0061142D" w:rsidRDefault="009C2EF9" w:rsidP="00EE5132">
      <w:pPr>
        <w:adjustRightInd w:val="0"/>
        <w:snapToGrid w:val="0"/>
        <w:spacing w:line="360" w:lineRule="auto"/>
        <w:ind w:firstLineChars="200" w:firstLine="560"/>
        <w:rPr>
          <w:sz w:val="28"/>
        </w:rPr>
      </w:pPr>
      <w:r w:rsidRPr="0061142D">
        <w:rPr>
          <w:sz w:val="28"/>
        </w:rPr>
        <w:t>3</w:t>
      </w:r>
      <w:r w:rsidRPr="0061142D">
        <w:rPr>
          <w:rFonts w:hAnsi="宋体"/>
          <w:sz w:val="28"/>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9C2EF9" w:rsidRPr="0061142D" w:rsidRDefault="009C2EF9" w:rsidP="00EE5132">
      <w:pPr>
        <w:tabs>
          <w:tab w:val="left" w:pos="1620"/>
        </w:tabs>
        <w:adjustRightInd w:val="0"/>
        <w:snapToGrid w:val="0"/>
        <w:spacing w:line="360" w:lineRule="auto"/>
        <w:ind w:firstLineChars="200" w:firstLine="560"/>
        <w:rPr>
          <w:sz w:val="28"/>
        </w:rPr>
      </w:pPr>
      <w:r w:rsidRPr="0061142D">
        <w:rPr>
          <w:sz w:val="28"/>
        </w:rPr>
        <w:t>4</w:t>
      </w:r>
      <w:r w:rsidRPr="0061142D">
        <w:rPr>
          <w:sz w:val="28"/>
        </w:rPr>
        <w:t>）</w:t>
      </w:r>
      <w:r w:rsidRPr="0061142D">
        <w:rPr>
          <w:rFonts w:hAnsi="宋体"/>
          <w:sz w:val="28"/>
        </w:rPr>
        <w:t>交易所上市不存在活跃市场的有价证券，采用估值技术确定公允价值。交易所上市的资产支持证券，采用估值技术确定公允价值，在估值技术难以可靠计量公允价值的情况下，按成本估值。</w:t>
      </w:r>
    </w:p>
    <w:p w:rsidR="009C2EF9" w:rsidRPr="0061142D" w:rsidRDefault="009C2EF9" w:rsidP="00EE5132">
      <w:pPr>
        <w:pStyle w:val="1"/>
        <w:spacing w:line="360" w:lineRule="auto"/>
        <w:ind w:firstLine="560"/>
        <w:rPr>
          <w:rFonts w:ascii="Times New Roman" w:eastAsia="宋体" w:hAnsi="Times New Roman"/>
          <w:color w:val="auto"/>
          <w:sz w:val="28"/>
        </w:rPr>
      </w:pPr>
      <w:r w:rsidRPr="0061142D">
        <w:rPr>
          <w:rStyle w:val="read"/>
          <w:rFonts w:ascii="Times New Roman" w:eastAsia="宋体"/>
          <w:color w:val="auto"/>
          <w:sz w:val="28"/>
        </w:rPr>
        <w:lastRenderedPageBreak/>
        <w:t>（</w:t>
      </w:r>
      <w:r w:rsidRPr="0061142D">
        <w:rPr>
          <w:rStyle w:val="read"/>
          <w:rFonts w:ascii="Times New Roman" w:eastAsia="宋体" w:hAnsi="Times New Roman"/>
          <w:color w:val="auto"/>
          <w:sz w:val="28"/>
        </w:rPr>
        <w:t>2</w:t>
      </w:r>
      <w:r w:rsidRPr="0061142D">
        <w:rPr>
          <w:rStyle w:val="read"/>
          <w:rFonts w:ascii="Times New Roman" w:eastAsia="宋体"/>
          <w:color w:val="auto"/>
          <w:sz w:val="28"/>
        </w:rPr>
        <w:t>）处于未上市期间的有价证券应区分如下情况处理：</w:t>
      </w:r>
    </w:p>
    <w:p w:rsidR="009C2EF9" w:rsidRPr="0061142D" w:rsidRDefault="009C2EF9" w:rsidP="00EE5132">
      <w:pPr>
        <w:tabs>
          <w:tab w:val="left" w:pos="2340"/>
        </w:tabs>
        <w:adjustRightInd w:val="0"/>
        <w:snapToGrid w:val="0"/>
        <w:spacing w:line="360" w:lineRule="auto"/>
        <w:ind w:firstLineChars="200" w:firstLine="560"/>
        <w:rPr>
          <w:sz w:val="28"/>
        </w:rPr>
      </w:pPr>
      <w:r w:rsidRPr="0061142D">
        <w:rPr>
          <w:rStyle w:val="read"/>
          <w:sz w:val="28"/>
        </w:rPr>
        <w:t>1</w:t>
      </w:r>
      <w:r w:rsidRPr="0061142D">
        <w:rPr>
          <w:rStyle w:val="read"/>
          <w:rFonts w:hAnsi="宋体"/>
          <w:sz w:val="28"/>
        </w:rPr>
        <w:t>）</w:t>
      </w:r>
      <w:r w:rsidRPr="0061142D">
        <w:rPr>
          <w:rFonts w:hAnsi="宋体"/>
          <w:sz w:val="28"/>
        </w:rPr>
        <w:t>送股、转增股、配股和公开增发的新股，按估值日在证券交易所挂牌的同一股票的估值方法估值；</w:t>
      </w:r>
    </w:p>
    <w:p w:rsidR="009C2EF9" w:rsidRPr="0061142D" w:rsidRDefault="009C2EF9" w:rsidP="00EE5132">
      <w:pPr>
        <w:adjustRightInd w:val="0"/>
        <w:snapToGrid w:val="0"/>
        <w:spacing w:line="360" w:lineRule="auto"/>
        <w:ind w:firstLineChars="200" w:firstLine="560"/>
        <w:rPr>
          <w:sz w:val="28"/>
        </w:rPr>
      </w:pPr>
      <w:r w:rsidRPr="0061142D">
        <w:rPr>
          <w:rStyle w:val="read"/>
          <w:sz w:val="28"/>
        </w:rPr>
        <w:t>2</w:t>
      </w:r>
      <w:r w:rsidRPr="0061142D">
        <w:rPr>
          <w:rStyle w:val="read"/>
          <w:rFonts w:hAnsi="宋体"/>
          <w:sz w:val="28"/>
        </w:rPr>
        <w:t>）</w:t>
      </w:r>
      <w:r w:rsidRPr="0061142D">
        <w:rPr>
          <w:rFonts w:hAnsi="宋体"/>
          <w:sz w:val="28"/>
        </w:rPr>
        <w:t>首次公开发行未上市的股票、债券和权证，采用估值技术确定公允价值，在估值技术难以可靠计量公允价值的情况下，按成本估值；</w:t>
      </w:r>
    </w:p>
    <w:p w:rsidR="009C2EF9" w:rsidRPr="0061142D" w:rsidRDefault="009C2EF9" w:rsidP="00EE5132">
      <w:pPr>
        <w:adjustRightInd w:val="0"/>
        <w:snapToGrid w:val="0"/>
        <w:spacing w:line="360" w:lineRule="auto"/>
        <w:ind w:firstLineChars="200" w:firstLine="560"/>
        <w:rPr>
          <w:sz w:val="28"/>
        </w:rPr>
      </w:pPr>
      <w:r w:rsidRPr="0061142D">
        <w:rPr>
          <w:rStyle w:val="read"/>
          <w:sz w:val="28"/>
        </w:rPr>
        <w:t>3</w:t>
      </w:r>
      <w:r w:rsidRPr="0061142D">
        <w:rPr>
          <w:rStyle w:val="read"/>
          <w:rFonts w:hAnsi="宋体"/>
          <w:sz w:val="28"/>
        </w:rPr>
        <w:t>）</w:t>
      </w:r>
      <w:r w:rsidRPr="0061142D">
        <w:rPr>
          <w:rFonts w:hAnsi="宋体"/>
          <w:sz w:val="28"/>
        </w:rPr>
        <w:t>首次公开发行有明确锁定期的股票，同一股票在交易所上市后，按交易所上市的同一股票的估值方法估值；非公开发行有明确锁定期的股票，按监管机构或行业协会有关规定确定公允价值。</w:t>
      </w:r>
    </w:p>
    <w:p w:rsidR="009C2EF9" w:rsidRPr="0061142D" w:rsidRDefault="009C2EF9" w:rsidP="00EE5132">
      <w:pPr>
        <w:widowControl/>
        <w:adjustRightInd w:val="0"/>
        <w:snapToGrid w:val="0"/>
        <w:spacing w:line="360" w:lineRule="auto"/>
        <w:ind w:firstLineChars="200" w:firstLine="560"/>
        <w:rPr>
          <w:sz w:val="28"/>
        </w:rPr>
      </w:pPr>
      <w:r w:rsidRPr="0061142D">
        <w:rPr>
          <w:rStyle w:val="read"/>
          <w:rFonts w:hAnsi="宋体"/>
          <w:sz w:val="28"/>
        </w:rPr>
        <w:t>（</w:t>
      </w:r>
      <w:r w:rsidRPr="0061142D">
        <w:rPr>
          <w:rStyle w:val="read"/>
          <w:sz w:val="28"/>
        </w:rPr>
        <w:t>3</w:t>
      </w:r>
      <w:r w:rsidRPr="0061142D">
        <w:rPr>
          <w:rStyle w:val="read"/>
          <w:rFonts w:hAnsi="宋体"/>
          <w:sz w:val="28"/>
        </w:rPr>
        <w:t>）全国银行间债券市场交易的债券、资产支持证券等固定收益品种，采用估值技术确定公允价值。</w:t>
      </w:r>
    </w:p>
    <w:p w:rsidR="009C2EF9" w:rsidRPr="0061142D" w:rsidRDefault="009C2EF9" w:rsidP="00EE5132">
      <w:pPr>
        <w:adjustRightInd w:val="0"/>
        <w:snapToGrid w:val="0"/>
        <w:spacing w:line="360" w:lineRule="auto"/>
        <w:ind w:firstLineChars="200" w:firstLine="560"/>
        <w:rPr>
          <w:sz w:val="28"/>
        </w:rPr>
      </w:pPr>
      <w:r w:rsidRPr="0061142D">
        <w:rPr>
          <w:rFonts w:hAnsi="宋体"/>
          <w:sz w:val="28"/>
        </w:rPr>
        <w:t>（</w:t>
      </w:r>
      <w:r w:rsidRPr="0061142D">
        <w:rPr>
          <w:sz w:val="28"/>
        </w:rPr>
        <w:t>4</w:t>
      </w:r>
      <w:r w:rsidRPr="0061142D">
        <w:rPr>
          <w:rFonts w:hAnsi="宋体"/>
          <w:sz w:val="28"/>
        </w:rPr>
        <w:t>）同一债券同时在两个或两个以上市场交易的，按债券所处的市场分别估值。</w:t>
      </w:r>
    </w:p>
    <w:p w:rsidR="009C2EF9" w:rsidRPr="0061142D" w:rsidRDefault="009C2EF9" w:rsidP="00EE5132">
      <w:pPr>
        <w:adjustRightInd w:val="0"/>
        <w:snapToGrid w:val="0"/>
        <w:spacing w:line="360" w:lineRule="auto"/>
        <w:ind w:firstLineChars="200" w:firstLine="560"/>
        <w:rPr>
          <w:sz w:val="28"/>
        </w:rPr>
      </w:pPr>
      <w:r w:rsidRPr="0061142D">
        <w:rPr>
          <w:rFonts w:hAnsi="宋体"/>
          <w:sz w:val="28"/>
        </w:rPr>
        <w:t>（</w:t>
      </w:r>
      <w:r w:rsidRPr="0061142D">
        <w:rPr>
          <w:sz w:val="28"/>
        </w:rPr>
        <w:t>5</w:t>
      </w:r>
      <w:r w:rsidRPr="0061142D">
        <w:rPr>
          <w:rFonts w:hAnsi="宋体"/>
          <w:sz w:val="28"/>
        </w:rPr>
        <w:t>）股票指数期货合约估值方法：本基金投资股指期货合约，一般以估值当日结算价进行估值，估值当日无结算价的，且最近交易日后经济环境未发生重大变化的，采用最近交易日结算价估值。</w:t>
      </w:r>
    </w:p>
    <w:p w:rsidR="009C2EF9" w:rsidRPr="0061142D" w:rsidRDefault="009C2EF9" w:rsidP="00EE5132">
      <w:pPr>
        <w:adjustRightInd w:val="0"/>
        <w:snapToGrid w:val="0"/>
        <w:spacing w:line="360" w:lineRule="auto"/>
        <w:ind w:firstLineChars="200" w:firstLine="560"/>
        <w:rPr>
          <w:sz w:val="28"/>
        </w:rPr>
      </w:pPr>
      <w:r w:rsidRPr="0061142D">
        <w:rPr>
          <w:rFonts w:hAnsi="宋体"/>
          <w:sz w:val="28"/>
        </w:rPr>
        <w:t>（</w:t>
      </w:r>
      <w:r w:rsidRPr="0061142D">
        <w:rPr>
          <w:sz w:val="28"/>
        </w:rPr>
        <w:t>6</w:t>
      </w:r>
      <w:r w:rsidRPr="0061142D">
        <w:rPr>
          <w:rFonts w:hAnsi="宋体"/>
          <w:sz w:val="28"/>
        </w:rPr>
        <w:t>）如有确凿证据表明按上述方法进行估值不能客观反映其公允价值的，基金管理人可根据具体情况与基金托管人商定后，按最能反映公允价值的价格估值。</w:t>
      </w:r>
    </w:p>
    <w:p w:rsidR="009C2EF9" w:rsidRPr="0061142D" w:rsidRDefault="009C2EF9" w:rsidP="00EE5132">
      <w:pPr>
        <w:adjustRightInd w:val="0"/>
        <w:snapToGrid w:val="0"/>
        <w:spacing w:line="360" w:lineRule="auto"/>
        <w:ind w:firstLineChars="200" w:firstLine="560"/>
        <w:rPr>
          <w:sz w:val="28"/>
        </w:rPr>
      </w:pPr>
      <w:r w:rsidRPr="0061142D">
        <w:rPr>
          <w:rFonts w:hAnsi="宋体"/>
          <w:sz w:val="28"/>
        </w:rPr>
        <w:t>（</w:t>
      </w:r>
      <w:r w:rsidRPr="0061142D">
        <w:rPr>
          <w:sz w:val="28"/>
        </w:rPr>
        <w:t>7</w:t>
      </w:r>
      <w:r w:rsidRPr="0061142D">
        <w:rPr>
          <w:rFonts w:hAnsi="宋体"/>
          <w:sz w:val="28"/>
        </w:rPr>
        <w:t>）相关法律法规以及监管部门有强制规定的，从其规定。如有新增事项，按国家最新规定估值。</w:t>
      </w:r>
    </w:p>
    <w:p w:rsidR="009C2EF9" w:rsidRPr="0061142D" w:rsidRDefault="009C2EF9" w:rsidP="00EE5132">
      <w:pPr>
        <w:widowControl/>
        <w:adjustRightInd w:val="0"/>
        <w:snapToGrid w:val="0"/>
        <w:spacing w:line="360" w:lineRule="auto"/>
        <w:ind w:firstLineChars="200" w:firstLine="560"/>
        <w:rPr>
          <w:rStyle w:val="read"/>
          <w:sz w:val="28"/>
        </w:rPr>
      </w:pPr>
      <w:r w:rsidRPr="0061142D">
        <w:rPr>
          <w:rStyle w:val="read"/>
          <w:rFonts w:hAnsi="宋体"/>
          <w:sz w:val="28"/>
        </w:rPr>
        <w:t>如基金管理人或基金托管人发现基金估值违反基金合同订明的估值方法、程序及相关法律法规的规定或者未能充分维护基金份额持有人利益时，应立即通知对方，共同查明原因，双方协商解决，以约</w:t>
      </w:r>
      <w:r w:rsidRPr="0061142D">
        <w:rPr>
          <w:rStyle w:val="read"/>
          <w:rFonts w:hAnsi="宋体"/>
          <w:sz w:val="28"/>
        </w:rPr>
        <w:lastRenderedPageBreak/>
        <w:t>定的方法、程序和相关法律法规的规定进行估值，以维护基金份额持有人的利益。</w:t>
      </w:r>
    </w:p>
    <w:p w:rsidR="009C2EF9" w:rsidRPr="0061142D" w:rsidRDefault="009C2EF9" w:rsidP="00EE5132">
      <w:pPr>
        <w:widowControl/>
        <w:adjustRightInd w:val="0"/>
        <w:snapToGrid w:val="0"/>
        <w:spacing w:line="360" w:lineRule="auto"/>
        <w:ind w:firstLineChars="200" w:firstLine="560"/>
        <w:rPr>
          <w:sz w:val="28"/>
        </w:rPr>
      </w:pPr>
      <w:r w:rsidRPr="0061142D">
        <w:rPr>
          <w:rFonts w:hAnsi="宋体"/>
          <w:sz w:val="28"/>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9C2EF9" w:rsidRPr="0061142D" w:rsidRDefault="009C2EF9" w:rsidP="00EE5132">
      <w:pPr>
        <w:adjustRightInd w:val="0"/>
        <w:snapToGrid w:val="0"/>
        <w:spacing w:line="360" w:lineRule="auto"/>
        <w:ind w:firstLineChars="200" w:firstLine="560"/>
        <w:rPr>
          <w:rStyle w:val="read"/>
          <w:color w:val="000000"/>
          <w:sz w:val="28"/>
        </w:rPr>
      </w:pPr>
      <w:r w:rsidRPr="0061142D">
        <w:rPr>
          <w:rStyle w:val="read"/>
          <w:color w:val="000000"/>
          <w:sz w:val="28"/>
        </w:rPr>
        <w:t>3</w:t>
      </w:r>
      <w:r w:rsidRPr="0061142D">
        <w:rPr>
          <w:rStyle w:val="read"/>
          <w:rFonts w:hAnsi="宋体"/>
          <w:color w:val="000000"/>
          <w:sz w:val="28"/>
        </w:rPr>
        <w:t>、特殊情形的处理</w:t>
      </w:r>
    </w:p>
    <w:p w:rsidR="009C2EF9" w:rsidRPr="0061142D" w:rsidRDefault="009C2EF9" w:rsidP="00EE5132">
      <w:pPr>
        <w:adjustRightInd w:val="0"/>
        <w:snapToGrid w:val="0"/>
        <w:spacing w:line="360" w:lineRule="auto"/>
        <w:ind w:firstLineChars="200" w:firstLine="560"/>
        <w:rPr>
          <w:rStyle w:val="read"/>
          <w:color w:val="000000"/>
          <w:sz w:val="28"/>
        </w:rPr>
      </w:pPr>
      <w:r w:rsidRPr="0061142D">
        <w:rPr>
          <w:rStyle w:val="read"/>
          <w:rFonts w:hAnsi="宋体"/>
          <w:color w:val="000000"/>
          <w:sz w:val="28"/>
        </w:rPr>
        <w:t>（</w:t>
      </w:r>
      <w:r w:rsidRPr="0061142D">
        <w:rPr>
          <w:rStyle w:val="read"/>
          <w:color w:val="000000"/>
          <w:sz w:val="28"/>
        </w:rPr>
        <w:t>1</w:t>
      </w:r>
      <w:r w:rsidRPr="0061142D">
        <w:rPr>
          <w:rStyle w:val="read"/>
          <w:rFonts w:hAnsi="宋体"/>
          <w:color w:val="000000"/>
          <w:sz w:val="28"/>
        </w:rPr>
        <w:t>）基金管理人、基金托管人按估值方法的第（</w:t>
      </w:r>
      <w:r w:rsidRPr="0061142D">
        <w:rPr>
          <w:rStyle w:val="read"/>
          <w:color w:val="000000"/>
          <w:sz w:val="28"/>
        </w:rPr>
        <w:t>6</w:t>
      </w:r>
      <w:r w:rsidRPr="0061142D">
        <w:rPr>
          <w:rStyle w:val="read"/>
          <w:rFonts w:hAnsi="宋体"/>
          <w:color w:val="000000"/>
          <w:sz w:val="28"/>
        </w:rPr>
        <w:t>）项进行估值时，所造成的误差不作为基金份额净值错误处理。</w:t>
      </w:r>
    </w:p>
    <w:p w:rsidR="009C2EF9" w:rsidRPr="0061142D" w:rsidRDefault="009C2EF9" w:rsidP="00EE5132">
      <w:pPr>
        <w:adjustRightInd w:val="0"/>
        <w:snapToGrid w:val="0"/>
        <w:spacing w:line="360" w:lineRule="auto"/>
        <w:ind w:firstLineChars="200" w:firstLine="560"/>
        <w:rPr>
          <w:rStyle w:val="read"/>
          <w:color w:val="000000"/>
          <w:sz w:val="28"/>
        </w:rPr>
      </w:pPr>
      <w:r w:rsidRPr="0061142D">
        <w:rPr>
          <w:rStyle w:val="read"/>
          <w:rFonts w:hAnsi="宋体"/>
          <w:color w:val="000000"/>
          <w:sz w:val="28"/>
        </w:rPr>
        <w:t>（</w:t>
      </w:r>
      <w:r w:rsidRPr="0061142D">
        <w:rPr>
          <w:rStyle w:val="read"/>
          <w:color w:val="000000"/>
          <w:sz w:val="28"/>
        </w:rPr>
        <w:t>2</w:t>
      </w:r>
      <w:r w:rsidRPr="0061142D">
        <w:rPr>
          <w:rStyle w:val="read"/>
          <w:rFonts w:hAnsi="宋体"/>
          <w:color w:val="000000"/>
          <w:sz w:val="28"/>
        </w:rPr>
        <w:t>）由于不可抗力原因，或由于证券交易所、期货公司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9C2EF9" w:rsidRPr="0061142D" w:rsidRDefault="009C2EF9" w:rsidP="00EE5132">
      <w:pPr>
        <w:adjustRightInd w:val="0"/>
        <w:snapToGrid w:val="0"/>
        <w:spacing w:line="360" w:lineRule="auto"/>
        <w:ind w:firstLineChars="200" w:firstLine="560"/>
        <w:rPr>
          <w:rStyle w:val="read"/>
          <w:color w:val="000000"/>
          <w:sz w:val="28"/>
        </w:rPr>
      </w:pPr>
      <w:r w:rsidRPr="0061142D">
        <w:rPr>
          <w:rStyle w:val="read"/>
          <w:rFonts w:hAnsi="宋体"/>
          <w:color w:val="000000"/>
          <w:sz w:val="28"/>
        </w:rPr>
        <w:t>（三）基金估值错误的处理方式</w:t>
      </w:r>
    </w:p>
    <w:p w:rsidR="009C2EF9" w:rsidRPr="0061142D" w:rsidRDefault="009C2EF9" w:rsidP="00EE5132">
      <w:pPr>
        <w:adjustRightInd w:val="0"/>
        <w:snapToGrid w:val="0"/>
        <w:spacing w:line="360" w:lineRule="auto"/>
        <w:ind w:firstLineChars="200" w:firstLine="560"/>
        <w:rPr>
          <w:rStyle w:val="read"/>
          <w:color w:val="000000"/>
          <w:sz w:val="28"/>
        </w:rPr>
      </w:pPr>
      <w:r w:rsidRPr="0061142D">
        <w:rPr>
          <w:sz w:val="28"/>
        </w:rPr>
        <w:t>1</w:t>
      </w:r>
      <w:r w:rsidRPr="0061142D">
        <w:rPr>
          <w:rFonts w:hAnsi="宋体"/>
          <w:sz w:val="28"/>
        </w:rPr>
        <w:t>、</w:t>
      </w:r>
      <w:r w:rsidRPr="0061142D">
        <w:rPr>
          <w:rStyle w:val="read"/>
          <w:rFonts w:hAnsi="宋体"/>
          <w:color w:val="000000"/>
          <w:sz w:val="28"/>
        </w:rPr>
        <w:t>当基金份额净值小数点后</w:t>
      </w:r>
      <w:r w:rsidRPr="0061142D">
        <w:rPr>
          <w:rStyle w:val="read"/>
          <w:color w:val="000000"/>
          <w:sz w:val="28"/>
        </w:rPr>
        <w:t>3</w:t>
      </w:r>
      <w:r w:rsidRPr="0061142D">
        <w:rPr>
          <w:rStyle w:val="read"/>
          <w:rFonts w:hAnsi="宋体"/>
          <w:color w:val="000000"/>
          <w:sz w:val="28"/>
        </w:rPr>
        <w:t>位以内</w:t>
      </w:r>
      <w:r w:rsidRPr="0061142D">
        <w:rPr>
          <w:rStyle w:val="read"/>
          <w:color w:val="000000"/>
          <w:sz w:val="28"/>
        </w:rPr>
        <w:t>(</w:t>
      </w:r>
      <w:r w:rsidRPr="0061142D">
        <w:rPr>
          <w:rStyle w:val="read"/>
          <w:rFonts w:hAnsi="宋体"/>
          <w:color w:val="000000"/>
          <w:sz w:val="28"/>
        </w:rPr>
        <w:t>含第</w:t>
      </w:r>
      <w:r w:rsidRPr="0061142D">
        <w:rPr>
          <w:rStyle w:val="read"/>
          <w:color w:val="000000"/>
          <w:sz w:val="28"/>
        </w:rPr>
        <w:t>3</w:t>
      </w:r>
      <w:r w:rsidRPr="0061142D">
        <w:rPr>
          <w:rStyle w:val="read"/>
          <w:rFonts w:hAnsi="宋体"/>
          <w:color w:val="000000"/>
          <w:sz w:val="28"/>
        </w:rPr>
        <w:t>位</w:t>
      </w:r>
      <w:r w:rsidRPr="0061142D">
        <w:rPr>
          <w:rStyle w:val="read"/>
          <w:color w:val="000000"/>
          <w:sz w:val="28"/>
        </w:rPr>
        <w:t>)</w:t>
      </w:r>
      <w:r w:rsidRPr="0061142D">
        <w:rPr>
          <w:rStyle w:val="read"/>
          <w:rFonts w:hAnsi="宋体"/>
          <w:color w:val="000000"/>
          <w:sz w:val="28"/>
        </w:rPr>
        <w:t>发生估值错误时，视为基金份额净值错误；基金份额净值出现错误时，基金管理人应当立即予以纠正，通报基金托管人，并采取合理的措施防止损失进一步扩大；</w:t>
      </w:r>
      <w:r w:rsidRPr="0061142D">
        <w:rPr>
          <w:rFonts w:hAnsi="宋体"/>
          <w:kern w:val="0"/>
          <w:sz w:val="28"/>
        </w:rPr>
        <w:t>错误</w:t>
      </w:r>
      <w:r w:rsidRPr="0061142D">
        <w:rPr>
          <w:rStyle w:val="read"/>
          <w:rFonts w:hAnsi="宋体"/>
          <w:color w:val="000000"/>
          <w:sz w:val="28"/>
        </w:rPr>
        <w:t>偏差</w:t>
      </w:r>
      <w:r w:rsidRPr="0061142D">
        <w:rPr>
          <w:rFonts w:hAnsi="宋体"/>
          <w:kern w:val="0"/>
          <w:sz w:val="28"/>
        </w:rPr>
        <w:t>达到或超过基金份额净值的</w:t>
      </w:r>
      <w:r w:rsidRPr="0061142D">
        <w:rPr>
          <w:kern w:val="0"/>
          <w:sz w:val="28"/>
        </w:rPr>
        <w:t>0.25%</w:t>
      </w:r>
      <w:r w:rsidRPr="0061142D">
        <w:rPr>
          <w:rFonts w:hAnsi="宋体"/>
          <w:kern w:val="0"/>
          <w:sz w:val="28"/>
        </w:rPr>
        <w:t>时，基金管理人应当及时通知基金托管人并报中国证监会；错误偏差达到基金份额净值的</w:t>
      </w:r>
      <w:r w:rsidRPr="0061142D">
        <w:rPr>
          <w:kern w:val="0"/>
          <w:sz w:val="28"/>
        </w:rPr>
        <w:t>0.50%</w:t>
      </w:r>
      <w:r w:rsidRPr="0061142D">
        <w:rPr>
          <w:rFonts w:hAnsi="宋体"/>
          <w:kern w:val="0"/>
          <w:sz w:val="28"/>
        </w:rPr>
        <w:t>时，基</w:t>
      </w:r>
      <w:r w:rsidRPr="0061142D">
        <w:rPr>
          <w:rStyle w:val="read"/>
          <w:rFonts w:hAnsi="宋体"/>
          <w:color w:val="000000"/>
          <w:sz w:val="28"/>
        </w:rPr>
        <w:t>金管理人应当公告、通报基金托管人并报中国证监会备案；当发生基金份额净值错误时，由基金管理人负责处理，由此给基金份额持有人和基金造成损失的，应由基金管理人先行赔付，基金</w:t>
      </w:r>
      <w:r w:rsidRPr="0061142D">
        <w:rPr>
          <w:rStyle w:val="read"/>
          <w:rFonts w:hAnsi="宋体"/>
          <w:color w:val="000000"/>
          <w:sz w:val="28"/>
        </w:rPr>
        <w:lastRenderedPageBreak/>
        <w:t>管理人按差错情形，有权向其他当事人追偿。</w:t>
      </w:r>
    </w:p>
    <w:p w:rsidR="009C2EF9" w:rsidRPr="0061142D" w:rsidRDefault="009C2EF9" w:rsidP="00EE5132">
      <w:pPr>
        <w:adjustRightInd w:val="0"/>
        <w:snapToGrid w:val="0"/>
        <w:spacing w:line="360" w:lineRule="auto"/>
        <w:ind w:firstLineChars="200" w:firstLine="560"/>
        <w:rPr>
          <w:rStyle w:val="read"/>
          <w:color w:val="000000"/>
          <w:sz w:val="28"/>
        </w:rPr>
      </w:pPr>
      <w:r w:rsidRPr="0061142D">
        <w:rPr>
          <w:sz w:val="28"/>
        </w:rPr>
        <w:t>2</w:t>
      </w:r>
      <w:r w:rsidRPr="0061142D">
        <w:rPr>
          <w:rFonts w:hAnsi="宋体"/>
          <w:sz w:val="28"/>
        </w:rPr>
        <w:t>、</w:t>
      </w:r>
      <w:r w:rsidRPr="0061142D">
        <w:rPr>
          <w:rStyle w:val="read"/>
          <w:rFonts w:hAnsi="宋体"/>
          <w:color w:val="000000"/>
          <w:sz w:val="28"/>
        </w:rPr>
        <w:t>当基金份额净值错误给基金和基金份额持有人造成损失需要进行赔偿时，基金管理人和基金托管人应根据实际情况界定双方承担的责任，经确认后按以下条款进行赔偿：</w:t>
      </w:r>
    </w:p>
    <w:p w:rsidR="009C2EF9" w:rsidRPr="0061142D" w:rsidRDefault="009C2EF9" w:rsidP="00EE5132">
      <w:pPr>
        <w:adjustRightInd w:val="0"/>
        <w:snapToGrid w:val="0"/>
        <w:spacing w:line="360" w:lineRule="auto"/>
        <w:ind w:firstLineChars="200" w:firstLine="560"/>
        <w:rPr>
          <w:color w:val="000000"/>
          <w:sz w:val="28"/>
        </w:rPr>
      </w:pPr>
      <w:r w:rsidRPr="0061142D">
        <w:rPr>
          <w:rStyle w:val="read"/>
          <w:rFonts w:hAnsi="宋体"/>
          <w:color w:val="000000"/>
          <w:sz w:val="28"/>
        </w:rPr>
        <w:t>（</w:t>
      </w:r>
      <w:r w:rsidRPr="0061142D">
        <w:rPr>
          <w:rStyle w:val="read"/>
          <w:color w:val="000000"/>
          <w:sz w:val="28"/>
        </w:rPr>
        <w:t>1</w:t>
      </w:r>
      <w:r w:rsidRPr="0061142D">
        <w:rPr>
          <w:rStyle w:val="read"/>
          <w:rFonts w:hAnsi="宋体"/>
          <w:color w:val="000000"/>
          <w:sz w:val="28"/>
        </w:rPr>
        <w:t>）本基金的基金会计责任方由基金管理人担任。与本基金有关的会计问题，如经双方在平等基础上充分讨论后，尚不能达成一致时，按基金会计责任方的建议执行，由此给基金份额持有人和基金造成的</w:t>
      </w:r>
      <w:r w:rsidRPr="0061142D">
        <w:rPr>
          <w:rFonts w:hAnsi="宋体"/>
          <w:color w:val="000000"/>
          <w:sz w:val="28"/>
        </w:rPr>
        <w:t>损失，由基金管理人负责赔付。</w:t>
      </w:r>
    </w:p>
    <w:p w:rsidR="009C2EF9" w:rsidRPr="0061142D" w:rsidRDefault="009C2EF9" w:rsidP="00EE5132">
      <w:pPr>
        <w:adjustRightInd w:val="0"/>
        <w:snapToGrid w:val="0"/>
        <w:spacing w:line="360" w:lineRule="auto"/>
        <w:ind w:firstLineChars="200" w:firstLine="560"/>
        <w:rPr>
          <w:rStyle w:val="read"/>
          <w:color w:val="000000"/>
          <w:sz w:val="28"/>
        </w:rPr>
      </w:pPr>
      <w:r w:rsidRPr="0061142D">
        <w:rPr>
          <w:rFonts w:hAnsi="宋体"/>
          <w:color w:val="000000"/>
          <w:sz w:val="28"/>
        </w:rPr>
        <w:t>（</w:t>
      </w:r>
      <w:r w:rsidRPr="0061142D">
        <w:rPr>
          <w:color w:val="000000"/>
          <w:sz w:val="28"/>
        </w:rPr>
        <w:t>2</w:t>
      </w:r>
      <w:r w:rsidRPr="0061142D">
        <w:rPr>
          <w:rFonts w:hAnsi="宋体"/>
          <w:color w:val="000000"/>
          <w:sz w:val="28"/>
        </w:rPr>
        <w:t>）</w:t>
      </w:r>
      <w:r w:rsidRPr="0061142D">
        <w:rPr>
          <w:rFonts w:hAnsi="宋体"/>
          <w:color w:val="000000"/>
          <w:kern w:val="0"/>
          <w:sz w:val="28"/>
        </w:rPr>
        <w:t>若基金管理人计算的基金份额净值已由基金托管人复核确认后公告，而且基金托管人未对计算过程提出疑义或要求基金管理人书面说明，基金份额净值错误且造成基金份额持有人损失的，应根据法律法规的规定对基金份额持有人或基金支付赔偿金，就实际向基金份额持有人或基金支付的赔偿金额，</w:t>
      </w:r>
      <w:r w:rsidRPr="0061142D">
        <w:rPr>
          <w:rStyle w:val="read"/>
          <w:rFonts w:hAnsi="宋体"/>
          <w:color w:val="000000"/>
          <w:sz w:val="28"/>
        </w:rPr>
        <w:t>其中基金管理人承担</w:t>
      </w:r>
      <w:r w:rsidRPr="0061142D">
        <w:rPr>
          <w:rStyle w:val="read"/>
          <w:color w:val="000000"/>
          <w:sz w:val="28"/>
        </w:rPr>
        <w:t>50%</w:t>
      </w:r>
      <w:r w:rsidRPr="0061142D">
        <w:rPr>
          <w:rStyle w:val="read"/>
          <w:rFonts w:hAnsi="宋体"/>
          <w:color w:val="000000"/>
          <w:sz w:val="28"/>
        </w:rPr>
        <w:t>，基金托管人承担</w:t>
      </w:r>
      <w:r w:rsidRPr="0061142D">
        <w:rPr>
          <w:rStyle w:val="read"/>
          <w:color w:val="000000"/>
          <w:sz w:val="28"/>
        </w:rPr>
        <w:t>50%</w:t>
      </w:r>
      <w:r w:rsidRPr="0061142D">
        <w:rPr>
          <w:rStyle w:val="read"/>
          <w:rFonts w:hAnsi="宋体"/>
          <w:color w:val="000000"/>
          <w:sz w:val="28"/>
        </w:rPr>
        <w:t>。</w:t>
      </w:r>
    </w:p>
    <w:p w:rsidR="00CA3024"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w:t>
      </w:r>
      <w:r w:rsidRPr="0061142D">
        <w:rPr>
          <w:color w:val="000000"/>
          <w:sz w:val="28"/>
        </w:rPr>
        <w:t>3</w:t>
      </w:r>
      <w:r w:rsidRPr="0061142D">
        <w:rPr>
          <w:rFonts w:hAnsi="宋体"/>
          <w:color w:val="000000"/>
          <w:sz w:val="28"/>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CA3024" w:rsidRPr="0061142D" w:rsidRDefault="009C2EF9" w:rsidP="00EE5132">
      <w:pPr>
        <w:adjustRightInd w:val="0"/>
        <w:snapToGrid w:val="0"/>
        <w:spacing w:line="360" w:lineRule="auto"/>
        <w:ind w:firstLineChars="200" w:firstLine="560"/>
        <w:rPr>
          <w:color w:val="000000"/>
          <w:kern w:val="0"/>
          <w:sz w:val="28"/>
        </w:rPr>
      </w:pPr>
      <w:r w:rsidRPr="0061142D">
        <w:rPr>
          <w:rFonts w:hAnsi="宋体"/>
          <w:color w:val="000000"/>
          <w:sz w:val="28"/>
        </w:rPr>
        <w:t>（</w:t>
      </w:r>
      <w:r w:rsidRPr="0061142D">
        <w:rPr>
          <w:color w:val="000000"/>
          <w:sz w:val="28"/>
        </w:rPr>
        <w:t>4</w:t>
      </w:r>
      <w:r w:rsidRPr="0061142D">
        <w:rPr>
          <w:rFonts w:hAnsi="宋体"/>
          <w:color w:val="000000"/>
          <w:sz w:val="28"/>
        </w:rPr>
        <w:t>）</w:t>
      </w:r>
      <w:r w:rsidRPr="0061142D">
        <w:rPr>
          <w:rFonts w:hAnsi="宋体"/>
          <w:color w:val="000000"/>
          <w:kern w:val="0"/>
          <w:sz w:val="28"/>
        </w:rPr>
        <w:t>由于基金管理人提供的信息错误（包括但不限于基金申购或赎回金额等），基金托管人在履行正常复核程序后仍不能发现该错误，进而导致基金份额净值错误而引起的基金份额持有人和基金财产的损失，由基金管理人负责赔付。</w:t>
      </w:r>
    </w:p>
    <w:p w:rsidR="00CA3024" w:rsidRPr="0061142D" w:rsidRDefault="009C2EF9" w:rsidP="00EE5132">
      <w:pPr>
        <w:adjustRightInd w:val="0"/>
        <w:snapToGrid w:val="0"/>
        <w:spacing w:line="360" w:lineRule="auto"/>
        <w:ind w:firstLineChars="200" w:firstLine="560"/>
        <w:rPr>
          <w:color w:val="000000"/>
          <w:sz w:val="28"/>
        </w:rPr>
      </w:pPr>
      <w:r w:rsidRPr="0061142D">
        <w:rPr>
          <w:sz w:val="28"/>
        </w:rPr>
        <w:t>3</w:t>
      </w:r>
      <w:r w:rsidRPr="0061142D">
        <w:rPr>
          <w:rFonts w:hAnsi="宋体"/>
          <w:sz w:val="28"/>
        </w:rPr>
        <w:t>、</w:t>
      </w:r>
      <w:r w:rsidRPr="0061142D">
        <w:rPr>
          <w:rFonts w:hAnsi="宋体"/>
          <w:color w:val="000000"/>
          <w:sz w:val="28"/>
        </w:rPr>
        <w:t>基金管理人和基金托管人由于各自技术系统设置而产生的净值计算尾差，以基金管理人计算结果为准。</w:t>
      </w:r>
    </w:p>
    <w:p w:rsidR="00CA3024" w:rsidRPr="0061142D" w:rsidRDefault="009C2EF9" w:rsidP="00EE5132">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、前述内容如法律法规或监管机关另有规定的，从其规定处理。</w:t>
      </w:r>
      <w:r w:rsidRPr="0061142D">
        <w:rPr>
          <w:rFonts w:hAnsi="宋体"/>
          <w:color w:val="000000"/>
          <w:sz w:val="28"/>
        </w:rPr>
        <w:lastRenderedPageBreak/>
        <w:t>如果行业有通行做法，双方当事人应本着平等和保护基金份额持有人利益的原则进行协商。</w:t>
      </w:r>
    </w:p>
    <w:p w:rsidR="00CA3024"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（四）暂停估值与公告基金份额净值的情形</w:t>
      </w:r>
    </w:p>
    <w:p w:rsidR="00CA3024" w:rsidRPr="0061142D" w:rsidRDefault="009C2EF9" w:rsidP="00EE5132">
      <w:pPr>
        <w:adjustRightInd w:val="0"/>
        <w:snapToGrid w:val="0"/>
        <w:spacing w:line="360" w:lineRule="auto"/>
        <w:ind w:firstLineChars="200" w:firstLine="560"/>
        <w:outlineLvl w:val="0"/>
        <w:rPr>
          <w:color w:val="000000"/>
          <w:sz w:val="28"/>
        </w:rPr>
      </w:pPr>
      <w:r w:rsidRPr="0061142D">
        <w:rPr>
          <w:color w:val="000000"/>
          <w:sz w:val="28"/>
        </w:rPr>
        <w:t>1</w:t>
      </w:r>
      <w:r w:rsidRPr="0061142D">
        <w:rPr>
          <w:rFonts w:hAnsi="宋体"/>
          <w:color w:val="000000"/>
          <w:sz w:val="28"/>
        </w:rPr>
        <w:t>、基金投资所涉及的证券交易市场遇法定节假日或因其他原因暂停交易时；</w:t>
      </w:r>
    </w:p>
    <w:p w:rsidR="00CA3024" w:rsidRPr="0061142D" w:rsidRDefault="009C2EF9" w:rsidP="00EE5132">
      <w:pPr>
        <w:adjustRightInd w:val="0"/>
        <w:snapToGrid w:val="0"/>
        <w:spacing w:line="360" w:lineRule="auto"/>
        <w:ind w:firstLineChars="200" w:firstLine="560"/>
        <w:outlineLvl w:val="0"/>
        <w:rPr>
          <w:color w:val="000000"/>
          <w:sz w:val="28"/>
        </w:rPr>
      </w:pPr>
      <w:r w:rsidRPr="0061142D">
        <w:rPr>
          <w:color w:val="000000"/>
          <w:sz w:val="28"/>
        </w:rPr>
        <w:t>2</w:t>
      </w:r>
      <w:r w:rsidRPr="0061142D">
        <w:rPr>
          <w:rFonts w:hAnsi="宋体"/>
          <w:color w:val="000000"/>
          <w:sz w:val="28"/>
        </w:rPr>
        <w:t>、因不可抗力或其他情形致使基金管理人、基金托管人无法准确评估基金资产价值时；</w:t>
      </w:r>
    </w:p>
    <w:p w:rsidR="00351841" w:rsidRPr="0061142D" w:rsidRDefault="009C2EF9" w:rsidP="00EE5132">
      <w:pPr>
        <w:adjustRightInd w:val="0"/>
        <w:snapToGrid w:val="0"/>
        <w:spacing w:line="360" w:lineRule="auto"/>
        <w:ind w:firstLineChars="200" w:firstLine="560"/>
        <w:outlineLvl w:val="0"/>
        <w:rPr>
          <w:color w:val="000000"/>
          <w:sz w:val="28"/>
        </w:rPr>
      </w:pPr>
      <w:r w:rsidRPr="0061142D">
        <w:rPr>
          <w:color w:val="000000"/>
          <w:sz w:val="28"/>
        </w:rPr>
        <w:t>3</w:t>
      </w:r>
      <w:r w:rsidRPr="0061142D">
        <w:rPr>
          <w:rFonts w:hAnsi="宋体"/>
          <w:color w:val="000000"/>
          <w:sz w:val="28"/>
        </w:rPr>
        <w:t>、中国证监会和基金合同认定的其他情形。</w:t>
      </w:r>
    </w:p>
    <w:p w:rsidR="00CA3024"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（五）基金会计制度</w:t>
      </w:r>
    </w:p>
    <w:p w:rsidR="00CA3024"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按国家有关部门规定的会计制度执行。</w:t>
      </w:r>
    </w:p>
    <w:p w:rsidR="00CA3024"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（六）基金账册的建立</w:t>
      </w:r>
    </w:p>
    <w:p w:rsidR="00CA3024" w:rsidRPr="0061142D" w:rsidRDefault="009C2EF9" w:rsidP="00EE5132">
      <w:pPr>
        <w:adjustRightInd w:val="0"/>
        <w:snapToGrid w:val="0"/>
        <w:spacing w:line="360" w:lineRule="auto"/>
        <w:ind w:firstLineChars="200" w:firstLine="560"/>
        <w:outlineLvl w:val="0"/>
        <w:rPr>
          <w:color w:val="000000"/>
          <w:sz w:val="28"/>
        </w:rPr>
      </w:pPr>
      <w:r w:rsidRPr="0061142D">
        <w:rPr>
          <w:rFonts w:hAnsi="宋体"/>
          <w:sz w:val="28"/>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（七）基金财务报表与报告的编制和复核</w:t>
      </w:r>
    </w:p>
    <w:p w:rsidR="009C2EF9" w:rsidRPr="0061142D" w:rsidRDefault="009C2EF9" w:rsidP="00EE5132">
      <w:pPr>
        <w:adjustRightInd w:val="0"/>
        <w:snapToGrid w:val="0"/>
        <w:spacing w:line="360" w:lineRule="auto"/>
        <w:ind w:firstLineChars="200" w:firstLine="560"/>
        <w:outlineLvl w:val="0"/>
        <w:rPr>
          <w:color w:val="000000"/>
          <w:sz w:val="28"/>
        </w:rPr>
      </w:pPr>
      <w:r w:rsidRPr="0061142D">
        <w:rPr>
          <w:color w:val="000000"/>
          <w:sz w:val="28"/>
        </w:rPr>
        <w:t>1</w:t>
      </w:r>
      <w:r w:rsidRPr="0061142D">
        <w:rPr>
          <w:rFonts w:hAnsi="宋体"/>
          <w:color w:val="000000"/>
          <w:sz w:val="28"/>
        </w:rPr>
        <w:t>、财务报表的编制</w:t>
      </w:r>
    </w:p>
    <w:p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基金管理人应当及时编制并对外提供真实、完整的基金财务会计报告。月度报表的编制，基金管理人应于每月终了后</w:t>
      </w:r>
      <w:r w:rsidRPr="0061142D">
        <w:rPr>
          <w:color w:val="000000"/>
          <w:sz w:val="28"/>
        </w:rPr>
        <w:t>5</w:t>
      </w:r>
      <w:r w:rsidRPr="0061142D">
        <w:rPr>
          <w:rFonts w:hAnsi="宋体"/>
          <w:color w:val="000000"/>
          <w:sz w:val="28"/>
        </w:rPr>
        <w:t>个工作日内完成；季度报告应在每个季度结束之日起</w:t>
      </w:r>
      <w:r w:rsidRPr="0061142D">
        <w:rPr>
          <w:color w:val="000000"/>
          <w:sz w:val="28"/>
        </w:rPr>
        <w:t>15</w:t>
      </w:r>
      <w:r w:rsidRPr="0061142D">
        <w:rPr>
          <w:rFonts w:hAnsi="宋体"/>
          <w:color w:val="000000"/>
          <w:sz w:val="28"/>
        </w:rPr>
        <w:t>个工作日内编制完毕并予以公告；半年度报告在会计年度半年终了后</w:t>
      </w:r>
      <w:r w:rsidRPr="0061142D">
        <w:rPr>
          <w:color w:val="000000"/>
          <w:sz w:val="28"/>
        </w:rPr>
        <w:t>60</w:t>
      </w:r>
      <w:r w:rsidRPr="0061142D">
        <w:rPr>
          <w:rFonts w:hAnsi="宋体"/>
          <w:color w:val="000000"/>
          <w:sz w:val="28"/>
        </w:rPr>
        <w:t>日内编制完毕并予以公告；年度报告在会计年度结束后</w:t>
      </w:r>
      <w:r w:rsidRPr="0061142D">
        <w:rPr>
          <w:color w:val="000000"/>
          <w:sz w:val="28"/>
        </w:rPr>
        <w:t>90</w:t>
      </w:r>
      <w:r w:rsidRPr="0061142D">
        <w:rPr>
          <w:rFonts w:hAnsi="宋体"/>
          <w:color w:val="000000"/>
          <w:sz w:val="28"/>
        </w:rPr>
        <w:t>日内编制完毕并予以公告。基金合同生效不足</w:t>
      </w:r>
      <w:r w:rsidRPr="0061142D">
        <w:rPr>
          <w:color w:val="000000"/>
          <w:sz w:val="28"/>
        </w:rPr>
        <w:t>2</w:t>
      </w:r>
      <w:r w:rsidRPr="0061142D">
        <w:rPr>
          <w:rFonts w:hAnsi="宋体"/>
          <w:color w:val="000000"/>
          <w:sz w:val="28"/>
        </w:rPr>
        <w:t>个月的，基金管理人可以不编制当期季度报告、半</w:t>
      </w:r>
      <w:r w:rsidRPr="0061142D">
        <w:rPr>
          <w:rFonts w:hAnsi="宋体"/>
          <w:color w:val="000000"/>
          <w:sz w:val="28"/>
        </w:rPr>
        <w:lastRenderedPageBreak/>
        <w:t>年度报告或者年度报告。</w:t>
      </w:r>
    </w:p>
    <w:p w:rsidR="009C2EF9" w:rsidRPr="0061142D" w:rsidRDefault="009C2EF9" w:rsidP="00EE5132">
      <w:pPr>
        <w:adjustRightInd w:val="0"/>
        <w:snapToGrid w:val="0"/>
        <w:spacing w:line="360" w:lineRule="auto"/>
        <w:ind w:firstLineChars="200" w:firstLine="560"/>
        <w:outlineLvl w:val="0"/>
        <w:rPr>
          <w:color w:val="000000"/>
          <w:sz w:val="28"/>
        </w:rPr>
      </w:pPr>
      <w:r w:rsidRPr="0061142D">
        <w:rPr>
          <w:color w:val="000000"/>
          <w:sz w:val="28"/>
        </w:rPr>
        <w:t>2</w:t>
      </w:r>
      <w:r w:rsidRPr="0061142D">
        <w:rPr>
          <w:rFonts w:hAnsi="宋体"/>
          <w:color w:val="000000"/>
          <w:sz w:val="28"/>
        </w:rPr>
        <w:t>、报表复核</w:t>
      </w:r>
    </w:p>
    <w:p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基金管理人在月度报表完成当日，将报表盖章后提供给基金托管人复核；基金托管人在收到后应在</w:t>
      </w:r>
      <w:r w:rsidRPr="0061142D">
        <w:rPr>
          <w:color w:val="000000"/>
          <w:sz w:val="28"/>
        </w:rPr>
        <w:t>3</w:t>
      </w:r>
      <w:r w:rsidRPr="0061142D">
        <w:rPr>
          <w:rFonts w:hAnsi="宋体"/>
          <w:color w:val="000000"/>
          <w:sz w:val="28"/>
        </w:rPr>
        <w:t>日内进行复核，并将复核结果书面通知基金管理人。基金管理人在季度报告完成当日，将有关报告提供给基金托管人复核，基金托管人应在收到后</w:t>
      </w:r>
      <w:r w:rsidRPr="0061142D">
        <w:rPr>
          <w:color w:val="000000"/>
          <w:sz w:val="28"/>
        </w:rPr>
        <w:t>7</w:t>
      </w:r>
      <w:r w:rsidRPr="0061142D">
        <w:rPr>
          <w:rFonts w:hAnsi="宋体"/>
          <w:color w:val="000000"/>
          <w:sz w:val="28"/>
        </w:rPr>
        <w:t>个工作日内完成复核，并将复核结果书面通知基金管理人。基金管理人在半年度报告完成当日，将有关报告提供给基金托管人复核，基金托管人应在收到后</w:t>
      </w:r>
      <w:r w:rsidRPr="0061142D">
        <w:rPr>
          <w:color w:val="000000"/>
          <w:sz w:val="28"/>
        </w:rPr>
        <w:t>30</w:t>
      </w:r>
      <w:r w:rsidRPr="0061142D">
        <w:rPr>
          <w:rFonts w:hAnsi="宋体"/>
          <w:color w:val="000000"/>
          <w:sz w:val="28"/>
        </w:rPr>
        <w:t>日内完成复核，并将复核结果书面通知基金管理人。基金管理人在年度报告完成当日，将有关报告提供基金托管人复核，基金托管人应在收到后</w:t>
      </w:r>
      <w:r w:rsidRPr="0061142D">
        <w:rPr>
          <w:color w:val="000000"/>
          <w:sz w:val="28"/>
        </w:rPr>
        <w:t>45</w:t>
      </w:r>
      <w:r w:rsidRPr="0061142D">
        <w:rPr>
          <w:rFonts w:hAnsi="宋体"/>
          <w:color w:val="000000"/>
          <w:sz w:val="28"/>
        </w:rPr>
        <w:t>日内完成复核，并将复核结果书面通知基金管理人。基金管理人和基金托管人之间的上述文件往来均以加密传真的方式或双方商定的其他方式进行。</w:t>
      </w:r>
    </w:p>
    <w:p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p>
    <w:p w:rsidR="00EE5132" w:rsidRPr="0061142D" w:rsidRDefault="00EE5132" w:rsidP="00EE5132">
      <w:pPr>
        <w:adjustRightInd w:val="0"/>
        <w:snapToGrid w:val="0"/>
        <w:spacing w:line="360" w:lineRule="auto"/>
        <w:ind w:firstLineChars="200" w:firstLine="560"/>
        <w:outlineLvl w:val="0"/>
        <w:rPr>
          <w:color w:val="000000"/>
          <w:sz w:val="28"/>
        </w:rPr>
      </w:pPr>
    </w:p>
    <w:p w:rsidR="009C2EF9" w:rsidRPr="0061142D" w:rsidRDefault="009C2EF9">
      <w:pPr>
        <w:pStyle w:val="2"/>
        <w:spacing w:line="360" w:lineRule="auto"/>
        <w:jc w:val="center"/>
        <w:rPr>
          <w:rFonts w:ascii="Times New Roman" w:eastAsia="宋体" w:hAnsi="Times New Roman"/>
          <w:color w:val="000000"/>
          <w:sz w:val="28"/>
        </w:rPr>
      </w:pPr>
      <w:bookmarkStart w:id="87" w:name="_Toc145818943"/>
      <w:r w:rsidRPr="0061142D">
        <w:rPr>
          <w:rFonts w:ascii="Times New Roman" w:eastAsia="宋体" w:hAnsi="宋体"/>
          <w:color w:val="000000"/>
          <w:sz w:val="28"/>
        </w:rPr>
        <w:t>九、基金收益分配</w:t>
      </w:r>
      <w:bookmarkEnd w:id="87"/>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基金收益分配是指按规定将基金的可供分配利润按基金份额进</w:t>
      </w:r>
      <w:r w:rsidRPr="0061142D">
        <w:rPr>
          <w:rFonts w:hAnsi="宋体"/>
          <w:color w:val="000000"/>
          <w:sz w:val="28"/>
        </w:rPr>
        <w:lastRenderedPageBreak/>
        <w:t>行比例分配。</w:t>
      </w:r>
    </w:p>
    <w:p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（一）基金收益分配的原则</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基金收益分配应遵循下列原则：</w:t>
      </w:r>
    </w:p>
    <w:p w:rsidR="009C2EF9" w:rsidRPr="0061142D" w:rsidRDefault="009C2EF9" w:rsidP="00EE5132">
      <w:pPr>
        <w:adjustRightInd w:val="0"/>
        <w:snapToGrid w:val="0"/>
        <w:spacing w:line="360" w:lineRule="auto"/>
        <w:ind w:firstLineChars="200" w:firstLine="560"/>
        <w:outlineLvl w:val="0"/>
        <w:rPr>
          <w:color w:val="000000"/>
          <w:sz w:val="28"/>
        </w:rPr>
      </w:pPr>
      <w:r w:rsidRPr="0061142D">
        <w:rPr>
          <w:color w:val="000000"/>
          <w:sz w:val="28"/>
        </w:rPr>
        <w:t>1</w:t>
      </w:r>
      <w:r w:rsidRPr="0061142D">
        <w:rPr>
          <w:rFonts w:hAnsi="宋体"/>
          <w:color w:val="000000"/>
          <w:sz w:val="28"/>
        </w:rPr>
        <w:t>、保本周期内的收益分配</w:t>
      </w:r>
    </w:p>
    <w:p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w:t>
      </w:r>
      <w:r w:rsidRPr="0061142D">
        <w:rPr>
          <w:color w:val="000000"/>
          <w:sz w:val="28"/>
        </w:rPr>
        <w:t>1</w:t>
      </w:r>
      <w:r w:rsidRPr="0061142D">
        <w:rPr>
          <w:rFonts w:hAnsi="宋体"/>
          <w:color w:val="000000"/>
          <w:sz w:val="28"/>
        </w:rPr>
        <w:t>）在符合有关基金分红条件的前提下，本基金每年收益分配次数最多为</w:t>
      </w:r>
      <w:r w:rsidRPr="0061142D">
        <w:rPr>
          <w:color w:val="000000"/>
          <w:sz w:val="28"/>
        </w:rPr>
        <w:t>12</w:t>
      </w:r>
      <w:r w:rsidRPr="0061142D">
        <w:rPr>
          <w:rFonts w:hAnsi="宋体"/>
          <w:color w:val="000000"/>
          <w:sz w:val="28"/>
        </w:rPr>
        <w:t>次，每次收益分配比例不得低于该次可供分配利润的</w:t>
      </w:r>
      <w:r w:rsidRPr="0061142D">
        <w:rPr>
          <w:color w:val="000000"/>
          <w:sz w:val="28"/>
        </w:rPr>
        <w:t>60%</w:t>
      </w:r>
      <w:r w:rsidRPr="0061142D">
        <w:rPr>
          <w:rFonts w:hAnsi="宋体"/>
          <w:color w:val="000000"/>
          <w:sz w:val="28"/>
        </w:rPr>
        <w:t>，若基金合同生效不满</w:t>
      </w:r>
      <w:r w:rsidRPr="0061142D">
        <w:rPr>
          <w:color w:val="000000"/>
          <w:sz w:val="28"/>
        </w:rPr>
        <w:t>3</w:t>
      </w:r>
      <w:r w:rsidRPr="0061142D">
        <w:rPr>
          <w:rFonts w:hAnsi="宋体"/>
          <w:color w:val="000000"/>
          <w:sz w:val="28"/>
        </w:rPr>
        <w:t>个月可不进行收益分配；</w:t>
      </w:r>
    </w:p>
    <w:p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w:t>
      </w:r>
      <w:r w:rsidRPr="0061142D">
        <w:rPr>
          <w:color w:val="000000"/>
          <w:sz w:val="28"/>
        </w:rPr>
        <w:t>2</w:t>
      </w:r>
      <w:r w:rsidRPr="0061142D">
        <w:rPr>
          <w:rFonts w:hAnsi="宋体"/>
          <w:color w:val="000000"/>
          <w:sz w:val="28"/>
        </w:rPr>
        <w:t>）在符合上述第（</w:t>
      </w:r>
      <w:r w:rsidRPr="0061142D">
        <w:rPr>
          <w:color w:val="000000"/>
          <w:sz w:val="28"/>
        </w:rPr>
        <w:t>1</w:t>
      </w:r>
      <w:r w:rsidRPr="0061142D">
        <w:rPr>
          <w:rFonts w:hAnsi="宋体"/>
          <w:color w:val="000000"/>
          <w:sz w:val="28"/>
        </w:rPr>
        <w:t>）项约定收益分配次数和比例的前提下，当本基金自最近一次分红除息日以来（若尚未分红，则自基金合同生效日以来）的份额累计净值增长率达到或超过</w:t>
      </w:r>
      <w:r w:rsidRPr="0061142D">
        <w:rPr>
          <w:color w:val="000000"/>
          <w:sz w:val="28"/>
        </w:rPr>
        <w:t>5%</w:t>
      </w:r>
      <w:r w:rsidRPr="0061142D">
        <w:rPr>
          <w:rFonts w:hAnsi="宋体"/>
          <w:color w:val="000000"/>
          <w:sz w:val="28"/>
        </w:rPr>
        <w:t>，或者每份基金份额可供分配利润达到或超过</w:t>
      </w:r>
      <w:r w:rsidRPr="0061142D">
        <w:rPr>
          <w:color w:val="000000"/>
          <w:sz w:val="28"/>
        </w:rPr>
        <w:t>0.03</w:t>
      </w:r>
      <w:r w:rsidRPr="0061142D">
        <w:rPr>
          <w:rFonts w:hAnsi="宋体"/>
          <w:color w:val="000000"/>
          <w:sz w:val="28"/>
        </w:rPr>
        <w:t>元时，本基金管理人应在接下来的</w:t>
      </w:r>
      <w:r w:rsidRPr="0061142D">
        <w:rPr>
          <w:color w:val="000000"/>
          <w:sz w:val="28"/>
        </w:rPr>
        <w:t>15</w:t>
      </w:r>
      <w:r w:rsidRPr="0061142D">
        <w:rPr>
          <w:rFonts w:hAnsi="宋体"/>
          <w:color w:val="000000"/>
          <w:sz w:val="28"/>
        </w:rPr>
        <w:t>个工作日内进行收益分配；</w:t>
      </w:r>
    </w:p>
    <w:p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w:t>
      </w:r>
      <w:r w:rsidRPr="0061142D">
        <w:rPr>
          <w:color w:val="000000"/>
          <w:sz w:val="28"/>
        </w:rPr>
        <w:t>3</w:t>
      </w:r>
      <w:r w:rsidRPr="0061142D">
        <w:rPr>
          <w:rFonts w:hAnsi="宋体"/>
          <w:color w:val="000000"/>
          <w:sz w:val="28"/>
        </w:rPr>
        <w:t>）基金收益分配方式仅采取现金分红一种收益分配方式，不进行红利再投资；</w:t>
      </w:r>
    </w:p>
    <w:p w:rsidR="009C2EF9" w:rsidRPr="0061142D" w:rsidRDefault="009C2EF9" w:rsidP="00EE5132">
      <w:pPr>
        <w:adjustRightInd w:val="0"/>
        <w:snapToGrid w:val="0"/>
        <w:spacing w:line="360" w:lineRule="auto"/>
        <w:ind w:firstLineChars="200" w:firstLine="560"/>
        <w:outlineLvl w:val="0"/>
        <w:rPr>
          <w:color w:val="000000"/>
          <w:sz w:val="28"/>
        </w:rPr>
      </w:pPr>
      <w:r w:rsidRPr="0061142D">
        <w:rPr>
          <w:color w:val="000000"/>
          <w:sz w:val="28"/>
        </w:rPr>
        <w:t>2</w:t>
      </w:r>
      <w:r w:rsidRPr="0061142D">
        <w:rPr>
          <w:rFonts w:hAnsi="宋体"/>
          <w:color w:val="000000"/>
          <w:sz w:val="28"/>
        </w:rPr>
        <w:t>、转型为非保本的债券型基金后的收益分配</w:t>
      </w:r>
    </w:p>
    <w:p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w:t>
      </w:r>
      <w:r w:rsidRPr="0061142D">
        <w:rPr>
          <w:color w:val="000000"/>
          <w:sz w:val="28"/>
        </w:rPr>
        <w:t>1</w:t>
      </w:r>
      <w:r w:rsidRPr="0061142D">
        <w:rPr>
          <w:rFonts w:hAnsi="宋体"/>
          <w:color w:val="000000"/>
          <w:sz w:val="28"/>
        </w:rPr>
        <w:t>）在符合有关基金分红条件的前提下，基金每年收益分配次数最多为</w:t>
      </w:r>
      <w:r w:rsidRPr="0061142D">
        <w:rPr>
          <w:color w:val="000000"/>
          <w:sz w:val="28"/>
        </w:rPr>
        <w:t>12</w:t>
      </w:r>
      <w:r w:rsidRPr="0061142D">
        <w:rPr>
          <w:rFonts w:hAnsi="宋体"/>
          <w:color w:val="000000"/>
          <w:sz w:val="28"/>
        </w:rPr>
        <w:t>次，每次收益分配比例不得低于该次可供分配利润的</w:t>
      </w:r>
      <w:r w:rsidRPr="0061142D">
        <w:rPr>
          <w:color w:val="000000"/>
          <w:sz w:val="28"/>
        </w:rPr>
        <w:t>60%</w:t>
      </w:r>
      <w:r w:rsidRPr="0061142D">
        <w:rPr>
          <w:rFonts w:hAnsi="宋体"/>
          <w:color w:val="000000"/>
          <w:sz w:val="28"/>
        </w:rPr>
        <w:t>；</w:t>
      </w:r>
    </w:p>
    <w:p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w:t>
      </w:r>
      <w:r w:rsidRPr="0061142D">
        <w:rPr>
          <w:color w:val="000000"/>
          <w:sz w:val="28"/>
        </w:rPr>
        <w:t>2</w:t>
      </w:r>
      <w:r w:rsidRPr="0061142D">
        <w:rPr>
          <w:rFonts w:hAnsi="宋体"/>
          <w:color w:val="000000"/>
          <w:sz w:val="28"/>
        </w:rPr>
        <w:t>）基金收益分配方式分为现金分红与红利再投资，投资人可选择现金红利或将现金红利按除权日的单位净值自动转为基金份额进行再投资；若投资人不选择，本基金默认的收益分配方式是现金分红；</w:t>
      </w:r>
    </w:p>
    <w:p w:rsidR="009C2EF9" w:rsidRPr="0061142D" w:rsidRDefault="009C2EF9" w:rsidP="00EE5132">
      <w:pPr>
        <w:adjustRightInd w:val="0"/>
        <w:snapToGrid w:val="0"/>
        <w:spacing w:line="360" w:lineRule="auto"/>
        <w:ind w:firstLineChars="200" w:firstLine="560"/>
        <w:outlineLvl w:val="0"/>
        <w:rPr>
          <w:color w:val="000000"/>
          <w:sz w:val="28"/>
        </w:rPr>
      </w:pPr>
      <w:r w:rsidRPr="0061142D">
        <w:rPr>
          <w:color w:val="000000"/>
          <w:sz w:val="28"/>
        </w:rPr>
        <w:t>3</w:t>
      </w:r>
      <w:r w:rsidRPr="0061142D">
        <w:rPr>
          <w:rFonts w:hAnsi="宋体"/>
          <w:color w:val="000000"/>
          <w:sz w:val="28"/>
        </w:rPr>
        <w:t>、基金收益分配后基金份额净值不能低于面值；即基金收益分配基准日的基金份额净值减去每单位基金份额收益分配金额后不能低于面值；</w:t>
      </w:r>
    </w:p>
    <w:p w:rsidR="009C2EF9" w:rsidRPr="0061142D" w:rsidRDefault="009C2EF9" w:rsidP="00EE5132">
      <w:pPr>
        <w:adjustRightInd w:val="0"/>
        <w:snapToGrid w:val="0"/>
        <w:spacing w:line="360" w:lineRule="auto"/>
        <w:ind w:firstLineChars="200" w:firstLine="560"/>
        <w:outlineLvl w:val="0"/>
        <w:rPr>
          <w:color w:val="000000"/>
          <w:sz w:val="28"/>
        </w:rPr>
      </w:pPr>
      <w:r w:rsidRPr="0061142D">
        <w:rPr>
          <w:color w:val="000000"/>
          <w:sz w:val="28"/>
        </w:rPr>
        <w:lastRenderedPageBreak/>
        <w:t>4</w:t>
      </w:r>
      <w:r w:rsidRPr="0061142D">
        <w:rPr>
          <w:rFonts w:hAnsi="宋体"/>
          <w:color w:val="000000"/>
          <w:sz w:val="28"/>
        </w:rPr>
        <w:t>、每一基金份额享有同等的收益分配权；</w:t>
      </w:r>
    </w:p>
    <w:p w:rsidR="009C2EF9" w:rsidRPr="0061142D" w:rsidRDefault="009C2EF9" w:rsidP="00EE5132">
      <w:pPr>
        <w:adjustRightInd w:val="0"/>
        <w:snapToGrid w:val="0"/>
        <w:spacing w:line="360" w:lineRule="auto"/>
        <w:ind w:firstLineChars="200" w:firstLine="560"/>
        <w:outlineLvl w:val="0"/>
        <w:rPr>
          <w:color w:val="000000"/>
          <w:sz w:val="28"/>
        </w:rPr>
      </w:pPr>
      <w:r w:rsidRPr="0061142D">
        <w:rPr>
          <w:sz w:val="28"/>
        </w:rPr>
        <w:t>5</w:t>
      </w:r>
      <w:r w:rsidRPr="0061142D">
        <w:rPr>
          <w:rFonts w:hAnsi="宋体"/>
          <w:sz w:val="28"/>
        </w:rPr>
        <w:t>、法律法规或监管机构另有规定的从</w:t>
      </w:r>
      <w:r w:rsidRPr="0061142D">
        <w:rPr>
          <w:rFonts w:hAnsi="宋体"/>
          <w:color w:val="000000"/>
          <w:sz w:val="28"/>
        </w:rPr>
        <w:t>其规定。</w:t>
      </w:r>
    </w:p>
    <w:p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（二）基金收益分配方案的</w:t>
      </w:r>
      <w:r w:rsidRPr="0061142D">
        <w:rPr>
          <w:rFonts w:hAnsi="宋体"/>
          <w:sz w:val="28"/>
        </w:rPr>
        <w:t>确定、公告与实施</w:t>
      </w:r>
    </w:p>
    <w:p w:rsidR="009C2EF9" w:rsidRPr="0061142D" w:rsidRDefault="009C2EF9" w:rsidP="00EE5132">
      <w:pPr>
        <w:adjustRightInd w:val="0"/>
        <w:snapToGrid w:val="0"/>
        <w:spacing w:line="360" w:lineRule="auto"/>
        <w:ind w:firstLineChars="200" w:firstLine="560"/>
        <w:rPr>
          <w:sz w:val="28"/>
        </w:rPr>
      </w:pPr>
      <w:r w:rsidRPr="0061142D">
        <w:rPr>
          <w:sz w:val="28"/>
        </w:rPr>
        <w:t>1</w:t>
      </w:r>
      <w:r w:rsidRPr="0061142D">
        <w:rPr>
          <w:rFonts w:hAnsi="宋体"/>
          <w:sz w:val="28"/>
        </w:rPr>
        <w:t>、本基金收益分配方案由基金管理人拟定、由基金托管人复核，在</w:t>
      </w:r>
      <w:r w:rsidRPr="0061142D">
        <w:rPr>
          <w:sz w:val="28"/>
        </w:rPr>
        <w:t>2</w:t>
      </w:r>
      <w:r w:rsidRPr="0061142D">
        <w:rPr>
          <w:rFonts w:hAnsi="宋体"/>
          <w:sz w:val="28"/>
        </w:rPr>
        <w:t>个工作日内在指定媒体公告并向中国证监会备案。</w:t>
      </w:r>
    </w:p>
    <w:p w:rsidR="009C2EF9" w:rsidRPr="0061142D" w:rsidRDefault="009C2EF9" w:rsidP="00EE5132">
      <w:pPr>
        <w:adjustRightInd w:val="0"/>
        <w:snapToGrid w:val="0"/>
        <w:spacing w:line="360" w:lineRule="auto"/>
        <w:ind w:firstLineChars="200" w:firstLine="560"/>
        <w:rPr>
          <w:sz w:val="28"/>
        </w:rPr>
      </w:pPr>
      <w:r w:rsidRPr="0061142D">
        <w:rPr>
          <w:sz w:val="28"/>
        </w:rPr>
        <w:t>2</w:t>
      </w:r>
      <w:r w:rsidRPr="0061142D">
        <w:rPr>
          <w:rFonts w:hAnsi="宋体"/>
          <w:sz w:val="28"/>
        </w:rPr>
        <w:t>、本基金收益分配的发放日距离收益分配基准日的时间不超过</w:t>
      </w:r>
      <w:r w:rsidRPr="0061142D">
        <w:rPr>
          <w:sz w:val="28"/>
        </w:rPr>
        <w:t>15</w:t>
      </w:r>
      <w:r w:rsidRPr="0061142D">
        <w:rPr>
          <w:rFonts w:hAnsi="宋体"/>
          <w:sz w:val="28"/>
        </w:rPr>
        <w:t>个工作日。</w:t>
      </w:r>
    </w:p>
    <w:p w:rsidR="009C2EF9" w:rsidRPr="0061142D" w:rsidRDefault="009C2EF9" w:rsidP="00EE5132">
      <w:pPr>
        <w:adjustRightInd w:val="0"/>
        <w:snapToGrid w:val="0"/>
        <w:spacing w:line="360" w:lineRule="auto"/>
        <w:ind w:firstLineChars="200" w:firstLine="560"/>
        <w:rPr>
          <w:color w:val="000000"/>
          <w:sz w:val="28"/>
        </w:rPr>
      </w:pPr>
    </w:p>
    <w:p w:rsidR="009C2EF9" w:rsidRPr="0061142D" w:rsidRDefault="009C2EF9">
      <w:pPr>
        <w:pStyle w:val="2"/>
        <w:spacing w:line="360" w:lineRule="auto"/>
        <w:ind w:firstLineChars="946" w:firstLine="2659"/>
        <w:rPr>
          <w:rFonts w:ascii="Times New Roman" w:eastAsia="宋体" w:hAnsi="Times New Roman"/>
          <w:color w:val="000000"/>
          <w:sz w:val="28"/>
        </w:rPr>
      </w:pPr>
      <w:bookmarkStart w:id="88" w:name="_Toc145818944"/>
      <w:r w:rsidRPr="0061142D">
        <w:rPr>
          <w:rFonts w:ascii="Times New Roman" w:eastAsia="宋体" w:hAnsi="宋体"/>
          <w:color w:val="000000"/>
          <w:sz w:val="28"/>
        </w:rPr>
        <w:t>十、基金信息披露</w:t>
      </w:r>
      <w:bookmarkEnd w:id="88"/>
    </w:p>
    <w:p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（一）保密义务</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托管人和基金管理人应按法律法规、基金合同的有关规定进行信息披露，拟公开披露的信息在公开披露之前应予保密。除按《基金法》、《信息披露办法》、基金合同、及其他有关规定进行信息披露外，基金管理人和基金托管人对基金运作中产生的信息以及从对方获得的业务信息应予保密。</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管理人和基金托管人除了为合法履行法律法规、基金合同及本协议规定的义务所必要之外，不得为其他目的使用、利用其所知悉的基金的保密信息，并且应当将保密信息限制在为履行前述义务而需要了解该保密信息的职员范围之内。但是，如下情况不应视为基金管理人或基金托管人违反保密义务：</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w:t>
      </w:r>
      <w:r w:rsidRPr="0061142D">
        <w:rPr>
          <w:color w:val="000000"/>
          <w:sz w:val="28"/>
        </w:rPr>
        <w:t>1</w:t>
      </w:r>
      <w:r w:rsidRPr="0061142D">
        <w:rPr>
          <w:rFonts w:hAnsi="宋体"/>
          <w:color w:val="000000"/>
          <w:sz w:val="28"/>
        </w:rPr>
        <w:t>）非因基金管理人和基金托管人的原因导致保密信息被披露、泄露或公开；</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w:t>
      </w:r>
      <w:r w:rsidRPr="0061142D">
        <w:rPr>
          <w:color w:val="000000"/>
          <w:sz w:val="28"/>
        </w:rPr>
        <w:t>2</w:t>
      </w:r>
      <w:r w:rsidRPr="0061142D">
        <w:rPr>
          <w:rFonts w:hAnsi="宋体"/>
          <w:color w:val="000000"/>
          <w:sz w:val="28"/>
        </w:rPr>
        <w:t>）基金管理人和基金托管人为遵守和服从法院判决或裁定、仲裁裁决或中国证监会等监管机构的命令、决定所做出的信息披露或</w:t>
      </w:r>
      <w:r w:rsidRPr="0061142D">
        <w:rPr>
          <w:rFonts w:hAnsi="宋体"/>
          <w:color w:val="000000"/>
          <w:sz w:val="28"/>
        </w:rPr>
        <w:lastRenderedPageBreak/>
        <w:t>公开。</w:t>
      </w:r>
    </w:p>
    <w:p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（二）信息披露的内容</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的信息披露主要包括基金招募说明书、基金合同、托管协议、基金份额发售公告、基金募集情况、基金合同生效公告、基金资产净值、基金份额净值、基金份额累计净值公告、基金份额申购赎回价格、基金定期报告（包括基金年度报告、基金半年度报告和基金季度报告），以及临时报告、澄清公告、基金份额持有人大会决议、中国证监会规定的其他信息。基金年度报告需经具有从事证券相关业务资格的会计师事务所审计后，方可披露。</w:t>
      </w:r>
    </w:p>
    <w:p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（三）基金托管人和基金管理人在信息披露中的职责和信息披露程序</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、职责</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托管人和基金管理人在信息披露过程中应以保护基金份额持有人利益为宗旨，诚实信用，严守秘密。基金管理人负责办理与基金有关的信息披露事宜，对于本章第（二）条规定的应由基金托管人复核的事项，应经基金托管人复核无误后，由基金管理人予以公布。</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基金管理人应当在中国证监会规定的时间内，将应予披露的基金信息通过中国证监会指定的全国性报刊（以下简称</w:t>
      </w:r>
      <w:r w:rsidRPr="0061142D">
        <w:rPr>
          <w:color w:val="000000"/>
          <w:sz w:val="28"/>
        </w:rPr>
        <w:t>“</w:t>
      </w:r>
      <w:r w:rsidRPr="0061142D">
        <w:rPr>
          <w:rFonts w:hAnsi="宋体"/>
          <w:color w:val="000000"/>
          <w:sz w:val="28"/>
        </w:rPr>
        <w:t>指定报刊</w:t>
      </w:r>
      <w:r w:rsidRPr="0061142D">
        <w:rPr>
          <w:color w:val="000000"/>
          <w:sz w:val="28"/>
        </w:rPr>
        <w:t>”</w:t>
      </w:r>
      <w:r w:rsidRPr="0061142D">
        <w:rPr>
          <w:rFonts w:hAnsi="宋体"/>
          <w:color w:val="000000"/>
          <w:sz w:val="28"/>
        </w:rPr>
        <w:t>）和基金管理人的互联网网站等媒介披露。根据法律法规应由基金托管人公开披露的信息，基金托管人将通过指定报刊和基金托管人的互联网网站公开披露。</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当出现下述情况时，基金管理人和基金托管人可暂停或延迟披露基金信息：</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不可抗力；</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法律法规、中国证监会规定或基金合同约定的情况。</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lastRenderedPageBreak/>
        <w:t>2</w:t>
      </w:r>
      <w:r w:rsidRPr="0061142D">
        <w:rPr>
          <w:rFonts w:hAnsi="宋体"/>
          <w:color w:val="000000"/>
          <w:sz w:val="28"/>
        </w:rPr>
        <w:t>、程序</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按有关规定须经基金托管人复核的信息披露文件，由基金管理人起草、并经基金托管人复核后由基金管理人公告。发生基金合同中规定需要披露的事项时，按基金合同规定公布。</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、信息文本的存放</w:t>
      </w:r>
    </w:p>
    <w:p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基金合同、托管协议、招募说明书和基金定期报告公布后，应当分别置备于基金管理人和基金托管人处，以供公众查阅、复制。</w:t>
      </w:r>
    </w:p>
    <w:p w:rsidR="009C2EF9" w:rsidRPr="0061142D" w:rsidRDefault="009C2EF9" w:rsidP="00EE5132">
      <w:pPr>
        <w:pStyle w:val="a0"/>
        <w:adjustRightInd w:val="0"/>
        <w:snapToGrid w:val="0"/>
        <w:spacing w:line="360" w:lineRule="auto"/>
        <w:ind w:firstLine="560"/>
        <w:rPr>
          <w:color w:val="000000"/>
          <w:sz w:val="28"/>
        </w:rPr>
      </w:pPr>
      <w:r w:rsidRPr="0061142D">
        <w:rPr>
          <w:rFonts w:hAnsi="宋体"/>
          <w:color w:val="000000"/>
          <w:sz w:val="28"/>
        </w:rPr>
        <w:t>投资者可以免费查阅上述文件。在支付工本费后可在合理时间获得上述文件的复制件或复印件。基金管理人和基金托管人应保证文本的内容与所公告的内容完全一致。</w:t>
      </w:r>
    </w:p>
    <w:p w:rsidR="00EE5132" w:rsidRPr="0061142D" w:rsidRDefault="00EE5132" w:rsidP="00EE5132">
      <w:pPr>
        <w:pStyle w:val="a0"/>
        <w:adjustRightInd w:val="0"/>
        <w:snapToGrid w:val="0"/>
        <w:spacing w:line="360" w:lineRule="auto"/>
        <w:ind w:firstLine="560"/>
        <w:rPr>
          <w:color w:val="000000"/>
          <w:sz w:val="28"/>
        </w:rPr>
      </w:pPr>
    </w:p>
    <w:p w:rsidR="009C2EF9" w:rsidRPr="0061142D" w:rsidRDefault="009C2EF9">
      <w:pPr>
        <w:pStyle w:val="2"/>
        <w:spacing w:line="360" w:lineRule="auto"/>
        <w:jc w:val="center"/>
        <w:rPr>
          <w:rFonts w:ascii="Times New Roman" w:eastAsia="宋体" w:hAnsi="Times New Roman"/>
          <w:color w:val="000000"/>
          <w:sz w:val="28"/>
        </w:rPr>
      </w:pPr>
      <w:bookmarkStart w:id="89" w:name="_Toc145818945"/>
      <w:r w:rsidRPr="0061142D">
        <w:rPr>
          <w:rFonts w:ascii="Times New Roman" w:eastAsia="宋体" w:hAnsi="宋体"/>
          <w:color w:val="000000"/>
          <w:sz w:val="28"/>
        </w:rPr>
        <w:t>十一、基金费用</w:t>
      </w:r>
      <w:bookmarkEnd w:id="89"/>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（一）基金管理费的计提比例和计提方法</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在通常情况下，基金管理费按前一日基金资产净值</w:t>
      </w:r>
      <w:r w:rsidRPr="0061142D">
        <w:rPr>
          <w:color w:val="000000"/>
          <w:sz w:val="28"/>
        </w:rPr>
        <w:t>1.2%</w:t>
      </w:r>
      <w:r w:rsidRPr="0061142D">
        <w:rPr>
          <w:rFonts w:hAnsi="宋体"/>
          <w:color w:val="000000"/>
          <w:sz w:val="28"/>
        </w:rPr>
        <w:t>年费率计提。计算方法如下：</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H</w:t>
      </w:r>
      <w:r w:rsidRPr="0061142D">
        <w:rPr>
          <w:rFonts w:hAnsi="宋体"/>
          <w:color w:val="000000"/>
          <w:sz w:val="28"/>
        </w:rPr>
        <w:t>＝</w:t>
      </w:r>
      <w:r w:rsidRPr="0061142D">
        <w:rPr>
          <w:color w:val="000000"/>
          <w:sz w:val="28"/>
        </w:rPr>
        <w:t>E×</w:t>
      </w:r>
      <w:r w:rsidRPr="0061142D">
        <w:rPr>
          <w:rFonts w:hAnsi="宋体"/>
          <w:color w:val="000000"/>
          <w:sz w:val="28"/>
        </w:rPr>
        <w:t>年管理费率</w:t>
      </w:r>
      <w:r w:rsidRPr="0061142D">
        <w:rPr>
          <w:color w:val="000000"/>
          <w:sz w:val="28"/>
        </w:rPr>
        <w:t>÷</w:t>
      </w:r>
      <w:r w:rsidRPr="0061142D">
        <w:rPr>
          <w:rFonts w:hAnsi="宋体"/>
          <w:color w:val="000000"/>
          <w:sz w:val="28"/>
        </w:rPr>
        <w:t>当年天数</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H</w:t>
      </w:r>
      <w:r w:rsidRPr="0061142D">
        <w:rPr>
          <w:rFonts w:hAnsi="宋体"/>
          <w:color w:val="000000"/>
          <w:sz w:val="28"/>
        </w:rPr>
        <w:t>为每日应计提的基金管理费</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E</w:t>
      </w:r>
      <w:r w:rsidRPr="0061142D">
        <w:rPr>
          <w:rFonts w:hAnsi="宋体"/>
          <w:color w:val="000000"/>
          <w:sz w:val="28"/>
        </w:rPr>
        <w:t>为前一日的基金资产净值</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在保本周期内，本基金的保证费用或风险买断费用从基金管理人的管理费收入中列支，向担保人或保本义务人支付。</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（二）基金托管费的计提比例和计提方法</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在通常情况下，基金托管费按前一日基金资产净值的</w:t>
      </w:r>
      <w:r w:rsidRPr="0061142D">
        <w:rPr>
          <w:color w:val="000000"/>
          <w:sz w:val="28"/>
        </w:rPr>
        <w:t>0.2%</w:t>
      </w:r>
      <w:r w:rsidRPr="0061142D">
        <w:rPr>
          <w:rFonts w:hAnsi="宋体"/>
          <w:color w:val="000000"/>
          <w:sz w:val="28"/>
        </w:rPr>
        <w:t>年费率计提。计算方法如下：</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H</w:t>
      </w:r>
      <w:r w:rsidRPr="0061142D">
        <w:rPr>
          <w:rFonts w:hAnsi="宋体"/>
          <w:color w:val="000000"/>
          <w:sz w:val="28"/>
        </w:rPr>
        <w:t>＝</w:t>
      </w:r>
      <w:r w:rsidRPr="0061142D">
        <w:rPr>
          <w:color w:val="000000"/>
          <w:sz w:val="28"/>
        </w:rPr>
        <w:t>E×</w:t>
      </w:r>
      <w:r w:rsidRPr="0061142D">
        <w:rPr>
          <w:rFonts w:hAnsi="宋体"/>
          <w:color w:val="000000"/>
          <w:sz w:val="28"/>
        </w:rPr>
        <w:t>年托管费率</w:t>
      </w:r>
      <w:r w:rsidRPr="0061142D">
        <w:rPr>
          <w:color w:val="000000"/>
          <w:sz w:val="28"/>
        </w:rPr>
        <w:t>÷</w:t>
      </w:r>
      <w:r w:rsidRPr="0061142D">
        <w:rPr>
          <w:rFonts w:hAnsi="宋体"/>
          <w:color w:val="000000"/>
          <w:sz w:val="28"/>
        </w:rPr>
        <w:t>当年天数</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lastRenderedPageBreak/>
        <w:t>H</w:t>
      </w:r>
      <w:r w:rsidRPr="0061142D">
        <w:rPr>
          <w:rFonts w:hAnsi="宋体"/>
          <w:color w:val="000000"/>
          <w:sz w:val="28"/>
        </w:rPr>
        <w:t>为每日应计提的基金托管费</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E</w:t>
      </w:r>
      <w:r w:rsidRPr="0061142D">
        <w:rPr>
          <w:rFonts w:hAnsi="宋体"/>
          <w:color w:val="000000"/>
          <w:sz w:val="28"/>
        </w:rPr>
        <w:t>为前一日的基金资产净值</w:t>
      </w:r>
    </w:p>
    <w:p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（三）本基金在到期期间（除保本周期到期日）和过渡期内，基金管理人和基金托管人免收基金管理费和基金托管费。</w:t>
      </w:r>
    </w:p>
    <w:p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（四）若保本周期到期后，本基金不符合保本基金存续条件但符合法律法规和基金合同对基金的存续要求，本基金根据基金合同约定变更为</w:t>
      </w:r>
      <w:r w:rsidRPr="0061142D">
        <w:rPr>
          <w:color w:val="000000"/>
          <w:sz w:val="28"/>
        </w:rPr>
        <w:t>“</w:t>
      </w:r>
      <w:r w:rsidRPr="0061142D">
        <w:rPr>
          <w:rFonts w:hAnsi="宋体"/>
          <w:color w:val="000000"/>
          <w:sz w:val="28"/>
        </w:rPr>
        <w:t>交银施罗德稳固收益债券型证券投资基金</w:t>
      </w:r>
      <w:r w:rsidRPr="0061142D">
        <w:rPr>
          <w:color w:val="000000"/>
          <w:sz w:val="28"/>
        </w:rPr>
        <w:t>”</w:t>
      </w:r>
      <w:r w:rsidRPr="0061142D">
        <w:rPr>
          <w:rFonts w:hAnsi="宋体"/>
          <w:color w:val="000000"/>
          <w:sz w:val="28"/>
        </w:rPr>
        <w:t>后，基金管理费按前一日基金资产净值的</w:t>
      </w:r>
      <w:r w:rsidRPr="0061142D">
        <w:rPr>
          <w:color w:val="000000"/>
          <w:sz w:val="28"/>
        </w:rPr>
        <w:t>0.7%</w:t>
      </w:r>
      <w:r w:rsidRPr="0061142D">
        <w:rPr>
          <w:rFonts w:hAnsi="宋体"/>
          <w:color w:val="000000"/>
          <w:sz w:val="28"/>
        </w:rPr>
        <w:t>的年费率计提，基金托管费仍按前一日基金资产净值的</w:t>
      </w:r>
      <w:r w:rsidRPr="0061142D">
        <w:rPr>
          <w:color w:val="000000"/>
          <w:sz w:val="28"/>
        </w:rPr>
        <w:t>0.2%</w:t>
      </w:r>
      <w:r w:rsidRPr="0061142D">
        <w:rPr>
          <w:rFonts w:hAnsi="宋体"/>
          <w:color w:val="000000"/>
          <w:sz w:val="28"/>
        </w:rPr>
        <w:t>的年费率计提。计算方法同上。</w:t>
      </w:r>
    </w:p>
    <w:p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五）银行汇划费用、基金的证券交易费用、基金的开户费用和账户维护费用、基金合同生效后与基金相关的信息披露费用、基金份额持有人大会费用、基金合同生效后与基金相关的会计师费、律师费和诉讼费及按照国家有关规定和基金合同约定可以在基金财产中列支的其他费用等根据有关法律法规、基金合同及相应协议的规定，按费用实际支出金额支付，列入或摊入当期基金费用。</w:t>
      </w:r>
    </w:p>
    <w:p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（六）不列入基金费用的项目</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管理人与基金托管人因未履行或未完全履行义务导致的费用支出或基金资产的损失，以及处理与基金运作无关的事项发生的费用等不列入基金费用。基金合同生效前的相关费用，包括但不限于验资费、会计师和律师费、信息披露费等费用不列入基金费用。</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（七）本基金运作前产生的可以从基金财产中列支的相关费用由基金管理人垫付，运作后由基金管理人向基金托管人发送划付指令</w:t>
      </w:r>
      <w:r w:rsidR="0087516D">
        <w:rPr>
          <w:color w:val="000000"/>
          <w:sz w:val="28"/>
        </w:rPr>
        <w:t>，</w:t>
      </w:r>
      <w:r w:rsidRPr="0061142D">
        <w:rPr>
          <w:rFonts w:hAnsi="宋体"/>
          <w:color w:val="000000"/>
          <w:sz w:val="28"/>
        </w:rPr>
        <w:t>经基金托管人复核后于次日起</w:t>
      </w:r>
      <w:r w:rsidRPr="0061142D">
        <w:rPr>
          <w:color w:val="000000"/>
          <w:sz w:val="28"/>
        </w:rPr>
        <w:t>3</w:t>
      </w:r>
      <w:r w:rsidRPr="0061142D">
        <w:rPr>
          <w:rFonts w:hAnsi="宋体"/>
          <w:color w:val="000000"/>
          <w:sz w:val="28"/>
        </w:rPr>
        <w:t>个工作日内从基金资产中一次性支付给基金管理人。</w:t>
      </w:r>
    </w:p>
    <w:p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（八）基金管理费和基金托管费的调整</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lastRenderedPageBreak/>
        <w:t>基金管理人和基金托管人可协商酌情降低基金管理费和基金托管费，此项调整不需要基金份额持有人大会决议通过。基金管理人必须</w:t>
      </w:r>
      <w:r w:rsidRPr="0061142D">
        <w:rPr>
          <w:rFonts w:hAnsi="宋体"/>
          <w:sz w:val="28"/>
        </w:rPr>
        <w:t>依照有关规定</w:t>
      </w:r>
      <w:r w:rsidRPr="0061142D">
        <w:rPr>
          <w:rFonts w:hAnsi="宋体"/>
          <w:color w:val="000000"/>
          <w:sz w:val="28"/>
        </w:rPr>
        <w:t>最迟于新的费率实施日前按照《信息披露办法》的规定在</w:t>
      </w:r>
      <w:r w:rsidRPr="0061142D">
        <w:rPr>
          <w:rFonts w:hAnsi="宋体"/>
          <w:sz w:val="28"/>
        </w:rPr>
        <w:t>指定媒体和基金管理人网站</w:t>
      </w:r>
      <w:r w:rsidRPr="0061142D">
        <w:rPr>
          <w:rFonts w:hAnsi="宋体"/>
          <w:color w:val="000000"/>
          <w:sz w:val="28"/>
        </w:rPr>
        <w:t>上刊登公告。</w:t>
      </w:r>
    </w:p>
    <w:p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（九）基金管理费和基金托管费的复核程序、支付方式和时间</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、复核程序</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基金托管人对基金管理人计提的基金管理费和基金托管费等，根据本托管协议和基金合同的有关规定进行复核。</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、支付方式和时间</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基金管理费、基金托管费每日计提，按月支付。由基金管理人向基金托管人发送基金管理费、基金托管费划付指令</w:t>
      </w:r>
      <w:r w:rsidR="0087516D">
        <w:rPr>
          <w:color w:val="000000"/>
          <w:sz w:val="28"/>
        </w:rPr>
        <w:t>，</w:t>
      </w:r>
      <w:r w:rsidRPr="0061142D">
        <w:rPr>
          <w:rFonts w:hAnsi="宋体"/>
          <w:color w:val="000000"/>
          <w:sz w:val="28"/>
        </w:rPr>
        <w:t>经基金托管人复核后于次月首日起</w:t>
      </w:r>
      <w:r w:rsidRPr="0061142D">
        <w:rPr>
          <w:color w:val="000000"/>
          <w:sz w:val="28"/>
        </w:rPr>
        <w:t>3</w:t>
      </w:r>
      <w:r w:rsidRPr="0061142D">
        <w:rPr>
          <w:rFonts w:hAnsi="宋体"/>
          <w:color w:val="000000"/>
          <w:sz w:val="28"/>
        </w:rPr>
        <w:t>个工作日内从基金财产中一次性支付给基金管理人和基金托管人。</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若遇不可抗力致使无法按时支付的，顺延至最近可支付日支付。</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（十）违规处理方式</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基金托管人发现基金管理人违反《基金法》、基金合同、《运作办法》及其他有关规定从基金财产中列支费用时，基金托管人可要求基金管理人予以说明解释，如基金管理人无正当理由，基金托管人可拒绝支付。</w:t>
      </w:r>
    </w:p>
    <w:p w:rsidR="009C2EF9" w:rsidRPr="0061142D" w:rsidRDefault="009C2EF9" w:rsidP="00EE5132">
      <w:pPr>
        <w:adjustRightInd w:val="0"/>
        <w:snapToGrid w:val="0"/>
        <w:spacing w:line="360" w:lineRule="auto"/>
        <w:ind w:firstLineChars="200" w:firstLine="560"/>
        <w:rPr>
          <w:color w:val="000000"/>
          <w:sz w:val="28"/>
        </w:rPr>
      </w:pPr>
    </w:p>
    <w:p w:rsidR="009C2EF9" w:rsidRPr="0061142D" w:rsidRDefault="009C2EF9">
      <w:pPr>
        <w:pStyle w:val="2"/>
        <w:spacing w:line="360" w:lineRule="auto"/>
        <w:jc w:val="center"/>
        <w:rPr>
          <w:rFonts w:ascii="Times New Roman" w:eastAsia="宋体" w:hAnsi="Times New Roman"/>
          <w:color w:val="000000"/>
          <w:sz w:val="28"/>
        </w:rPr>
      </w:pPr>
      <w:bookmarkStart w:id="90" w:name="_Toc145818946"/>
      <w:r w:rsidRPr="0061142D">
        <w:rPr>
          <w:rFonts w:ascii="Times New Roman" w:eastAsia="宋体" w:hAnsi="宋体"/>
          <w:color w:val="000000"/>
          <w:sz w:val="28"/>
        </w:rPr>
        <w:t>十二、基金份额持有人名册的的登记与保管</w:t>
      </w:r>
      <w:bookmarkEnd w:id="90"/>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本基金的基金管理人和基金托管人须分别妥善保管的基金份额持有人名册，包括基金合同生效日、基金合同终止日、基金权益登记日、基金份额持有人大会权益登记日、每年</w:t>
      </w:r>
      <w:r w:rsidRPr="0061142D">
        <w:rPr>
          <w:color w:val="000000"/>
          <w:sz w:val="28"/>
        </w:rPr>
        <w:t>6</w:t>
      </w:r>
      <w:r w:rsidRPr="0061142D">
        <w:rPr>
          <w:rFonts w:hAnsi="宋体"/>
          <w:color w:val="000000"/>
          <w:sz w:val="28"/>
        </w:rPr>
        <w:t>月</w:t>
      </w:r>
      <w:r w:rsidRPr="0061142D">
        <w:rPr>
          <w:color w:val="000000"/>
          <w:sz w:val="28"/>
        </w:rPr>
        <w:t>30</w:t>
      </w:r>
      <w:r w:rsidRPr="0061142D">
        <w:rPr>
          <w:rFonts w:hAnsi="宋体"/>
          <w:color w:val="000000"/>
          <w:sz w:val="28"/>
        </w:rPr>
        <w:t>日、</w:t>
      </w:r>
      <w:r w:rsidRPr="0061142D">
        <w:rPr>
          <w:color w:val="000000"/>
          <w:sz w:val="28"/>
        </w:rPr>
        <w:t>12</w:t>
      </w:r>
      <w:r w:rsidRPr="0061142D">
        <w:rPr>
          <w:rFonts w:hAnsi="宋体"/>
          <w:color w:val="000000"/>
          <w:sz w:val="28"/>
        </w:rPr>
        <w:t>月</w:t>
      </w:r>
      <w:r w:rsidRPr="0061142D">
        <w:rPr>
          <w:color w:val="000000"/>
          <w:sz w:val="28"/>
        </w:rPr>
        <w:t>31</w:t>
      </w:r>
      <w:r w:rsidRPr="0061142D">
        <w:rPr>
          <w:rFonts w:hAnsi="宋体"/>
          <w:color w:val="000000"/>
          <w:sz w:val="28"/>
        </w:rPr>
        <w:t>日</w:t>
      </w:r>
      <w:r w:rsidRPr="0061142D">
        <w:rPr>
          <w:rFonts w:hAnsi="宋体"/>
          <w:color w:val="000000"/>
          <w:sz w:val="28"/>
        </w:rPr>
        <w:lastRenderedPageBreak/>
        <w:t>的基金份额持有人名册。基金份额持有人名册的内容至少应包括持有人的名称和持有的基金份额。</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基金管理人应及时向基金托管人提交基金份额持有人名册。每年</w:t>
      </w:r>
      <w:r w:rsidRPr="0061142D">
        <w:rPr>
          <w:color w:val="000000"/>
          <w:sz w:val="28"/>
        </w:rPr>
        <w:t>6</w:t>
      </w:r>
      <w:r w:rsidRPr="0061142D">
        <w:rPr>
          <w:rFonts w:hAnsi="宋体"/>
          <w:color w:val="000000"/>
          <w:sz w:val="28"/>
        </w:rPr>
        <w:t>月</w:t>
      </w:r>
      <w:r w:rsidRPr="0061142D">
        <w:rPr>
          <w:color w:val="000000"/>
          <w:sz w:val="28"/>
        </w:rPr>
        <w:t>30</w:t>
      </w:r>
      <w:r w:rsidRPr="0061142D">
        <w:rPr>
          <w:rFonts w:hAnsi="宋体"/>
          <w:color w:val="000000"/>
          <w:sz w:val="28"/>
        </w:rPr>
        <w:t>日和</w:t>
      </w:r>
      <w:r w:rsidRPr="0061142D">
        <w:rPr>
          <w:color w:val="000000"/>
          <w:sz w:val="28"/>
        </w:rPr>
        <w:t>12</w:t>
      </w:r>
      <w:r w:rsidRPr="0061142D">
        <w:rPr>
          <w:rFonts w:hAnsi="宋体"/>
          <w:color w:val="000000"/>
          <w:sz w:val="28"/>
        </w:rPr>
        <w:t>月</w:t>
      </w:r>
      <w:r w:rsidRPr="0061142D">
        <w:rPr>
          <w:color w:val="000000"/>
          <w:sz w:val="28"/>
        </w:rPr>
        <w:t>31</w:t>
      </w:r>
      <w:r w:rsidRPr="0061142D">
        <w:rPr>
          <w:rFonts w:hAnsi="宋体"/>
          <w:color w:val="000000"/>
          <w:sz w:val="28"/>
        </w:rPr>
        <w:t>日的基金份额持有人名册应于下月前十个工作日内提交；基金合同生效日、基金合同终止日等涉及到基金重要事项日期的基金份额持有人名册应于发生日后十个工作日内提交。</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基金管理人和基金托管人应妥善保管基金份额持有人名册，保存期限为</w:t>
      </w:r>
      <w:r w:rsidRPr="0061142D">
        <w:rPr>
          <w:color w:val="000000"/>
          <w:sz w:val="28"/>
        </w:rPr>
        <w:t>15</w:t>
      </w:r>
      <w:r w:rsidRPr="0061142D">
        <w:rPr>
          <w:rFonts w:hAnsi="宋体"/>
          <w:color w:val="000000"/>
          <w:sz w:val="28"/>
        </w:rPr>
        <w:t>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rsidR="009C2EF9" w:rsidRPr="0061142D" w:rsidRDefault="009C2EF9" w:rsidP="0061142D">
      <w:pPr>
        <w:adjustRightInd w:val="0"/>
        <w:snapToGrid w:val="0"/>
        <w:spacing w:line="360" w:lineRule="auto"/>
        <w:ind w:firstLineChars="200" w:firstLine="560"/>
        <w:rPr>
          <w:color w:val="000000"/>
          <w:sz w:val="28"/>
        </w:rPr>
      </w:pPr>
    </w:p>
    <w:p w:rsidR="009C2EF9" w:rsidRPr="0061142D" w:rsidRDefault="009C2EF9">
      <w:pPr>
        <w:pStyle w:val="2"/>
        <w:spacing w:line="360" w:lineRule="auto"/>
        <w:jc w:val="center"/>
        <w:rPr>
          <w:rFonts w:ascii="Times New Roman" w:eastAsia="宋体" w:hAnsi="Times New Roman"/>
          <w:color w:val="000000"/>
          <w:sz w:val="28"/>
        </w:rPr>
      </w:pPr>
      <w:bookmarkStart w:id="91" w:name="_Toc145818947"/>
      <w:r w:rsidRPr="0061142D">
        <w:rPr>
          <w:rFonts w:ascii="Times New Roman" w:eastAsia="宋体" w:hAnsi="宋体"/>
          <w:color w:val="000000"/>
          <w:sz w:val="28"/>
        </w:rPr>
        <w:t>十三、基金有关文件档案的保存</w:t>
      </w:r>
      <w:bookmarkEnd w:id="91"/>
    </w:p>
    <w:p w:rsidR="009C2EF9" w:rsidRPr="0061142D" w:rsidRDefault="009C2EF9" w:rsidP="0061142D">
      <w:pPr>
        <w:adjustRightInd w:val="0"/>
        <w:snapToGrid w:val="0"/>
        <w:spacing w:line="360" w:lineRule="auto"/>
        <w:ind w:firstLineChars="200" w:firstLine="560"/>
        <w:outlineLvl w:val="0"/>
        <w:rPr>
          <w:color w:val="000000"/>
          <w:sz w:val="28"/>
        </w:rPr>
      </w:pPr>
      <w:r w:rsidRPr="0061142D">
        <w:rPr>
          <w:rFonts w:hAnsi="宋体"/>
          <w:color w:val="000000"/>
          <w:sz w:val="28"/>
        </w:rPr>
        <w:t>（一）档案保存</w:t>
      </w:r>
    </w:p>
    <w:p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61142D">
        <w:rPr>
          <w:color w:val="000000"/>
          <w:sz w:val="28"/>
        </w:rPr>
        <w:t xml:space="preserve">15 </w:t>
      </w:r>
      <w:r w:rsidRPr="0061142D">
        <w:rPr>
          <w:rFonts w:hAnsi="宋体"/>
          <w:color w:val="000000"/>
          <w:sz w:val="28"/>
        </w:rPr>
        <w:t>年。</w:t>
      </w:r>
    </w:p>
    <w:p w:rsidR="009C2EF9" w:rsidRPr="0061142D" w:rsidRDefault="009C2EF9" w:rsidP="0061142D">
      <w:pPr>
        <w:adjustRightInd w:val="0"/>
        <w:snapToGrid w:val="0"/>
        <w:spacing w:line="360" w:lineRule="auto"/>
        <w:ind w:firstLineChars="200" w:firstLine="560"/>
        <w:outlineLvl w:val="0"/>
        <w:rPr>
          <w:color w:val="000000"/>
          <w:sz w:val="28"/>
        </w:rPr>
      </w:pPr>
      <w:r w:rsidRPr="0061142D">
        <w:rPr>
          <w:rFonts w:hAnsi="宋体"/>
          <w:color w:val="000000"/>
          <w:sz w:val="28"/>
        </w:rPr>
        <w:t>（二）合同档案的建立</w:t>
      </w:r>
    </w:p>
    <w:p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基金管理人代表基金签署与基金相关的重大合同文本后，应及时</w:t>
      </w:r>
      <w:r w:rsidRPr="0061142D">
        <w:rPr>
          <w:rFonts w:hAnsi="宋体"/>
          <w:color w:val="000000"/>
          <w:sz w:val="28"/>
        </w:rPr>
        <w:lastRenderedPageBreak/>
        <w:t>以加密方式将重大合同传真给基金托管人，并在十个工作日内将合同文本正本送达基金托管人处。</w:t>
      </w:r>
    </w:p>
    <w:p w:rsidR="009C2EF9" w:rsidRPr="0061142D" w:rsidRDefault="009C2EF9" w:rsidP="0061142D">
      <w:pPr>
        <w:adjustRightInd w:val="0"/>
        <w:snapToGrid w:val="0"/>
        <w:spacing w:line="360" w:lineRule="auto"/>
        <w:ind w:firstLineChars="200" w:firstLine="560"/>
        <w:outlineLvl w:val="0"/>
        <w:rPr>
          <w:color w:val="000000"/>
          <w:sz w:val="28"/>
        </w:rPr>
      </w:pPr>
      <w:r w:rsidRPr="0061142D">
        <w:rPr>
          <w:rFonts w:hAnsi="宋体"/>
          <w:color w:val="000000"/>
          <w:sz w:val="28"/>
        </w:rPr>
        <w:t>（三）变更与协助</w:t>
      </w:r>
    </w:p>
    <w:p w:rsidR="009C2EF9" w:rsidRPr="0061142D" w:rsidRDefault="009C2EF9" w:rsidP="0061142D">
      <w:pPr>
        <w:adjustRightInd w:val="0"/>
        <w:snapToGrid w:val="0"/>
        <w:spacing w:line="360" w:lineRule="auto"/>
        <w:ind w:firstLineChars="200" w:firstLine="560"/>
        <w:rPr>
          <w:b/>
          <w:color w:val="000000"/>
          <w:sz w:val="28"/>
        </w:rPr>
      </w:pPr>
      <w:r w:rsidRPr="0061142D">
        <w:rPr>
          <w:rFonts w:hAnsi="宋体"/>
          <w:color w:val="000000"/>
          <w:sz w:val="28"/>
        </w:rPr>
        <w:t>若基金管理人</w:t>
      </w:r>
      <w:r w:rsidRPr="0061142D">
        <w:rPr>
          <w:color w:val="000000"/>
          <w:sz w:val="28"/>
        </w:rPr>
        <w:t>/</w:t>
      </w:r>
      <w:r w:rsidRPr="0061142D">
        <w:rPr>
          <w:rFonts w:hAnsi="宋体"/>
          <w:color w:val="000000"/>
          <w:sz w:val="28"/>
        </w:rPr>
        <w:t>基金托管人发生变更，未变更的一方有义务协助变更后的接任人接收相应文件。</w:t>
      </w:r>
    </w:p>
    <w:p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（四）基金管理人和基金托管人应按各自职责完整保存原始凭证、记账凭证、基金账册、交易记录和重要合同等，承担保密义务并保存至少</w:t>
      </w:r>
      <w:r w:rsidRPr="0061142D">
        <w:rPr>
          <w:color w:val="000000"/>
          <w:sz w:val="28"/>
        </w:rPr>
        <w:t>15</w:t>
      </w:r>
      <w:r w:rsidRPr="0061142D">
        <w:rPr>
          <w:rFonts w:hAnsi="宋体"/>
          <w:color w:val="000000"/>
          <w:sz w:val="28"/>
        </w:rPr>
        <w:t>年以上。</w:t>
      </w:r>
    </w:p>
    <w:p w:rsidR="009C2EF9" w:rsidRPr="0061142D" w:rsidRDefault="009C2EF9" w:rsidP="0061142D">
      <w:pPr>
        <w:adjustRightInd w:val="0"/>
        <w:snapToGrid w:val="0"/>
        <w:spacing w:line="360" w:lineRule="auto"/>
        <w:ind w:firstLineChars="200" w:firstLine="560"/>
        <w:rPr>
          <w:color w:val="000000"/>
          <w:sz w:val="28"/>
        </w:rPr>
      </w:pPr>
    </w:p>
    <w:p w:rsidR="009C2EF9" w:rsidRPr="0061142D" w:rsidRDefault="009C2EF9">
      <w:pPr>
        <w:pStyle w:val="2"/>
        <w:spacing w:line="360" w:lineRule="auto"/>
        <w:jc w:val="center"/>
        <w:rPr>
          <w:rFonts w:ascii="Times New Roman" w:eastAsia="宋体" w:hAnsi="Times New Roman"/>
          <w:color w:val="000000"/>
          <w:sz w:val="28"/>
        </w:rPr>
      </w:pPr>
      <w:bookmarkStart w:id="92" w:name="_Toc145818948"/>
      <w:r w:rsidRPr="0061142D">
        <w:rPr>
          <w:rFonts w:ascii="Times New Roman" w:eastAsia="宋体" w:hAnsi="宋体"/>
          <w:color w:val="000000"/>
          <w:sz w:val="28"/>
        </w:rPr>
        <w:t>十四、基金管理人和基金托管人的更换</w:t>
      </w:r>
      <w:bookmarkEnd w:id="92"/>
    </w:p>
    <w:p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（一）基金管理人的更换</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、基金管理人的更换条件</w:t>
      </w:r>
    </w:p>
    <w:p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有下列情形之一的，基金管理人职责终止：</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基金管理人被依法取消其基金管理资格的；</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基金管理人解散、依法撤销或依法宣告破产；</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基金管理人被基金份额持有人大会解任；</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法律法规和基金合同规定的其他情形。</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、基金管理人的更换程序</w:t>
      </w:r>
    </w:p>
    <w:p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更换基金管理人必须依照如下程序进行：</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提名：新任基金管理人由基金托管人或由单独或合计持有</w:t>
      </w:r>
      <w:r w:rsidRPr="0061142D">
        <w:rPr>
          <w:color w:val="000000"/>
          <w:sz w:val="28"/>
        </w:rPr>
        <w:t>10%</w:t>
      </w:r>
      <w:r w:rsidRPr="0061142D">
        <w:rPr>
          <w:rFonts w:hAnsi="宋体"/>
          <w:color w:val="000000"/>
          <w:sz w:val="28"/>
        </w:rPr>
        <w:t>以上（含</w:t>
      </w:r>
      <w:r w:rsidRPr="0061142D">
        <w:rPr>
          <w:color w:val="000000"/>
          <w:sz w:val="28"/>
        </w:rPr>
        <w:t>10%</w:t>
      </w:r>
      <w:r w:rsidRPr="0061142D">
        <w:rPr>
          <w:rFonts w:hAnsi="宋体"/>
          <w:color w:val="000000"/>
          <w:sz w:val="28"/>
        </w:rPr>
        <w:t>）基金份额的基金份额持有人提名；</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决议：基金份额持有人大会在基金管理人职责终止后</w:t>
      </w:r>
      <w:r w:rsidRPr="0061142D">
        <w:rPr>
          <w:color w:val="000000"/>
          <w:sz w:val="28"/>
        </w:rPr>
        <w:t>6</w:t>
      </w:r>
      <w:r w:rsidRPr="0061142D">
        <w:rPr>
          <w:rFonts w:hAnsi="宋体"/>
          <w:color w:val="000000"/>
          <w:sz w:val="28"/>
        </w:rPr>
        <w:t>个月内对被提名的基金管理人形成决议，该决议需经参加大会的基金份额持有人所持表决权的</w:t>
      </w:r>
      <w:r w:rsidRPr="0061142D">
        <w:rPr>
          <w:color w:val="000000"/>
          <w:sz w:val="28"/>
        </w:rPr>
        <w:t>2/3</w:t>
      </w:r>
      <w:r w:rsidRPr="0061142D">
        <w:rPr>
          <w:rFonts w:hAnsi="宋体"/>
          <w:color w:val="000000"/>
          <w:sz w:val="28"/>
        </w:rPr>
        <w:t>以上（含</w:t>
      </w:r>
      <w:r w:rsidRPr="0061142D">
        <w:rPr>
          <w:color w:val="000000"/>
          <w:sz w:val="28"/>
        </w:rPr>
        <w:t>2/3</w:t>
      </w:r>
      <w:r w:rsidRPr="0061142D">
        <w:rPr>
          <w:rFonts w:hAnsi="宋体"/>
          <w:color w:val="000000"/>
          <w:sz w:val="28"/>
        </w:rPr>
        <w:t>）表决通过，新任基金管理人应</w:t>
      </w:r>
      <w:r w:rsidRPr="0061142D">
        <w:rPr>
          <w:rFonts w:hAnsi="宋体"/>
          <w:color w:val="000000"/>
          <w:sz w:val="28"/>
        </w:rPr>
        <w:lastRenderedPageBreak/>
        <w:t>当符合法律法规及中国证监会规定的资格条件；</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临时基金管理人：新任基金管理人产生之前，由中国证监会指定临时基金管理人；</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核准：基金份额持有人大会更换基金管理人的决议须经中国证监会核准生效后方可执行；</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(5)</w:t>
      </w:r>
      <w:r w:rsidRPr="0061142D">
        <w:rPr>
          <w:rFonts w:hAnsi="宋体"/>
          <w:color w:val="000000"/>
          <w:sz w:val="28"/>
        </w:rPr>
        <w:t>公告：基金管理人更换后，由基金托管人在中国证监会核准后</w:t>
      </w:r>
      <w:r w:rsidRPr="0061142D">
        <w:rPr>
          <w:color w:val="000000"/>
          <w:sz w:val="28"/>
        </w:rPr>
        <w:t>2</w:t>
      </w:r>
      <w:r w:rsidRPr="0061142D">
        <w:rPr>
          <w:rFonts w:hAnsi="宋体"/>
          <w:color w:val="000000"/>
          <w:sz w:val="28"/>
        </w:rPr>
        <w:t>日内在指定媒体公告；</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(6)</w:t>
      </w:r>
      <w:r w:rsidRPr="0061142D">
        <w:rPr>
          <w:rFonts w:hAnsi="宋体"/>
          <w:color w:val="000000"/>
          <w:sz w:val="28"/>
        </w:rPr>
        <w:t>交接：基金管理人职责终止的，基金管理人应妥善保管基金管理业务资料，及时办理基金管理业务的移交手续，临时基金管理人或新任基金管理人应及时接收</w:t>
      </w:r>
      <w:r w:rsidR="00305D75" w:rsidRPr="0061142D">
        <w:rPr>
          <w:rFonts w:hAnsi="宋体"/>
          <w:color w:val="000000"/>
          <w:sz w:val="28"/>
        </w:rPr>
        <w:t>，</w:t>
      </w:r>
      <w:r w:rsidR="00302D6E" w:rsidRPr="0061142D">
        <w:rPr>
          <w:rFonts w:hAnsi="宋体"/>
          <w:color w:val="000000"/>
          <w:sz w:val="28"/>
        </w:rPr>
        <w:t>并与基金托管人核对基金资产总值和净值</w:t>
      </w:r>
      <w:r w:rsidRPr="0061142D">
        <w:rPr>
          <w:rFonts w:hAnsi="宋体"/>
          <w:color w:val="000000"/>
          <w:sz w:val="28"/>
        </w:rPr>
        <w:t>；</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(7)</w:t>
      </w:r>
      <w:r w:rsidRPr="0061142D">
        <w:rPr>
          <w:rFonts w:hAnsi="宋体"/>
          <w:color w:val="000000"/>
          <w:sz w:val="28"/>
        </w:rPr>
        <w:t>审计：基金管理人职责终止的，应当按照法律法规规定聘请会计师事务所对基金财产进行审计，并将审计结果予以公告，同时报中国证监会备案，审计费用在基金财产中列支；</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(8)</w:t>
      </w:r>
      <w:r w:rsidRPr="0061142D">
        <w:rPr>
          <w:rFonts w:hAnsi="宋体"/>
          <w:color w:val="000000"/>
          <w:sz w:val="28"/>
        </w:rPr>
        <w:t>基金名称变更：基金管理人更换后，如果原任或新任基金管理人要求，应按其要求替换或删除基金名称中与原基金管理人有关的名称字样。</w:t>
      </w:r>
    </w:p>
    <w:p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（二）基金托管人的更换</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、基金托管人的更换条件</w:t>
      </w:r>
    </w:p>
    <w:p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有下列情形之一的，经中国证监会核准，基金托管人职责终止：</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基金托管人被依法取消其基金托管资格的；</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基金托管人解散、依法撤销或依法宣布破产；</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基金托管人被基金份额持有人大会解任；</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法律法规和基金合同规定的其他情形。</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、基金托管人的更换程序</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lastRenderedPageBreak/>
        <w:t>(1)</w:t>
      </w:r>
      <w:r w:rsidRPr="0061142D">
        <w:rPr>
          <w:rFonts w:hAnsi="宋体"/>
          <w:color w:val="000000"/>
          <w:sz w:val="28"/>
        </w:rPr>
        <w:t>提名：新任基金托管人由基金管理人或由单独或合计持有</w:t>
      </w:r>
      <w:r w:rsidRPr="0061142D">
        <w:rPr>
          <w:color w:val="000000"/>
          <w:sz w:val="28"/>
        </w:rPr>
        <w:t>10%</w:t>
      </w:r>
      <w:r w:rsidRPr="0061142D">
        <w:rPr>
          <w:rFonts w:hAnsi="宋体"/>
          <w:color w:val="000000"/>
          <w:sz w:val="28"/>
        </w:rPr>
        <w:t>以上（含</w:t>
      </w:r>
      <w:r w:rsidRPr="0061142D">
        <w:rPr>
          <w:color w:val="000000"/>
          <w:sz w:val="28"/>
        </w:rPr>
        <w:t>10%</w:t>
      </w:r>
      <w:r w:rsidRPr="0061142D">
        <w:rPr>
          <w:rFonts w:hAnsi="宋体"/>
          <w:color w:val="000000"/>
          <w:sz w:val="28"/>
        </w:rPr>
        <w:t>）基金份额的基金持有人提名；</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决议：基金份额持有人大会在基金托管人职责终止后</w:t>
      </w:r>
      <w:r w:rsidRPr="0061142D">
        <w:rPr>
          <w:color w:val="000000"/>
          <w:sz w:val="28"/>
        </w:rPr>
        <w:t>6</w:t>
      </w:r>
      <w:r w:rsidRPr="0061142D">
        <w:rPr>
          <w:rFonts w:hAnsi="宋体"/>
          <w:color w:val="000000"/>
          <w:sz w:val="28"/>
        </w:rPr>
        <w:t>个月内对被提名的基金托管人形成决议，该决议需经参加大会的基金份额持有人所持表决权的</w:t>
      </w:r>
      <w:r w:rsidRPr="0061142D">
        <w:rPr>
          <w:color w:val="000000"/>
          <w:sz w:val="28"/>
        </w:rPr>
        <w:t xml:space="preserve"> 2/3</w:t>
      </w:r>
      <w:r w:rsidRPr="0061142D">
        <w:rPr>
          <w:rFonts w:hAnsi="宋体"/>
          <w:color w:val="000000"/>
          <w:sz w:val="28"/>
        </w:rPr>
        <w:t>以上（含</w:t>
      </w:r>
      <w:r w:rsidRPr="0061142D">
        <w:rPr>
          <w:color w:val="000000"/>
          <w:sz w:val="28"/>
        </w:rPr>
        <w:t xml:space="preserve"> 2/3</w:t>
      </w:r>
      <w:r w:rsidRPr="0061142D">
        <w:rPr>
          <w:rFonts w:hAnsi="宋体"/>
          <w:color w:val="000000"/>
          <w:sz w:val="28"/>
        </w:rPr>
        <w:t>）表决通过，新任基金托管人应当符合法律法规及中国证监会规定的资格条件；</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临时基金托管人：新任基金托管人产生之前，由中国证监会指定临时基金托管人；</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核准：基金份额持有人大会更换基金托管人的决议须经中国证监会核准生效后方可执行；</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(5)</w:t>
      </w:r>
      <w:r w:rsidRPr="0061142D">
        <w:rPr>
          <w:rFonts w:hAnsi="宋体"/>
          <w:color w:val="000000"/>
          <w:sz w:val="28"/>
        </w:rPr>
        <w:t>公告：基金托管人更换后，由基金管理人在中国证监会核准后</w:t>
      </w:r>
      <w:r w:rsidRPr="0061142D">
        <w:rPr>
          <w:color w:val="000000"/>
          <w:sz w:val="28"/>
        </w:rPr>
        <w:t>2</w:t>
      </w:r>
      <w:r w:rsidRPr="0061142D">
        <w:rPr>
          <w:rFonts w:hAnsi="宋体"/>
          <w:color w:val="000000"/>
          <w:sz w:val="28"/>
        </w:rPr>
        <w:t>日内在指定媒体公告；</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(6)</w:t>
      </w:r>
      <w:r w:rsidRPr="0061142D">
        <w:rPr>
          <w:rFonts w:hAnsi="宋体"/>
          <w:color w:val="000000"/>
          <w:sz w:val="28"/>
        </w:rPr>
        <w:t>交接：基金托管人职责终止的，应当妥善保管基金财产和基金托管业务资料，及时办理基金财产和基金托管业务的移交手续，新任基金托管人或者临时基金托管人应当及时接收</w:t>
      </w:r>
      <w:r w:rsidR="0087516D">
        <w:rPr>
          <w:color w:val="000000"/>
          <w:sz w:val="28"/>
        </w:rPr>
        <w:t>，</w:t>
      </w:r>
      <w:r w:rsidR="00302D6E" w:rsidRPr="0061142D">
        <w:rPr>
          <w:rFonts w:hAnsi="宋体"/>
          <w:color w:val="000000"/>
          <w:sz w:val="28"/>
        </w:rPr>
        <w:t>并与基金管理人核对基金资产总值和净值</w:t>
      </w:r>
      <w:r w:rsidRPr="0061142D">
        <w:rPr>
          <w:rFonts w:hAnsi="宋体"/>
          <w:color w:val="000000"/>
          <w:sz w:val="28"/>
        </w:rPr>
        <w:t>；</w:t>
      </w:r>
      <w:r w:rsidRPr="0061142D">
        <w:rPr>
          <w:color w:val="000000"/>
          <w:sz w:val="28"/>
        </w:rPr>
        <w:t xml:space="preserve"> </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(7)</w:t>
      </w:r>
      <w:r w:rsidRPr="0061142D">
        <w:rPr>
          <w:rFonts w:hAnsi="宋体"/>
          <w:color w:val="000000"/>
          <w:sz w:val="28"/>
        </w:rPr>
        <w:t>审计：基金托管人职责终止的，应当按照法律法规规定聘请会计师事务所对基金财产进行审计，并将审计结果予以公告，同时报中国证监会备案，审计费用从基金财产中列支。</w:t>
      </w:r>
    </w:p>
    <w:p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（三）基金管理人与基金托管人同时更换</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、提名：如果基金管理人和基金托管人同时更换，由单独或合计持有基金总份额</w:t>
      </w:r>
      <w:r w:rsidRPr="0061142D">
        <w:rPr>
          <w:color w:val="000000"/>
          <w:sz w:val="28"/>
        </w:rPr>
        <w:t>10%</w:t>
      </w:r>
      <w:r w:rsidRPr="0061142D">
        <w:rPr>
          <w:rFonts w:hAnsi="宋体"/>
          <w:color w:val="000000"/>
          <w:sz w:val="28"/>
        </w:rPr>
        <w:t>以上的基金份额持有人提名新的基金管理人和基金托管人；</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、基金管理人和基金托管人的更换分别按上述程序进行；</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、公告：新任基金管理人和新任基金托管人</w:t>
      </w:r>
      <w:r w:rsidRPr="0061142D">
        <w:rPr>
          <w:rFonts w:hAnsi="宋体"/>
          <w:sz w:val="28"/>
        </w:rPr>
        <w:t>应</w:t>
      </w:r>
      <w:r w:rsidRPr="0061142D">
        <w:rPr>
          <w:rFonts w:hAnsi="宋体"/>
          <w:color w:val="000000"/>
          <w:sz w:val="28"/>
        </w:rPr>
        <w:t>在</w:t>
      </w:r>
      <w:r w:rsidRPr="0061142D">
        <w:rPr>
          <w:rFonts w:hAnsi="宋体"/>
          <w:sz w:val="28"/>
        </w:rPr>
        <w:t>更换基金管理</w:t>
      </w:r>
      <w:r w:rsidRPr="0061142D">
        <w:rPr>
          <w:rFonts w:hAnsi="宋体"/>
          <w:sz w:val="28"/>
        </w:rPr>
        <w:lastRenderedPageBreak/>
        <w:t>人和基金托管人的基金份额持有人大会决议</w:t>
      </w:r>
      <w:r w:rsidRPr="0061142D">
        <w:rPr>
          <w:rFonts w:hAnsi="宋体"/>
          <w:color w:val="000000"/>
          <w:sz w:val="28"/>
        </w:rPr>
        <w:t>获得中国证监会核准后</w:t>
      </w:r>
      <w:r w:rsidRPr="0061142D">
        <w:rPr>
          <w:color w:val="000000"/>
          <w:sz w:val="28"/>
        </w:rPr>
        <w:t>2</w:t>
      </w:r>
      <w:r w:rsidRPr="0061142D">
        <w:rPr>
          <w:rFonts w:hAnsi="宋体"/>
          <w:color w:val="000000"/>
          <w:sz w:val="28"/>
        </w:rPr>
        <w:t>日内依照有关规定在指定媒体上联合公告。</w:t>
      </w:r>
    </w:p>
    <w:p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（四）新基金管理人接受基金管理或新基金托管人或接受基金财产和基金托管业务前，原基金管理人或基金托管人应</w:t>
      </w:r>
      <w:r w:rsidRPr="0061142D">
        <w:rPr>
          <w:rFonts w:hAnsi="宋体"/>
          <w:sz w:val="28"/>
        </w:rPr>
        <w:t>依据法律法规和基金合同的规定</w:t>
      </w:r>
      <w:r w:rsidRPr="0061142D">
        <w:rPr>
          <w:rFonts w:hAnsi="宋体"/>
          <w:color w:val="000000"/>
          <w:sz w:val="28"/>
        </w:rPr>
        <w:t>继续履行相关职责，并保证不对基金份额持有人的利益造成损害。</w:t>
      </w:r>
    </w:p>
    <w:p w:rsidR="009C2EF9" w:rsidRPr="0061142D" w:rsidRDefault="009C2EF9" w:rsidP="0061142D">
      <w:pPr>
        <w:adjustRightInd w:val="0"/>
        <w:snapToGrid w:val="0"/>
        <w:spacing w:line="360" w:lineRule="auto"/>
        <w:ind w:firstLineChars="200" w:firstLine="560"/>
        <w:rPr>
          <w:color w:val="000000"/>
          <w:sz w:val="28"/>
        </w:rPr>
      </w:pPr>
    </w:p>
    <w:p w:rsidR="009C2EF9" w:rsidRPr="0061142D" w:rsidRDefault="009C2EF9">
      <w:pPr>
        <w:pStyle w:val="2"/>
        <w:spacing w:line="360" w:lineRule="auto"/>
        <w:jc w:val="center"/>
        <w:rPr>
          <w:rFonts w:ascii="Times New Roman" w:eastAsia="宋体" w:hAnsi="Times New Roman"/>
          <w:color w:val="000000"/>
          <w:sz w:val="28"/>
        </w:rPr>
      </w:pPr>
      <w:bookmarkStart w:id="93" w:name="_Toc145818949"/>
      <w:r w:rsidRPr="0061142D">
        <w:rPr>
          <w:rFonts w:ascii="Times New Roman" w:eastAsia="宋体" w:hAnsi="宋体"/>
          <w:color w:val="000000"/>
          <w:sz w:val="28"/>
        </w:rPr>
        <w:t>十五、禁止行为</w:t>
      </w:r>
      <w:bookmarkEnd w:id="93"/>
    </w:p>
    <w:p w:rsidR="009C2EF9" w:rsidRPr="0061142D" w:rsidRDefault="009C2EF9" w:rsidP="0061142D">
      <w:pPr>
        <w:adjustRightInd w:val="0"/>
        <w:snapToGrid w:val="0"/>
        <w:spacing w:line="360" w:lineRule="auto"/>
        <w:ind w:firstLineChars="200" w:firstLine="560"/>
        <w:outlineLvl w:val="0"/>
        <w:rPr>
          <w:color w:val="000000"/>
          <w:sz w:val="28"/>
        </w:rPr>
      </w:pPr>
      <w:r w:rsidRPr="0061142D">
        <w:rPr>
          <w:rFonts w:hAnsi="宋体"/>
          <w:color w:val="000000"/>
          <w:sz w:val="28"/>
        </w:rPr>
        <w:t>托管协议当事人禁止从事的行为，包括但不限于：</w:t>
      </w:r>
    </w:p>
    <w:p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（一）基金管理人、基金托管人将其固有财产或者他人财产混同于基金财产从事证券投资。</w:t>
      </w:r>
    </w:p>
    <w:p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（二）基金管理人不公平地对待其管理的不同基金财产。基金托管人不公平地对待其托管的不同基金财产。</w:t>
      </w:r>
    </w:p>
    <w:p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（三）基金管理人、基金托管人利用基金财产为基金份额持有人以外的第三人牟取利益。</w:t>
      </w:r>
    </w:p>
    <w:p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（四）基金管理人、基金托管人向基金份额持有人违规承诺收益或者承担损失。</w:t>
      </w:r>
    </w:p>
    <w:p w:rsidR="009C2EF9" w:rsidRPr="0061142D" w:rsidRDefault="009C2EF9" w:rsidP="0061142D">
      <w:pPr>
        <w:adjustRightInd w:val="0"/>
        <w:snapToGrid w:val="0"/>
        <w:spacing w:line="360" w:lineRule="auto"/>
        <w:ind w:firstLineChars="200" w:firstLine="560"/>
        <w:outlineLvl w:val="0"/>
        <w:rPr>
          <w:color w:val="000000"/>
          <w:sz w:val="28"/>
        </w:rPr>
      </w:pPr>
      <w:r w:rsidRPr="0061142D">
        <w:rPr>
          <w:rFonts w:hAnsi="宋体"/>
          <w:color w:val="000000"/>
          <w:sz w:val="28"/>
        </w:rPr>
        <w:t>（五）基金管理人、基金托管人对他人泄漏基金经营过程中任何尚未按法律法规规定的方式公开披露的信息。</w:t>
      </w:r>
    </w:p>
    <w:p w:rsidR="009C2EF9" w:rsidRPr="0061142D" w:rsidRDefault="009C2EF9" w:rsidP="0061142D">
      <w:pPr>
        <w:pStyle w:val="Style6"/>
        <w:spacing w:line="360" w:lineRule="auto"/>
        <w:ind w:firstLine="560"/>
        <w:outlineLvl w:val="0"/>
        <w:rPr>
          <w:rFonts w:ascii="Times New Roman" w:eastAsia="宋体" w:hAnsi="Times New Roman"/>
          <w:sz w:val="28"/>
        </w:rPr>
      </w:pPr>
      <w:r w:rsidRPr="0061142D">
        <w:rPr>
          <w:rFonts w:ascii="Times New Roman" w:eastAsia="宋体"/>
          <w:sz w:val="28"/>
        </w:rPr>
        <w:t>（六）基金管理人在没有充足资金的情况下向基金托管人发出投资指令和付款指令，或违规向基金托管人发出指令。</w:t>
      </w:r>
    </w:p>
    <w:p w:rsidR="009C2EF9" w:rsidRPr="0061142D" w:rsidRDefault="009C2EF9" w:rsidP="0061142D">
      <w:pPr>
        <w:adjustRightInd w:val="0"/>
        <w:snapToGrid w:val="0"/>
        <w:spacing w:line="360" w:lineRule="auto"/>
        <w:ind w:firstLineChars="200" w:firstLine="560"/>
        <w:outlineLvl w:val="0"/>
        <w:rPr>
          <w:color w:val="000000"/>
          <w:sz w:val="28"/>
        </w:rPr>
      </w:pPr>
      <w:r w:rsidRPr="0061142D">
        <w:rPr>
          <w:rFonts w:hAnsi="宋体"/>
          <w:color w:val="000000"/>
          <w:sz w:val="28"/>
        </w:rPr>
        <w:t>（七）基金管理人、基金托管人在行政上、财务上不独立</w:t>
      </w:r>
      <w:r w:rsidR="0087516D">
        <w:rPr>
          <w:color w:val="000000"/>
          <w:sz w:val="28"/>
        </w:rPr>
        <w:t>，</w:t>
      </w:r>
      <w:r w:rsidRPr="0061142D">
        <w:rPr>
          <w:rFonts w:hAnsi="宋体"/>
          <w:color w:val="000000"/>
          <w:sz w:val="28"/>
        </w:rPr>
        <w:t>其高级管理人员和</w:t>
      </w:r>
      <w:r w:rsidRPr="0061142D">
        <w:rPr>
          <w:rFonts w:hAnsi="宋体"/>
          <w:sz w:val="28"/>
        </w:rPr>
        <w:t>其他从业人员相互</w:t>
      </w:r>
      <w:r w:rsidRPr="0061142D">
        <w:rPr>
          <w:rFonts w:hAnsi="宋体"/>
          <w:color w:val="000000"/>
          <w:sz w:val="28"/>
        </w:rPr>
        <w:t>兼职。</w:t>
      </w:r>
    </w:p>
    <w:p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（八）基金托管人私自动用或处分基金资产，根据基金管理人的</w:t>
      </w:r>
      <w:r w:rsidRPr="0061142D">
        <w:rPr>
          <w:rFonts w:hAnsi="宋体"/>
          <w:color w:val="000000"/>
          <w:sz w:val="28"/>
        </w:rPr>
        <w:lastRenderedPageBreak/>
        <w:t>合法指令、基金合同或托管协议的规定进行处分的除外。</w:t>
      </w:r>
    </w:p>
    <w:p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（九）基金财产用于下列投资或者活动：</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、承销证券；</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、向他人贷款或者提供担保；</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、从事承担无限责任的投资；</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、买卖其他基金份额，但是法律法规或国务院另有规定的除外；</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5</w:t>
      </w:r>
      <w:r w:rsidRPr="0061142D">
        <w:rPr>
          <w:rFonts w:hAnsi="宋体"/>
          <w:color w:val="000000"/>
          <w:sz w:val="28"/>
        </w:rPr>
        <w:t>、向其基金管理人、基金托管人出资或者买卖其基金管理人、基金托管人发行的股票或者债券；</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6</w:t>
      </w:r>
      <w:r w:rsidRPr="0061142D">
        <w:rPr>
          <w:rFonts w:hAnsi="宋体"/>
          <w:color w:val="000000"/>
          <w:sz w:val="28"/>
        </w:rPr>
        <w:t>、买卖与其基金管理人、基金托管人有控股关系的股东或者与其基金管理人、基金托管人有其他重大利害关系的公司发行的证券或者承销期内承销的证券；</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7</w:t>
      </w:r>
      <w:r w:rsidRPr="0061142D">
        <w:rPr>
          <w:rFonts w:hAnsi="宋体"/>
          <w:color w:val="000000"/>
          <w:sz w:val="28"/>
        </w:rPr>
        <w:t>、从事内幕交易、操纵证券交易价格及其他不正当的证券交易活动；</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8</w:t>
      </w:r>
      <w:r w:rsidRPr="0061142D">
        <w:rPr>
          <w:rFonts w:hAnsi="宋体"/>
          <w:color w:val="000000"/>
          <w:sz w:val="28"/>
        </w:rPr>
        <w:t>、依照法律法规有关规定，由中国证监会规定禁止的其他活动。</w:t>
      </w:r>
    </w:p>
    <w:p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法律法规或监管部门取消上述禁止性规定的，如适用于本基金，</w:t>
      </w:r>
      <w:r w:rsidR="00B86B58" w:rsidRPr="0061142D">
        <w:rPr>
          <w:rFonts w:hAnsi="宋体"/>
          <w:color w:val="000000"/>
          <w:sz w:val="28"/>
        </w:rPr>
        <w:t>在</w:t>
      </w:r>
      <w:r w:rsidRPr="0061142D">
        <w:rPr>
          <w:rFonts w:hAnsi="宋体"/>
          <w:color w:val="000000"/>
          <w:sz w:val="28"/>
        </w:rPr>
        <w:t>履行适当程序后，则本基金投资不受上述相关限制。</w:t>
      </w:r>
    </w:p>
    <w:p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（十）法律法规和基金合同禁止的其他行为，以及依照法律、行政法规有关规定，由中国证监会规定禁止基金管理人、基金托管人从事的其他行为。</w:t>
      </w:r>
    </w:p>
    <w:p w:rsidR="009C2EF9" w:rsidRPr="0061142D" w:rsidRDefault="009C2EF9" w:rsidP="0061142D">
      <w:pPr>
        <w:adjustRightInd w:val="0"/>
        <w:snapToGrid w:val="0"/>
        <w:spacing w:line="360" w:lineRule="auto"/>
        <w:ind w:firstLineChars="200" w:firstLine="560"/>
        <w:rPr>
          <w:color w:val="000000"/>
          <w:sz w:val="28"/>
        </w:rPr>
      </w:pPr>
    </w:p>
    <w:p w:rsidR="009C2EF9" w:rsidRPr="0061142D" w:rsidRDefault="009C2EF9">
      <w:pPr>
        <w:pStyle w:val="2"/>
        <w:spacing w:line="360" w:lineRule="auto"/>
        <w:jc w:val="center"/>
        <w:rPr>
          <w:rFonts w:ascii="Times New Roman" w:eastAsia="宋体" w:hAnsi="Times New Roman"/>
          <w:color w:val="000000"/>
          <w:sz w:val="28"/>
        </w:rPr>
      </w:pPr>
      <w:bookmarkStart w:id="94" w:name="_Toc145818950"/>
      <w:r w:rsidRPr="0061142D">
        <w:rPr>
          <w:rFonts w:ascii="Times New Roman" w:eastAsia="宋体" w:hAnsi="宋体"/>
          <w:color w:val="000000"/>
          <w:sz w:val="28"/>
        </w:rPr>
        <w:t>十六、托管协议的变更、终止与基金财产的清算</w:t>
      </w:r>
      <w:bookmarkEnd w:id="94"/>
    </w:p>
    <w:p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（一）托管协议的变更程序</w:t>
      </w:r>
    </w:p>
    <w:p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本协议双方当事人经协商一致，可以对协议进行修改。修改后的新协议，其内容不得与基金合同的规定有任何冲突。基金托管协议的</w:t>
      </w:r>
      <w:r w:rsidRPr="0061142D">
        <w:rPr>
          <w:rFonts w:hAnsi="宋体"/>
          <w:color w:val="000000"/>
          <w:sz w:val="28"/>
        </w:rPr>
        <w:lastRenderedPageBreak/>
        <w:t>变更报中国证监会核准或备案后生效。</w:t>
      </w:r>
    </w:p>
    <w:p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（二）基金托管协议终止的情形</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、基金合同终止；</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、基金托管人解散、依法被撤销、破产或由其他基金托管人接管基金资产；</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、基金管理人解散、依法被撤销、破产或由其他基金管理人接管基金管理权；</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、发生法律法规或基金合同规定的终止事项。</w:t>
      </w:r>
    </w:p>
    <w:p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（三）基金财产的清算</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、基金财产清算小组</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自出现基金合同终止事由之日起</w:t>
      </w:r>
      <w:r w:rsidRPr="0061142D">
        <w:rPr>
          <w:color w:val="000000"/>
          <w:sz w:val="28"/>
        </w:rPr>
        <w:t>30</w:t>
      </w:r>
      <w:r w:rsidRPr="0061142D">
        <w:rPr>
          <w:rFonts w:hAnsi="宋体"/>
          <w:color w:val="000000"/>
          <w:sz w:val="28"/>
        </w:rPr>
        <w:t>个工作日内成立基金财产清算小组，基金管理人组织基金财产清算小组在中国证监会的监督下进行基金清算。</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基金财产清算小组成员由基金管理人、基金托管人、具有从事证券相关业务资格的注册会计师、律师以及中国证监会指定的人员组成。基金财产清算小组可以聘用必要的工作人员。</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在基金财产清算过程中，基金管理人和基金托管人应各自履行职责，继续忠实、勤勉、尽责地履行基金合同和本托管协议规定的义务，维护基金份额持有人的合法权益。</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基金财产清算小组负责基金财产的保管、清理、估价、变现和分配。基金财产清算小组可以依法进行必要的民事活动。</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、基金财产清算程序</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基金合同终止情形出现时，由基金财产清算小组统一接管基金；</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对基金财产和债权债务进行清理和确认；</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对基金财产进行估值和变现；</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lastRenderedPageBreak/>
        <w:t>(4)</w:t>
      </w:r>
      <w:r w:rsidRPr="0061142D">
        <w:rPr>
          <w:rFonts w:hAnsi="宋体"/>
          <w:color w:val="000000"/>
          <w:sz w:val="28"/>
        </w:rPr>
        <w:t>编制清算报告；</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(5)</w:t>
      </w:r>
      <w:r w:rsidRPr="0061142D">
        <w:rPr>
          <w:rFonts w:hAnsi="宋体"/>
          <w:color w:val="000000"/>
          <w:sz w:val="28"/>
        </w:rPr>
        <w:t>聘请会计师事务所对清算报告进行外部审计；</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(6)</w:t>
      </w:r>
      <w:r w:rsidRPr="0061142D">
        <w:rPr>
          <w:rFonts w:hAnsi="宋体"/>
          <w:color w:val="000000"/>
          <w:sz w:val="28"/>
        </w:rPr>
        <w:t>聘请律师事务所对清算报告出具法律意见书；</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(7)</w:t>
      </w:r>
      <w:r w:rsidRPr="0061142D">
        <w:rPr>
          <w:rFonts w:hAnsi="宋体"/>
          <w:color w:val="000000"/>
          <w:sz w:val="28"/>
        </w:rPr>
        <w:t>将基金清算结果报告中国证监会备案；</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(8)</w:t>
      </w:r>
      <w:r w:rsidRPr="0061142D">
        <w:rPr>
          <w:rFonts w:hAnsi="宋体"/>
          <w:color w:val="000000"/>
          <w:sz w:val="28"/>
        </w:rPr>
        <w:t>公布基金清算报告；</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(9)</w:t>
      </w:r>
      <w:r w:rsidRPr="0061142D">
        <w:rPr>
          <w:rFonts w:hAnsi="宋体"/>
          <w:color w:val="000000"/>
          <w:sz w:val="28"/>
        </w:rPr>
        <w:t>对基金剩余财产进行分配。</w:t>
      </w:r>
    </w:p>
    <w:p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基金财产清算的期限为</w:t>
      </w:r>
      <w:r w:rsidRPr="0061142D">
        <w:rPr>
          <w:color w:val="000000"/>
          <w:sz w:val="28"/>
        </w:rPr>
        <w:t>6</w:t>
      </w:r>
      <w:r w:rsidRPr="0061142D">
        <w:rPr>
          <w:rFonts w:hAnsi="宋体"/>
          <w:color w:val="000000"/>
          <w:sz w:val="28"/>
        </w:rPr>
        <w:t>个月，若遇基金持有的股票或其他有价证券出现长期休市、停牌或其他流通受限的情形除外。</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、清算费用</w:t>
      </w:r>
    </w:p>
    <w:p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清算费用是指基金财产清算小组在进行基金清算过程中发生的所有合理费用，清算费用由基金财产清算小组优先从基金财产中支付。</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、基金财产按下列顺序清偿：</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支付清算费用；</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交纳所欠税款；</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清偿基金债务；</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按基金份额持有人持有的基金份额比例进行分配。</w:t>
      </w:r>
    </w:p>
    <w:p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基金财产未按前款</w:t>
      </w:r>
      <w:r w:rsidRPr="0061142D">
        <w:rPr>
          <w:color w:val="000000"/>
          <w:sz w:val="28"/>
        </w:rPr>
        <w:t>(1)</w:t>
      </w:r>
      <w:r w:rsidRPr="0061142D">
        <w:rPr>
          <w:rFonts w:hAnsi="宋体"/>
          <w:color w:val="000000"/>
          <w:sz w:val="28"/>
        </w:rPr>
        <w:t>－</w:t>
      </w:r>
      <w:r w:rsidRPr="0061142D">
        <w:rPr>
          <w:color w:val="000000"/>
          <w:sz w:val="28"/>
        </w:rPr>
        <w:t>(3)</w:t>
      </w:r>
      <w:r w:rsidRPr="0061142D">
        <w:rPr>
          <w:rFonts w:hAnsi="宋体"/>
          <w:color w:val="000000"/>
          <w:sz w:val="28"/>
        </w:rPr>
        <w:t>项规定清偿前，不分配给基金份额持有人。</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5</w:t>
      </w:r>
      <w:r w:rsidRPr="0061142D">
        <w:rPr>
          <w:rFonts w:hAnsi="宋体"/>
          <w:color w:val="000000"/>
          <w:sz w:val="28"/>
        </w:rPr>
        <w:t>、基金财产清算的公告</w:t>
      </w:r>
    </w:p>
    <w:p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清算过程中的有关重大事项须及时公告；基金财产清算报告经会计师事务所审计，律师事务所出具法律意见书后，由基金财产清算小组报中国证监会备案并公告。基金财产清算公告于基金财产清算报告报中国证监会备案后</w:t>
      </w:r>
      <w:r w:rsidRPr="0061142D">
        <w:rPr>
          <w:color w:val="000000"/>
          <w:sz w:val="28"/>
        </w:rPr>
        <w:t>5</w:t>
      </w:r>
      <w:r w:rsidRPr="0061142D">
        <w:rPr>
          <w:rFonts w:hAnsi="宋体"/>
          <w:color w:val="000000"/>
          <w:sz w:val="28"/>
        </w:rPr>
        <w:t>个工作日内由基金财产清算小组进行公告。</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6</w:t>
      </w:r>
      <w:r w:rsidRPr="0061142D">
        <w:rPr>
          <w:rFonts w:hAnsi="宋体"/>
          <w:color w:val="000000"/>
          <w:sz w:val="28"/>
        </w:rPr>
        <w:t>、基金财产清算账册及文件的保存</w:t>
      </w:r>
    </w:p>
    <w:p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基金财产清算账册及有关文件由基金托管人保存</w:t>
      </w:r>
      <w:r w:rsidRPr="0061142D">
        <w:rPr>
          <w:color w:val="000000"/>
          <w:sz w:val="28"/>
        </w:rPr>
        <w:t>15</w:t>
      </w:r>
      <w:r w:rsidRPr="0061142D">
        <w:rPr>
          <w:rFonts w:hAnsi="宋体"/>
          <w:color w:val="000000"/>
          <w:sz w:val="28"/>
        </w:rPr>
        <w:t>年以上。</w:t>
      </w:r>
    </w:p>
    <w:p w:rsidR="009C2EF9" w:rsidRPr="0061142D" w:rsidRDefault="009C2EF9" w:rsidP="0061142D">
      <w:pPr>
        <w:adjustRightInd w:val="0"/>
        <w:snapToGrid w:val="0"/>
        <w:spacing w:line="360" w:lineRule="auto"/>
        <w:ind w:firstLineChars="200" w:firstLine="560"/>
        <w:rPr>
          <w:color w:val="000000"/>
          <w:sz w:val="28"/>
        </w:rPr>
      </w:pPr>
    </w:p>
    <w:p w:rsidR="009C2EF9" w:rsidRPr="0061142D" w:rsidRDefault="009C2EF9">
      <w:pPr>
        <w:pStyle w:val="2"/>
        <w:spacing w:line="360" w:lineRule="auto"/>
        <w:jc w:val="center"/>
        <w:rPr>
          <w:rFonts w:ascii="Times New Roman" w:eastAsia="宋体" w:hAnsi="Times New Roman"/>
          <w:color w:val="000000"/>
          <w:sz w:val="28"/>
        </w:rPr>
      </w:pPr>
      <w:bookmarkStart w:id="95" w:name="_Toc145818951"/>
      <w:r w:rsidRPr="0061142D">
        <w:rPr>
          <w:rFonts w:ascii="Times New Roman" w:eastAsia="宋体" w:hAnsi="宋体"/>
          <w:color w:val="000000"/>
          <w:sz w:val="28"/>
        </w:rPr>
        <w:lastRenderedPageBreak/>
        <w:t>十七、违约责任</w:t>
      </w:r>
      <w:bookmarkEnd w:id="95"/>
    </w:p>
    <w:p w:rsidR="009C2EF9" w:rsidRPr="0061142D" w:rsidRDefault="009C2EF9" w:rsidP="0061142D">
      <w:pPr>
        <w:adjustRightInd w:val="0"/>
        <w:snapToGrid w:val="0"/>
        <w:spacing w:line="360" w:lineRule="auto"/>
        <w:ind w:firstLineChars="200" w:firstLine="560"/>
        <w:outlineLvl w:val="0"/>
        <w:rPr>
          <w:color w:val="000000"/>
          <w:sz w:val="28"/>
        </w:rPr>
      </w:pPr>
      <w:r w:rsidRPr="0061142D">
        <w:rPr>
          <w:rFonts w:hAnsi="宋体"/>
          <w:color w:val="000000"/>
          <w:sz w:val="28"/>
        </w:rPr>
        <w:t>（一）基金管理人、基金托管人不履行本协议或履行本协议不符合约定的，应当承担违约责任。</w:t>
      </w:r>
    </w:p>
    <w:p w:rsidR="009C2EF9" w:rsidRPr="0061142D" w:rsidRDefault="009C2EF9" w:rsidP="0061142D">
      <w:pPr>
        <w:adjustRightInd w:val="0"/>
        <w:snapToGrid w:val="0"/>
        <w:spacing w:line="360" w:lineRule="auto"/>
        <w:ind w:firstLineChars="200" w:firstLine="560"/>
        <w:outlineLvl w:val="0"/>
        <w:rPr>
          <w:color w:val="000000"/>
          <w:sz w:val="28"/>
        </w:rPr>
      </w:pPr>
      <w:r w:rsidRPr="0061142D">
        <w:rPr>
          <w:rFonts w:hAnsi="宋体"/>
          <w:color w:val="000000"/>
          <w:sz w:val="28"/>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rsidR="009C2EF9" w:rsidRPr="0061142D" w:rsidRDefault="009C2EF9" w:rsidP="0061142D">
      <w:pPr>
        <w:adjustRightInd w:val="0"/>
        <w:snapToGrid w:val="0"/>
        <w:spacing w:line="360" w:lineRule="auto"/>
        <w:ind w:firstLineChars="200" w:firstLine="560"/>
        <w:outlineLvl w:val="0"/>
        <w:rPr>
          <w:color w:val="000000"/>
          <w:sz w:val="28"/>
        </w:rPr>
      </w:pPr>
      <w:r w:rsidRPr="0061142D">
        <w:rPr>
          <w:rFonts w:hAnsi="宋体"/>
          <w:color w:val="000000"/>
          <w:sz w:val="28"/>
        </w:rPr>
        <w:t>（三）当事人违约，给另一方当事人造成损失的，应就直接损失进行赔偿；给基金资产造成损失的，应就直接损失进行赔偿，另一方当事人有权利及义务代表基金向违约方追偿。如发生下列情况，当事人可以免责：</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、不可抗力；</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、基金管理人和</w:t>
      </w:r>
      <w:r w:rsidRPr="0061142D">
        <w:rPr>
          <w:color w:val="000000"/>
          <w:sz w:val="28"/>
        </w:rPr>
        <w:t>/</w:t>
      </w:r>
      <w:r w:rsidRPr="0061142D">
        <w:rPr>
          <w:rFonts w:hAnsi="宋体"/>
          <w:color w:val="000000"/>
          <w:sz w:val="28"/>
        </w:rPr>
        <w:t>或基金托管人按照当时有效的法律法规或中国证监会的规定作为或不作为而造成的损失等；</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、基金管理人由于按照基金合同规定的投资原则行使或不行使其投资权而造成的损失等。</w:t>
      </w:r>
    </w:p>
    <w:p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四）当事人违约，另一方当事人在职责范围内有义务及时采取必要的措施，尽力防止损失的扩大。没有采取适当措施致使损失进一步扩大的，不得就扩大的损失要求赔偿。守约方因防止损失扩大而支出的合理费用由违约方承担。</w:t>
      </w:r>
    </w:p>
    <w:p w:rsidR="009C2EF9" w:rsidRPr="0061142D" w:rsidRDefault="009C2EF9" w:rsidP="0061142D">
      <w:pPr>
        <w:adjustRightInd w:val="0"/>
        <w:snapToGrid w:val="0"/>
        <w:spacing w:line="360" w:lineRule="auto"/>
        <w:ind w:firstLineChars="200" w:firstLine="560"/>
        <w:outlineLvl w:val="0"/>
        <w:rPr>
          <w:color w:val="000000"/>
          <w:sz w:val="28"/>
        </w:rPr>
      </w:pPr>
      <w:r w:rsidRPr="0061142D">
        <w:rPr>
          <w:rFonts w:hAnsi="宋体"/>
          <w:color w:val="000000"/>
          <w:sz w:val="28"/>
        </w:rPr>
        <w:t>（五）违约行为虽已发生，但本托管协议能够继续履行的，在最大限度地保护基金份额持有人利益的前提下，基金管理人和基金托管人应当继续履行本协议。若基金管理人或基金托管人因履行本协议而被起诉，另一方应提供合理的必要支持。</w:t>
      </w:r>
    </w:p>
    <w:p w:rsidR="009C2EF9" w:rsidRPr="0061142D" w:rsidRDefault="009C2EF9" w:rsidP="0061142D">
      <w:pPr>
        <w:adjustRightInd w:val="0"/>
        <w:snapToGrid w:val="0"/>
        <w:spacing w:line="360" w:lineRule="auto"/>
        <w:ind w:firstLineChars="200" w:firstLine="560"/>
        <w:outlineLvl w:val="0"/>
        <w:rPr>
          <w:color w:val="000000"/>
          <w:sz w:val="28"/>
        </w:rPr>
      </w:pPr>
      <w:r w:rsidRPr="0061142D">
        <w:rPr>
          <w:rFonts w:hAnsi="宋体"/>
          <w:color w:val="000000"/>
          <w:sz w:val="28"/>
        </w:rPr>
        <w:lastRenderedPageBreak/>
        <w:t>（六）由于不可抗力，基金管理人和基金托管人虽然已经采取必要、适当、合理的措施进行检查，但是未能发现该错误的，由此造成基金财产或基金投资者损失，基金管理人和基金托管人可以免除赔偿责任。但基金管理人和基金托管人应当积极采取必要的措施消除由此造成的影响。</w:t>
      </w:r>
    </w:p>
    <w:p w:rsidR="009C2EF9" w:rsidRPr="0061142D" w:rsidRDefault="009C2EF9" w:rsidP="0061142D">
      <w:pPr>
        <w:adjustRightInd w:val="0"/>
        <w:snapToGrid w:val="0"/>
        <w:spacing w:line="360" w:lineRule="auto"/>
        <w:ind w:firstLineChars="200" w:firstLine="560"/>
        <w:outlineLvl w:val="0"/>
        <w:rPr>
          <w:color w:val="000000"/>
          <w:sz w:val="28"/>
        </w:rPr>
      </w:pPr>
    </w:p>
    <w:p w:rsidR="009C2EF9" w:rsidRPr="0061142D" w:rsidRDefault="009C2EF9">
      <w:pPr>
        <w:pStyle w:val="2"/>
        <w:spacing w:line="360" w:lineRule="auto"/>
        <w:jc w:val="center"/>
        <w:rPr>
          <w:rFonts w:ascii="Times New Roman" w:eastAsia="宋体" w:hAnsi="Times New Roman"/>
          <w:color w:val="000000"/>
          <w:sz w:val="28"/>
        </w:rPr>
      </w:pPr>
      <w:bookmarkStart w:id="96" w:name="_Toc145818952"/>
      <w:r w:rsidRPr="0061142D">
        <w:rPr>
          <w:rFonts w:ascii="Times New Roman" w:eastAsia="宋体" w:hAnsi="宋体"/>
          <w:color w:val="000000"/>
          <w:sz w:val="28"/>
        </w:rPr>
        <w:t>十八、争议解决方式</w:t>
      </w:r>
      <w:bookmarkEnd w:id="96"/>
    </w:p>
    <w:p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w:p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争议处理期间，双方当事人应恪守基金管理人和基金托管人职责，各自继续忠实、勤勉、尽责地履行基金合同和本托管协议规定的义务，维护基金份额持有人的合法权益。</w:t>
      </w:r>
    </w:p>
    <w:p w:rsidR="009C2EF9" w:rsidRPr="0061142D" w:rsidRDefault="009C2EF9" w:rsidP="0061142D">
      <w:pPr>
        <w:adjustRightInd w:val="0"/>
        <w:snapToGrid w:val="0"/>
        <w:spacing w:line="360" w:lineRule="auto"/>
        <w:ind w:firstLineChars="225" w:firstLine="630"/>
        <w:rPr>
          <w:sz w:val="28"/>
        </w:rPr>
      </w:pPr>
      <w:r w:rsidRPr="0061142D">
        <w:rPr>
          <w:rFonts w:hAnsi="宋体"/>
          <w:sz w:val="28"/>
        </w:rPr>
        <w:t>本协议适用中华人民共和国法律并从其解释。</w:t>
      </w:r>
    </w:p>
    <w:p w:rsidR="0061142D" w:rsidRPr="0061142D" w:rsidRDefault="0061142D" w:rsidP="0061142D">
      <w:pPr>
        <w:adjustRightInd w:val="0"/>
        <w:snapToGrid w:val="0"/>
        <w:spacing w:line="360" w:lineRule="auto"/>
        <w:ind w:firstLineChars="225" w:firstLine="630"/>
        <w:rPr>
          <w:color w:val="000000"/>
          <w:sz w:val="28"/>
        </w:rPr>
      </w:pPr>
    </w:p>
    <w:p w:rsidR="009C2EF9" w:rsidRPr="0061142D" w:rsidRDefault="009C2EF9">
      <w:pPr>
        <w:pStyle w:val="2"/>
        <w:spacing w:line="360" w:lineRule="auto"/>
        <w:jc w:val="center"/>
        <w:rPr>
          <w:rFonts w:ascii="Times New Roman" w:eastAsia="宋体" w:hAnsi="Times New Roman"/>
          <w:color w:val="000000"/>
          <w:sz w:val="28"/>
        </w:rPr>
      </w:pPr>
      <w:bookmarkStart w:id="97" w:name="_Toc145818953"/>
      <w:r w:rsidRPr="0061142D">
        <w:rPr>
          <w:rFonts w:ascii="Times New Roman" w:eastAsia="宋体" w:hAnsi="宋体"/>
          <w:color w:val="000000"/>
          <w:sz w:val="28"/>
        </w:rPr>
        <w:t>十九、托管协议的效力</w:t>
      </w:r>
      <w:bookmarkEnd w:id="97"/>
    </w:p>
    <w:p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双方对托管协议的效力约定如下：</w:t>
      </w:r>
    </w:p>
    <w:p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一）基金管理人在向中国证监会申请发售基金份额时提交的托管协议草案，应经托管协议当事人双方盖章以及双方法定代表人或授权代表签字，协议当事人双方根据中国证监会的意见修改托管协议草案。托管协议以中国证监会核准的文本为正式文本。</w:t>
      </w:r>
    </w:p>
    <w:p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lastRenderedPageBreak/>
        <w:t>（二）托管协议自基金合同成立之日起成立，自基金合同生效之日起生效。托管协议的有效期自其生效之日起至该基金财产清算结果报中国证监会备案并公告之日止。</w:t>
      </w:r>
    </w:p>
    <w:p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（三）托管协议自生效之日对托管协议当事人具有同等的法律约束力。</w:t>
      </w:r>
    </w:p>
    <w:p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（四）本协议一式六份，协议双方各持二份，上报有关监管部门两份，每份具有同等法律效力。</w:t>
      </w:r>
    </w:p>
    <w:p w:rsidR="009C2EF9" w:rsidRPr="0061142D" w:rsidRDefault="009C2EF9" w:rsidP="0061142D">
      <w:pPr>
        <w:adjustRightInd w:val="0"/>
        <w:snapToGrid w:val="0"/>
        <w:spacing w:line="360" w:lineRule="auto"/>
        <w:ind w:firstLineChars="200" w:firstLine="560"/>
        <w:rPr>
          <w:color w:val="000000"/>
          <w:sz w:val="28"/>
        </w:rPr>
      </w:pPr>
    </w:p>
    <w:p w:rsidR="009C2EF9" w:rsidRPr="0061142D" w:rsidRDefault="009C2EF9">
      <w:pPr>
        <w:pStyle w:val="2"/>
        <w:spacing w:line="360" w:lineRule="auto"/>
        <w:jc w:val="center"/>
        <w:rPr>
          <w:rFonts w:ascii="Times New Roman" w:eastAsia="宋体" w:hAnsi="Times New Roman"/>
          <w:color w:val="000000"/>
          <w:sz w:val="28"/>
        </w:rPr>
      </w:pPr>
      <w:bookmarkStart w:id="98" w:name="_Toc145818954"/>
      <w:r w:rsidRPr="0061142D">
        <w:rPr>
          <w:rFonts w:ascii="Times New Roman" w:eastAsia="宋体" w:hAnsi="宋体"/>
          <w:color w:val="000000"/>
          <w:sz w:val="28"/>
        </w:rPr>
        <w:t>二十、其他事项</w:t>
      </w:r>
      <w:bookmarkEnd w:id="98"/>
    </w:p>
    <w:p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除本协议有明确定义外，本协议的用语定义适用基金合同的约定。本协议未尽事宜，当事人依据基金合同、有关法律法规等规定协商办理。</w:t>
      </w:r>
    </w:p>
    <w:p w:rsidR="009C2EF9" w:rsidRPr="0061142D" w:rsidRDefault="009C2EF9" w:rsidP="0061142D">
      <w:pPr>
        <w:adjustRightInd w:val="0"/>
        <w:snapToGrid w:val="0"/>
        <w:spacing w:line="360" w:lineRule="auto"/>
        <w:ind w:firstLineChars="200" w:firstLine="562"/>
        <w:rPr>
          <w:b/>
          <w:color w:val="000000"/>
          <w:sz w:val="28"/>
        </w:rPr>
      </w:pPr>
    </w:p>
    <w:p w:rsidR="009C2EF9" w:rsidRPr="0061142D" w:rsidRDefault="009C2EF9">
      <w:pPr>
        <w:pStyle w:val="2"/>
        <w:spacing w:line="360" w:lineRule="auto"/>
        <w:jc w:val="center"/>
        <w:rPr>
          <w:rFonts w:ascii="Times New Roman" w:eastAsia="宋体" w:hAnsi="Times New Roman"/>
          <w:color w:val="000000"/>
          <w:sz w:val="28"/>
        </w:rPr>
      </w:pPr>
      <w:bookmarkStart w:id="99" w:name="_Toc145818955"/>
      <w:r w:rsidRPr="0061142D">
        <w:rPr>
          <w:rFonts w:ascii="Times New Roman" w:eastAsia="宋体" w:hAnsi="宋体"/>
          <w:color w:val="000000"/>
          <w:sz w:val="28"/>
        </w:rPr>
        <w:t>二十一、托管协议的签订</w:t>
      </w:r>
      <w:bookmarkEnd w:id="99"/>
    </w:p>
    <w:p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本协议双方法定代表人或授权代表人签章、签订地、签订日</w:t>
      </w:r>
    </w:p>
    <w:p w:rsidR="009C2EF9" w:rsidRPr="0061142D" w:rsidRDefault="009C2EF9" w:rsidP="0061142D">
      <w:pPr>
        <w:adjustRightInd w:val="0"/>
        <w:snapToGrid w:val="0"/>
        <w:spacing w:line="360" w:lineRule="auto"/>
        <w:ind w:firstLineChars="200" w:firstLine="560"/>
        <w:rPr>
          <w:color w:val="000000"/>
          <w:sz w:val="28"/>
        </w:rPr>
      </w:pPr>
    </w:p>
    <w:p w:rsidR="009C2EF9" w:rsidRPr="0061142D" w:rsidRDefault="009C2EF9">
      <w:pPr>
        <w:pStyle w:val="Style6"/>
        <w:spacing w:line="360" w:lineRule="auto"/>
        <w:ind w:firstLineChars="192" w:firstLine="538"/>
        <w:rPr>
          <w:rFonts w:ascii="Times New Roman" w:eastAsia="宋体" w:hAnsi="Times New Roman"/>
          <w:sz w:val="28"/>
        </w:rPr>
        <w:sectPr w:rsidR="009C2EF9" w:rsidRPr="0061142D">
          <w:headerReference w:type="default" r:id="rId12"/>
          <w:headerReference w:type="first" r:id="rId13"/>
          <w:pgSz w:w="11906" w:h="16838"/>
          <w:pgMar w:top="1440" w:right="1797" w:bottom="1440" w:left="1797" w:header="851" w:footer="992" w:gutter="0"/>
          <w:pgNumType w:start="2"/>
          <w:cols w:space="720"/>
          <w:titlePg/>
          <w:docGrid w:type="lines" w:linePitch="312"/>
        </w:sectPr>
      </w:pPr>
      <w:bookmarkStart w:id="100" w:name="_Hlt89590562"/>
      <w:bookmarkEnd w:id="100"/>
    </w:p>
    <w:p w:rsidR="009C2EF9" w:rsidRPr="0061142D" w:rsidRDefault="009C2EF9" w:rsidP="0061142D">
      <w:pPr>
        <w:pStyle w:val="Style6"/>
        <w:spacing w:line="360" w:lineRule="auto"/>
        <w:ind w:firstLine="560"/>
        <w:rPr>
          <w:rFonts w:ascii="Times New Roman" w:eastAsia="宋体" w:hAnsi="Times New Roman"/>
          <w:sz w:val="28"/>
        </w:rPr>
      </w:pPr>
      <w:r w:rsidRPr="0061142D">
        <w:rPr>
          <w:rFonts w:ascii="Times New Roman" w:eastAsia="宋体"/>
          <w:sz w:val="28"/>
        </w:rPr>
        <w:lastRenderedPageBreak/>
        <w:t>（本页无正文，为《交银施罗德荣祥保本混合型证券投资基金托管协议》的签字盖章页）</w:t>
      </w:r>
    </w:p>
    <w:p w:rsidR="009C2EF9" w:rsidRPr="0061142D" w:rsidRDefault="009C2EF9" w:rsidP="0061142D">
      <w:pPr>
        <w:adjustRightInd w:val="0"/>
        <w:snapToGrid w:val="0"/>
        <w:spacing w:line="360" w:lineRule="auto"/>
        <w:ind w:firstLineChars="200" w:firstLine="560"/>
        <w:rPr>
          <w:sz w:val="28"/>
        </w:rPr>
      </w:pPr>
    </w:p>
    <w:p w:rsidR="009C2EF9" w:rsidRPr="0061142D" w:rsidRDefault="009C2EF9" w:rsidP="0061142D">
      <w:pPr>
        <w:adjustRightInd w:val="0"/>
        <w:snapToGrid w:val="0"/>
        <w:spacing w:line="360" w:lineRule="auto"/>
        <w:ind w:firstLineChars="200" w:firstLine="560"/>
        <w:rPr>
          <w:sz w:val="28"/>
        </w:rPr>
      </w:pPr>
    </w:p>
    <w:p w:rsidR="009C2EF9" w:rsidRPr="0061142D" w:rsidRDefault="009C2EF9" w:rsidP="0061142D">
      <w:pPr>
        <w:adjustRightInd w:val="0"/>
        <w:snapToGrid w:val="0"/>
        <w:spacing w:line="360" w:lineRule="auto"/>
        <w:ind w:firstLineChars="200" w:firstLine="560"/>
        <w:rPr>
          <w:sz w:val="28"/>
        </w:rPr>
      </w:pPr>
      <w:r w:rsidRPr="0061142D">
        <w:rPr>
          <w:rFonts w:hAnsi="宋体"/>
          <w:sz w:val="28"/>
        </w:rPr>
        <w:t>基金管理人：交银施罗德基金管理有限公司（法人盖章）</w:t>
      </w:r>
    </w:p>
    <w:p w:rsidR="009C2EF9" w:rsidRPr="0061142D" w:rsidRDefault="009C2EF9" w:rsidP="0061142D">
      <w:pPr>
        <w:pStyle w:val="Style6"/>
        <w:spacing w:line="360" w:lineRule="auto"/>
        <w:ind w:firstLine="560"/>
        <w:rPr>
          <w:rFonts w:ascii="Times New Roman" w:eastAsia="宋体" w:hAnsi="Times New Roman"/>
          <w:sz w:val="28"/>
        </w:rPr>
      </w:pPr>
    </w:p>
    <w:p w:rsidR="009C2EF9" w:rsidRPr="0061142D" w:rsidRDefault="009C2EF9" w:rsidP="0061142D">
      <w:pPr>
        <w:pStyle w:val="Style6"/>
        <w:spacing w:line="360" w:lineRule="auto"/>
        <w:ind w:firstLine="560"/>
        <w:rPr>
          <w:rFonts w:ascii="Times New Roman" w:eastAsia="宋体" w:hAnsi="Times New Roman"/>
          <w:sz w:val="28"/>
        </w:rPr>
      </w:pPr>
    </w:p>
    <w:p w:rsidR="009C2EF9" w:rsidRPr="0061142D" w:rsidRDefault="009C2EF9" w:rsidP="0061142D">
      <w:pPr>
        <w:pStyle w:val="Style6"/>
        <w:spacing w:line="360" w:lineRule="auto"/>
        <w:ind w:firstLine="560"/>
        <w:rPr>
          <w:rFonts w:ascii="Times New Roman" w:eastAsia="宋体" w:hAnsi="Times New Roman"/>
          <w:sz w:val="28"/>
        </w:rPr>
      </w:pPr>
      <w:r w:rsidRPr="0061142D">
        <w:rPr>
          <w:rFonts w:ascii="Times New Roman" w:eastAsia="宋体"/>
          <w:sz w:val="28"/>
        </w:rPr>
        <w:t>法定代表人或授权代表（签字）：</w:t>
      </w:r>
      <w:r w:rsidRPr="0061142D">
        <w:rPr>
          <w:rFonts w:ascii="Times New Roman" w:eastAsia="宋体" w:hAnsi="Times New Roman"/>
          <w:sz w:val="28"/>
        </w:rPr>
        <w:t xml:space="preserve"> </w:t>
      </w:r>
    </w:p>
    <w:p w:rsidR="0061142D" w:rsidRPr="0061142D" w:rsidRDefault="0061142D" w:rsidP="0061142D">
      <w:pPr>
        <w:pStyle w:val="Style6"/>
        <w:spacing w:line="360" w:lineRule="auto"/>
        <w:ind w:firstLine="560"/>
        <w:rPr>
          <w:rFonts w:ascii="Times New Roman" w:eastAsia="宋体" w:hAnsi="Times New Roman"/>
          <w:sz w:val="28"/>
        </w:rPr>
      </w:pPr>
    </w:p>
    <w:p w:rsidR="0061142D" w:rsidRDefault="0061142D" w:rsidP="0061142D">
      <w:pPr>
        <w:pStyle w:val="Style6"/>
        <w:spacing w:line="360" w:lineRule="auto"/>
        <w:ind w:firstLine="560"/>
        <w:rPr>
          <w:rFonts w:ascii="Times New Roman" w:eastAsia="宋体" w:hAnsi="Times New Roman"/>
          <w:sz w:val="28"/>
        </w:rPr>
      </w:pPr>
    </w:p>
    <w:p w:rsidR="0061142D" w:rsidRPr="0061142D" w:rsidRDefault="0061142D" w:rsidP="0061142D">
      <w:pPr>
        <w:pStyle w:val="Style6"/>
        <w:spacing w:line="360" w:lineRule="auto"/>
        <w:ind w:firstLine="560"/>
        <w:rPr>
          <w:rFonts w:ascii="Times New Roman" w:eastAsia="宋体" w:hAnsi="Times New Roman"/>
          <w:sz w:val="28"/>
        </w:rPr>
      </w:pPr>
    </w:p>
    <w:p w:rsidR="0061142D" w:rsidRPr="0061142D" w:rsidRDefault="0061142D" w:rsidP="0061142D">
      <w:pPr>
        <w:pStyle w:val="Style6"/>
        <w:spacing w:line="360" w:lineRule="auto"/>
        <w:ind w:firstLine="560"/>
        <w:rPr>
          <w:rFonts w:ascii="Times New Roman" w:eastAsia="宋体" w:hAnsi="Times New Roman"/>
          <w:sz w:val="28"/>
        </w:rPr>
      </w:pPr>
    </w:p>
    <w:p w:rsidR="0061142D" w:rsidRPr="0061142D" w:rsidRDefault="0061142D" w:rsidP="0061142D">
      <w:pPr>
        <w:pStyle w:val="Style6"/>
        <w:spacing w:line="360" w:lineRule="auto"/>
        <w:ind w:firstLine="560"/>
        <w:rPr>
          <w:rFonts w:ascii="Times New Roman" w:eastAsia="宋体" w:hAnsi="Times New Roman"/>
          <w:sz w:val="28"/>
        </w:rPr>
      </w:pPr>
    </w:p>
    <w:p w:rsidR="0061142D" w:rsidRPr="0061142D" w:rsidRDefault="0061142D" w:rsidP="0061142D">
      <w:pPr>
        <w:pStyle w:val="Style6"/>
        <w:spacing w:line="360" w:lineRule="auto"/>
        <w:ind w:firstLine="560"/>
        <w:rPr>
          <w:rFonts w:ascii="Times New Roman" w:eastAsia="宋体" w:hAnsi="Times New Roman"/>
          <w:sz w:val="28"/>
        </w:rPr>
      </w:pPr>
    </w:p>
    <w:p w:rsidR="009C2EF9" w:rsidRPr="0061142D" w:rsidRDefault="009C2EF9" w:rsidP="0061142D">
      <w:pPr>
        <w:pStyle w:val="Style6"/>
        <w:spacing w:line="360" w:lineRule="auto"/>
        <w:ind w:firstLine="560"/>
        <w:rPr>
          <w:rFonts w:ascii="Times New Roman" w:eastAsia="宋体" w:hAnsi="Times New Roman"/>
          <w:sz w:val="28"/>
        </w:rPr>
      </w:pPr>
      <w:r w:rsidRPr="0061142D">
        <w:rPr>
          <w:rFonts w:ascii="Times New Roman" w:eastAsia="宋体"/>
          <w:sz w:val="28"/>
        </w:rPr>
        <w:t>基金托管人</w:t>
      </w:r>
      <w:r w:rsidR="0087516D">
        <w:rPr>
          <w:rFonts w:ascii="Times New Roman" w:eastAsia="宋体" w:hAnsi="Times New Roman" w:hint="eastAsia"/>
          <w:sz w:val="28"/>
        </w:rPr>
        <w:t>：</w:t>
      </w:r>
      <w:r w:rsidRPr="0061142D">
        <w:rPr>
          <w:rFonts w:ascii="Times New Roman" w:eastAsia="宋体"/>
          <w:sz w:val="28"/>
        </w:rPr>
        <w:t>中国农业银行股份有限公司（法人盖章）</w:t>
      </w:r>
    </w:p>
    <w:p w:rsidR="009C2EF9" w:rsidRPr="0061142D" w:rsidRDefault="009C2EF9" w:rsidP="0061142D">
      <w:pPr>
        <w:pStyle w:val="Style6"/>
        <w:spacing w:line="360" w:lineRule="auto"/>
        <w:ind w:firstLine="560"/>
        <w:rPr>
          <w:rFonts w:ascii="Times New Roman" w:eastAsia="宋体" w:hAnsi="Times New Roman"/>
          <w:sz w:val="28"/>
        </w:rPr>
      </w:pPr>
    </w:p>
    <w:p w:rsidR="009C2EF9" w:rsidRPr="0061142D" w:rsidRDefault="009C2EF9" w:rsidP="0061142D">
      <w:pPr>
        <w:pStyle w:val="Style6"/>
        <w:spacing w:line="360" w:lineRule="auto"/>
        <w:ind w:firstLine="560"/>
        <w:rPr>
          <w:rFonts w:ascii="Times New Roman" w:eastAsia="宋体" w:hAnsi="Times New Roman"/>
          <w:sz w:val="28"/>
        </w:rPr>
      </w:pPr>
    </w:p>
    <w:p w:rsidR="009C2EF9" w:rsidRPr="0061142D" w:rsidRDefault="009C2EF9" w:rsidP="0061142D">
      <w:pPr>
        <w:pStyle w:val="Style6"/>
        <w:spacing w:line="360" w:lineRule="auto"/>
        <w:ind w:firstLine="560"/>
        <w:rPr>
          <w:rFonts w:ascii="Times New Roman" w:eastAsia="宋体" w:hAnsi="Times New Roman"/>
          <w:sz w:val="28"/>
        </w:rPr>
      </w:pPr>
      <w:r w:rsidRPr="0061142D">
        <w:rPr>
          <w:rFonts w:ascii="Times New Roman" w:eastAsia="宋体"/>
          <w:sz w:val="28"/>
        </w:rPr>
        <w:t>法定代表人或授权代表（签字）：</w:t>
      </w:r>
    </w:p>
    <w:p w:rsidR="0061142D" w:rsidRPr="0061142D" w:rsidRDefault="0061142D" w:rsidP="0061142D">
      <w:pPr>
        <w:adjustRightInd w:val="0"/>
        <w:snapToGrid w:val="0"/>
        <w:spacing w:line="360" w:lineRule="auto"/>
        <w:ind w:firstLineChars="200" w:firstLine="560"/>
        <w:rPr>
          <w:sz w:val="28"/>
        </w:rPr>
      </w:pPr>
    </w:p>
    <w:p w:rsidR="0061142D" w:rsidRPr="0061142D" w:rsidRDefault="0061142D" w:rsidP="0061142D">
      <w:pPr>
        <w:adjustRightInd w:val="0"/>
        <w:snapToGrid w:val="0"/>
        <w:spacing w:line="360" w:lineRule="auto"/>
        <w:ind w:firstLineChars="200" w:firstLine="560"/>
        <w:rPr>
          <w:sz w:val="28"/>
        </w:rPr>
      </w:pPr>
    </w:p>
    <w:p w:rsidR="0061142D" w:rsidRPr="0061142D" w:rsidRDefault="0061142D" w:rsidP="0061142D">
      <w:pPr>
        <w:adjustRightInd w:val="0"/>
        <w:snapToGrid w:val="0"/>
        <w:spacing w:line="360" w:lineRule="auto"/>
        <w:ind w:firstLineChars="200" w:firstLine="560"/>
        <w:rPr>
          <w:sz w:val="28"/>
        </w:rPr>
      </w:pPr>
    </w:p>
    <w:p w:rsidR="0061142D" w:rsidRPr="0061142D" w:rsidRDefault="0061142D" w:rsidP="0061142D">
      <w:pPr>
        <w:adjustRightInd w:val="0"/>
        <w:snapToGrid w:val="0"/>
        <w:spacing w:line="360" w:lineRule="auto"/>
        <w:ind w:firstLineChars="200" w:firstLine="560"/>
        <w:rPr>
          <w:sz w:val="28"/>
        </w:rPr>
      </w:pPr>
    </w:p>
    <w:p w:rsidR="0061142D" w:rsidRPr="0061142D" w:rsidRDefault="0061142D" w:rsidP="0061142D">
      <w:pPr>
        <w:adjustRightInd w:val="0"/>
        <w:snapToGrid w:val="0"/>
        <w:spacing w:line="360" w:lineRule="auto"/>
        <w:ind w:firstLineChars="200" w:firstLine="560"/>
        <w:rPr>
          <w:sz w:val="28"/>
        </w:rPr>
      </w:pPr>
    </w:p>
    <w:p w:rsidR="009C2EF9" w:rsidRPr="0061142D" w:rsidRDefault="009C2EF9" w:rsidP="0061142D">
      <w:pPr>
        <w:pStyle w:val="Style6"/>
        <w:spacing w:line="360" w:lineRule="auto"/>
        <w:ind w:firstLine="560"/>
        <w:rPr>
          <w:rFonts w:ascii="Times New Roman" w:eastAsia="宋体" w:hAnsi="Times New Roman"/>
          <w:sz w:val="28"/>
        </w:rPr>
      </w:pPr>
      <w:r w:rsidRPr="0061142D">
        <w:rPr>
          <w:rFonts w:ascii="Times New Roman" w:eastAsia="宋体"/>
          <w:sz w:val="28"/>
        </w:rPr>
        <w:t>签订地：北京</w:t>
      </w:r>
    </w:p>
    <w:p w:rsidR="009C2EF9" w:rsidRPr="0061142D" w:rsidRDefault="009C2EF9" w:rsidP="0061142D">
      <w:pPr>
        <w:pStyle w:val="Style6"/>
        <w:spacing w:line="360" w:lineRule="auto"/>
        <w:ind w:firstLine="560"/>
        <w:rPr>
          <w:rFonts w:ascii="Times New Roman" w:eastAsia="宋体" w:hAnsi="Times New Roman"/>
          <w:sz w:val="28"/>
        </w:rPr>
      </w:pPr>
    </w:p>
    <w:p w:rsidR="009C2EF9" w:rsidRPr="0061142D" w:rsidRDefault="009C2EF9" w:rsidP="0061142D">
      <w:pPr>
        <w:pStyle w:val="Style6"/>
        <w:spacing w:line="360" w:lineRule="auto"/>
        <w:ind w:firstLine="560"/>
      </w:pPr>
      <w:r w:rsidRPr="0061142D">
        <w:rPr>
          <w:rFonts w:ascii="Times New Roman" w:eastAsia="宋体"/>
          <w:sz w:val="28"/>
        </w:rPr>
        <w:t>签订日：　　　　年</w:t>
      </w:r>
      <w:r w:rsidRPr="0061142D">
        <w:rPr>
          <w:rFonts w:ascii="Times New Roman" w:eastAsia="宋体" w:hAnsi="Times New Roman"/>
          <w:sz w:val="28"/>
        </w:rPr>
        <w:t xml:space="preserve">   </w:t>
      </w:r>
      <w:r w:rsidRPr="0061142D">
        <w:rPr>
          <w:rFonts w:ascii="Times New Roman" w:eastAsia="宋体"/>
          <w:sz w:val="28"/>
        </w:rPr>
        <w:t>月</w:t>
      </w:r>
      <w:r w:rsidRPr="0061142D">
        <w:rPr>
          <w:rFonts w:ascii="Times New Roman" w:eastAsia="宋体" w:hAnsi="Times New Roman"/>
          <w:sz w:val="28"/>
        </w:rPr>
        <w:t xml:space="preserve">   </w:t>
      </w:r>
      <w:r w:rsidRPr="0061142D">
        <w:rPr>
          <w:rFonts w:ascii="Times New Roman" w:eastAsia="宋体"/>
          <w:sz w:val="28"/>
        </w:rPr>
        <w:t>日</w:t>
      </w:r>
    </w:p>
    <w:sectPr w:rsidR="009C2EF9" w:rsidRPr="0061142D" w:rsidSect="00E216FA">
      <w:headerReference w:type="default" r:id="rId14"/>
      <w:footerReference w:type="default" r:id="rId15"/>
      <w:headerReference w:type="first" r:id="rId16"/>
      <w:footerReference w:type="first" r:id="rId17"/>
      <w:pgSz w:w="11906" w:h="16838"/>
      <w:pgMar w:top="1440" w:right="1797" w:bottom="1440" w:left="1797" w:header="851" w:footer="992" w:gutter="0"/>
      <w:pgNumType w:start="2"/>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1BCF" w:rsidRDefault="004F1BCF">
      <w:r>
        <w:separator/>
      </w:r>
    </w:p>
  </w:endnote>
  <w:endnote w:type="continuationSeparator" w:id="1">
    <w:p w:rsidR="004F1BCF" w:rsidRDefault="004F1B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8D3" w:rsidRDefault="00942CAD">
    <w:pPr>
      <w:pStyle w:val="a9"/>
      <w:framePr w:h="0" w:wrap="around" w:vAnchor="text" w:hAnchor="margin" w:xAlign="center" w:y="1"/>
      <w:rPr>
        <w:rStyle w:val="a4"/>
      </w:rPr>
    </w:pPr>
    <w:r>
      <w:fldChar w:fldCharType="begin"/>
    </w:r>
    <w:r w:rsidR="00B138D3">
      <w:rPr>
        <w:rStyle w:val="a4"/>
      </w:rPr>
      <w:instrText xml:space="preserve">PAGE  </w:instrText>
    </w:r>
    <w:r>
      <w:fldChar w:fldCharType="end"/>
    </w:r>
  </w:p>
  <w:p w:rsidR="00B138D3" w:rsidRDefault="00B138D3">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8D3" w:rsidRDefault="00942CAD">
    <w:pPr>
      <w:pStyle w:val="a9"/>
      <w:framePr w:h="0" w:wrap="around" w:vAnchor="text" w:hAnchor="margin" w:xAlign="center" w:y="1"/>
      <w:rPr>
        <w:rStyle w:val="a4"/>
      </w:rPr>
    </w:pPr>
    <w:r>
      <w:fldChar w:fldCharType="begin"/>
    </w:r>
    <w:r w:rsidR="00B138D3">
      <w:rPr>
        <w:rStyle w:val="a4"/>
      </w:rPr>
      <w:instrText xml:space="preserve">PAGE  </w:instrText>
    </w:r>
    <w:r>
      <w:fldChar w:fldCharType="separate"/>
    </w:r>
    <w:r w:rsidR="00B33E31">
      <w:rPr>
        <w:rStyle w:val="a4"/>
        <w:noProof/>
      </w:rPr>
      <w:t>52</w:t>
    </w:r>
    <w:r>
      <w:fldChar w:fldCharType="end"/>
    </w:r>
  </w:p>
  <w:p w:rsidR="00B138D3" w:rsidRDefault="00B138D3">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8D3" w:rsidRDefault="00B138D3">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8D3" w:rsidRDefault="00B138D3">
    <w:pPr>
      <w:pStyle w:val="a9"/>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8D3" w:rsidRDefault="00B138D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1BCF" w:rsidRDefault="004F1BCF">
      <w:r>
        <w:separator/>
      </w:r>
    </w:p>
  </w:footnote>
  <w:footnote w:type="continuationSeparator" w:id="1">
    <w:p w:rsidR="004F1BCF" w:rsidRDefault="004F1B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8D3" w:rsidRDefault="00B138D3">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8D3" w:rsidRDefault="00B138D3">
    <w:pPr>
      <w:pStyle w:val="aa"/>
      <w:jc w:val="right"/>
    </w:pPr>
    <w:r>
      <w:rPr>
        <w:rFonts w:hint="eastAsia"/>
      </w:rPr>
      <w:t>交银施罗德荣祥保本混合型证券投资基金托管协议（草案）</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8D3" w:rsidRDefault="00B138D3">
    <w:pPr>
      <w:pStyle w:val="aa"/>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8D3" w:rsidRDefault="00B138D3">
    <w:pPr>
      <w:pStyle w:val="aa"/>
      <w:jc w:val="right"/>
    </w:pPr>
    <w:r>
      <w:rPr>
        <w:noProof/>
      </w:rPr>
      <w:drawing>
        <wp:anchor distT="0" distB="0" distL="114300" distR="114300" simplePos="0" relativeHeight="251657728" behindDoc="0" locked="0" layoutInCell="1" allowOverlap="1">
          <wp:simplePos x="0" y="0"/>
          <wp:positionH relativeFrom="column">
            <wp:posOffset>20955</wp:posOffset>
          </wp:positionH>
          <wp:positionV relativeFrom="paragraph">
            <wp:posOffset>-102235</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Pr>
        <w:rFonts w:hint="eastAsia"/>
      </w:rPr>
      <w:t>交银施罗德荣祥保本混合型证券投资基金托管协议</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8D3" w:rsidRDefault="004F1BCF">
    <w:pPr>
      <w:pStyle w:val="aa"/>
      <w:jc w:val="right"/>
    </w:pPr>
    <w:r>
      <w:rPr>
        <w:noProof/>
      </w:rPr>
      <w:drawing>
        <wp:anchor distT="0" distB="0" distL="114300" distR="114300" simplePos="0" relativeHeight="251659776" behindDoc="0" locked="0" layoutInCell="1" allowOverlap="1">
          <wp:simplePos x="0" y="0"/>
          <wp:positionH relativeFrom="column">
            <wp:posOffset>40005</wp:posOffset>
          </wp:positionH>
          <wp:positionV relativeFrom="paragraph">
            <wp:posOffset>-92710</wp:posOffset>
          </wp:positionV>
          <wp:extent cx="1714500" cy="238125"/>
          <wp:effectExtent l="19050" t="0" r="0" b="0"/>
          <wp:wrapNone/>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sidR="00B138D3">
      <w:rPr>
        <w:rFonts w:hint="eastAsia"/>
      </w:rPr>
      <w:t>交银施罗德荣祥保本混合型证券投资基金托管协议</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8D3" w:rsidRDefault="00B138D3">
    <w:pPr>
      <w:pStyle w:val="aa"/>
      <w:jc w:val="righ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8D3" w:rsidRDefault="00B138D3">
    <w:pPr>
      <w:pStyle w:val="aa"/>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583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33E31"/>
    <w:rsid w:val="00070D64"/>
    <w:rsid w:val="000A55DB"/>
    <w:rsid w:val="000F1E22"/>
    <w:rsid w:val="00103F74"/>
    <w:rsid w:val="00122975"/>
    <w:rsid w:val="00157615"/>
    <w:rsid w:val="00172A27"/>
    <w:rsid w:val="002007A0"/>
    <w:rsid w:val="00253010"/>
    <w:rsid w:val="00275681"/>
    <w:rsid w:val="002811AD"/>
    <w:rsid w:val="002A5AF6"/>
    <w:rsid w:val="002A6D1F"/>
    <w:rsid w:val="002D0D47"/>
    <w:rsid w:val="002F0573"/>
    <w:rsid w:val="00302D6E"/>
    <w:rsid w:val="00305D75"/>
    <w:rsid w:val="003118E4"/>
    <w:rsid w:val="00320024"/>
    <w:rsid w:val="003479B9"/>
    <w:rsid w:val="00351841"/>
    <w:rsid w:val="003B7471"/>
    <w:rsid w:val="004215AC"/>
    <w:rsid w:val="004878FF"/>
    <w:rsid w:val="004F1BCF"/>
    <w:rsid w:val="0058649D"/>
    <w:rsid w:val="005A523D"/>
    <w:rsid w:val="005A68C4"/>
    <w:rsid w:val="005E0E67"/>
    <w:rsid w:val="0061142D"/>
    <w:rsid w:val="006664A7"/>
    <w:rsid w:val="006979C6"/>
    <w:rsid w:val="006C0518"/>
    <w:rsid w:val="006E67CA"/>
    <w:rsid w:val="00710DA0"/>
    <w:rsid w:val="00732ACD"/>
    <w:rsid w:val="007779F6"/>
    <w:rsid w:val="00797168"/>
    <w:rsid w:val="007A34BF"/>
    <w:rsid w:val="00813D86"/>
    <w:rsid w:val="00852EFC"/>
    <w:rsid w:val="0087516D"/>
    <w:rsid w:val="00900526"/>
    <w:rsid w:val="00922581"/>
    <w:rsid w:val="00942CAD"/>
    <w:rsid w:val="009B4C35"/>
    <w:rsid w:val="009C2EF9"/>
    <w:rsid w:val="009E077C"/>
    <w:rsid w:val="00A11926"/>
    <w:rsid w:val="00A528E5"/>
    <w:rsid w:val="00B138D3"/>
    <w:rsid w:val="00B33E31"/>
    <w:rsid w:val="00B70193"/>
    <w:rsid w:val="00B71149"/>
    <w:rsid w:val="00B86B58"/>
    <w:rsid w:val="00BE3B78"/>
    <w:rsid w:val="00BF44A5"/>
    <w:rsid w:val="00C87D29"/>
    <w:rsid w:val="00C91C80"/>
    <w:rsid w:val="00CA3024"/>
    <w:rsid w:val="00CA7F9D"/>
    <w:rsid w:val="00CE1EE3"/>
    <w:rsid w:val="00D43E83"/>
    <w:rsid w:val="00D6705E"/>
    <w:rsid w:val="00DA03D3"/>
    <w:rsid w:val="00DC401D"/>
    <w:rsid w:val="00DD0202"/>
    <w:rsid w:val="00DD4F6B"/>
    <w:rsid w:val="00DE0DDB"/>
    <w:rsid w:val="00E21427"/>
    <w:rsid w:val="00E216FA"/>
    <w:rsid w:val="00E66D34"/>
    <w:rsid w:val="00E77CBB"/>
    <w:rsid w:val="00ED22AD"/>
    <w:rsid w:val="00EE4EE8"/>
    <w:rsid w:val="00EE5132"/>
    <w:rsid w:val="00F404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16FA"/>
    <w:pPr>
      <w:widowControl w:val="0"/>
      <w:jc w:val="both"/>
    </w:pPr>
    <w:rPr>
      <w:kern w:val="2"/>
      <w:sz w:val="21"/>
    </w:rPr>
  </w:style>
  <w:style w:type="paragraph" w:styleId="2">
    <w:name w:val="heading 2"/>
    <w:basedOn w:val="a"/>
    <w:next w:val="a0"/>
    <w:qFormat/>
    <w:rsid w:val="00E216FA"/>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rsid w:val="00E216FA"/>
  </w:style>
  <w:style w:type="character" w:styleId="a5">
    <w:name w:val="FollowedHyperlink"/>
    <w:basedOn w:val="a1"/>
    <w:rsid w:val="00E216FA"/>
    <w:rPr>
      <w:color w:val="800080"/>
      <w:u w:val="single"/>
    </w:rPr>
  </w:style>
  <w:style w:type="character" w:styleId="a6">
    <w:name w:val="Strong"/>
    <w:basedOn w:val="a1"/>
    <w:qFormat/>
    <w:rsid w:val="00E216FA"/>
    <w:rPr>
      <w:b/>
    </w:rPr>
  </w:style>
  <w:style w:type="character" w:customStyle="1" w:styleId="read">
    <w:name w:val="read"/>
    <w:basedOn w:val="a1"/>
    <w:rsid w:val="00E216FA"/>
  </w:style>
  <w:style w:type="character" w:styleId="a7">
    <w:name w:val="annotation reference"/>
    <w:basedOn w:val="a1"/>
    <w:rsid w:val="00E216FA"/>
    <w:rPr>
      <w:sz w:val="21"/>
    </w:rPr>
  </w:style>
  <w:style w:type="character" w:styleId="a8">
    <w:name w:val="Hyperlink"/>
    <w:basedOn w:val="a1"/>
    <w:uiPriority w:val="99"/>
    <w:rsid w:val="00E216FA"/>
    <w:rPr>
      <w:color w:val="0000FF"/>
      <w:u w:val="single"/>
    </w:rPr>
  </w:style>
  <w:style w:type="paragraph" w:styleId="a9">
    <w:name w:val="footer"/>
    <w:basedOn w:val="a"/>
    <w:rsid w:val="00E216FA"/>
    <w:pPr>
      <w:tabs>
        <w:tab w:val="center" w:pos="4153"/>
        <w:tab w:val="right" w:pos="8306"/>
      </w:tabs>
      <w:snapToGrid w:val="0"/>
    </w:pPr>
    <w:rPr>
      <w:sz w:val="18"/>
    </w:rPr>
  </w:style>
  <w:style w:type="paragraph" w:styleId="aa">
    <w:name w:val="header"/>
    <w:basedOn w:val="a"/>
    <w:rsid w:val="00E216FA"/>
    <w:pPr>
      <w:pBdr>
        <w:bottom w:val="single" w:sz="6" w:space="1" w:color="auto"/>
      </w:pBdr>
      <w:tabs>
        <w:tab w:val="center" w:pos="4153"/>
        <w:tab w:val="right" w:pos="8306"/>
      </w:tabs>
      <w:snapToGrid w:val="0"/>
    </w:pPr>
    <w:rPr>
      <w:sz w:val="18"/>
    </w:rPr>
  </w:style>
  <w:style w:type="paragraph" w:styleId="20">
    <w:name w:val="toc 2"/>
    <w:basedOn w:val="a"/>
    <w:next w:val="a"/>
    <w:uiPriority w:val="39"/>
    <w:rsid w:val="00E216FA"/>
    <w:pPr>
      <w:ind w:leftChars="200" w:left="420"/>
    </w:pPr>
  </w:style>
  <w:style w:type="paragraph" w:styleId="ab">
    <w:name w:val="annotation subject"/>
    <w:basedOn w:val="ac"/>
    <w:next w:val="ac"/>
    <w:rsid w:val="00E216FA"/>
    <w:rPr>
      <w:b/>
    </w:rPr>
  </w:style>
  <w:style w:type="paragraph" w:customStyle="1" w:styleId="1">
    <w:name w:val="1"/>
    <w:basedOn w:val="a"/>
    <w:next w:val="3"/>
    <w:rsid w:val="00E216FA"/>
    <w:pPr>
      <w:adjustRightInd w:val="0"/>
      <w:snapToGrid w:val="0"/>
      <w:ind w:firstLineChars="200" w:firstLine="480"/>
    </w:pPr>
    <w:rPr>
      <w:rFonts w:ascii="仿宋_GB2312" w:eastAsia="仿宋_GB2312" w:hAnsi="宋体"/>
      <w:color w:val="000000"/>
      <w:sz w:val="24"/>
    </w:rPr>
  </w:style>
  <w:style w:type="paragraph" w:styleId="21">
    <w:name w:val="Body Text Indent 2"/>
    <w:basedOn w:val="a"/>
    <w:rsid w:val="00E216FA"/>
    <w:pPr>
      <w:spacing w:after="120" w:line="480" w:lineRule="auto"/>
      <w:ind w:leftChars="200" w:left="420"/>
    </w:pPr>
  </w:style>
  <w:style w:type="paragraph" w:customStyle="1" w:styleId="CharCharChar">
    <w:name w:val="Char Char Char"/>
    <w:basedOn w:val="a"/>
    <w:rsid w:val="00E216FA"/>
  </w:style>
  <w:style w:type="paragraph" w:customStyle="1" w:styleId="wz1">
    <w:name w:val="wz1"/>
    <w:basedOn w:val="a"/>
    <w:rsid w:val="00E216FA"/>
    <w:pPr>
      <w:widowControl/>
      <w:spacing w:before="100" w:beforeAutospacing="1" w:after="100" w:afterAutospacing="1" w:line="245" w:lineRule="atLeast"/>
    </w:pPr>
    <w:rPr>
      <w:rFonts w:ascii="Arial Unicode MS" w:eastAsia="Arial Unicode MS" w:hAnsi="Arial Unicode MS"/>
      <w:color w:val="CC0000"/>
      <w:kern w:val="0"/>
      <w:sz w:val="22"/>
    </w:rPr>
  </w:style>
  <w:style w:type="paragraph" w:customStyle="1" w:styleId="Style6">
    <w:name w:val="_Style 6"/>
    <w:basedOn w:val="a"/>
    <w:next w:val="a"/>
    <w:rsid w:val="00E216FA"/>
    <w:pPr>
      <w:adjustRightInd w:val="0"/>
      <w:snapToGrid w:val="0"/>
      <w:ind w:firstLineChars="200" w:firstLine="480"/>
    </w:pPr>
    <w:rPr>
      <w:rFonts w:ascii="仿宋_GB2312" w:eastAsia="仿宋_GB2312" w:hAnsi="宋体"/>
      <w:color w:val="000000"/>
      <w:sz w:val="24"/>
    </w:rPr>
  </w:style>
  <w:style w:type="paragraph" w:styleId="ad">
    <w:name w:val="Balloon Text"/>
    <w:basedOn w:val="a"/>
    <w:rsid w:val="00E216FA"/>
    <w:rPr>
      <w:sz w:val="18"/>
    </w:rPr>
  </w:style>
  <w:style w:type="paragraph" w:customStyle="1" w:styleId="Char">
    <w:name w:val="Char"/>
    <w:basedOn w:val="a"/>
    <w:rsid w:val="00E216FA"/>
  </w:style>
  <w:style w:type="paragraph" w:styleId="3">
    <w:name w:val="Body Text Indent 3"/>
    <w:basedOn w:val="a"/>
    <w:rsid w:val="00E216FA"/>
    <w:pPr>
      <w:spacing w:after="120"/>
      <w:ind w:leftChars="200" w:left="420"/>
    </w:pPr>
    <w:rPr>
      <w:sz w:val="16"/>
    </w:rPr>
  </w:style>
  <w:style w:type="paragraph" w:styleId="ae">
    <w:name w:val="Normal (Web)"/>
    <w:basedOn w:val="a"/>
    <w:rsid w:val="00E216FA"/>
    <w:rPr>
      <w:sz w:val="24"/>
    </w:rPr>
  </w:style>
  <w:style w:type="paragraph" w:styleId="af">
    <w:name w:val="Document Map"/>
    <w:basedOn w:val="a"/>
    <w:rsid w:val="00E216FA"/>
    <w:pPr>
      <w:shd w:val="clear" w:color="auto" w:fill="000080"/>
    </w:pPr>
  </w:style>
  <w:style w:type="paragraph" w:styleId="a0">
    <w:name w:val="Normal Indent"/>
    <w:basedOn w:val="a"/>
    <w:rsid w:val="00E216FA"/>
    <w:pPr>
      <w:ind w:firstLineChars="200" w:firstLine="420"/>
    </w:pPr>
  </w:style>
  <w:style w:type="paragraph" w:styleId="af0">
    <w:name w:val="Body Text"/>
    <w:basedOn w:val="a"/>
    <w:rsid w:val="00E216FA"/>
    <w:pPr>
      <w:spacing w:after="120"/>
    </w:pPr>
  </w:style>
  <w:style w:type="paragraph" w:customStyle="1" w:styleId="CharCharCharCharCharCharChar">
    <w:name w:val="Char Char Char Char Char Char Char"/>
    <w:basedOn w:val="a"/>
    <w:rsid w:val="00E216FA"/>
    <w:pPr>
      <w:tabs>
        <w:tab w:val="left" w:pos="360"/>
      </w:tabs>
    </w:pPr>
  </w:style>
  <w:style w:type="paragraph" w:styleId="ac">
    <w:name w:val="annotation text"/>
    <w:basedOn w:val="a"/>
    <w:rsid w:val="00E216FA"/>
  </w:style>
  <w:style w:type="paragraph" w:customStyle="1" w:styleId="CharChar1">
    <w:name w:val="Char Char1"/>
    <w:basedOn w:val="a"/>
    <w:rsid w:val="00E216FA"/>
  </w:style>
  <w:style w:type="paragraph" w:customStyle="1" w:styleId="22">
    <w:name w:val="2"/>
    <w:basedOn w:val="a"/>
    <w:next w:val="3"/>
    <w:rsid w:val="00E216FA"/>
    <w:pPr>
      <w:adjustRightInd w:val="0"/>
      <w:snapToGrid w:val="0"/>
      <w:ind w:firstLineChars="200" w:firstLine="480"/>
    </w:pPr>
    <w:rPr>
      <w:rFonts w:ascii="仿宋_GB2312" w:eastAsia="仿宋_GB2312" w:hAnsi="宋体"/>
      <w:color w:val="000000"/>
      <w:sz w:val="24"/>
    </w:rPr>
  </w:style>
  <w:style w:type="paragraph" w:customStyle="1" w:styleId="CharCharChar1">
    <w:name w:val="Char Char Char1"/>
    <w:basedOn w:val="a"/>
    <w:rsid w:val="00E216FA"/>
  </w:style>
  <w:style w:type="paragraph" w:styleId="af1">
    <w:name w:val="Body Text Indent"/>
    <w:basedOn w:val="a"/>
    <w:rsid w:val="00E216FA"/>
    <w:pPr>
      <w:spacing w:after="120"/>
      <w:ind w:leftChars="200" w:left="420"/>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5.xml"/><Relationship Id="rId2" Type="http://schemas.openxmlformats.org/officeDocument/2006/relationships/settings" Target="settings.xml"/><Relationship Id="rId16" Type="http://schemas.openxmlformats.org/officeDocument/2006/relationships/header" Target="header7.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6.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53</Pages>
  <Words>4588</Words>
  <Characters>26153</Characters>
  <Application>Microsoft Office Word</Application>
  <DocSecurity>0</DocSecurity>
  <PresentationFormat/>
  <Lines>217</Lines>
  <Paragraphs>61</Paragraphs>
  <Slides>0</Slides>
  <Notes>0</Notes>
  <HiddenSlides>0</HiddenSlides>
  <MMClips>0</MMClips>
  <ScaleCrop>false</ScaleCrop>
  <Company>JJTG</Company>
  <LinksUpToDate>false</LinksUpToDate>
  <CharactersWithSpaces>30680</CharactersWithSpaces>
  <SharedDoc>false</SharedDoc>
  <HLinks>
    <vt:vector size="126" baseType="variant">
      <vt:variant>
        <vt:i4>1441852</vt:i4>
      </vt:variant>
      <vt:variant>
        <vt:i4>122</vt:i4>
      </vt:variant>
      <vt:variant>
        <vt:i4>0</vt:i4>
      </vt:variant>
      <vt:variant>
        <vt:i4>5</vt:i4>
      </vt:variant>
      <vt:variant>
        <vt:lpwstr/>
      </vt:variant>
      <vt:variant>
        <vt:lpwstr>_Toc145818955</vt:lpwstr>
      </vt:variant>
      <vt:variant>
        <vt:i4>1441852</vt:i4>
      </vt:variant>
      <vt:variant>
        <vt:i4>116</vt:i4>
      </vt:variant>
      <vt:variant>
        <vt:i4>0</vt:i4>
      </vt:variant>
      <vt:variant>
        <vt:i4>5</vt:i4>
      </vt:variant>
      <vt:variant>
        <vt:lpwstr/>
      </vt:variant>
      <vt:variant>
        <vt:lpwstr>_Toc145818954</vt:lpwstr>
      </vt:variant>
      <vt:variant>
        <vt:i4>1441852</vt:i4>
      </vt:variant>
      <vt:variant>
        <vt:i4>110</vt:i4>
      </vt:variant>
      <vt:variant>
        <vt:i4>0</vt:i4>
      </vt:variant>
      <vt:variant>
        <vt:i4>5</vt:i4>
      </vt:variant>
      <vt:variant>
        <vt:lpwstr/>
      </vt:variant>
      <vt:variant>
        <vt:lpwstr>_Toc145818953</vt:lpwstr>
      </vt:variant>
      <vt:variant>
        <vt:i4>1441852</vt:i4>
      </vt:variant>
      <vt:variant>
        <vt:i4>104</vt:i4>
      </vt:variant>
      <vt:variant>
        <vt:i4>0</vt:i4>
      </vt:variant>
      <vt:variant>
        <vt:i4>5</vt:i4>
      </vt:variant>
      <vt:variant>
        <vt:lpwstr/>
      </vt:variant>
      <vt:variant>
        <vt:lpwstr>_Toc145818952</vt:lpwstr>
      </vt:variant>
      <vt:variant>
        <vt:i4>1441852</vt:i4>
      </vt:variant>
      <vt:variant>
        <vt:i4>98</vt:i4>
      </vt:variant>
      <vt:variant>
        <vt:i4>0</vt:i4>
      </vt:variant>
      <vt:variant>
        <vt:i4>5</vt:i4>
      </vt:variant>
      <vt:variant>
        <vt:lpwstr/>
      </vt:variant>
      <vt:variant>
        <vt:lpwstr>_Toc145818951</vt:lpwstr>
      </vt:variant>
      <vt:variant>
        <vt:i4>1441852</vt:i4>
      </vt:variant>
      <vt:variant>
        <vt:i4>92</vt:i4>
      </vt:variant>
      <vt:variant>
        <vt:i4>0</vt:i4>
      </vt:variant>
      <vt:variant>
        <vt:i4>5</vt:i4>
      </vt:variant>
      <vt:variant>
        <vt:lpwstr/>
      </vt:variant>
      <vt:variant>
        <vt:lpwstr>_Toc145818950</vt:lpwstr>
      </vt:variant>
      <vt:variant>
        <vt:i4>1507388</vt:i4>
      </vt:variant>
      <vt:variant>
        <vt:i4>86</vt:i4>
      </vt:variant>
      <vt:variant>
        <vt:i4>0</vt:i4>
      </vt:variant>
      <vt:variant>
        <vt:i4>5</vt:i4>
      </vt:variant>
      <vt:variant>
        <vt:lpwstr/>
      </vt:variant>
      <vt:variant>
        <vt:lpwstr>_Toc145818949</vt:lpwstr>
      </vt:variant>
      <vt:variant>
        <vt:i4>1507388</vt:i4>
      </vt:variant>
      <vt:variant>
        <vt:i4>80</vt:i4>
      </vt:variant>
      <vt:variant>
        <vt:i4>0</vt:i4>
      </vt:variant>
      <vt:variant>
        <vt:i4>5</vt:i4>
      </vt:variant>
      <vt:variant>
        <vt:lpwstr/>
      </vt:variant>
      <vt:variant>
        <vt:lpwstr>_Toc145818948</vt:lpwstr>
      </vt:variant>
      <vt:variant>
        <vt:i4>1507388</vt:i4>
      </vt:variant>
      <vt:variant>
        <vt:i4>74</vt:i4>
      </vt:variant>
      <vt:variant>
        <vt:i4>0</vt:i4>
      </vt:variant>
      <vt:variant>
        <vt:i4>5</vt:i4>
      </vt:variant>
      <vt:variant>
        <vt:lpwstr/>
      </vt:variant>
      <vt:variant>
        <vt:lpwstr>_Toc145818947</vt:lpwstr>
      </vt:variant>
      <vt:variant>
        <vt:i4>1507388</vt:i4>
      </vt:variant>
      <vt:variant>
        <vt:i4>68</vt:i4>
      </vt:variant>
      <vt:variant>
        <vt:i4>0</vt:i4>
      </vt:variant>
      <vt:variant>
        <vt:i4>5</vt:i4>
      </vt:variant>
      <vt:variant>
        <vt:lpwstr/>
      </vt:variant>
      <vt:variant>
        <vt:lpwstr>_Toc145818946</vt:lpwstr>
      </vt:variant>
      <vt:variant>
        <vt:i4>1507388</vt:i4>
      </vt:variant>
      <vt:variant>
        <vt:i4>62</vt:i4>
      </vt:variant>
      <vt:variant>
        <vt:i4>0</vt:i4>
      </vt:variant>
      <vt:variant>
        <vt:i4>5</vt:i4>
      </vt:variant>
      <vt:variant>
        <vt:lpwstr/>
      </vt:variant>
      <vt:variant>
        <vt:lpwstr>_Toc145818945</vt:lpwstr>
      </vt:variant>
      <vt:variant>
        <vt:i4>1507388</vt:i4>
      </vt:variant>
      <vt:variant>
        <vt:i4>56</vt:i4>
      </vt:variant>
      <vt:variant>
        <vt:i4>0</vt:i4>
      </vt:variant>
      <vt:variant>
        <vt:i4>5</vt:i4>
      </vt:variant>
      <vt:variant>
        <vt:lpwstr/>
      </vt:variant>
      <vt:variant>
        <vt:lpwstr>_Toc145818944</vt:lpwstr>
      </vt:variant>
      <vt:variant>
        <vt:i4>1507388</vt:i4>
      </vt:variant>
      <vt:variant>
        <vt:i4>50</vt:i4>
      </vt:variant>
      <vt:variant>
        <vt:i4>0</vt:i4>
      </vt:variant>
      <vt:variant>
        <vt:i4>5</vt:i4>
      </vt:variant>
      <vt:variant>
        <vt:lpwstr/>
      </vt:variant>
      <vt:variant>
        <vt:lpwstr>_Toc145818943</vt:lpwstr>
      </vt:variant>
      <vt:variant>
        <vt:i4>1507388</vt:i4>
      </vt:variant>
      <vt:variant>
        <vt:i4>44</vt:i4>
      </vt:variant>
      <vt:variant>
        <vt:i4>0</vt:i4>
      </vt:variant>
      <vt:variant>
        <vt:i4>5</vt:i4>
      </vt:variant>
      <vt:variant>
        <vt:lpwstr/>
      </vt:variant>
      <vt:variant>
        <vt:lpwstr>_Toc145818942</vt:lpwstr>
      </vt:variant>
      <vt:variant>
        <vt:i4>1507388</vt:i4>
      </vt:variant>
      <vt:variant>
        <vt:i4>38</vt:i4>
      </vt:variant>
      <vt:variant>
        <vt:i4>0</vt:i4>
      </vt:variant>
      <vt:variant>
        <vt:i4>5</vt:i4>
      </vt:variant>
      <vt:variant>
        <vt:lpwstr/>
      </vt:variant>
      <vt:variant>
        <vt:lpwstr>_Toc145818941</vt:lpwstr>
      </vt:variant>
      <vt:variant>
        <vt:i4>1507388</vt:i4>
      </vt:variant>
      <vt:variant>
        <vt:i4>32</vt:i4>
      </vt:variant>
      <vt:variant>
        <vt:i4>0</vt:i4>
      </vt:variant>
      <vt:variant>
        <vt:i4>5</vt:i4>
      </vt:variant>
      <vt:variant>
        <vt:lpwstr/>
      </vt:variant>
      <vt:variant>
        <vt:lpwstr>_Toc145818940</vt:lpwstr>
      </vt:variant>
      <vt:variant>
        <vt:i4>1048636</vt:i4>
      </vt:variant>
      <vt:variant>
        <vt:i4>26</vt:i4>
      </vt:variant>
      <vt:variant>
        <vt:i4>0</vt:i4>
      </vt:variant>
      <vt:variant>
        <vt:i4>5</vt:i4>
      </vt:variant>
      <vt:variant>
        <vt:lpwstr/>
      </vt:variant>
      <vt:variant>
        <vt:lpwstr>_Toc145818939</vt:lpwstr>
      </vt:variant>
      <vt:variant>
        <vt:i4>1048636</vt:i4>
      </vt:variant>
      <vt:variant>
        <vt:i4>20</vt:i4>
      </vt:variant>
      <vt:variant>
        <vt:i4>0</vt:i4>
      </vt:variant>
      <vt:variant>
        <vt:i4>5</vt:i4>
      </vt:variant>
      <vt:variant>
        <vt:lpwstr/>
      </vt:variant>
      <vt:variant>
        <vt:lpwstr>_Toc145818938</vt:lpwstr>
      </vt:variant>
      <vt:variant>
        <vt:i4>1048636</vt:i4>
      </vt:variant>
      <vt:variant>
        <vt:i4>14</vt:i4>
      </vt:variant>
      <vt:variant>
        <vt:i4>0</vt:i4>
      </vt:variant>
      <vt:variant>
        <vt:i4>5</vt:i4>
      </vt:variant>
      <vt:variant>
        <vt:lpwstr/>
      </vt:variant>
      <vt:variant>
        <vt:lpwstr>_Toc145818937</vt:lpwstr>
      </vt:variant>
      <vt:variant>
        <vt:i4>1048636</vt:i4>
      </vt:variant>
      <vt:variant>
        <vt:i4>8</vt:i4>
      </vt:variant>
      <vt:variant>
        <vt:i4>0</vt:i4>
      </vt:variant>
      <vt:variant>
        <vt:i4>5</vt:i4>
      </vt:variant>
      <vt:variant>
        <vt:lpwstr/>
      </vt:variant>
      <vt:variant>
        <vt:lpwstr>_Toc145818936</vt:lpwstr>
      </vt:variant>
      <vt:variant>
        <vt:i4>1048636</vt:i4>
      </vt:variant>
      <vt:variant>
        <vt:i4>2</vt:i4>
      </vt:variant>
      <vt:variant>
        <vt:i4>0</vt:i4>
      </vt:variant>
      <vt:variant>
        <vt:i4>5</vt:i4>
      </vt:variant>
      <vt:variant>
        <vt:lpwstr/>
      </vt:variant>
      <vt:variant>
        <vt:lpwstr>_Toc145818935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******股票型证券投资基金</dc:title>
  <dc:creator>贺倩/证券投资基金托管处/托管业务部/总行机关/ABC</dc:creator>
  <cp:lastModifiedBy>孙文婷</cp:lastModifiedBy>
  <cp:revision>6</cp:revision>
  <cp:lastPrinted>2013-01-31T09:51:00Z</cp:lastPrinted>
  <dcterms:created xsi:type="dcterms:W3CDTF">2013-03-12T14:54:00Z</dcterms:created>
  <dcterms:modified xsi:type="dcterms:W3CDTF">2013-03-18T11:09:00Z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2052-6.4.0.1855</vt:lpwstr>
  </property>
</Properties>
</file>