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b/>
          <w:bCs/>
          <w:sz w:val="28"/>
          <w:szCs w:val="28"/>
        </w:rPr>
      </w:pPr>
      <w:bookmarkStart w:id="7" w:name="_GoBack"/>
      <w:bookmarkEnd w:id="7"/>
      <w:r>
        <w:rPr>
          <w:rFonts w:hint="eastAsia" w:ascii="宋体" w:hAnsi="宋体" w:cs="宋体"/>
          <w:b/>
          <w:bCs/>
          <w:sz w:val="28"/>
          <w:szCs w:val="28"/>
        </w:rPr>
        <w:t>交银施罗德</w:t>
      </w:r>
      <w:r>
        <w:rPr>
          <w:rFonts w:hint="eastAsia" w:ascii="宋体" w:hAnsi="宋体" w:cs="宋体"/>
          <w:b/>
          <w:bCs/>
          <w:sz w:val="28"/>
          <w:szCs w:val="28"/>
          <w:lang w:eastAsia="zh-CN"/>
        </w:rPr>
        <w:t>远见成长</w:t>
      </w:r>
      <w:r>
        <w:rPr>
          <w:rFonts w:hint="eastAsia" w:ascii="宋体" w:hAnsi="宋体" w:cs="宋体"/>
          <w:b/>
          <w:bCs/>
          <w:sz w:val="28"/>
          <w:szCs w:val="28"/>
        </w:rPr>
        <w:t>混合型证券投资基金基金份额发售公告</w:t>
      </w:r>
    </w:p>
    <w:p>
      <w:pPr>
        <w:adjustRightInd w:val="0"/>
        <w:snapToGrid w:val="0"/>
        <w:spacing w:before="120" w:line="360" w:lineRule="auto"/>
        <w:jc w:val="center"/>
        <w:rPr>
          <w:rFonts w:ascii="宋体" w:hAnsi="宋体"/>
          <w:b/>
          <w:sz w:val="24"/>
        </w:rPr>
      </w:pPr>
    </w:p>
    <w:p>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rPr>
        <w:t>交银施罗德</w:t>
      </w:r>
      <w:r>
        <w:rPr>
          <w:rFonts w:hint="eastAsia" w:hAnsi="宋体"/>
          <w:sz w:val="24"/>
          <w:lang w:eastAsia="zh-CN"/>
        </w:rPr>
        <w:t>远见成长</w:t>
      </w:r>
      <w:r>
        <w:rPr>
          <w:rFonts w:hint="eastAsia" w:hAnsi="宋体"/>
          <w:sz w:val="24"/>
        </w:rPr>
        <w:t>混合型证券投资基金</w:t>
      </w:r>
      <w:r>
        <w:rPr>
          <w:rFonts w:hAnsi="宋体"/>
          <w:sz w:val="24"/>
        </w:rPr>
        <w:t>（以下简称“本基金”）的募集已获中国证券监督管理委员会（以下简称“中国证监会”）证监许可【</w:t>
      </w:r>
      <w:r>
        <w:rPr>
          <w:rFonts w:hint="eastAsia" w:hAnsi="宋体"/>
          <w:sz w:val="24"/>
        </w:rPr>
        <w:t>2025</w:t>
      </w:r>
      <w:r>
        <w:rPr>
          <w:rFonts w:hAnsi="宋体"/>
          <w:sz w:val="24"/>
        </w:rPr>
        <w:t>】</w:t>
      </w:r>
      <w:r>
        <w:rPr>
          <w:rFonts w:hint="eastAsia" w:hAnsi="宋体"/>
          <w:sz w:val="24"/>
          <w:lang w:val="en-US" w:eastAsia="zh-CN"/>
        </w:rPr>
        <w:t>2389</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hAnsi="宋体"/>
          <w:sz w:val="24"/>
        </w:rPr>
        <w:t>混合型</w:t>
      </w:r>
      <w:r>
        <w:rPr>
          <w:rFonts w:hAnsi="宋体"/>
          <w:sz w:val="24"/>
        </w:rPr>
        <w:t>证券投资基金。</w:t>
      </w:r>
    </w:p>
    <w:p>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lang w:eastAsia="zh-CN"/>
        </w:rPr>
        <w:t>上海浦东发展银行</w:t>
      </w:r>
      <w:r>
        <w:rPr>
          <w:rFonts w:hint="eastAsia" w:hAnsi="宋体"/>
          <w:sz w:val="24"/>
        </w:rPr>
        <w:t>股份有限公司</w:t>
      </w:r>
      <w:r>
        <w:rPr>
          <w:rFonts w:hAnsi="宋体"/>
          <w:sz w:val="24"/>
        </w:rPr>
        <w:t>，登记机构为</w:t>
      </w:r>
      <w:r>
        <w:rPr>
          <w:rFonts w:hint="eastAsia" w:hAnsi="宋体"/>
          <w:sz w:val="24"/>
        </w:rPr>
        <w:t>本</w:t>
      </w:r>
      <w:r>
        <w:rPr>
          <w:rFonts w:hAnsi="宋体"/>
          <w:sz w:val="24"/>
        </w:rPr>
        <w:t>公司。</w:t>
      </w:r>
    </w:p>
    <w:p>
      <w:pPr>
        <w:adjustRightInd w:val="0"/>
        <w:snapToGrid w:val="0"/>
        <w:spacing w:line="360" w:lineRule="auto"/>
        <w:ind w:firstLine="480" w:firstLineChars="200"/>
        <w:rPr>
          <w:rFonts w:hAnsi="宋体"/>
          <w:sz w:val="24"/>
        </w:rPr>
      </w:pPr>
      <w:r>
        <w:rPr>
          <w:rFonts w:hint="eastAsia" w:hAnsi="宋体"/>
          <w:sz w:val="24"/>
          <w:lang w:val="en-US" w:eastAsia="zh-CN"/>
        </w:rPr>
        <w:t>4、</w:t>
      </w: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在投资人认购/申购时不收取认购/申购费用、从本类别基金资产中计提销售服务费的，称为C类基金份额。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ascii="宋体" w:hAnsi="宋体"/>
          <w:sz w:val="24"/>
        </w:rPr>
      </w:pPr>
      <w:r>
        <w:rPr>
          <w:rFonts w:hint="eastAsia" w:hAnsi="宋体"/>
          <w:sz w:val="24"/>
          <w:lang w:val="en-US" w:eastAsia="zh-CN"/>
        </w:rPr>
        <w:t>5</w:t>
      </w:r>
      <w:r>
        <w:rPr>
          <w:rFonts w:hint="eastAsia" w:hAnsi="宋体"/>
          <w:sz w:val="24"/>
        </w:rPr>
        <w:t>、</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pPr>
        <w:adjustRightInd w:val="0"/>
        <w:snapToGrid w:val="0"/>
        <w:spacing w:line="360" w:lineRule="auto"/>
        <w:ind w:firstLine="480" w:firstLineChars="200"/>
        <w:rPr>
          <w:sz w:val="24"/>
        </w:rPr>
      </w:pPr>
      <w:r>
        <w:rPr>
          <w:rFonts w:hint="eastAsia"/>
          <w:sz w:val="24"/>
          <w:lang w:val="en-US" w:eastAsia="zh-CN"/>
        </w:rPr>
        <w:t>6</w:t>
      </w:r>
      <w:r>
        <w:rPr>
          <w:rFonts w:hAnsi="宋体"/>
          <w:sz w:val="24"/>
        </w:rPr>
        <w:t>、基金募集期：本基金自</w:t>
      </w:r>
      <w:r>
        <w:rPr>
          <w:rFonts w:hint="eastAsia"/>
          <w:sz w:val="24"/>
        </w:rPr>
        <w:t>2025年</w:t>
      </w:r>
      <w:r>
        <w:rPr>
          <w:rFonts w:hint="eastAsia"/>
          <w:sz w:val="24"/>
          <w:lang w:val="en-US" w:eastAsia="zh-CN"/>
        </w:rPr>
        <w:t>11月3日</w:t>
      </w:r>
      <w:r>
        <w:rPr>
          <w:rFonts w:hint="eastAsia"/>
          <w:sz w:val="24"/>
        </w:rPr>
        <w:t>起至20</w:t>
      </w:r>
      <w:r>
        <w:rPr>
          <w:rFonts w:hint="eastAsia"/>
          <w:sz w:val="24"/>
          <w:highlight w:val="none"/>
        </w:rPr>
        <w:t>25年</w:t>
      </w:r>
      <w:r>
        <w:rPr>
          <w:rFonts w:hint="eastAsia"/>
          <w:sz w:val="24"/>
          <w:highlight w:val="none"/>
          <w:lang w:val="en-US" w:eastAsia="zh-CN"/>
        </w:rPr>
        <w:t>11月13日</w:t>
      </w:r>
      <w:r>
        <w:rPr>
          <w:rFonts w:hAnsi="宋体"/>
          <w:sz w:val="24"/>
          <w:highlight w:val="none"/>
        </w:rPr>
        <w:t>止通</w:t>
      </w:r>
      <w:r>
        <w:rPr>
          <w:rFonts w:hAnsi="宋体"/>
          <w:sz w:val="24"/>
        </w:rPr>
        <w:t>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pPr>
        <w:autoSpaceDE w:val="0"/>
        <w:autoSpaceDN w:val="0"/>
        <w:adjustRightInd w:val="0"/>
        <w:snapToGrid w:val="0"/>
        <w:spacing w:line="360" w:lineRule="auto"/>
        <w:ind w:firstLine="480" w:firstLineChars="200"/>
        <w:rPr>
          <w:rFonts w:hAnsi="宋体"/>
          <w:sz w:val="24"/>
        </w:rPr>
      </w:pPr>
      <w:r>
        <w:rPr>
          <w:rFonts w:hint="eastAsia"/>
          <w:sz w:val="24"/>
          <w:lang w:val="en-US" w:eastAsia="zh-CN"/>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pPr>
        <w:adjustRightInd w:val="0"/>
        <w:snapToGrid w:val="0"/>
        <w:spacing w:line="360" w:lineRule="auto"/>
        <w:ind w:firstLine="480" w:firstLineChars="200"/>
        <w:rPr>
          <w:rFonts w:hAnsi="宋体"/>
          <w:kern w:val="0"/>
          <w:sz w:val="24"/>
        </w:rPr>
      </w:pPr>
      <w:r>
        <w:rPr>
          <w:rFonts w:hint="eastAsia"/>
          <w:sz w:val="24"/>
          <w:lang w:val="en-US" w:eastAsia="zh-CN"/>
        </w:rPr>
        <w:t>8</w:t>
      </w:r>
      <w:r>
        <w:rPr>
          <w:rFonts w:hAnsi="宋体"/>
          <w:sz w:val="24"/>
        </w:rPr>
        <w:t>、</w:t>
      </w:r>
      <w:r>
        <w:rPr>
          <w:rFonts w:hint="eastAsia" w:hAnsi="宋体"/>
          <w:kern w:val="0"/>
          <w:sz w:val="24"/>
        </w:rPr>
        <w:t>投资人认购本基金时，需首先开立本公司的基金账户。除法律法规另有规定外，一个投资人只能开设和使用一个本公司的基金账户。不得非法利用他人账户或资金进行认购，也不得违规融资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pPr>
        <w:adjustRightInd w:val="0"/>
        <w:snapToGrid w:val="0"/>
        <w:spacing w:line="360" w:lineRule="auto"/>
        <w:ind w:firstLine="480" w:firstLineChars="200"/>
        <w:rPr>
          <w:sz w:val="24"/>
        </w:rPr>
      </w:pPr>
      <w:r>
        <w:rPr>
          <w:rFonts w:hint="eastAsia" w:hAnsi="宋体"/>
          <w:kern w:val="0"/>
          <w:sz w:val="24"/>
          <w:lang w:val="en-US" w:eastAsia="zh-CN"/>
        </w:rPr>
        <w:t>9</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pPr>
        <w:adjustRightInd w:val="0"/>
        <w:snapToGrid w:val="0"/>
        <w:spacing w:line="360" w:lineRule="auto"/>
        <w:ind w:firstLine="480" w:firstLineChars="200"/>
        <w:rPr>
          <w:sz w:val="24"/>
        </w:rPr>
      </w:pPr>
      <w:r>
        <w:rPr>
          <w:rFonts w:hint="eastAsia"/>
          <w:sz w:val="24"/>
          <w:lang w:val="en-US" w:eastAsia="zh-CN"/>
        </w:rPr>
        <w:t>10</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pPr>
        <w:adjustRightInd w:val="0"/>
        <w:snapToGrid w:val="0"/>
        <w:spacing w:line="360" w:lineRule="auto"/>
        <w:ind w:firstLine="480" w:firstLineChars="200"/>
        <w:rPr>
          <w:sz w:val="24"/>
        </w:rPr>
      </w:pPr>
      <w:r>
        <w:rPr>
          <w:rFonts w:hint="eastAsia"/>
          <w:sz w:val="24"/>
          <w:lang w:val="en-US" w:eastAsia="zh-CN"/>
        </w:rPr>
        <w:t>11</w:t>
      </w:r>
      <w:r>
        <w:rPr>
          <w:rFonts w:hAnsi="宋体"/>
          <w:sz w:val="24"/>
        </w:rPr>
        <w:t>、本公告仅对本基金基金份额发售的有关事项和规定予以说明。投资者欲了解本基金的详细情况，请详细阅读</w:t>
      </w:r>
      <w:r>
        <w:rPr>
          <w:rFonts w:hint="eastAsia" w:hAnsi="宋体"/>
          <w:sz w:val="24"/>
        </w:rPr>
        <w:t>2025年</w:t>
      </w:r>
      <w:r>
        <w:rPr>
          <w:rFonts w:hint="eastAsia" w:hAnsi="宋体"/>
          <w:sz w:val="24"/>
          <w:lang w:val="en-US" w:eastAsia="zh-CN"/>
        </w:rPr>
        <w:t>10月31日</w:t>
      </w:r>
      <w:r>
        <w:rPr>
          <w:rFonts w:hint="eastAsia" w:hAnsi="宋体"/>
          <w:sz w:val="24"/>
        </w:rPr>
        <w:t>在本公司网站（www.fund001.com）和中国证监会基金电子披露网站（http://eid.csrc.gov.cn/fund）披露</w:t>
      </w:r>
      <w:r>
        <w:rPr>
          <w:rFonts w:hAnsi="宋体"/>
          <w:sz w:val="24"/>
        </w:rPr>
        <w:t>的</w:t>
      </w:r>
      <w:r>
        <w:rPr>
          <w:rFonts w:hint="eastAsia" w:hAnsi="宋体"/>
          <w:sz w:val="24"/>
        </w:rPr>
        <w:t>交银施罗德</w:t>
      </w:r>
      <w:r>
        <w:rPr>
          <w:rFonts w:hint="eastAsia" w:hAnsi="宋体"/>
          <w:sz w:val="24"/>
          <w:lang w:eastAsia="zh-CN"/>
        </w:rPr>
        <w:t>远见成长</w:t>
      </w:r>
      <w:r>
        <w:rPr>
          <w:rFonts w:hint="eastAsia" w:hAnsi="宋体"/>
          <w:sz w:val="24"/>
        </w:rPr>
        <w:t>混合型证券投资基金基金合同</w:t>
      </w:r>
      <w:r>
        <w:rPr>
          <w:rFonts w:hAnsi="宋体"/>
          <w:sz w:val="24"/>
        </w:rPr>
        <w:t>和招募说明书。</w:t>
      </w:r>
    </w:p>
    <w:p>
      <w:pPr>
        <w:adjustRightInd w:val="0"/>
        <w:snapToGrid w:val="0"/>
        <w:spacing w:line="360" w:lineRule="auto"/>
        <w:ind w:firstLine="480" w:firstLineChars="200"/>
        <w:rPr>
          <w:sz w:val="24"/>
        </w:rPr>
      </w:pPr>
      <w:r>
        <w:rPr>
          <w:rFonts w:hint="eastAsia"/>
          <w:sz w:val="24"/>
          <w:lang w:val="en-US" w:eastAsia="zh-CN"/>
        </w:rPr>
        <w:t>12</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pPr>
        <w:adjustRightInd w:val="0"/>
        <w:snapToGrid w:val="0"/>
        <w:spacing w:line="360" w:lineRule="auto"/>
        <w:ind w:firstLine="480" w:firstLineChars="200"/>
        <w:rPr>
          <w:sz w:val="24"/>
        </w:rPr>
      </w:pPr>
      <w:r>
        <w:rPr>
          <w:rFonts w:hint="eastAsia"/>
          <w:sz w:val="24"/>
          <w:lang w:val="en-US" w:eastAsia="zh-CN"/>
        </w:rPr>
        <w:t>13</w:t>
      </w:r>
      <w:r>
        <w:rPr>
          <w:rFonts w:hAnsi="宋体"/>
          <w:sz w:val="24"/>
        </w:rPr>
        <w:t>、销售机构的销售网点以及开户认购等事项的详细情况请向各销售机构咨询。</w:t>
      </w:r>
    </w:p>
    <w:p>
      <w:pPr>
        <w:adjustRightInd w:val="0"/>
        <w:snapToGrid w:val="0"/>
        <w:spacing w:line="360" w:lineRule="auto"/>
        <w:ind w:firstLine="480" w:firstLineChars="200"/>
        <w:rPr>
          <w:sz w:val="24"/>
        </w:rPr>
      </w:pPr>
      <w:r>
        <w:rPr>
          <w:rFonts w:hint="eastAsia"/>
          <w:sz w:val="24"/>
          <w:lang w:val="en-US" w:eastAsia="zh-CN"/>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pPr>
        <w:widowControl/>
        <w:adjustRightInd w:val="0"/>
        <w:snapToGrid w:val="0"/>
        <w:spacing w:line="360" w:lineRule="auto"/>
        <w:ind w:firstLine="480" w:firstLineChars="200"/>
        <w:rPr>
          <w:kern w:val="0"/>
          <w:sz w:val="24"/>
        </w:rPr>
      </w:pPr>
      <w:r>
        <w:rPr>
          <w:rFonts w:hint="eastAsia"/>
          <w:sz w:val="24"/>
          <w:lang w:val="en-US" w:eastAsia="zh-CN"/>
        </w:rPr>
        <w:t>15</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pPr>
        <w:adjustRightInd w:val="0"/>
        <w:snapToGrid w:val="0"/>
        <w:spacing w:line="360" w:lineRule="auto"/>
        <w:ind w:firstLine="480" w:firstLineChars="200"/>
        <w:rPr>
          <w:rFonts w:hAnsi="宋体"/>
          <w:sz w:val="24"/>
        </w:rPr>
      </w:pPr>
      <w:r>
        <w:rPr>
          <w:rFonts w:hint="eastAsia"/>
          <w:sz w:val="24"/>
          <w:lang w:val="en-US" w:eastAsia="zh-CN"/>
        </w:rPr>
        <w:t>16</w:t>
      </w:r>
      <w:r>
        <w:rPr>
          <w:rFonts w:hAnsi="宋体"/>
          <w:sz w:val="24"/>
        </w:rPr>
        <w:t>、本公司可综合各种情况对募集安排做适当调整。</w:t>
      </w:r>
      <w:r>
        <w:rPr>
          <w:rFonts w:hint="eastAsia" w:hAnsi="宋体"/>
          <w:sz w:val="24"/>
        </w:rPr>
        <w:t>为稳定基金募集规模，本公司可</w:t>
      </w:r>
      <w:r>
        <w:rPr>
          <w:rFonts w:hAnsi="宋体"/>
          <w:sz w:val="24"/>
        </w:rPr>
        <w:t>综合各种情况对</w:t>
      </w:r>
      <w:r>
        <w:rPr>
          <w:rFonts w:hint="eastAsia" w:hAnsi="宋体"/>
          <w:sz w:val="24"/>
        </w:rPr>
        <w:t>基金</w:t>
      </w:r>
      <w:r>
        <w:rPr>
          <w:rFonts w:hAnsi="宋体"/>
          <w:sz w:val="24"/>
        </w:rPr>
        <w:t>募集规模上限进行设</w:t>
      </w:r>
      <w:r>
        <w:rPr>
          <w:rFonts w:hint="eastAsia" w:hAnsi="宋体"/>
          <w:sz w:val="24"/>
        </w:rPr>
        <w:t>定并予以公告。</w:t>
      </w:r>
    </w:p>
    <w:p>
      <w:pPr>
        <w:adjustRightInd w:val="0"/>
        <w:snapToGrid w:val="0"/>
        <w:spacing w:line="360" w:lineRule="auto"/>
        <w:ind w:firstLine="480" w:firstLineChars="200"/>
        <w:rPr>
          <w:sz w:val="24"/>
        </w:rPr>
      </w:pPr>
      <w:r>
        <w:rPr>
          <w:rFonts w:hint="eastAsia"/>
          <w:sz w:val="24"/>
          <w:lang w:val="en-US" w:eastAsia="zh-CN"/>
        </w:rPr>
        <w:t>17</w:t>
      </w:r>
      <w:r>
        <w:rPr>
          <w:rFonts w:hAnsi="宋体"/>
          <w:sz w:val="24"/>
        </w:rPr>
        <w:t>、风险提示</w:t>
      </w:r>
    </w:p>
    <w:p>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基金在投资运作过程中可能面临各种风险，既包括市场风险，也包括基金自身的管理风险、技术风险和合规风险等。巨额赎回风险是开放式基金所特有的一种风险，即当本基金</w:t>
      </w:r>
      <w:r>
        <w:rPr>
          <w:rFonts w:hint="eastAsia" w:hAnsi="宋体"/>
          <w:kern w:val="0"/>
          <w:sz w:val="24"/>
          <w:szCs w:val="24"/>
        </w:rPr>
        <w:t>单个开放日内的基金份额净赎回申请（赎回申请份额总数加上基金转换中转出申请份额总数后扣除申购申请份额总数及基金转换中转入申请份额总数后的余额）超过前一开放日的基金总份额的10%</w:t>
      </w:r>
      <w:r>
        <w:rPr>
          <w:rFonts w:hint="eastAsia" w:hAnsi="宋体"/>
          <w:sz w:val="24"/>
        </w:rPr>
        <w:t>，投资人将可能无法及时赎回持有的全部基金份额。</w:t>
      </w:r>
    </w:p>
    <w:p>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本基金是一只混合型基金，其预期风险和预期收益</w:t>
      </w:r>
      <w:r>
        <w:rPr>
          <w:rFonts w:hint="eastAsia"/>
          <w:bCs/>
          <w:sz w:val="24"/>
        </w:rPr>
        <w:t>理论上</w:t>
      </w:r>
      <w:r>
        <w:rPr>
          <w:rFonts w:hint="eastAsia" w:hAnsi="宋体"/>
          <w:kern w:val="0"/>
          <w:sz w:val="24"/>
        </w:rPr>
        <w:t>高于债券型基金和货币市场基金，低于股票型基金。</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kern w:val="0"/>
          <w:sz w:val="24"/>
        </w:rPr>
      </w:pPr>
      <w:r>
        <w:rPr>
          <w:rFonts w:hint="eastAsia" w:hAnsi="宋体"/>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通标的股票或选择不将基金资产投资于港股通标的股票，基金资产并非必然投资港股通标的股票。</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基金可根据投资策略需要或市场环境的变化，选择将部分基金资产投资于科创板股票或选择不将基金资产投资于科创板股票，基金资产并非必然投资于科创板股票。</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pPr>
        <w:keepNext/>
        <w:keepLines/>
        <w:adjustRightInd w:val="0"/>
        <w:snapToGrid w:val="0"/>
        <w:spacing w:before="240" w:after="120" w:line="360" w:lineRule="auto"/>
        <w:jc w:val="center"/>
        <w:outlineLvl w:val="0"/>
        <w:rPr>
          <w:b/>
          <w:sz w:val="24"/>
        </w:rPr>
      </w:pPr>
      <w:r>
        <w:rPr>
          <w:rFonts w:hint="eastAsia"/>
          <w:b/>
          <w:sz w:val="24"/>
        </w:rPr>
        <w:t>一、本次募集基本情况</w:t>
      </w:r>
    </w:p>
    <w:p>
      <w:pPr>
        <w:adjustRightInd w:val="0"/>
        <w:snapToGrid w:val="0"/>
        <w:spacing w:line="360" w:lineRule="auto"/>
        <w:ind w:firstLine="480" w:firstLineChars="200"/>
        <w:rPr>
          <w:rFonts w:hAnsi="宋体"/>
          <w:sz w:val="24"/>
        </w:rPr>
      </w:pPr>
      <w:r>
        <w:rPr>
          <w:rFonts w:hAnsi="宋体"/>
          <w:sz w:val="24"/>
        </w:rPr>
        <w:t>1、基金名称</w:t>
      </w:r>
    </w:p>
    <w:p>
      <w:pPr>
        <w:adjustRightInd w:val="0"/>
        <w:snapToGrid w:val="0"/>
        <w:spacing w:line="360" w:lineRule="auto"/>
        <w:ind w:firstLine="480" w:firstLineChars="200"/>
        <w:rPr>
          <w:rFonts w:hAnsi="宋体"/>
          <w:sz w:val="24"/>
        </w:rPr>
      </w:pPr>
      <w:r>
        <w:rPr>
          <w:rFonts w:hint="eastAsia" w:hAnsi="宋体"/>
          <w:sz w:val="24"/>
        </w:rPr>
        <w:t>交银施罗德</w:t>
      </w:r>
      <w:r>
        <w:rPr>
          <w:rFonts w:hint="eastAsia" w:hAnsi="宋体"/>
          <w:sz w:val="24"/>
          <w:lang w:eastAsia="zh-CN"/>
        </w:rPr>
        <w:t>远见成长</w:t>
      </w:r>
      <w:r>
        <w:rPr>
          <w:rFonts w:hint="eastAsia" w:hAnsi="宋体"/>
          <w:sz w:val="24"/>
        </w:rPr>
        <w:t>混合型证券投资基金</w:t>
      </w:r>
    </w:p>
    <w:p>
      <w:pPr>
        <w:adjustRightInd w:val="0"/>
        <w:snapToGrid w:val="0"/>
        <w:spacing w:line="360" w:lineRule="auto"/>
        <w:ind w:firstLine="480" w:firstLineChars="200"/>
        <w:rPr>
          <w:rFonts w:hAnsi="宋体"/>
          <w:sz w:val="24"/>
        </w:rPr>
      </w:pPr>
      <w:r>
        <w:rPr>
          <w:rFonts w:hAnsi="宋体"/>
          <w:sz w:val="24"/>
        </w:rPr>
        <w:t>2、基金类型</w:t>
      </w:r>
    </w:p>
    <w:p>
      <w:pPr>
        <w:adjustRightInd w:val="0"/>
        <w:snapToGrid w:val="0"/>
        <w:spacing w:line="360" w:lineRule="auto"/>
        <w:ind w:firstLine="480" w:firstLineChars="200"/>
        <w:rPr>
          <w:rFonts w:hAnsi="宋体"/>
          <w:sz w:val="24"/>
        </w:rPr>
      </w:pPr>
      <w:r>
        <w:rPr>
          <w:rFonts w:hint="eastAsia" w:hAnsi="宋体"/>
          <w:sz w:val="24"/>
        </w:rPr>
        <w:t>混合型证券投资基金</w:t>
      </w:r>
    </w:p>
    <w:p>
      <w:pPr>
        <w:adjustRightInd w:val="0"/>
        <w:snapToGrid w:val="0"/>
        <w:spacing w:line="360" w:lineRule="auto"/>
        <w:ind w:firstLine="480" w:firstLineChars="200"/>
        <w:rPr>
          <w:rFonts w:hAnsi="宋体"/>
          <w:sz w:val="24"/>
        </w:rPr>
      </w:pPr>
      <w:r>
        <w:rPr>
          <w:rFonts w:hAnsi="宋体"/>
          <w:sz w:val="24"/>
        </w:rPr>
        <w:t>3、运作方式</w:t>
      </w:r>
    </w:p>
    <w:p>
      <w:pPr>
        <w:adjustRightInd w:val="0"/>
        <w:snapToGrid w:val="0"/>
        <w:spacing w:line="360" w:lineRule="auto"/>
        <w:ind w:firstLine="480" w:firstLineChars="200"/>
        <w:rPr>
          <w:rFonts w:hAnsi="宋体"/>
          <w:sz w:val="24"/>
        </w:rPr>
      </w:pPr>
      <w:r>
        <w:rPr>
          <w:rFonts w:hint="eastAsia" w:hAnsi="宋体"/>
          <w:sz w:val="24"/>
        </w:rPr>
        <w:t>契约型开放式</w:t>
      </w:r>
    </w:p>
    <w:p>
      <w:pPr>
        <w:adjustRightInd w:val="0"/>
        <w:snapToGrid w:val="0"/>
        <w:spacing w:line="360" w:lineRule="auto"/>
        <w:ind w:firstLine="480" w:firstLineChars="200"/>
        <w:rPr>
          <w:rFonts w:hAnsi="宋体"/>
          <w:sz w:val="24"/>
        </w:rPr>
      </w:pPr>
      <w:r>
        <w:rPr>
          <w:rFonts w:hAnsi="宋体"/>
          <w:sz w:val="24"/>
        </w:rPr>
        <w:t>4、基金存续期限</w:t>
      </w:r>
    </w:p>
    <w:p>
      <w:pPr>
        <w:adjustRightInd w:val="0"/>
        <w:snapToGrid w:val="0"/>
        <w:spacing w:line="360" w:lineRule="auto"/>
        <w:ind w:firstLine="480" w:firstLineChars="200"/>
        <w:rPr>
          <w:rFonts w:hAnsi="宋体"/>
          <w:sz w:val="24"/>
        </w:rPr>
      </w:pPr>
      <w:r>
        <w:rPr>
          <w:rFonts w:hAnsi="宋体"/>
          <w:sz w:val="24"/>
        </w:rPr>
        <w:t>不定期</w:t>
      </w:r>
    </w:p>
    <w:p>
      <w:pPr>
        <w:adjustRightInd w:val="0"/>
        <w:snapToGrid w:val="0"/>
        <w:spacing w:line="360" w:lineRule="auto"/>
        <w:ind w:firstLine="480" w:firstLineChars="200"/>
        <w:rPr>
          <w:rFonts w:hAnsi="宋体"/>
          <w:sz w:val="24"/>
        </w:rPr>
      </w:pPr>
      <w:r>
        <w:rPr>
          <w:rFonts w:hAnsi="宋体"/>
          <w:sz w:val="24"/>
        </w:rPr>
        <w:t>5、基金份额发售面值</w:t>
      </w:r>
    </w:p>
    <w:p>
      <w:pPr>
        <w:adjustRightInd w:val="0"/>
        <w:snapToGrid w:val="0"/>
        <w:spacing w:line="360" w:lineRule="auto"/>
        <w:ind w:firstLine="480" w:firstLineChars="200"/>
        <w:rPr>
          <w:rFonts w:hAnsi="宋体"/>
          <w:sz w:val="24"/>
        </w:rPr>
      </w:pPr>
      <w:r>
        <w:rPr>
          <w:rFonts w:hAnsi="宋体"/>
          <w:sz w:val="24"/>
        </w:rPr>
        <w:t>本基金基金份额发售面值为人民币1.00元。</w:t>
      </w:r>
    </w:p>
    <w:p>
      <w:pPr>
        <w:adjustRightInd w:val="0"/>
        <w:snapToGrid w:val="0"/>
        <w:spacing w:line="360" w:lineRule="auto"/>
        <w:ind w:firstLine="480" w:firstLineChars="200"/>
        <w:rPr>
          <w:rFonts w:hint="eastAsia" w:hAnsi="宋体"/>
          <w:sz w:val="24"/>
          <w:lang w:val="en-US" w:eastAsia="zh-CN"/>
        </w:rPr>
      </w:pPr>
      <w:r>
        <w:rPr>
          <w:rFonts w:hint="eastAsia" w:hAnsi="宋体"/>
          <w:sz w:val="24"/>
          <w:lang w:val="en-US" w:eastAsia="zh-CN"/>
        </w:rPr>
        <w:t>6、基金份额类别</w:t>
      </w:r>
    </w:p>
    <w:p>
      <w:pPr>
        <w:numPr>
          <w:ilvl w:val="-1"/>
          <w:numId w:val="0"/>
        </w:numPr>
        <w:adjustRightInd w:val="0"/>
        <w:snapToGrid w:val="0"/>
        <w:spacing w:line="360" w:lineRule="auto"/>
        <w:ind w:firstLine="480" w:firstLineChars="200"/>
        <w:rPr>
          <w:rFonts w:hAnsi="宋体"/>
          <w:sz w:val="24"/>
        </w:rPr>
      </w:pPr>
      <w:r>
        <w:rPr>
          <w:rFonts w:hint="eastAsia" w:hAnsi="宋体"/>
          <w:sz w:val="24"/>
        </w:rPr>
        <w:t>本基金根据认购/申购费用、销售服务费收取方式的不同，将基金份额分为不同的类别。在投资人认购/申购时收取认购/申购费用、不从本类别基金资产中计提销售服务费的，称为A类基金份额；在投资人认购/申购时不收取认购/申购费用、从本类别基金资产中计提销售服务费的，称为C类基金份额。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pPr>
        <w:adjustRightInd w:val="0"/>
        <w:snapToGrid w:val="0"/>
        <w:spacing w:line="360" w:lineRule="auto"/>
        <w:ind w:firstLine="480" w:firstLineChars="200"/>
        <w:rPr>
          <w:rFonts w:hAnsi="宋体"/>
          <w:sz w:val="24"/>
        </w:rPr>
      </w:pPr>
      <w:r>
        <w:rPr>
          <w:rFonts w:hint="eastAsia" w:hAnsi="宋体"/>
          <w:sz w:val="24"/>
          <w:lang w:val="en-US" w:eastAsia="zh-CN"/>
        </w:rPr>
        <w:t>7</w:t>
      </w:r>
      <w:r>
        <w:rPr>
          <w:rFonts w:hint="eastAsia" w:hAnsi="宋体"/>
          <w:sz w:val="24"/>
        </w:rPr>
        <w:t>、</w:t>
      </w:r>
      <w:r>
        <w:rPr>
          <w:rFonts w:hAnsi="宋体"/>
          <w:sz w:val="24"/>
        </w:rPr>
        <w:t>基金代码及基金简称</w:t>
      </w:r>
    </w:p>
    <w:p>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lang w:val="en-US" w:eastAsia="zh-CN"/>
        </w:rPr>
        <w:t>A类基金份额</w:t>
      </w:r>
      <w:r>
        <w:rPr>
          <w:rFonts w:hint="eastAsia" w:hAnsi="宋体"/>
          <w:sz w:val="24"/>
        </w:rPr>
        <w:t>基金代码：</w:t>
      </w:r>
      <w:r>
        <w:rPr>
          <w:rFonts w:hint="eastAsia" w:hAnsi="宋体"/>
          <w:sz w:val="24"/>
          <w:highlight w:val="none"/>
          <w:lang w:val="en-US" w:eastAsia="zh-CN"/>
        </w:rPr>
        <w:t>025948</w:t>
      </w:r>
      <w:r>
        <w:rPr>
          <w:rFonts w:hint="eastAsia" w:hAnsi="宋体"/>
          <w:sz w:val="24"/>
          <w:highlight w:val="none"/>
        </w:rPr>
        <w:t>；基金简称：交银</w:t>
      </w:r>
      <w:r>
        <w:rPr>
          <w:rFonts w:hint="eastAsia" w:hAnsi="宋体"/>
          <w:sz w:val="24"/>
          <w:highlight w:val="none"/>
          <w:lang w:eastAsia="zh-CN"/>
        </w:rPr>
        <w:t>远见成长</w:t>
      </w:r>
      <w:r>
        <w:rPr>
          <w:rFonts w:hint="eastAsia" w:hAnsi="宋体"/>
          <w:sz w:val="24"/>
          <w:highlight w:val="none"/>
        </w:rPr>
        <w:t>混合</w:t>
      </w:r>
      <w:r>
        <w:rPr>
          <w:rFonts w:hint="eastAsia" w:hAnsi="宋体"/>
          <w:sz w:val="24"/>
          <w:highlight w:val="none"/>
          <w:lang w:val="en-US" w:eastAsia="zh-CN"/>
        </w:rPr>
        <w:t>A</w:t>
      </w:r>
    </w:p>
    <w:p>
      <w:pPr>
        <w:adjustRightInd w:val="0"/>
        <w:snapToGrid w:val="0"/>
        <w:spacing w:line="360" w:lineRule="auto"/>
        <w:ind w:firstLine="480" w:firstLineChars="200"/>
        <w:rPr>
          <w:rFonts w:hint="eastAsia" w:hAnsi="宋体"/>
          <w:sz w:val="24"/>
          <w:lang w:val="en-US" w:eastAsia="zh-CN"/>
        </w:rPr>
      </w:pPr>
      <w:r>
        <w:rPr>
          <w:rFonts w:hint="eastAsia" w:hAnsi="宋体"/>
          <w:sz w:val="24"/>
          <w:highlight w:val="none"/>
          <w:lang w:val="en-US" w:eastAsia="zh-CN"/>
        </w:rPr>
        <w:t>（2）C类基金份额基金代码：025953</w:t>
      </w:r>
      <w:r>
        <w:rPr>
          <w:rFonts w:hint="eastAsia" w:hAnsi="宋体"/>
          <w:sz w:val="24"/>
          <w:lang w:val="en-US" w:eastAsia="zh-CN"/>
        </w:rPr>
        <w:t>；基金简称：交银远见成长混合C</w:t>
      </w:r>
    </w:p>
    <w:p>
      <w:pPr>
        <w:adjustRightInd w:val="0"/>
        <w:snapToGrid w:val="0"/>
        <w:spacing w:line="360" w:lineRule="auto"/>
        <w:ind w:firstLine="480" w:firstLineChars="200"/>
        <w:rPr>
          <w:rFonts w:hAnsi="宋体"/>
          <w:sz w:val="24"/>
        </w:rPr>
      </w:pPr>
      <w:r>
        <w:rPr>
          <w:rFonts w:hint="eastAsia" w:hAnsi="宋体"/>
          <w:sz w:val="24"/>
          <w:lang w:val="en-US" w:eastAsia="zh-CN"/>
        </w:rPr>
        <w:t>8</w:t>
      </w:r>
      <w:r>
        <w:rPr>
          <w:rFonts w:hAnsi="宋体"/>
          <w:sz w:val="24"/>
        </w:rPr>
        <w:t>、发售对象</w:t>
      </w:r>
    </w:p>
    <w:p>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pPr>
        <w:adjustRightInd w:val="0"/>
        <w:snapToGrid w:val="0"/>
        <w:spacing w:line="360" w:lineRule="auto"/>
        <w:ind w:firstLine="480" w:firstLineChars="200"/>
        <w:rPr>
          <w:rFonts w:hAnsi="宋体"/>
          <w:sz w:val="24"/>
        </w:rPr>
      </w:pPr>
      <w:r>
        <w:rPr>
          <w:rFonts w:hint="eastAsia" w:hAnsi="宋体"/>
          <w:sz w:val="24"/>
          <w:lang w:val="en-US" w:eastAsia="zh-CN"/>
        </w:rPr>
        <w:t>9</w:t>
      </w:r>
      <w:r>
        <w:rPr>
          <w:rFonts w:hAnsi="宋体"/>
          <w:sz w:val="24"/>
        </w:rPr>
        <w:t>、销售机构</w:t>
      </w:r>
    </w:p>
    <w:p>
      <w:pPr>
        <w:adjustRightInd w:val="0"/>
        <w:snapToGrid w:val="0"/>
        <w:spacing w:line="360" w:lineRule="auto"/>
        <w:ind w:firstLine="480" w:firstLineChars="200"/>
        <w:rPr>
          <w:rFonts w:hAnsi="宋体"/>
          <w:sz w:val="24"/>
        </w:rPr>
      </w:pPr>
      <w:r>
        <w:rPr>
          <w:rFonts w:hAnsi="宋体"/>
          <w:sz w:val="24"/>
        </w:rPr>
        <w:t>（1）直销机构：</w:t>
      </w:r>
    </w:p>
    <w:p>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pPr>
        <w:adjustRightInd w:val="0"/>
        <w:snapToGrid w:val="0"/>
        <w:spacing w:line="360" w:lineRule="auto"/>
        <w:ind w:firstLine="480" w:firstLineChars="200"/>
        <w:rPr>
          <w:rFonts w:hAnsi="宋体"/>
          <w:sz w:val="24"/>
        </w:rPr>
      </w:pPr>
      <w:r>
        <w:rPr>
          <w:rFonts w:hint="eastAsia" w:hAnsi="宋体"/>
          <w:sz w:val="24"/>
          <w:lang w:val="en-US" w:eastAsia="zh-CN"/>
        </w:rPr>
        <w:t>10</w:t>
      </w:r>
      <w:r>
        <w:rPr>
          <w:rFonts w:hAnsi="宋体"/>
          <w:sz w:val="24"/>
        </w:rPr>
        <w:t>、募集时间安排与基金合同生效</w:t>
      </w:r>
    </w:p>
    <w:p>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rPr>
        <w:t>2025年11月3日起至2025年11月13日</w:t>
      </w:r>
      <w:r>
        <w:rPr>
          <w:rFonts w:hAnsi="宋体"/>
          <w:sz w:val="24"/>
          <w:highlight w:val="none"/>
        </w:rPr>
        <w:t>止，</w:t>
      </w:r>
      <w:r>
        <w:rPr>
          <w:rFonts w:hAnsi="宋体"/>
          <w:sz w:val="24"/>
        </w:rPr>
        <w:t>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pPr>
        <w:adjustRightInd w:val="0"/>
        <w:snapToGrid w:val="0"/>
        <w:spacing w:line="360" w:lineRule="auto"/>
        <w:ind w:firstLine="480" w:firstLineChars="200"/>
        <w:rPr>
          <w:rFonts w:hAnsi="宋体"/>
          <w:sz w:val="24"/>
        </w:rPr>
      </w:pPr>
      <w:r>
        <w:rPr>
          <w:rFonts w:hint="eastAsia" w:hAnsi="宋体"/>
          <w:sz w:val="24"/>
          <w:lang w:val="en-US" w:eastAsia="zh-CN"/>
        </w:rPr>
        <w:t>11</w:t>
      </w:r>
      <w:r>
        <w:rPr>
          <w:rFonts w:hAnsi="宋体"/>
          <w:sz w:val="24"/>
        </w:rPr>
        <w:t>、认购期利息的处理方式</w:t>
      </w:r>
    </w:p>
    <w:p>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1264042"/>
      <w:bookmarkEnd w:id="0"/>
      <w:bookmarkStart w:id="1" w:name="_Hlt90801570"/>
      <w:bookmarkEnd w:id="1"/>
      <w:bookmarkStart w:id="2" w:name="_Hlt91148053"/>
      <w:bookmarkEnd w:id="2"/>
      <w:bookmarkStart w:id="3" w:name="_Hlt91264078"/>
      <w:bookmarkEnd w:id="3"/>
      <w:bookmarkStart w:id="4" w:name="_Hlt90455312"/>
      <w:bookmarkEnd w:id="4"/>
    </w:p>
    <w:p>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pPr>
        <w:adjustRightInd w:val="0"/>
        <w:snapToGrid w:val="0"/>
        <w:spacing w:line="360" w:lineRule="auto"/>
        <w:ind w:firstLine="480" w:firstLineChars="200"/>
        <w:rPr>
          <w:kern w:val="0"/>
          <w:sz w:val="24"/>
          <w:szCs w:val="24"/>
        </w:rPr>
      </w:pPr>
      <w:r>
        <w:rPr>
          <w:rFonts w:hint="eastAsia" w:hAnsi="宋体"/>
          <w:sz w:val="24"/>
          <w:lang w:val="en-US" w:eastAsia="zh-CN"/>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pPr>
        <w:adjustRightInd w:val="0"/>
        <w:snapToGrid w:val="0"/>
        <w:spacing w:line="360" w:lineRule="auto"/>
        <w:ind w:firstLine="480" w:firstLineChars="200"/>
        <w:rPr>
          <w:kern w:val="0"/>
          <w:sz w:val="24"/>
          <w:szCs w:val="24"/>
        </w:rPr>
      </w:pPr>
      <w:r>
        <w:rPr>
          <w:kern w:val="0"/>
          <w:sz w:val="24"/>
          <w:szCs w:val="24"/>
        </w:rPr>
        <w:t>（2）认购费率</w:t>
      </w:r>
    </w:p>
    <w:p>
      <w:pPr>
        <w:widowControl/>
        <w:adjustRightInd w:val="0"/>
        <w:snapToGrid w:val="0"/>
        <w:spacing w:line="360" w:lineRule="auto"/>
        <w:ind w:firstLine="480" w:firstLineChars="200"/>
        <w:rPr>
          <w:rFonts w:hint="eastAsia"/>
          <w:sz w:val="24"/>
          <w:szCs w:val="24"/>
        </w:rPr>
      </w:pPr>
      <w:r>
        <w:rPr>
          <w:rFonts w:hint="eastAsia"/>
          <w:sz w:val="24"/>
          <w:szCs w:val="24"/>
        </w:rPr>
        <w:t>募集期内投资人可以多次认购本基金，认购费用按每笔认购申请单独计算。基金投资者认购A类基金份额收取认购费用，即在认购时支付认购费用。基金投资者认购C类基金份额不收取认购费用，而是从该类别基金资产中计提销售服务费。</w:t>
      </w:r>
    </w:p>
    <w:p>
      <w:pPr>
        <w:widowControl/>
        <w:adjustRightInd w:val="0"/>
        <w:snapToGrid w:val="0"/>
        <w:spacing w:line="360" w:lineRule="auto"/>
        <w:ind w:firstLine="480" w:firstLineChars="200"/>
        <w:rPr>
          <w:kern w:val="0"/>
          <w:sz w:val="24"/>
          <w:szCs w:val="24"/>
        </w:rPr>
      </w:pPr>
      <w:r>
        <w:rPr>
          <w:rFonts w:hint="eastAsia"/>
          <w:sz w:val="24"/>
          <w:szCs w:val="24"/>
        </w:rPr>
        <w:t>本基金A类基金份额（非养老金客户）的认购费率如下表：</w:t>
      </w:r>
    </w:p>
    <w:tbl>
      <w:tblPr>
        <w:tblStyle w:val="51"/>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认购金额（含认购费）</w:t>
            </w:r>
          </w:p>
        </w:tc>
        <w:tc>
          <w:tcPr>
            <w:tcW w:w="3598"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A类基金份额认购费率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100万元以下</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sz w:val="24"/>
                <w:szCs w:val="24"/>
              </w:rPr>
              <w:t>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sz w:val="24"/>
                <w:szCs w:val="24"/>
              </w:rPr>
            </w:pPr>
            <w:r>
              <w:rPr>
                <w:rFonts w:hint="eastAsia"/>
                <w:sz w:val="24"/>
                <w:szCs w:val="24"/>
              </w:rPr>
              <w:t>100万元（含）至300万元</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int="eastAsia"/>
                <w:sz w:val="24"/>
                <w:szCs w:val="24"/>
              </w:rPr>
            </w:pPr>
            <w:r>
              <w:rPr>
                <w:rFonts w:hint="eastAsia"/>
                <w:sz w:val="24"/>
                <w:szCs w:val="24"/>
              </w:rPr>
              <w:t>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sz w:val="24"/>
                <w:szCs w:val="24"/>
              </w:rPr>
            </w:pPr>
            <w:r>
              <w:rPr>
                <w:rFonts w:hint="eastAsia"/>
                <w:sz w:val="24"/>
                <w:szCs w:val="24"/>
              </w:rPr>
              <w:t>300万元（含）至500万元</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int="eastAsia"/>
                <w:sz w:val="24"/>
                <w:szCs w:val="24"/>
              </w:rPr>
            </w:pPr>
            <w:r>
              <w:rPr>
                <w:rFonts w:hint="eastAsia"/>
                <w:sz w:val="24"/>
                <w:szCs w:val="24"/>
              </w:rPr>
              <w:t>0.6%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500万元以上（含500万元）</w:t>
            </w:r>
          </w:p>
        </w:tc>
        <w:tc>
          <w:tcPr>
            <w:tcW w:w="3598"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sz w:val="24"/>
                <w:szCs w:val="24"/>
              </w:rPr>
            </w:pPr>
            <w:r>
              <w:rPr>
                <w:rFonts w:hint="eastAsia"/>
                <w:sz w:val="24"/>
                <w:szCs w:val="24"/>
              </w:rPr>
              <w:t>每笔交易1000元</w:t>
            </w:r>
          </w:p>
        </w:tc>
      </w:tr>
    </w:tbl>
    <w:p>
      <w:pPr>
        <w:adjustRightInd w:val="0"/>
        <w:snapToGrid w:val="0"/>
        <w:spacing w:line="360" w:lineRule="auto"/>
        <w:ind w:firstLine="480" w:firstLineChars="200"/>
        <w:rPr>
          <w:rFonts w:hint="eastAsia"/>
          <w:sz w:val="24"/>
          <w:szCs w:val="24"/>
        </w:rPr>
      </w:pPr>
      <w:r>
        <w:rPr>
          <w:rFonts w:hint="eastAsia"/>
          <w:sz w:val="24"/>
          <w:szCs w:val="24"/>
        </w:rPr>
        <w:t>本基金对通过基金管理人直销柜台认购A类基金份额的养老金客户与除此之外的其他投资者实施差别的认购费率。养老金客户包括基本养老基金与依法成立的养老计划筹集的资金及其投资运营收益形成的补充养老基金等，具体包括：</w:t>
      </w:r>
    </w:p>
    <w:p>
      <w:pPr>
        <w:adjustRightInd w:val="0"/>
        <w:snapToGrid w:val="0"/>
        <w:spacing w:line="360" w:lineRule="auto"/>
        <w:ind w:firstLine="480" w:firstLineChars="200"/>
        <w:rPr>
          <w:rFonts w:hint="eastAsia"/>
          <w:sz w:val="24"/>
          <w:szCs w:val="24"/>
        </w:rPr>
      </w:pPr>
      <w:r>
        <w:rPr>
          <w:rFonts w:hint="eastAsia"/>
          <w:sz w:val="24"/>
          <w:szCs w:val="24"/>
        </w:rPr>
        <w:t>1）全国社会保障基金；</w:t>
      </w:r>
    </w:p>
    <w:p>
      <w:pPr>
        <w:adjustRightInd w:val="0"/>
        <w:snapToGrid w:val="0"/>
        <w:spacing w:line="360" w:lineRule="auto"/>
        <w:ind w:firstLine="480" w:firstLineChars="200"/>
        <w:rPr>
          <w:rFonts w:hint="eastAsia"/>
          <w:sz w:val="24"/>
          <w:szCs w:val="24"/>
        </w:rPr>
      </w:pPr>
      <w:r>
        <w:rPr>
          <w:rFonts w:hint="eastAsia"/>
          <w:sz w:val="24"/>
          <w:szCs w:val="24"/>
        </w:rPr>
        <w:t>2）可以投资基金的地方社会保障基金；</w:t>
      </w:r>
    </w:p>
    <w:p>
      <w:pPr>
        <w:adjustRightInd w:val="0"/>
        <w:snapToGrid w:val="0"/>
        <w:spacing w:line="360" w:lineRule="auto"/>
        <w:ind w:firstLine="480" w:firstLineChars="200"/>
        <w:rPr>
          <w:rFonts w:hint="eastAsia"/>
          <w:sz w:val="24"/>
          <w:szCs w:val="24"/>
        </w:rPr>
      </w:pPr>
      <w:r>
        <w:rPr>
          <w:rFonts w:hint="eastAsia"/>
          <w:sz w:val="24"/>
          <w:szCs w:val="24"/>
        </w:rPr>
        <w:t>3）企业年金单一计划以及集合计划；</w:t>
      </w:r>
    </w:p>
    <w:p>
      <w:pPr>
        <w:adjustRightInd w:val="0"/>
        <w:snapToGrid w:val="0"/>
        <w:spacing w:line="360" w:lineRule="auto"/>
        <w:ind w:firstLine="480" w:firstLineChars="200"/>
        <w:rPr>
          <w:rFonts w:hint="eastAsia"/>
          <w:sz w:val="24"/>
          <w:szCs w:val="24"/>
        </w:rPr>
      </w:pPr>
      <w:r>
        <w:rPr>
          <w:rFonts w:hint="eastAsia"/>
          <w:sz w:val="24"/>
          <w:szCs w:val="24"/>
        </w:rPr>
        <w:t>4）企业年金理事会委托的特定客户资产管理计划；</w:t>
      </w:r>
    </w:p>
    <w:p>
      <w:pPr>
        <w:adjustRightInd w:val="0"/>
        <w:snapToGrid w:val="0"/>
        <w:spacing w:line="360" w:lineRule="auto"/>
        <w:ind w:firstLine="480" w:firstLineChars="200"/>
        <w:rPr>
          <w:rFonts w:hint="eastAsia"/>
          <w:sz w:val="24"/>
          <w:szCs w:val="24"/>
        </w:rPr>
      </w:pPr>
      <w:r>
        <w:rPr>
          <w:rFonts w:hint="eastAsia"/>
          <w:sz w:val="24"/>
          <w:szCs w:val="24"/>
        </w:rPr>
        <w:t>5）企业年金养老金产品。</w:t>
      </w:r>
    </w:p>
    <w:p>
      <w:pPr>
        <w:adjustRightInd w:val="0"/>
        <w:snapToGrid w:val="0"/>
        <w:spacing w:line="360" w:lineRule="auto"/>
        <w:ind w:firstLine="480" w:firstLineChars="200"/>
        <w:rPr>
          <w:rFonts w:hint="eastAsia"/>
          <w:sz w:val="24"/>
          <w:szCs w:val="24"/>
        </w:rPr>
      </w:pPr>
      <w:r>
        <w:rPr>
          <w:rFonts w:hint="eastAsia"/>
          <w:sz w:val="24"/>
          <w:szCs w:val="24"/>
        </w:rPr>
        <w:t>如将来出现经养老基金监管部门认可的新的养老基金类型，基金管理人可在招募说明书更新或发布临时公告将其纳入养老金客户范围。</w:t>
      </w:r>
    </w:p>
    <w:p>
      <w:pPr>
        <w:widowControl/>
        <w:adjustRightInd w:val="0"/>
        <w:snapToGrid w:val="0"/>
        <w:spacing w:line="360" w:lineRule="auto"/>
        <w:ind w:firstLine="480" w:firstLineChars="200"/>
        <w:rPr>
          <w:sz w:val="24"/>
          <w:szCs w:val="24"/>
        </w:rPr>
      </w:pPr>
      <w:r>
        <w:rPr>
          <w:rFonts w:hint="eastAsia"/>
          <w:sz w:val="24"/>
          <w:szCs w:val="24"/>
        </w:rPr>
        <w:t>养老金客户通过基金管理人的直销柜台认购本基金A类基金份额的特定认购费率如下：</w:t>
      </w:r>
    </w:p>
    <w:tbl>
      <w:tblPr>
        <w:tblStyle w:val="51"/>
        <w:tblW w:w="7027"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260"/>
        <w:gridCol w:w="376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260"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认购金额（含认购费）</w:t>
            </w:r>
          </w:p>
        </w:tc>
        <w:tc>
          <w:tcPr>
            <w:tcW w:w="3767" w:type="dxa"/>
            <w:tcBorders>
              <w:top w:val="single" w:color="808080" w:sz="4" w:space="0"/>
              <w:left w:val="single" w:color="808080" w:sz="4" w:space="0"/>
              <w:bottom w:val="single" w:color="808080" w:sz="4" w:space="0"/>
              <w:right w:val="single" w:color="808080" w:sz="4" w:space="0"/>
              <w:tl2br w:val="nil"/>
              <w:tr2bl w:val="nil"/>
            </w:tcBorders>
            <w:shd w:val="clear" w:color="auto" w:fill="FFFFFF"/>
            <w:vAlign w:val="center"/>
          </w:tcPr>
          <w:p>
            <w:pPr>
              <w:adjustRightInd w:val="0"/>
              <w:snapToGrid w:val="0"/>
              <w:jc w:val="center"/>
              <w:rPr>
                <w:b/>
                <w:sz w:val="24"/>
                <w:szCs w:val="24"/>
              </w:rPr>
            </w:pPr>
            <w:r>
              <w:rPr>
                <w:rFonts w:hint="eastAsia"/>
                <w:b/>
                <w:sz w:val="24"/>
                <w:szCs w:val="24"/>
              </w:rPr>
              <w:t>A类基金份额特定认购费率</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100万元以下</w:t>
            </w:r>
          </w:p>
        </w:tc>
        <w:tc>
          <w:tcPr>
            <w:tcW w:w="3767" w:type="dxa"/>
            <w:tcBorders>
              <w:top w:val="single" w:color="808080" w:sz="4" w:space="0"/>
              <w:left w:val="single" w:color="808080" w:sz="4" w:space="0"/>
              <w:bottom w:val="single" w:color="808080" w:sz="4" w:space="0"/>
              <w:right w:val="single" w:color="808080" w:sz="4" w:space="0"/>
              <w:tl2br w:val="nil"/>
              <w:tr2bl w:val="nil"/>
            </w:tcBorders>
            <w:vAlign w:val="center"/>
          </w:tcPr>
          <w:p>
            <w:pPr>
              <w:adjustRightInd w:val="0"/>
              <w:snapToGrid w:val="0"/>
              <w:jc w:val="center"/>
              <w:rPr>
                <w:sz w:val="24"/>
                <w:szCs w:val="24"/>
              </w:rPr>
            </w:pPr>
            <w:r>
              <w:rPr>
                <w:rFonts w:hint="eastAsia"/>
                <w:sz w:val="24"/>
                <w:szCs w:val="24"/>
              </w:rPr>
              <w:t>0.48%</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sz w:val="24"/>
                <w:szCs w:val="24"/>
              </w:rPr>
            </w:pPr>
            <w:r>
              <w:rPr>
                <w:rFonts w:hint="eastAsia"/>
                <w:sz w:val="24"/>
                <w:szCs w:val="24"/>
              </w:rPr>
              <w:t>100万元（含）至300万元</w:t>
            </w:r>
          </w:p>
        </w:tc>
        <w:tc>
          <w:tcPr>
            <w:tcW w:w="3767"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int="eastAsia" w:hAnsi="宋体"/>
                <w:sz w:val="24"/>
                <w:szCs w:val="24"/>
              </w:rPr>
            </w:pPr>
            <w:r>
              <w:rPr>
                <w:rFonts w:hint="eastAsia" w:hAnsi="宋体"/>
                <w:sz w:val="24"/>
                <w:szCs w:val="24"/>
              </w:rPr>
              <w:t>0.30%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rFonts w:hint="eastAsia"/>
                <w:sz w:val="24"/>
                <w:szCs w:val="24"/>
              </w:rPr>
            </w:pPr>
            <w:r>
              <w:rPr>
                <w:rFonts w:hint="eastAsia"/>
                <w:sz w:val="24"/>
                <w:szCs w:val="24"/>
              </w:rPr>
              <w:t>300万元（含）至500万元</w:t>
            </w:r>
          </w:p>
        </w:tc>
        <w:tc>
          <w:tcPr>
            <w:tcW w:w="3767"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int="eastAsia" w:hAnsi="宋体"/>
                <w:sz w:val="24"/>
                <w:szCs w:val="24"/>
              </w:rPr>
            </w:pPr>
            <w:r>
              <w:rPr>
                <w:rFonts w:hint="eastAsia" w:hAnsi="宋体"/>
                <w:sz w:val="24"/>
                <w:szCs w:val="24"/>
              </w:rPr>
              <w:t>0.12%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260"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rPr>
                <w:sz w:val="24"/>
                <w:szCs w:val="24"/>
              </w:rPr>
            </w:pPr>
            <w:r>
              <w:rPr>
                <w:rFonts w:hint="eastAsia"/>
                <w:sz w:val="24"/>
                <w:szCs w:val="24"/>
              </w:rPr>
              <w:t>500万元以上（含500万元）</w:t>
            </w:r>
          </w:p>
        </w:tc>
        <w:tc>
          <w:tcPr>
            <w:tcW w:w="3767" w:type="dxa"/>
            <w:tcBorders>
              <w:top w:val="single" w:color="808080" w:sz="4" w:space="0"/>
              <w:left w:val="single" w:color="808080" w:sz="4" w:space="0"/>
              <w:bottom w:val="single" w:color="808080" w:sz="4" w:space="0"/>
              <w:right w:val="single" w:color="808080" w:sz="4" w:space="0"/>
              <w:tl2br w:val="nil"/>
              <w:tr2bl w:val="nil"/>
            </w:tcBorders>
          </w:tcPr>
          <w:p>
            <w:pPr>
              <w:adjustRightInd w:val="0"/>
              <w:snapToGrid w:val="0"/>
              <w:jc w:val="center"/>
              <w:rPr>
                <w:rFonts w:hAnsi="宋体"/>
                <w:sz w:val="24"/>
                <w:szCs w:val="24"/>
              </w:rPr>
            </w:pPr>
            <w:r>
              <w:rPr>
                <w:rFonts w:hint="eastAsia" w:hAnsi="宋体"/>
                <w:sz w:val="24"/>
                <w:szCs w:val="24"/>
              </w:rPr>
              <w:t>每笔交易</w:t>
            </w:r>
            <w:r>
              <w:rPr>
                <w:sz w:val="24"/>
                <w:szCs w:val="24"/>
              </w:rPr>
              <w:t>1000</w:t>
            </w:r>
            <w:r>
              <w:rPr>
                <w:rFonts w:hint="eastAsia" w:hAnsi="宋体"/>
                <w:sz w:val="24"/>
                <w:szCs w:val="24"/>
              </w:rPr>
              <w:t>元</w:t>
            </w:r>
          </w:p>
        </w:tc>
      </w:tr>
    </w:tbl>
    <w:p>
      <w:pPr>
        <w:adjustRightInd w:val="0"/>
        <w:snapToGrid w:val="0"/>
        <w:spacing w:line="360" w:lineRule="auto"/>
        <w:ind w:firstLine="480" w:firstLineChars="200"/>
        <w:rPr>
          <w:sz w:val="24"/>
          <w:szCs w:val="24"/>
        </w:rPr>
      </w:pPr>
      <w:r>
        <w:rPr>
          <w:rFonts w:hint="eastAsia"/>
          <w:sz w:val="24"/>
          <w:szCs w:val="24"/>
        </w:rPr>
        <w:t>本基金A类基金份额的认购费用由认购A类基金份额的投资人承担，认购费用不列入基金财产，主要用于基金的市场推广、销售、登记等募集期间发生的各项费用。</w:t>
      </w:r>
    </w:p>
    <w:p>
      <w:pPr>
        <w:adjustRightInd w:val="0"/>
        <w:snapToGrid w:val="0"/>
        <w:spacing w:line="360" w:lineRule="auto"/>
        <w:ind w:firstLine="480" w:firstLineChars="200"/>
        <w:rPr>
          <w:sz w:val="24"/>
          <w:szCs w:val="24"/>
        </w:rPr>
      </w:pPr>
      <w:r>
        <w:rPr>
          <w:rFonts w:hint="eastAsia"/>
          <w:sz w:val="24"/>
          <w:szCs w:val="24"/>
        </w:rPr>
        <w:t>（3）认购份额的计算</w:t>
      </w:r>
    </w:p>
    <w:p>
      <w:pPr>
        <w:adjustRightInd w:val="0"/>
        <w:snapToGrid w:val="0"/>
        <w:spacing w:line="360" w:lineRule="auto"/>
        <w:ind w:firstLine="480" w:firstLineChars="200"/>
        <w:rPr>
          <w:rFonts w:hint="eastAsia"/>
          <w:sz w:val="24"/>
          <w:szCs w:val="24"/>
        </w:rPr>
      </w:pPr>
      <w:r>
        <w:rPr>
          <w:rFonts w:hint="eastAsia"/>
          <w:sz w:val="24"/>
          <w:szCs w:val="24"/>
        </w:rPr>
        <w:t>基金认购采用金额认购的方式。</w:t>
      </w:r>
    </w:p>
    <w:p>
      <w:pPr>
        <w:adjustRightInd w:val="0"/>
        <w:snapToGrid w:val="0"/>
        <w:spacing w:line="360" w:lineRule="auto"/>
        <w:ind w:firstLine="480" w:firstLineChars="200"/>
        <w:rPr>
          <w:rFonts w:hint="eastAsia"/>
          <w:sz w:val="24"/>
          <w:szCs w:val="24"/>
        </w:rPr>
      </w:pPr>
      <w:r>
        <w:rPr>
          <w:rFonts w:hint="eastAsia"/>
          <w:sz w:val="24"/>
          <w:szCs w:val="24"/>
        </w:rPr>
        <w:t>1）A类基金份额的认购</w:t>
      </w:r>
    </w:p>
    <w:p>
      <w:pPr>
        <w:adjustRightInd w:val="0"/>
        <w:snapToGrid w:val="0"/>
        <w:spacing w:line="360" w:lineRule="auto"/>
        <w:ind w:firstLine="480" w:firstLineChars="200"/>
        <w:rPr>
          <w:rFonts w:hint="eastAsia"/>
          <w:sz w:val="24"/>
          <w:szCs w:val="24"/>
        </w:rPr>
      </w:pPr>
      <w:r>
        <w:rPr>
          <w:rFonts w:hint="eastAsia"/>
          <w:sz w:val="24"/>
          <w:szCs w:val="24"/>
        </w:rPr>
        <w:t>基金的认购金额包括认购费用和净认购金额。计算公式为：</w:t>
      </w:r>
    </w:p>
    <w:p>
      <w:pPr>
        <w:adjustRightInd w:val="0"/>
        <w:snapToGrid w:val="0"/>
        <w:spacing w:line="360" w:lineRule="auto"/>
        <w:ind w:firstLine="480" w:firstLineChars="200"/>
        <w:rPr>
          <w:rFonts w:hint="eastAsia"/>
          <w:sz w:val="24"/>
          <w:szCs w:val="24"/>
        </w:rPr>
      </w:pPr>
      <w:r>
        <w:rPr>
          <w:rFonts w:hint="eastAsia"/>
          <w:sz w:val="24"/>
          <w:szCs w:val="24"/>
        </w:rPr>
        <w:t>认购总金额=申请总金额</w:t>
      </w:r>
    </w:p>
    <w:p>
      <w:pPr>
        <w:adjustRightInd w:val="0"/>
        <w:snapToGrid w:val="0"/>
        <w:spacing w:line="360" w:lineRule="auto"/>
        <w:ind w:firstLine="480" w:firstLineChars="200"/>
        <w:rPr>
          <w:rFonts w:hint="eastAsia"/>
          <w:sz w:val="24"/>
          <w:szCs w:val="24"/>
        </w:rPr>
      </w:pPr>
      <w:r>
        <w:rPr>
          <w:rFonts w:hint="eastAsia"/>
          <w:sz w:val="24"/>
          <w:szCs w:val="24"/>
        </w:rPr>
        <w:t>净认购金额=认购总金额/（1+认购费率）</w:t>
      </w:r>
    </w:p>
    <w:p>
      <w:pPr>
        <w:adjustRightInd w:val="0"/>
        <w:snapToGrid w:val="0"/>
        <w:spacing w:line="360" w:lineRule="auto"/>
        <w:ind w:firstLine="480" w:firstLineChars="200"/>
        <w:rPr>
          <w:rFonts w:hint="eastAsia"/>
          <w:sz w:val="24"/>
          <w:szCs w:val="24"/>
        </w:rPr>
      </w:pPr>
      <w:r>
        <w:rPr>
          <w:rFonts w:hint="eastAsia"/>
          <w:sz w:val="24"/>
          <w:szCs w:val="24"/>
        </w:rPr>
        <w:t>（注：对于适用固定金额认购费用的认购，净认购金额＝认购总金额－固定认购费用金额）</w:t>
      </w:r>
    </w:p>
    <w:p>
      <w:pPr>
        <w:adjustRightInd w:val="0"/>
        <w:snapToGrid w:val="0"/>
        <w:spacing w:line="360" w:lineRule="auto"/>
        <w:ind w:firstLine="480" w:firstLineChars="200"/>
        <w:rPr>
          <w:rFonts w:hint="eastAsia"/>
          <w:sz w:val="24"/>
          <w:szCs w:val="24"/>
        </w:rPr>
      </w:pPr>
      <w:r>
        <w:rPr>
          <w:rFonts w:hint="eastAsia"/>
          <w:sz w:val="24"/>
          <w:szCs w:val="24"/>
        </w:rPr>
        <w:t>认购费用=认购总金额-净认购金额</w:t>
      </w:r>
    </w:p>
    <w:p>
      <w:pPr>
        <w:adjustRightInd w:val="0"/>
        <w:snapToGrid w:val="0"/>
        <w:spacing w:line="360" w:lineRule="auto"/>
        <w:ind w:firstLine="480" w:firstLineChars="200"/>
        <w:rPr>
          <w:rFonts w:hint="eastAsia"/>
          <w:sz w:val="24"/>
          <w:szCs w:val="24"/>
        </w:rPr>
      </w:pPr>
      <w:r>
        <w:rPr>
          <w:rFonts w:hint="eastAsia"/>
          <w:sz w:val="24"/>
          <w:szCs w:val="24"/>
        </w:rPr>
        <w:t>（注：对于适用固定金额认购费用的认购，认购费用＝固定认购费用金额）</w:t>
      </w:r>
    </w:p>
    <w:p>
      <w:pPr>
        <w:adjustRightInd w:val="0"/>
        <w:snapToGrid w:val="0"/>
        <w:spacing w:line="360" w:lineRule="auto"/>
        <w:ind w:firstLine="480" w:firstLineChars="200"/>
        <w:rPr>
          <w:rFonts w:hint="eastAsia"/>
          <w:sz w:val="24"/>
          <w:szCs w:val="24"/>
        </w:rPr>
      </w:pPr>
      <w:r>
        <w:rPr>
          <w:rFonts w:hint="eastAsia"/>
          <w:sz w:val="24"/>
          <w:szCs w:val="24"/>
        </w:rPr>
        <w:t>认购份额=净认购金额/基金份额初始面值+认购利息/基金份额初始面值</w:t>
      </w:r>
    </w:p>
    <w:p>
      <w:pPr>
        <w:adjustRightInd w:val="0"/>
        <w:snapToGrid w:val="0"/>
        <w:spacing w:line="360" w:lineRule="auto"/>
        <w:ind w:firstLine="480" w:firstLineChars="200"/>
        <w:rPr>
          <w:rFonts w:hint="eastAsia"/>
          <w:sz w:val="24"/>
          <w:szCs w:val="24"/>
        </w:rPr>
      </w:pPr>
      <w:r>
        <w:rPr>
          <w:rFonts w:hint="eastAsia"/>
          <w:sz w:val="24"/>
          <w:szCs w:val="24"/>
        </w:rPr>
        <w:t>认购份额的计算保留到小数点后2位，小数点2位以后的部分四舍五入，由此误差产生的收益或损失由基金财产承担。</w:t>
      </w:r>
    </w:p>
    <w:p>
      <w:pPr>
        <w:adjustRightInd w:val="0"/>
        <w:snapToGrid w:val="0"/>
        <w:spacing w:line="360" w:lineRule="auto"/>
        <w:ind w:firstLine="480" w:firstLineChars="200"/>
        <w:rPr>
          <w:rFonts w:hint="eastAsia"/>
          <w:sz w:val="24"/>
          <w:szCs w:val="24"/>
        </w:rPr>
      </w:pPr>
      <w:r>
        <w:rPr>
          <w:rFonts w:hint="eastAsia"/>
          <w:sz w:val="24"/>
          <w:szCs w:val="24"/>
        </w:rPr>
        <w:t>例一：某投资者（非养老金客户）认购本基金A类基金份额100,000.00元，且该认购申请被全额确认，假定该笔认购金额产生的利息为10.00元，认购费率为1.2%，则可认购基金份额为：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净认购金额＝100,000.00/（1＋1.2%）＝98,814.23元</w:t>
      </w:r>
    </w:p>
    <w:p>
      <w:pPr>
        <w:adjustRightInd w:val="0"/>
        <w:snapToGrid w:val="0"/>
        <w:spacing w:line="360" w:lineRule="auto"/>
        <w:ind w:firstLine="480" w:firstLineChars="200"/>
        <w:rPr>
          <w:rFonts w:hint="eastAsia"/>
          <w:sz w:val="24"/>
          <w:szCs w:val="24"/>
        </w:rPr>
      </w:pPr>
      <w:r>
        <w:rPr>
          <w:rFonts w:hint="eastAsia"/>
          <w:sz w:val="24"/>
          <w:szCs w:val="24"/>
        </w:rPr>
        <w:t>认购费用＝100,000.00-98,814.23＝1,185.77元</w:t>
      </w:r>
    </w:p>
    <w:p>
      <w:pPr>
        <w:adjustRightInd w:val="0"/>
        <w:snapToGrid w:val="0"/>
        <w:spacing w:line="360" w:lineRule="auto"/>
        <w:ind w:firstLine="480" w:firstLineChars="200"/>
        <w:rPr>
          <w:rFonts w:hint="eastAsia"/>
          <w:sz w:val="24"/>
          <w:szCs w:val="24"/>
        </w:rPr>
      </w:pPr>
      <w:r>
        <w:rPr>
          <w:rFonts w:hint="eastAsia"/>
          <w:sz w:val="24"/>
          <w:szCs w:val="24"/>
        </w:rPr>
        <w:t>认购份额＝98,814.23/1.00＋10.00/1.00＝98,824.23份</w:t>
      </w:r>
    </w:p>
    <w:p>
      <w:pPr>
        <w:adjustRightInd w:val="0"/>
        <w:snapToGrid w:val="0"/>
        <w:spacing w:line="360" w:lineRule="auto"/>
        <w:ind w:firstLine="480" w:firstLineChars="200"/>
        <w:rPr>
          <w:rFonts w:hint="eastAsia"/>
          <w:sz w:val="24"/>
          <w:szCs w:val="24"/>
        </w:rPr>
      </w:pPr>
      <w:r>
        <w:rPr>
          <w:rFonts w:hint="eastAsia"/>
          <w:sz w:val="24"/>
          <w:szCs w:val="24"/>
        </w:rPr>
        <w:t>即：若该投资者（非养老金客户）认购本基金A类基金份额100,000.00元，且该认购申请被全额确认，假定该笔认购金额产生的利息为10.00元，则投资100,000元本金可得到98,824.23份A类基金份额。</w:t>
      </w:r>
    </w:p>
    <w:p>
      <w:pPr>
        <w:adjustRightInd w:val="0"/>
        <w:snapToGrid w:val="0"/>
        <w:spacing w:line="360" w:lineRule="auto"/>
        <w:ind w:firstLine="480" w:firstLineChars="200"/>
        <w:rPr>
          <w:rFonts w:hint="eastAsia"/>
          <w:sz w:val="24"/>
          <w:szCs w:val="24"/>
        </w:rPr>
      </w:pPr>
      <w:r>
        <w:rPr>
          <w:rFonts w:hint="eastAsia"/>
          <w:sz w:val="24"/>
          <w:szCs w:val="24"/>
        </w:rPr>
        <w:t>例二：某养老金客户通过基金管理人的直销柜台认购本基金A类基金份额1,000,000.00元，且该认购申请被全额确认，假定该笔认购金额产生的利息为50.00元，认购费率为0.3%，则可认购基金份额为：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认购总金额=1,000,000.00元</w:t>
      </w:r>
    </w:p>
    <w:p>
      <w:pPr>
        <w:adjustRightInd w:val="0"/>
        <w:snapToGrid w:val="0"/>
        <w:spacing w:line="360" w:lineRule="auto"/>
        <w:ind w:firstLine="480" w:firstLineChars="200"/>
        <w:rPr>
          <w:rFonts w:hint="eastAsia"/>
          <w:sz w:val="24"/>
          <w:szCs w:val="24"/>
        </w:rPr>
      </w:pPr>
      <w:r>
        <w:rPr>
          <w:rFonts w:hint="eastAsia"/>
          <w:sz w:val="24"/>
          <w:szCs w:val="24"/>
        </w:rPr>
        <w:t>净认购金额＝1,000,000.00/（1＋0.3%）＝997,008.97元</w:t>
      </w:r>
    </w:p>
    <w:p>
      <w:pPr>
        <w:adjustRightInd w:val="0"/>
        <w:snapToGrid w:val="0"/>
        <w:spacing w:line="360" w:lineRule="auto"/>
        <w:ind w:firstLine="480" w:firstLineChars="200"/>
        <w:rPr>
          <w:rFonts w:hint="eastAsia"/>
          <w:sz w:val="24"/>
          <w:szCs w:val="24"/>
        </w:rPr>
      </w:pPr>
      <w:r>
        <w:rPr>
          <w:rFonts w:hint="eastAsia"/>
          <w:sz w:val="24"/>
          <w:szCs w:val="24"/>
        </w:rPr>
        <w:t>认购费用＝1,000,000-997,008.97＝2,991.03元</w:t>
      </w:r>
    </w:p>
    <w:p>
      <w:pPr>
        <w:adjustRightInd w:val="0"/>
        <w:snapToGrid w:val="0"/>
        <w:spacing w:line="360" w:lineRule="auto"/>
        <w:ind w:firstLine="480" w:firstLineChars="200"/>
        <w:rPr>
          <w:rFonts w:hint="eastAsia"/>
          <w:sz w:val="24"/>
          <w:szCs w:val="24"/>
        </w:rPr>
      </w:pPr>
      <w:r>
        <w:rPr>
          <w:rFonts w:hint="eastAsia"/>
          <w:sz w:val="24"/>
          <w:szCs w:val="24"/>
        </w:rPr>
        <w:t>认购份额＝997,008.97/1.00＋50.00/1.00＝997,058.97份</w:t>
      </w:r>
    </w:p>
    <w:p>
      <w:pPr>
        <w:adjustRightInd w:val="0"/>
        <w:snapToGrid w:val="0"/>
        <w:spacing w:line="360" w:lineRule="auto"/>
        <w:ind w:firstLine="480" w:firstLineChars="200"/>
        <w:rPr>
          <w:rFonts w:hint="eastAsia"/>
          <w:sz w:val="24"/>
          <w:szCs w:val="24"/>
        </w:rPr>
      </w:pPr>
      <w:r>
        <w:rPr>
          <w:rFonts w:hint="eastAsia"/>
          <w:sz w:val="24"/>
          <w:szCs w:val="24"/>
        </w:rPr>
        <w:t>即：若该养老金客户通过基金管理人的直销柜台认购本基金A类基金份额1,000,000.00元，且该认购申请被全额确认，假定该笔认购金额产生的利息为50.00元，可得到997,058.97份A类基金份额。</w:t>
      </w:r>
    </w:p>
    <w:p>
      <w:pPr>
        <w:adjustRightInd w:val="0"/>
        <w:snapToGrid w:val="0"/>
        <w:spacing w:line="360" w:lineRule="auto"/>
        <w:ind w:firstLine="480" w:firstLineChars="200"/>
        <w:rPr>
          <w:rFonts w:hint="eastAsia"/>
          <w:sz w:val="24"/>
          <w:szCs w:val="24"/>
        </w:rPr>
      </w:pPr>
      <w:r>
        <w:rPr>
          <w:rFonts w:hint="eastAsia"/>
          <w:sz w:val="24"/>
          <w:szCs w:val="24"/>
        </w:rPr>
        <w:t>2）C类基金份额的认购</w:t>
      </w:r>
    </w:p>
    <w:p>
      <w:pPr>
        <w:adjustRightInd w:val="0"/>
        <w:snapToGrid w:val="0"/>
        <w:spacing w:line="360" w:lineRule="auto"/>
        <w:ind w:firstLine="480" w:firstLineChars="200"/>
        <w:rPr>
          <w:rFonts w:hint="eastAsia"/>
          <w:sz w:val="24"/>
          <w:szCs w:val="24"/>
        </w:rPr>
      </w:pPr>
      <w:r>
        <w:rPr>
          <w:rFonts w:hint="eastAsia"/>
          <w:sz w:val="24"/>
          <w:szCs w:val="24"/>
        </w:rPr>
        <w:t>如果投资者选择认购本基金的C类基金份额，则认购份额的计算方式如下：</w:t>
      </w:r>
    </w:p>
    <w:p>
      <w:pPr>
        <w:adjustRightInd w:val="0"/>
        <w:snapToGrid w:val="0"/>
        <w:spacing w:line="360" w:lineRule="auto"/>
        <w:ind w:firstLine="480" w:firstLineChars="200"/>
        <w:rPr>
          <w:rFonts w:hint="eastAsia"/>
          <w:sz w:val="24"/>
          <w:szCs w:val="24"/>
        </w:rPr>
      </w:pPr>
      <w:r>
        <w:rPr>
          <w:rFonts w:hint="eastAsia"/>
          <w:sz w:val="24"/>
          <w:szCs w:val="24"/>
        </w:rPr>
        <w:t>认购总金额 = 申请总金额</w:t>
      </w:r>
    </w:p>
    <w:p>
      <w:pPr>
        <w:adjustRightInd w:val="0"/>
        <w:snapToGrid w:val="0"/>
        <w:spacing w:line="360" w:lineRule="auto"/>
        <w:ind w:firstLine="480" w:firstLineChars="200"/>
        <w:rPr>
          <w:rFonts w:hint="eastAsia"/>
          <w:sz w:val="24"/>
          <w:szCs w:val="24"/>
        </w:rPr>
      </w:pPr>
      <w:r>
        <w:rPr>
          <w:rFonts w:hint="eastAsia"/>
          <w:sz w:val="24"/>
          <w:szCs w:val="24"/>
        </w:rPr>
        <w:t>认购份额 = 认购总金额/基金份额初始面值＋认购利息/基金份额初始面值。</w:t>
      </w:r>
    </w:p>
    <w:p>
      <w:pPr>
        <w:adjustRightInd w:val="0"/>
        <w:snapToGrid w:val="0"/>
        <w:spacing w:line="360" w:lineRule="auto"/>
        <w:ind w:firstLine="480" w:firstLineChars="200"/>
        <w:rPr>
          <w:rFonts w:hint="eastAsia"/>
          <w:sz w:val="24"/>
          <w:szCs w:val="24"/>
        </w:rPr>
      </w:pPr>
      <w:r>
        <w:rPr>
          <w:rFonts w:hint="eastAsia"/>
          <w:sz w:val="24"/>
          <w:szCs w:val="24"/>
        </w:rPr>
        <w:t>认购份额计算结果保留到小数点后2位，小数点2位以后的部分四舍五入，由此误差产生的收益或损失由基金财产承担。</w:t>
      </w:r>
    </w:p>
    <w:p>
      <w:pPr>
        <w:adjustRightInd w:val="0"/>
        <w:snapToGrid w:val="0"/>
        <w:spacing w:line="360" w:lineRule="auto"/>
        <w:ind w:firstLine="480" w:firstLineChars="200"/>
        <w:rPr>
          <w:rFonts w:hint="eastAsia"/>
          <w:sz w:val="24"/>
          <w:szCs w:val="24"/>
        </w:rPr>
      </w:pPr>
      <w:r>
        <w:rPr>
          <w:rFonts w:hint="eastAsia"/>
          <w:sz w:val="24"/>
          <w:szCs w:val="24"/>
        </w:rPr>
        <w:t>例三：某投资者认购本基金C类基金份额100,000.00元，且该认购申请被全额确认。假定该笔认购金额产生利息50.00元。则认购份额为：</w:t>
      </w:r>
    </w:p>
    <w:p>
      <w:pPr>
        <w:adjustRightInd w:val="0"/>
        <w:snapToGrid w:val="0"/>
        <w:spacing w:line="360" w:lineRule="auto"/>
        <w:ind w:firstLine="480" w:firstLineChars="200"/>
        <w:rPr>
          <w:rFonts w:hint="eastAsia"/>
          <w:sz w:val="24"/>
          <w:szCs w:val="24"/>
        </w:rPr>
      </w:pPr>
      <w:r>
        <w:rPr>
          <w:rFonts w:hint="eastAsia"/>
          <w:sz w:val="24"/>
          <w:szCs w:val="24"/>
        </w:rPr>
        <w:t>认购总金额=100,000.00元</w:t>
      </w:r>
    </w:p>
    <w:p>
      <w:pPr>
        <w:adjustRightInd w:val="0"/>
        <w:snapToGrid w:val="0"/>
        <w:spacing w:line="360" w:lineRule="auto"/>
        <w:ind w:firstLine="480" w:firstLineChars="200"/>
        <w:rPr>
          <w:rFonts w:hint="eastAsia"/>
          <w:sz w:val="24"/>
          <w:szCs w:val="24"/>
        </w:rPr>
      </w:pPr>
      <w:r>
        <w:rPr>
          <w:rFonts w:hint="eastAsia"/>
          <w:sz w:val="24"/>
          <w:szCs w:val="24"/>
        </w:rPr>
        <w:t>认购份额＝100,000.00/1.00＋50.00/1.00＝100,050.00份</w:t>
      </w:r>
    </w:p>
    <w:p>
      <w:pPr>
        <w:adjustRightInd w:val="0"/>
        <w:snapToGrid w:val="0"/>
        <w:spacing w:line="360" w:lineRule="auto"/>
        <w:ind w:firstLine="480" w:firstLineChars="200"/>
        <w:rPr>
          <w:sz w:val="24"/>
          <w:szCs w:val="24"/>
        </w:rPr>
      </w:pPr>
      <w:r>
        <w:rPr>
          <w:rFonts w:hint="eastAsia"/>
          <w:sz w:val="24"/>
          <w:szCs w:val="24"/>
        </w:rPr>
        <w:t>即：若该投资者认购本基金C类基金份额100,000.00元，且该认购申请被全额确认。假定该笔认购金额产生利息50.00元，可得到100,050.00份C类基金份额。</w:t>
      </w:r>
    </w:p>
    <w:p>
      <w:pPr>
        <w:adjustRightInd w:val="0"/>
        <w:snapToGrid w:val="0"/>
        <w:spacing w:line="360" w:lineRule="auto"/>
        <w:ind w:firstLine="480" w:firstLineChars="200"/>
        <w:rPr>
          <w:sz w:val="24"/>
        </w:rPr>
      </w:pPr>
    </w:p>
    <w:p>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（一）直销机构</w:t>
      </w:r>
    </w:p>
    <w:p>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pPr>
        <w:adjustRightInd w:val="0"/>
        <w:snapToGrid w:val="0"/>
        <w:spacing w:line="360" w:lineRule="auto"/>
        <w:ind w:firstLine="480" w:firstLineChars="200"/>
        <w:rPr>
          <w:rFonts w:hAnsi="宋体"/>
          <w:sz w:val="24"/>
        </w:rPr>
      </w:pPr>
      <w:r>
        <w:rPr>
          <w:rFonts w:hint="eastAsia" w:hAnsi="宋体"/>
          <w:sz w:val="24"/>
        </w:rPr>
        <w:t>或者：</w:t>
      </w:r>
    </w:p>
    <w:p>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adjustRightInd w:val="0"/>
        <w:snapToGrid w:val="0"/>
        <w:spacing w:line="360" w:lineRule="auto"/>
        <w:ind w:firstLine="480" w:firstLineChars="200"/>
        <w:rPr>
          <w:sz w:val="24"/>
        </w:rPr>
      </w:pP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rPr>
        <w:t>交银</w:t>
      </w:r>
      <w:r>
        <w:rPr>
          <w:rFonts w:hint="eastAsia" w:hAnsi="宋体"/>
          <w:sz w:val="24"/>
          <w:lang w:eastAsia="zh-CN"/>
        </w:rPr>
        <w:t>远见成长</w:t>
      </w:r>
      <w:r>
        <w:rPr>
          <w:rFonts w:hint="eastAsia" w:hAnsi="宋体"/>
          <w:sz w:val="24"/>
        </w:rPr>
        <w:t>混合</w:t>
      </w:r>
      <w:r>
        <w:rPr>
          <w:sz w:val="24"/>
        </w:rPr>
        <w:t>”</w:t>
      </w:r>
      <w:r>
        <w:rPr>
          <w:rFonts w:hint="eastAsia"/>
          <w:sz w:val="24"/>
        </w:rPr>
        <w:t>；</w:t>
      </w:r>
    </w:p>
    <w:p>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pPr>
        <w:adjustRightInd w:val="0"/>
        <w:snapToGrid w:val="0"/>
        <w:spacing w:line="360" w:lineRule="auto"/>
        <w:ind w:firstLine="482" w:firstLineChars="200"/>
        <w:rPr>
          <w:rFonts w:hAnsi="宋体"/>
          <w:b/>
          <w:sz w:val="24"/>
        </w:rPr>
      </w:pPr>
      <w:r>
        <w:rPr>
          <w:rFonts w:hint="eastAsia" w:hAnsi="宋体"/>
          <w:b/>
          <w:sz w:val="24"/>
        </w:rPr>
        <w:t>（一）直销柜台</w:t>
      </w:r>
    </w:p>
    <w:p>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pPr>
        <w:adjustRightInd w:val="0"/>
        <w:snapToGrid w:val="0"/>
        <w:spacing w:line="360" w:lineRule="auto"/>
        <w:ind w:firstLine="480" w:firstLineChars="200"/>
        <w:rPr>
          <w:sz w:val="24"/>
        </w:rPr>
      </w:pPr>
      <w:r>
        <w:rPr>
          <w:rFonts w:hint="eastAsia"/>
          <w:sz w:val="24"/>
        </w:rPr>
        <w:t>2）加盖公章、经办人签字的《证券投资基金投资人权益须知》；</w:t>
      </w:r>
    </w:p>
    <w:p>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pPr>
        <w:adjustRightInd w:val="0"/>
        <w:snapToGrid w:val="0"/>
        <w:spacing w:line="360" w:lineRule="auto"/>
        <w:ind w:firstLine="480" w:firstLineChars="200"/>
        <w:rPr>
          <w:sz w:val="24"/>
        </w:rPr>
      </w:pPr>
      <w:r>
        <w:rPr>
          <w:rFonts w:hint="eastAsia"/>
          <w:sz w:val="24"/>
        </w:rPr>
        <w:t>6）加盖公章、法人章、经办人签字的《机构客户纳税身份声明文件》；</w:t>
      </w:r>
    </w:p>
    <w:p>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pPr>
        <w:adjustRightInd w:val="0"/>
        <w:snapToGrid w:val="0"/>
        <w:spacing w:line="360" w:lineRule="auto"/>
        <w:ind w:firstLine="480" w:firstLineChars="200"/>
        <w:rPr>
          <w:sz w:val="24"/>
        </w:rPr>
      </w:pPr>
      <w:r>
        <w:rPr>
          <w:rFonts w:hint="eastAsia"/>
          <w:sz w:val="24"/>
        </w:rPr>
        <w:t>8）加盖公章的经办人、法定代表人有效身份证件复印件（正反面）；</w:t>
      </w:r>
    </w:p>
    <w:p>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pPr>
        <w:adjustRightInd w:val="0"/>
        <w:snapToGrid w:val="0"/>
        <w:spacing w:line="360" w:lineRule="auto"/>
        <w:ind w:firstLine="480" w:firstLineChars="200"/>
        <w:rPr>
          <w:sz w:val="24"/>
        </w:rPr>
      </w:pPr>
      <w:r>
        <w:rPr>
          <w:rFonts w:hint="eastAsia"/>
          <w:sz w:val="24"/>
        </w:rPr>
        <w:t>13）加盖公章的公司股权架构信息、高管信息的文件</w:t>
      </w:r>
    </w:p>
    <w:p>
      <w:pPr>
        <w:adjustRightInd w:val="0"/>
        <w:snapToGrid w:val="0"/>
        <w:spacing w:line="360" w:lineRule="auto"/>
        <w:ind w:firstLine="480" w:firstLineChars="200"/>
        <w:rPr>
          <w:sz w:val="24"/>
        </w:rPr>
      </w:pPr>
      <w:r>
        <w:rPr>
          <w:rFonts w:hint="eastAsia"/>
          <w:sz w:val="24"/>
        </w:rPr>
        <w:t>14）加盖公章的公司金融许可证/业务许可证等证明</w:t>
      </w:r>
    </w:p>
    <w:p>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开户行：交通银行股份有限公司上海市分行交银大厦支行</w:t>
      </w:r>
    </w:p>
    <w:p>
      <w:pPr>
        <w:adjustRightInd w:val="0"/>
        <w:snapToGrid w:val="0"/>
        <w:spacing w:line="360" w:lineRule="auto"/>
        <w:ind w:firstLine="480" w:firstLineChars="200"/>
        <w:rPr>
          <w:sz w:val="24"/>
        </w:rPr>
      </w:pPr>
      <w:r>
        <w:rPr>
          <w:rFonts w:hint="eastAsia"/>
          <w:sz w:val="24"/>
        </w:rPr>
        <w:t>账号：</w:t>
      </w:r>
      <w:r>
        <w:rPr>
          <w:sz w:val="24"/>
        </w:rPr>
        <w:t>310066577018150012847</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开户行：中国工商银行股份有限公司上海市分行营业部</w:t>
      </w:r>
    </w:p>
    <w:p>
      <w:pPr>
        <w:adjustRightInd w:val="0"/>
        <w:snapToGrid w:val="0"/>
        <w:spacing w:line="360" w:lineRule="auto"/>
        <w:ind w:firstLine="480" w:firstLineChars="200"/>
        <w:rPr>
          <w:sz w:val="24"/>
        </w:rPr>
      </w:pPr>
      <w:r>
        <w:rPr>
          <w:rFonts w:hint="eastAsia"/>
          <w:sz w:val="24"/>
        </w:rPr>
        <w:t>账号：</w:t>
      </w:r>
      <w:r>
        <w:rPr>
          <w:sz w:val="24"/>
        </w:rPr>
        <w:t>1001202919025740042</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开户行：中国建设银行股份有限公司上海浦东分行</w:t>
      </w:r>
    </w:p>
    <w:p>
      <w:pPr>
        <w:adjustRightInd w:val="0"/>
        <w:snapToGrid w:val="0"/>
        <w:spacing w:line="360" w:lineRule="auto"/>
        <w:ind w:firstLine="480" w:firstLineChars="200"/>
        <w:rPr>
          <w:sz w:val="24"/>
        </w:rPr>
      </w:pPr>
      <w:r>
        <w:rPr>
          <w:rFonts w:hint="eastAsia"/>
          <w:sz w:val="24"/>
        </w:rPr>
        <w:t>账号：</w:t>
      </w:r>
      <w:r>
        <w:rPr>
          <w:sz w:val="24"/>
        </w:rPr>
        <w:t>31001520313050007558</w:t>
      </w:r>
    </w:p>
    <w:p>
      <w:pPr>
        <w:adjustRightInd w:val="0"/>
        <w:snapToGrid w:val="0"/>
        <w:spacing w:line="360" w:lineRule="auto"/>
        <w:ind w:firstLine="480" w:firstLineChars="200"/>
        <w:rPr>
          <w:sz w:val="24"/>
        </w:rPr>
      </w:pPr>
      <w:r>
        <w:rPr>
          <w:rFonts w:hint="eastAsia"/>
          <w:sz w:val="24"/>
        </w:rPr>
        <w:t>或者：</w:t>
      </w:r>
    </w:p>
    <w:p>
      <w:pPr>
        <w:adjustRightInd w:val="0"/>
        <w:snapToGrid w:val="0"/>
        <w:spacing w:line="360" w:lineRule="auto"/>
        <w:ind w:firstLine="480" w:firstLineChars="200"/>
        <w:rPr>
          <w:sz w:val="24"/>
        </w:rPr>
      </w:pPr>
      <w:r>
        <w:rPr>
          <w:rFonts w:hint="eastAsia"/>
          <w:sz w:val="24"/>
        </w:rPr>
        <w:t>户名：交银施罗德基金管理有限公司直销专户</w:t>
      </w:r>
    </w:p>
    <w:p>
      <w:pPr>
        <w:adjustRightInd w:val="0"/>
        <w:snapToGrid w:val="0"/>
        <w:spacing w:line="360" w:lineRule="auto"/>
        <w:ind w:firstLine="480" w:firstLineChars="200"/>
        <w:rPr>
          <w:sz w:val="24"/>
        </w:rPr>
      </w:pPr>
      <w:r>
        <w:rPr>
          <w:rFonts w:hint="eastAsia"/>
          <w:sz w:val="24"/>
        </w:rPr>
        <w:t>开户行：中国农业银行股份有限公司上海卢湾支行</w:t>
      </w:r>
    </w:p>
    <w:p>
      <w:pPr>
        <w:adjustRightInd w:val="0"/>
        <w:snapToGrid w:val="0"/>
        <w:spacing w:line="360" w:lineRule="auto"/>
        <w:ind w:firstLine="480" w:firstLineChars="200"/>
        <w:rPr>
          <w:sz w:val="24"/>
        </w:rPr>
      </w:pPr>
      <w:r>
        <w:rPr>
          <w:rFonts w:hint="eastAsia"/>
          <w:sz w:val="24"/>
        </w:rPr>
        <w:t>账号：</w:t>
      </w:r>
      <w:r>
        <w:rPr>
          <w:sz w:val="24"/>
        </w:rPr>
        <w:t>03492300040004421</w:t>
      </w:r>
    </w:p>
    <w:p>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rPr>
        <w:t>交银</w:t>
      </w:r>
      <w:r>
        <w:rPr>
          <w:rFonts w:hint="eastAsia" w:hAnsi="宋体"/>
          <w:sz w:val="24"/>
          <w:lang w:eastAsia="zh-CN"/>
        </w:rPr>
        <w:t>远见成长</w:t>
      </w:r>
      <w:r>
        <w:rPr>
          <w:rFonts w:hint="eastAsia" w:hAnsi="宋体"/>
          <w:sz w:val="24"/>
        </w:rPr>
        <w:t>混合</w:t>
      </w:r>
      <w:r>
        <w:rPr>
          <w:sz w:val="24"/>
        </w:rPr>
        <w:t>”</w:t>
      </w:r>
      <w:r>
        <w:rPr>
          <w:rFonts w:hint="eastAsia"/>
          <w:sz w:val="24"/>
        </w:rPr>
        <w:t>；</w:t>
      </w:r>
    </w:p>
    <w:p>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pPr>
        <w:adjustRightInd w:val="0"/>
        <w:snapToGrid w:val="0"/>
        <w:spacing w:line="360" w:lineRule="auto"/>
        <w:ind w:firstLine="482" w:firstLineChars="200"/>
        <w:rPr>
          <w:rFonts w:hAnsi="宋体"/>
          <w:b/>
          <w:sz w:val="24"/>
        </w:rPr>
      </w:pPr>
      <w:r>
        <w:rPr>
          <w:rFonts w:hint="eastAsia" w:hAnsi="宋体"/>
          <w:b/>
          <w:sz w:val="24"/>
        </w:rPr>
        <w:t>（二）各销售银行</w:t>
      </w:r>
    </w:p>
    <w:p>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pPr>
        <w:adjustRightInd w:val="0"/>
        <w:snapToGrid w:val="0"/>
        <w:spacing w:line="360" w:lineRule="auto"/>
        <w:ind w:firstLine="482" w:firstLineChars="200"/>
        <w:rPr>
          <w:rFonts w:hAnsi="宋体"/>
          <w:b/>
          <w:sz w:val="24"/>
        </w:rPr>
      </w:pPr>
      <w:r>
        <w:rPr>
          <w:rFonts w:hint="eastAsia" w:hAnsi="宋体"/>
          <w:b/>
          <w:sz w:val="24"/>
        </w:rPr>
        <w:t>（三）各销售券商</w:t>
      </w:r>
    </w:p>
    <w:p>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pPr>
        <w:adjustRightInd w:val="0"/>
        <w:snapToGrid w:val="0"/>
        <w:spacing w:line="360" w:lineRule="auto"/>
        <w:ind w:firstLine="482" w:firstLineChars="200"/>
        <w:rPr>
          <w:rFonts w:hAnsi="宋体"/>
          <w:b/>
          <w:sz w:val="24"/>
        </w:rPr>
      </w:pPr>
      <w:r>
        <w:rPr>
          <w:rFonts w:hint="eastAsia" w:hAnsi="宋体"/>
          <w:b/>
          <w:sz w:val="24"/>
        </w:rPr>
        <w:t>（四）各独立基金销售机构</w:t>
      </w:r>
    </w:p>
    <w:p>
      <w:pPr>
        <w:pStyle w:val="4"/>
        <w:adjustRightInd w:val="0"/>
        <w:snapToGrid w:val="0"/>
      </w:pPr>
      <w:r>
        <w:rPr>
          <w:rFonts w:hint="eastAsia"/>
        </w:rPr>
        <w:t>各独立基金销售机构开户和认购的相关程序以该机构相关规定为准。</w:t>
      </w:r>
    </w:p>
    <w:p>
      <w:pPr>
        <w:keepNext/>
        <w:keepLines/>
        <w:adjustRightInd w:val="0"/>
        <w:snapToGrid w:val="0"/>
        <w:spacing w:before="240" w:after="156" w:afterLines="50" w:line="360" w:lineRule="auto"/>
        <w:jc w:val="center"/>
        <w:outlineLvl w:val="0"/>
        <w:rPr>
          <w:b/>
          <w:sz w:val="24"/>
        </w:rPr>
      </w:pPr>
      <w:r>
        <w:rPr>
          <w:rFonts w:hint="eastAsia"/>
          <w:b/>
          <w:sz w:val="24"/>
        </w:rPr>
        <w:t>五、清算与交割</w:t>
      </w:r>
    </w:p>
    <w:p>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pPr>
        <w:keepNext/>
        <w:keepLines/>
        <w:adjustRightInd w:val="0"/>
        <w:snapToGrid w:val="0"/>
        <w:spacing w:before="240" w:after="156" w:afterLines="50" w:line="360" w:lineRule="auto"/>
        <w:jc w:val="center"/>
        <w:outlineLvl w:val="0"/>
        <w:rPr>
          <w:b/>
          <w:sz w:val="24"/>
        </w:rPr>
      </w:pPr>
      <w:r>
        <w:rPr>
          <w:rFonts w:hint="eastAsia"/>
          <w:b/>
          <w:sz w:val="24"/>
        </w:rPr>
        <w:t>六、退款</w:t>
      </w:r>
    </w:p>
    <w:p>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pPr>
        <w:adjustRightInd w:val="0"/>
        <w:snapToGrid w:val="0"/>
        <w:spacing w:line="360" w:lineRule="auto"/>
        <w:ind w:firstLine="480" w:firstLineChars="200"/>
        <w:rPr>
          <w:sz w:val="24"/>
        </w:rPr>
      </w:pPr>
      <w:r>
        <w:rPr>
          <w:rFonts w:hint="eastAsia"/>
          <w:sz w:val="24"/>
        </w:rPr>
        <w:t>本基金募集期满，达到合同规定的条件，基金合同方可生效。</w:t>
      </w:r>
    </w:p>
    <w:p>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pPr>
        <w:adjustRightInd w:val="0"/>
        <w:snapToGrid w:val="0"/>
        <w:spacing w:line="360" w:lineRule="auto"/>
        <w:ind w:firstLine="480" w:firstLineChars="20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pPr>
        <w:adjustRightInd w:val="0"/>
        <w:snapToGrid w:val="0"/>
        <w:spacing w:line="360" w:lineRule="auto"/>
        <w:ind w:firstLine="482" w:firstLineChars="200"/>
        <w:rPr>
          <w:rFonts w:hAnsi="宋体"/>
          <w:b/>
          <w:sz w:val="24"/>
        </w:rPr>
      </w:pPr>
      <w:r>
        <w:rPr>
          <w:rFonts w:hint="eastAsia" w:hAnsi="宋体"/>
          <w:b/>
          <w:sz w:val="24"/>
        </w:rPr>
        <w:t>（一）基金管理人</w:t>
      </w:r>
    </w:p>
    <w:p>
      <w:pPr>
        <w:adjustRightInd w:val="0"/>
        <w:snapToGrid w:val="0"/>
        <w:spacing w:line="360" w:lineRule="auto"/>
        <w:ind w:firstLine="480" w:firstLineChars="200"/>
        <w:rPr>
          <w:sz w:val="24"/>
        </w:rPr>
      </w:pPr>
      <w:r>
        <w:rPr>
          <w:rFonts w:hint="eastAsia"/>
          <w:sz w:val="24"/>
        </w:rPr>
        <w:t>名称：交银施罗德基金管理有限公司</w:t>
      </w:r>
    </w:p>
    <w:p>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sz w:val="24"/>
        </w:rPr>
        <w:t>邮政编码：</w:t>
      </w:r>
      <w:r>
        <w:rPr>
          <w:sz w:val="24"/>
        </w:rPr>
        <w:t>200120</w:t>
      </w:r>
    </w:p>
    <w:p>
      <w:pPr>
        <w:adjustRightInd w:val="0"/>
        <w:snapToGrid w:val="0"/>
        <w:spacing w:line="360" w:lineRule="auto"/>
        <w:ind w:firstLine="480" w:firstLineChars="200"/>
        <w:rPr>
          <w:sz w:val="24"/>
        </w:rPr>
      </w:pPr>
      <w:r>
        <w:rPr>
          <w:rFonts w:hint="eastAsia"/>
          <w:sz w:val="24"/>
        </w:rPr>
        <w:t>法定代表人：张宏良</w:t>
      </w:r>
    </w:p>
    <w:p>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pPr>
        <w:adjustRightInd w:val="0"/>
        <w:snapToGrid w:val="0"/>
        <w:spacing w:line="360" w:lineRule="auto"/>
        <w:ind w:firstLine="480" w:firstLineChars="200"/>
        <w:rPr>
          <w:sz w:val="24"/>
        </w:rPr>
      </w:pPr>
      <w:r>
        <w:rPr>
          <w:rFonts w:hint="eastAsia"/>
          <w:sz w:val="24"/>
        </w:rPr>
        <w:t>联系人：何佳妮</w:t>
      </w:r>
    </w:p>
    <w:p>
      <w:pPr>
        <w:adjustRightInd w:val="0"/>
        <w:snapToGrid w:val="0"/>
        <w:spacing w:line="360" w:lineRule="auto"/>
        <w:ind w:firstLine="482" w:firstLineChars="200"/>
        <w:rPr>
          <w:rFonts w:hAnsi="宋体"/>
          <w:b/>
          <w:sz w:val="24"/>
        </w:rPr>
      </w:pPr>
      <w:r>
        <w:rPr>
          <w:rFonts w:hint="eastAsia" w:hAnsi="宋体"/>
          <w:b/>
          <w:sz w:val="24"/>
        </w:rPr>
        <w:t>（二）基金托管人</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名称：上海浦东发展银行股份有限公司（以下或简称“上海浦东发展银行”）</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注册地址：上海市中山东一路12 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办公地址：上海市博成路1388号浦银中心A栋</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法定代表人：张为忠</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成立时间： 1992 年10 月19 日</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组织形式： 股份有限公司（上市）</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注册资本： 293.52 亿元人民币</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存续期间： 持续经营</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基金托管资格批文及文号：中国证监会证监基金字[2003]105 号</w:t>
      </w:r>
    </w:p>
    <w:p>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联系人：朱萍</w:t>
      </w:r>
    </w:p>
    <w:p>
      <w:pPr>
        <w:adjustRightInd w:val="0"/>
        <w:snapToGrid w:val="0"/>
        <w:spacing w:line="360" w:lineRule="auto"/>
        <w:ind w:firstLine="480" w:firstLineChars="200"/>
        <w:rPr>
          <w:rFonts w:hint="eastAsia" w:hAnsi="宋体"/>
          <w:b/>
          <w:sz w:val="24"/>
        </w:rPr>
      </w:pPr>
      <w:r>
        <w:rPr>
          <w:rFonts w:hint="eastAsia" w:ascii="宋体" w:hAnsi="宋体"/>
          <w:sz w:val="24"/>
        </w:rPr>
        <w:t>联系电话：（021）31888888</w:t>
      </w:r>
    </w:p>
    <w:p>
      <w:pPr>
        <w:adjustRightInd w:val="0"/>
        <w:snapToGrid w:val="0"/>
        <w:spacing w:line="360" w:lineRule="auto"/>
        <w:ind w:firstLine="482" w:firstLineChars="200"/>
        <w:rPr>
          <w:rFonts w:hAnsi="宋体"/>
          <w:b/>
          <w:sz w:val="24"/>
        </w:rPr>
      </w:pPr>
      <w:r>
        <w:rPr>
          <w:rFonts w:hint="eastAsia" w:hAnsi="宋体"/>
          <w:b/>
          <w:sz w:val="24"/>
        </w:rPr>
        <w:t>（三）销售机构</w:t>
      </w:r>
    </w:p>
    <w:p>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kern w:val="0"/>
          <w:sz w:val="24"/>
        </w:rPr>
        <w:t>法定代表人：</w:t>
      </w:r>
      <w:r>
        <w:rPr>
          <w:rFonts w:hint="eastAsia"/>
          <w:sz w:val="24"/>
        </w:rPr>
        <w:t>张宏良</w:t>
      </w:r>
    </w:p>
    <w:p>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pPr>
        <w:widowControl/>
        <w:adjustRightInd w:val="0"/>
        <w:snapToGrid w:val="0"/>
        <w:spacing w:line="360" w:lineRule="auto"/>
        <w:ind w:firstLine="480" w:firstLineChars="200"/>
        <w:rPr>
          <w:kern w:val="0"/>
          <w:sz w:val="24"/>
        </w:rPr>
      </w:pPr>
      <w:r>
        <w:rPr>
          <w:rFonts w:hint="eastAsia"/>
          <w:kern w:val="0"/>
          <w:sz w:val="24"/>
        </w:rPr>
        <w:t>联系人：傅鲸</w:t>
      </w:r>
    </w:p>
    <w:p>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pPr>
        <w:widowControl/>
        <w:adjustRightInd w:val="0"/>
        <w:snapToGrid w:val="0"/>
        <w:spacing w:line="360" w:lineRule="auto"/>
        <w:ind w:firstLine="480" w:firstLineChars="200"/>
        <w:rPr>
          <w:rFonts w:hint="eastAsia" w:eastAsia="宋体"/>
          <w:kern w:val="0"/>
          <w:sz w:val="24"/>
          <w:lang w:val="en-US" w:eastAsia="zh-CN"/>
        </w:rPr>
      </w:pPr>
      <w:r>
        <w:rPr>
          <w:kern w:val="0"/>
          <w:sz w:val="24"/>
        </w:rPr>
        <w:t>2</w:t>
      </w:r>
      <w:r>
        <w:rPr>
          <w:rFonts w:hint="eastAsia"/>
          <w:kern w:val="0"/>
          <w:sz w:val="24"/>
        </w:rPr>
        <w:t>、除基金管理人之外的其他销售机构</w:t>
      </w:r>
      <w:r>
        <w:rPr>
          <w:rFonts w:hint="eastAsia"/>
          <w:kern w:val="0"/>
          <w:sz w:val="24"/>
          <w:lang w:val="en-US" w:eastAsia="zh-CN"/>
        </w:rPr>
        <w:tab/>
      </w:r>
    </w:p>
    <w:p>
      <w:pPr>
        <w:widowControl/>
        <w:adjustRightInd w:val="0"/>
        <w:snapToGrid w:val="0"/>
        <w:spacing w:line="360" w:lineRule="auto"/>
        <w:ind w:firstLine="480" w:firstLineChars="200"/>
        <w:rPr>
          <w:rFonts w:hint="eastAsia"/>
          <w:kern w:val="0"/>
          <w:sz w:val="24"/>
        </w:rPr>
      </w:pPr>
      <w:r>
        <w:rPr>
          <w:rFonts w:hint="eastAsia"/>
          <w:kern w:val="0"/>
          <w:sz w:val="24"/>
        </w:rPr>
        <w:t>（1）上海浦东发展银行股份有限公司</w:t>
      </w:r>
    </w:p>
    <w:p>
      <w:pPr>
        <w:widowControl/>
        <w:adjustRightInd w:val="0"/>
        <w:snapToGrid w:val="0"/>
        <w:spacing w:line="360" w:lineRule="auto"/>
        <w:ind w:firstLine="480" w:firstLineChars="200"/>
        <w:rPr>
          <w:rFonts w:hint="eastAsia"/>
          <w:kern w:val="0"/>
          <w:sz w:val="24"/>
        </w:rPr>
      </w:pPr>
      <w:r>
        <w:rPr>
          <w:rFonts w:hint="eastAsia"/>
          <w:kern w:val="0"/>
          <w:sz w:val="24"/>
        </w:rPr>
        <w:t>住所：上海市中山东一路12号</w:t>
      </w:r>
    </w:p>
    <w:p>
      <w:pPr>
        <w:widowControl/>
        <w:adjustRightInd w:val="0"/>
        <w:snapToGrid w:val="0"/>
        <w:spacing w:line="360" w:lineRule="auto"/>
        <w:ind w:firstLine="480" w:firstLineChars="200"/>
        <w:rPr>
          <w:rFonts w:hint="eastAsia"/>
          <w:kern w:val="0"/>
          <w:sz w:val="24"/>
        </w:rPr>
      </w:pPr>
      <w:r>
        <w:rPr>
          <w:rFonts w:hint="eastAsia"/>
          <w:kern w:val="0"/>
          <w:sz w:val="24"/>
        </w:rPr>
        <w:t>办公地址：上海市博成路1388号浦银中心A栋</w:t>
      </w:r>
    </w:p>
    <w:p>
      <w:pPr>
        <w:widowControl/>
        <w:adjustRightInd w:val="0"/>
        <w:snapToGrid w:val="0"/>
        <w:spacing w:line="360" w:lineRule="auto"/>
        <w:ind w:firstLine="480" w:firstLineChars="200"/>
        <w:rPr>
          <w:rFonts w:hint="eastAsia"/>
          <w:kern w:val="0"/>
          <w:sz w:val="24"/>
        </w:rPr>
      </w:pPr>
      <w:r>
        <w:rPr>
          <w:rFonts w:hint="eastAsia"/>
          <w:kern w:val="0"/>
          <w:sz w:val="24"/>
        </w:rPr>
        <w:t>法定代表人：张为忠</w:t>
      </w:r>
    </w:p>
    <w:p>
      <w:pPr>
        <w:widowControl/>
        <w:adjustRightInd w:val="0"/>
        <w:snapToGrid w:val="0"/>
        <w:spacing w:line="360" w:lineRule="auto"/>
        <w:ind w:firstLine="480" w:firstLineChars="200"/>
        <w:rPr>
          <w:rFonts w:hint="eastAsia"/>
          <w:kern w:val="0"/>
          <w:sz w:val="24"/>
        </w:rPr>
      </w:pPr>
      <w:r>
        <w:rPr>
          <w:rFonts w:hint="eastAsia"/>
          <w:kern w:val="0"/>
          <w:sz w:val="24"/>
        </w:rPr>
        <w:t>电话：（021）61618888</w:t>
      </w:r>
    </w:p>
    <w:p>
      <w:pPr>
        <w:widowControl/>
        <w:adjustRightInd w:val="0"/>
        <w:snapToGrid w:val="0"/>
        <w:spacing w:line="360" w:lineRule="auto"/>
        <w:ind w:firstLine="480" w:firstLineChars="200"/>
        <w:rPr>
          <w:rFonts w:hint="eastAsia"/>
          <w:kern w:val="0"/>
          <w:sz w:val="24"/>
        </w:rPr>
      </w:pPr>
      <w:r>
        <w:rPr>
          <w:rFonts w:hint="eastAsia"/>
          <w:kern w:val="0"/>
          <w:sz w:val="24"/>
        </w:rPr>
        <w:t>传真：（021）61618888</w:t>
      </w:r>
    </w:p>
    <w:p>
      <w:pPr>
        <w:widowControl/>
        <w:adjustRightInd w:val="0"/>
        <w:snapToGrid w:val="0"/>
        <w:spacing w:line="360" w:lineRule="auto"/>
        <w:ind w:firstLine="480" w:firstLineChars="200"/>
        <w:rPr>
          <w:rFonts w:hint="eastAsia"/>
          <w:kern w:val="0"/>
          <w:sz w:val="24"/>
        </w:rPr>
      </w:pPr>
      <w:r>
        <w:rPr>
          <w:rFonts w:hint="eastAsia"/>
          <w:kern w:val="0"/>
          <w:sz w:val="24"/>
        </w:rPr>
        <w:t>联系人：赵守良</w:t>
      </w:r>
    </w:p>
    <w:p>
      <w:pPr>
        <w:widowControl/>
        <w:adjustRightInd w:val="0"/>
        <w:snapToGrid w:val="0"/>
        <w:spacing w:line="360" w:lineRule="auto"/>
        <w:ind w:firstLine="480" w:firstLineChars="200"/>
        <w:rPr>
          <w:rFonts w:hint="eastAsia"/>
          <w:kern w:val="0"/>
          <w:sz w:val="24"/>
        </w:rPr>
      </w:pPr>
      <w:r>
        <w:rPr>
          <w:rFonts w:hint="eastAsia"/>
          <w:kern w:val="0"/>
          <w:sz w:val="24"/>
        </w:rPr>
        <w:t>客户服务电话：95528</w:t>
      </w:r>
    </w:p>
    <w:p>
      <w:pPr>
        <w:widowControl/>
        <w:adjustRightInd w:val="0"/>
        <w:snapToGrid w:val="0"/>
        <w:spacing w:line="360" w:lineRule="auto"/>
        <w:ind w:firstLine="480" w:firstLineChars="200"/>
        <w:rPr>
          <w:kern w:val="0"/>
          <w:sz w:val="24"/>
        </w:rPr>
      </w:pPr>
      <w:r>
        <w:rPr>
          <w:rFonts w:hint="eastAsia"/>
          <w:kern w:val="0"/>
          <w:sz w:val="24"/>
        </w:rPr>
        <w:t>网址：www.spdb.com.cn</w:t>
      </w:r>
    </w:p>
    <w:p>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pPr>
        <w:widowControl/>
        <w:adjustRightInd w:val="0"/>
        <w:snapToGrid w:val="0"/>
        <w:spacing w:line="360" w:lineRule="auto"/>
        <w:ind w:firstLine="482" w:firstLineChars="200"/>
        <w:rPr>
          <w:b/>
          <w:kern w:val="0"/>
          <w:sz w:val="24"/>
        </w:rPr>
      </w:pPr>
      <w:r>
        <w:rPr>
          <w:rFonts w:hint="eastAsia"/>
          <w:b/>
          <w:kern w:val="0"/>
          <w:sz w:val="24"/>
        </w:rPr>
        <w:t>（四）登记机构</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pPr>
        <w:widowControl/>
        <w:adjustRightInd w:val="0"/>
        <w:snapToGrid w:val="0"/>
        <w:spacing w:line="360" w:lineRule="auto"/>
        <w:ind w:firstLine="480" w:firstLineChars="200"/>
        <w:rPr>
          <w:kern w:val="0"/>
          <w:sz w:val="24"/>
        </w:rPr>
      </w:pPr>
      <w:r>
        <w:rPr>
          <w:rFonts w:hint="eastAsia"/>
          <w:kern w:val="0"/>
          <w:sz w:val="24"/>
        </w:rPr>
        <w:t>法定代表人：张宏良</w:t>
      </w:r>
    </w:p>
    <w:p>
      <w:pPr>
        <w:widowControl/>
        <w:adjustRightInd w:val="0"/>
        <w:snapToGrid w:val="0"/>
        <w:spacing w:line="360" w:lineRule="auto"/>
        <w:ind w:firstLine="480" w:firstLineChars="200"/>
        <w:rPr>
          <w:kern w:val="0"/>
          <w:sz w:val="24"/>
        </w:rPr>
      </w:pPr>
      <w:r>
        <w:rPr>
          <w:rFonts w:hint="eastAsia"/>
          <w:kern w:val="0"/>
          <w:sz w:val="24"/>
        </w:rPr>
        <w:t>电话：（021）61055461</w:t>
      </w:r>
    </w:p>
    <w:p>
      <w:pPr>
        <w:widowControl/>
        <w:adjustRightInd w:val="0"/>
        <w:snapToGrid w:val="0"/>
        <w:spacing w:line="360" w:lineRule="auto"/>
        <w:ind w:firstLine="480" w:firstLineChars="200"/>
        <w:rPr>
          <w:kern w:val="0"/>
          <w:sz w:val="24"/>
        </w:rPr>
      </w:pPr>
      <w:r>
        <w:rPr>
          <w:rFonts w:hint="eastAsia"/>
          <w:kern w:val="0"/>
          <w:sz w:val="24"/>
        </w:rPr>
        <w:t>传真：（021）61055064</w:t>
      </w:r>
    </w:p>
    <w:p>
      <w:pPr>
        <w:adjustRightInd w:val="0"/>
        <w:snapToGrid w:val="0"/>
        <w:spacing w:line="360" w:lineRule="auto"/>
        <w:ind w:firstLine="480" w:firstLineChars="200"/>
        <w:rPr>
          <w:kern w:val="0"/>
          <w:sz w:val="24"/>
        </w:rPr>
      </w:pPr>
      <w:r>
        <w:rPr>
          <w:rFonts w:hint="eastAsia"/>
          <w:kern w:val="0"/>
          <w:sz w:val="24"/>
        </w:rPr>
        <w:t>联系人：陈方强</w:t>
      </w:r>
    </w:p>
    <w:p>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pPr>
        <w:adjustRightInd w:val="0"/>
        <w:snapToGrid w:val="0"/>
        <w:spacing w:line="360" w:lineRule="auto"/>
        <w:ind w:firstLine="480" w:firstLineChars="200"/>
        <w:rPr>
          <w:kern w:val="0"/>
          <w:sz w:val="24"/>
        </w:rPr>
      </w:pPr>
      <w:r>
        <w:rPr>
          <w:rFonts w:hint="eastAsia"/>
          <w:kern w:val="0"/>
          <w:sz w:val="24"/>
        </w:rPr>
        <w:t>名称：上海市通力律师事务所</w:t>
      </w:r>
    </w:p>
    <w:p>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pPr>
        <w:adjustRightInd w:val="0"/>
        <w:snapToGrid w:val="0"/>
        <w:spacing w:line="360" w:lineRule="auto"/>
        <w:ind w:firstLine="480" w:firstLineChars="200"/>
        <w:rPr>
          <w:kern w:val="0"/>
          <w:sz w:val="24"/>
        </w:rPr>
      </w:pPr>
      <w:r>
        <w:rPr>
          <w:rFonts w:hint="eastAsia"/>
          <w:kern w:val="0"/>
          <w:sz w:val="24"/>
        </w:rPr>
        <w:t>负责人：韩</w:t>
      </w:r>
      <w:r>
        <w:rPr>
          <w:kern w:val="0"/>
          <w:sz w:val="24"/>
        </w:rPr>
        <w:t>炯</w:t>
      </w:r>
    </w:p>
    <w:p>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pPr>
        <w:adjustRightInd w:val="0"/>
        <w:snapToGrid w:val="0"/>
        <w:spacing w:line="360" w:lineRule="auto"/>
        <w:ind w:firstLine="480" w:firstLineChars="200"/>
        <w:rPr>
          <w:rFonts w:hAnsi="宋体"/>
          <w:kern w:val="0"/>
          <w:sz w:val="24"/>
        </w:rPr>
      </w:pPr>
      <w:bookmarkStart w:id="5" w:name="OLE_LINK4"/>
      <w:bookmarkStart w:id="6" w:name="OLE_LINK3"/>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pPr>
        <w:widowControl/>
        <w:adjustRightInd w:val="0"/>
        <w:snapToGrid w:val="0"/>
        <w:spacing w:line="360" w:lineRule="auto"/>
        <w:ind w:firstLine="480" w:firstLineChars="200"/>
        <w:rPr>
          <w:rFonts w:hint="eastAsia"/>
          <w:kern w:val="0"/>
          <w:sz w:val="24"/>
        </w:rPr>
      </w:pPr>
      <w:r>
        <w:rPr>
          <w:rFonts w:hint="eastAsia"/>
          <w:kern w:val="0"/>
          <w:sz w:val="24"/>
        </w:rPr>
        <w:t>名称：安永华明会计师事务所（特殊普通合伙）</w:t>
      </w:r>
    </w:p>
    <w:p>
      <w:pPr>
        <w:widowControl/>
        <w:adjustRightInd w:val="0"/>
        <w:snapToGrid w:val="0"/>
        <w:spacing w:line="360" w:lineRule="auto"/>
        <w:ind w:firstLine="480" w:firstLineChars="200"/>
        <w:rPr>
          <w:rFonts w:hint="eastAsia"/>
          <w:kern w:val="0"/>
          <w:sz w:val="24"/>
        </w:rPr>
      </w:pPr>
      <w:r>
        <w:rPr>
          <w:rFonts w:hint="eastAsia"/>
          <w:kern w:val="0"/>
          <w:sz w:val="24"/>
        </w:rPr>
        <w:t>住所：北京市东城区东长安街1号东方广场安永大楼17层</w:t>
      </w:r>
    </w:p>
    <w:p>
      <w:pPr>
        <w:widowControl/>
        <w:adjustRightInd w:val="0"/>
        <w:snapToGrid w:val="0"/>
        <w:spacing w:line="360" w:lineRule="auto"/>
        <w:ind w:firstLine="480" w:firstLineChars="200"/>
        <w:rPr>
          <w:rFonts w:hint="eastAsia"/>
          <w:kern w:val="0"/>
          <w:sz w:val="24"/>
        </w:rPr>
      </w:pPr>
      <w:r>
        <w:rPr>
          <w:rFonts w:hint="eastAsia"/>
          <w:kern w:val="0"/>
          <w:sz w:val="24"/>
        </w:rPr>
        <w:t>办公地址：北京市东城区东长安街1号东方广场安永大楼17层</w:t>
      </w:r>
    </w:p>
    <w:p>
      <w:pPr>
        <w:widowControl/>
        <w:adjustRightInd w:val="0"/>
        <w:snapToGrid w:val="0"/>
        <w:spacing w:line="360" w:lineRule="auto"/>
        <w:ind w:firstLine="480" w:firstLineChars="200"/>
        <w:rPr>
          <w:rFonts w:hint="eastAsia"/>
          <w:kern w:val="0"/>
          <w:sz w:val="24"/>
        </w:rPr>
      </w:pPr>
      <w:r>
        <w:rPr>
          <w:rFonts w:hint="eastAsia"/>
          <w:kern w:val="0"/>
          <w:sz w:val="24"/>
        </w:rPr>
        <w:t>执行事务合伙人：毛鞍宁</w:t>
      </w:r>
    </w:p>
    <w:p>
      <w:pPr>
        <w:widowControl/>
        <w:adjustRightInd w:val="0"/>
        <w:snapToGrid w:val="0"/>
        <w:spacing w:line="360" w:lineRule="auto"/>
        <w:ind w:firstLine="480" w:firstLineChars="200"/>
        <w:rPr>
          <w:rFonts w:hint="eastAsia"/>
          <w:kern w:val="0"/>
          <w:sz w:val="24"/>
        </w:rPr>
      </w:pPr>
      <w:r>
        <w:rPr>
          <w:rFonts w:hint="eastAsia"/>
          <w:kern w:val="0"/>
          <w:sz w:val="24"/>
        </w:rPr>
        <w:t>电话：（010）58153000</w:t>
      </w:r>
    </w:p>
    <w:p>
      <w:pPr>
        <w:widowControl/>
        <w:adjustRightInd w:val="0"/>
        <w:snapToGrid w:val="0"/>
        <w:spacing w:line="360" w:lineRule="auto"/>
        <w:ind w:firstLine="480" w:firstLineChars="200"/>
        <w:rPr>
          <w:rFonts w:hint="eastAsia"/>
          <w:kern w:val="0"/>
          <w:sz w:val="24"/>
        </w:rPr>
      </w:pPr>
      <w:r>
        <w:rPr>
          <w:rFonts w:hint="eastAsia"/>
          <w:kern w:val="0"/>
          <w:sz w:val="24"/>
        </w:rPr>
        <w:t>传真：（010）85188298</w:t>
      </w:r>
    </w:p>
    <w:p>
      <w:pPr>
        <w:widowControl/>
        <w:adjustRightInd w:val="0"/>
        <w:snapToGrid w:val="0"/>
        <w:spacing w:line="360" w:lineRule="auto"/>
        <w:ind w:firstLine="480" w:firstLineChars="200"/>
        <w:rPr>
          <w:rFonts w:hint="eastAsia"/>
          <w:kern w:val="0"/>
          <w:sz w:val="24"/>
        </w:rPr>
      </w:pPr>
      <w:r>
        <w:rPr>
          <w:rFonts w:hint="eastAsia"/>
          <w:kern w:val="0"/>
          <w:sz w:val="24"/>
        </w:rPr>
        <w:t>联系人：蒋燕华</w:t>
      </w:r>
    </w:p>
    <w:p>
      <w:pPr>
        <w:widowControl/>
        <w:adjustRightInd w:val="0"/>
        <w:snapToGrid w:val="0"/>
        <w:spacing w:line="360" w:lineRule="auto"/>
        <w:ind w:firstLine="480" w:firstLineChars="200"/>
        <w:rPr>
          <w:rFonts w:hint="eastAsia"/>
          <w:kern w:val="0"/>
          <w:sz w:val="24"/>
        </w:rPr>
      </w:pPr>
      <w:r>
        <w:rPr>
          <w:rFonts w:hint="eastAsia"/>
          <w:kern w:val="0"/>
          <w:sz w:val="24"/>
        </w:rPr>
        <w:t>经办注册会计师：蒋燕华、费泽旭</w:t>
      </w:r>
    </w:p>
    <w:p>
      <w:pPr>
        <w:widowControl/>
        <w:adjustRightInd w:val="0"/>
        <w:snapToGrid w:val="0"/>
        <w:spacing w:line="360" w:lineRule="auto"/>
        <w:ind w:firstLine="480" w:firstLineChars="200"/>
        <w:rPr>
          <w:rFonts w:hint="eastAsia"/>
          <w:kern w:val="0"/>
          <w:sz w:val="24"/>
        </w:rPr>
      </w:pPr>
    </w:p>
    <w:p>
      <w:pPr>
        <w:widowControl/>
        <w:adjustRightInd w:val="0"/>
        <w:snapToGrid w:val="0"/>
        <w:spacing w:line="360" w:lineRule="auto"/>
        <w:ind w:firstLine="480" w:firstLineChars="200"/>
        <w:rPr>
          <w:rFonts w:hAnsi="宋体"/>
          <w:kern w:val="0"/>
          <w:sz w:val="24"/>
        </w:rPr>
      </w:pPr>
    </w:p>
    <w:p>
      <w:pPr>
        <w:widowControl/>
        <w:adjustRightInd w:val="0"/>
        <w:snapToGrid w:val="0"/>
        <w:spacing w:line="360" w:lineRule="auto"/>
        <w:ind w:firstLine="480" w:firstLineChars="200"/>
        <w:jc w:val="right"/>
        <w:rPr>
          <w:kern w:val="0"/>
          <w:sz w:val="24"/>
        </w:rPr>
      </w:pPr>
      <w:r>
        <w:rPr>
          <w:kern w:val="0"/>
          <w:sz w:val="24"/>
        </w:rPr>
        <w:t>交银施罗德基金管理有限公司</w:t>
      </w:r>
    </w:p>
    <w:p>
      <w:pPr>
        <w:widowControl/>
        <w:adjustRightInd w:val="0"/>
        <w:snapToGrid w:val="0"/>
        <w:spacing w:line="360" w:lineRule="auto"/>
        <w:ind w:firstLine="480" w:firstLineChars="200"/>
        <w:jc w:val="right"/>
        <w:rPr>
          <w:kern w:val="0"/>
          <w:sz w:val="24"/>
        </w:rPr>
      </w:pPr>
      <w:r>
        <w:rPr>
          <w:rFonts w:hint="eastAsia"/>
          <w:kern w:val="0"/>
          <w:sz w:val="24"/>
        </w:rPr>
        <w:t>二〇</w:t>
      </w:r>
      <w:r>
        <w:rPr>
          <w:rFonts w:hint="eastAsia"/>
          <w:kern w:val="0"/>
          <w:sz w:val="24"/>
          <w:highlight w:val="none"/>
        </w:rPr>
        <w:t>二五年</w:t>
      </w:r>
      <w:r>
        <w:rPr>
          <w:rFonts w:hint="eastAsia"/>
          <w:kern w:val="0"/>
          <w:sz w:val="24"/>
          <w:highlight w:val="none"/>
          <w:lang w:val="en-US" w:eastAsia="zh-CN"/>
        </w:rPr>
        <w:t>十</w:t>
      </w:r>
      <w:r>
        <w:rPr>
          <w:rFonts w:hint="eastAsia"/>
          <w:kern w:val="0"/>
          <w:sz w:val="24"/>
          <w:highlight w:val="none"/>
        </w:rPr>
        <w:t>月</w:t>
      </w:r>
      <w:r>
        <w:rPr>
          <w:rFonts w:hint="eastAsia"/>
          <w:kern w:val="0"/>
          <w:sz w:val="24"/>
          <w:highlight w:val="none"/>
          <w:lang w:val="en-US" w:eastAsia="zh-CN"/>
        </w:rPr>
        <w:t>三十一</w:t>
      </w:r>
      <w:r>
        <w:rPr>
          <w:rFonts w:hint="eastAsia"/>
          <w:kern w:val="0"/>
          <w:sz w:val="24"/>
          <w:highlight w:val="none"/>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9</w:t>
    </w:r>
    <w:r>
      <w:rPr>
        <w:lang w:val="zh-CN"/>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tabs>
        <w:tab w:val="right" w:pos="8280"/>
      </w:tabs>
      <w:spacing w:line="160" w:lineRule="exact"/>
      <w:jc w:val="right"/>
    </w:pPr>
    <w:r>
      <w:drawing>
        <wp:anchor distT="0" distB="0" distL="114300" distR="114300" simplePos="0" relativeHeight="251660288" behindDoc="0" locked="0" layoutInCell="1" allowOverlap="1">
          <wp:simplePos x="0" y="0"/>
          <wp:positionH relativeFrom="column">
            <wp:posOffset>-161925</wp:posOffset>
          </wp:positionH>
          <wp:positionV relativeFrom="paragraph">
            <wp:posOffset>41275</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p>
  <w:p>
    <w:pPr>
      <w:pStyle w:val="32"/>
      <w:pBdr>
        <w:bottom w:val="none" w:color="auto" w:sz="0" w:space="0"/>
      </w:pBdr>
      <w:tabs>
        <w:tab w:val="right" w:pos="8280"/>
      </w:tabs>
      <w:jc w:val="right"/>
      <w:rPr>
        <w:rFonts w:ascii="宋体"/>
      </w:rPr>
    </w:pPr>
    <w:r>
      <w:rPr>
        <w:rFonts w:hint="eastAsia" w:cs="宋体"/>
      </w:rPr>
      <w:t>交银施罗德</w:t>
    </w:r>
    <w:r>
      <w:rPr>
        <w:rFonts w:hint="eastAsia" w:cs="宋体"/>
        <w:lang w:eastAsia="zh-CN"/>
      </w:rPr>
      <w:t>远见成长</w:t>
    </w:r>
    <w:r>
      <w:rPr>
        <w:rFonts w:hint="eastAsia" w:cs="宋体"/>
      </w:rPr>
      <w:t>混合型证券投资基金基金份额发售公告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D625A4D"/>
    <w:rsid w:val="10310B80"/>
    <w:rsid w:val="11033725"/>
    <w:rsid w:val="1398420B"/>
    <w:rsid w:val="17EC06F9"/>
    <w:rsid w:val="1B5D7AF7"/>
    <w:rsid w:val="1C1269C1"/>
    <w:rsid w:val="1D3F64EC"/>
    <w:rsid w:val="1F563E08"/>
    <w:rsid w:val="202661BC"/>
    <w:rsid w:val="22341357"/>
    <w:rsid w:val="22BF7243"/>
    <w:rsid w:val="289B2774"/>
    <w:rsid w:val="2CD92868"/>
    <w:rsid w:val="302F1E11"/>
    <w:rsid w:val="3086056D"/>
    <w:rsid w:val="314236C1"/>
    <w:rsid w:val="32CC59A1"/>
    <w:rsid w:val="36DB109D"/>
    <w:rsid w:val="3A0B05CB"/>
    <w:rsid w:val="3FDD6FAB"/>
    <w:rsid w:val="410F0621"/>
    <w:rsid w:val="412B19D8"/>
    <w:rsid w:val="43AF57C2"/>
    <w:rsid w:val="4C5D1379"/>
    <w:rsid w:val="4D667C64"/>
    <w:rsid w:val="4E734CA6"/>
    <w:rsid w:val="4FE9035F"/>
    <w:rsid w:val="53BD34C7"/>
    <w:rsid w:val="55007146"/>
    <w:rsid w:val="551E0609"/>
    <w:rsid w:val="556B00DB"/>
    <w:rsid w:val="56D969DC"/>
    <w:rsid w:val="579F1B62"/>
    <w:rsid w:val="5986658F"/>
    <w:rsid w:val="5A1A21C5"/>
    <w:rsid w:val="5C26165C"/>
    <w:rsid w:val="5DEB6C03"/>
    <w:rsid w:val="61694015"/>
    <w:rsid w:val="639E0296"/>
    <w:rsid w:val="6CD233F7"/>
    <w:rsid w:val="6D063E8C"/>
    <w:rsid w:val="6D114B0E"/>
    <w:rsid w:val="6EA4177D"/>
    <w:rsid w:val="6F1A16E3"/>
    <w:rsid w:val="6F7624C9"/>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853E8-9BD0-4BD8-A550-F9408876AF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13515</Words>
  <Characters>14985</Characters>
  <Lines>123</Lines>
  <Paragraphs>34</Paragraphs>
  <TotalTime>1885</TotalTime>
  <ScaleCrop>false</ScaleCrop>
  <LinksUpToDate>false</LinksUpToDate>
  <CharactersWithSpaces>15022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haotingting</cp:lastModifiedBy>
  <cp:lastPrinted>2007-06-27T06:13:00Z</cp:lastPrinted>
  <dcterms:modified xsi:type="dcterms:W3CDTF">2025-10-30T09:21:59Z</dcterms:modified>
  <dc:title>募集方案</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CCD66153D0E64FC0A15983FEA68288EC</vt:lpwstr>
  </property>
</Properties>
</file>