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86" w:name="_GoBack"/>
      <w:bookmarkEnd w:id="86"/>
    </w:p>
    <w:p>
      <w:pPr>
        <w:ind w:right="-17" w:rightChars="-8"/>
        <w:rPr>
          <w:rFonts w:eastAsia="黑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pPr>
                        <w:rPr>
                          <w:b/>
                          <w:sz w:val="28"/>
                          <w:szCs w:val="28"/>
                        </w:rPr>
                      </w:pPr>
                      <w:r>
                        <w:rPr>
                          <w:rFonts w:hint="eastAsia"/>
                          <w:b/>
                          <w:sz w:val="28"/>
                          <w:szCs w:val="28"/>
                        </w:rPr>
                        <w:t>编号：</w:t>
                      </w:r>
                    </w:p>
                  </w:txbxContent>
                </v:textbox>
              </v:shape>
            </w:pict>
          </mc:Fallback>
        </mc:AlternateContent>
      </w:r>
    </w:p>
    <w:p>
      <w:pPr>
        <w:rPr>
          <w:rFonts w:eastAsia="黑体"/>
          <w:sz w:val="52"/>
          <w:szCs w:val="52"/>
        </w:rPr>
      </w:pPr>
    </w:p>
    <w:p>
      <w:pPr>
        <w:tabs>
          <w:tab w:val="left" w:pos="3495"/>
        </w:tabs>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jc w:val="center"/>
        <w:rPr>
          <w:rFonts w:ascii="宋体" w:hAnsi="宋体"/>
          <w:sz w:val="24"/>
        </w:rPr>
      </w:pPr>
    </w:p>
    <w:p>
      <w:pPr>
        <w:jc w:val="center"/>
        <w:rPr>
          <w:b/>
          <w:sz w:val="52"/>
          <w:szCs w:val="52"/>
        </w:rPr>
      </w:pPr>
    </w:p>
    <w:p>
      <w:pPr>
        <w:jc w:val="center"/>
        <w:rPr>
          <w:rFonts w:ascii="仿宋_GB2312" w:eastAsia="仿宋_GB2312"/>
          <w:b/>
          <w:sz w:val="32"/>
          <w:szCs w:val="32"/>
        </w:rPr>
      </w:pPr>
    </w:p>
    <w:p>
      <w:pPr>
        <w:jc w:val="center"/>
        <w:rPr>
          <w:rFonts w:ascii="黑体" w:hAnsi="黑体" w:eastAsia="黑体"/>
          <w:b/>
          <w:sz w:val="44"/>
          <w:szCs w:val="44"/>
        </w:rPr>
      </w:pPr>
      <w:r>
        <w:rPr>
          <w:rFonts w:hint="eastAsia" w:ascii="黑体" w:hAnsi="黑体" w:eastAsia="黑体"/>
          <w:b/>
          <w:sz w:val="44"/>
          <w:szCs w:val="44"/>
        </w:rPr>
        <w:t>交银施罗德</w:t>
      </w:r>
      <w:r>
        <w:rPr>
          <w:rFonts w:hint="eastAsia" w:ascii="黑体" w:hAnsi="黑体" w:eastAsia="黑体"/>
          <w:b/>
          <w:sz w:val="44"/>
          <w:szCs w:val="44"/>
          <w:lang w:eastAsia="zh-CN"/>
        </w:rPr>
        <w:t>远见成长</w:t>
      </w:r>
      <w:r>
        <w:rPr>
          <w:rFonts w:hint="eastAsia" w:ascii="黑体" w:hAnsi="黑体" w:eastAsia="黑体"/>
          <w:b/>
          <w:sz w:val="44"/>
          <w:szCs w:val="44"/>
        </w:rPr>
        <w:t>混合型证券投资基金</w:t>
      </w:r>
    </w:p>
    <w:p>
      <w:pPr>
        <w:jc w:val="center"/>
        <w:rPr>
          <w:rFonts w:ascii="黑体" w:hAnsi="黑体" w:eastAsia="黑体"/>
          <w:b/>
          <w:sz w:val="44"/>
          <w:szCs w:val="44"/>
        </w:rPr>
      </w:pPr>
      <w:r>
        <w:rPr>
          <w:rFonts w:hint="eastAsia" w:ascii="黑体" w:hAnsi="黑体" w:eastAsia="黑体"/>
          <w:b/>
          <w:sz w:val="44"/>
          <w:szCs w:val="44"/>
        </w:rPr>
        <w:t>托管协议</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sz w:val="30"/>
        </w:rPr>
      </w:pPr>
    </w:p>
    <w:p>
      <w:pPr>
        <w:spacing w:line="360" w:lineRule="auto"/>
        <w:ind w:right="26" w:firstLine="1280" w:firstLineChars="400"/>
        <w:outlineLvl w:val="0"/>
        <w:rPr>
          <w:rFonts w:ascii="宋体" w:hAnsi="宋体"/>
          <w:sz w:val="32"/>
          <w:szCs w:val="32"/>
        </w:rPr>
      </w:pPr>
      <w:bookmarkStart w:id="0" w:name="_Toc382819065"/>
      <w:bookmarkStart w:id="1" w:name="_Toc382818591"/>
      <w:r>
        <w:rPr>
          <w:rFonts w:hint="eastAsia" w:ascii="宋体" w:hAnsi="宋体"/>
          <w:sz w:val="32"/>
          <w:szCs w:val="32"/>
        </w:rPr>
        <w:t>基金管理人：</w:t>
      </w:r>
      <w:bookmarkEnd w:id="0"/>
      <w:bookmarkEnd w:id="1"/>
      <w:r>
        <w:rPr>
          <w:rFonts w:hint="eastAsia" w:ascii="宋体" w:hAnsi="宋体"/>
          <w:sz w:val="32"/>
          <w:szCs w:val="32"/>
        </w:rPr>
        <w:t>交银施罗德基金管理有限公司</w:t>
      </w:r>
    </w:p>
    <w:p>
      <w:pPr>
        <w:spacing w:line="360" w:lineRule="auto"/>
        <w:ind w:right="26" w:firstLine="1280" w:firstLineChars="400"/>
        <w:outlineLvl w:val="0"/>
        <w:rPr>
          <w:rFonts w:ascii="宋体" w:hAnsi="宋体"/>
          <w:sz w:val="32"/>
          <w:szCs w:val="32"/>
        </w:rPr>
      </w:pPr>
      <w:bookmarkStart w:id="2" w:name="_Toc382818592"/>
      <w:bookmarkStart w:id="3" w:name="_Toc382819066"/>
      <w:r>
        <w:rPr>
          <w:rFonts w:hint="eastAsia" w:ascii="宋体" w:hAnsi="宋体"/>
          <w:sz w:val="32"/>
          <w:szCs w:val="32"/>
        </w:rPr>
        <w:t>基金托管人：上海浦东发展银行股份有限公司</w:t>
      </w:r>
      <w:bookmarkEnd w:id="2"/>
      <w:bookmarkEnd w:id="3"/>
    </w:p>
    <w:p>
      <w:pPr>
        <w:spacing w:line="500" w:lineRule="atLeast"/>
        <w:ind w:left="2698" w:hanging="2699" w:hangingChars="896"/>
        <w:jc w:val="center"/>
        <w:outlineLvl w:val="0"/>
        <w:rPr>
          <w:rFonts w:ascii="宋体" w:hAnsi="宋体"/>
          <w:b/>
          <w:sz w:val="30"/>
          <w:szCs w:val="30"/>
        </w:rPr>
      </w:pPr>
    </w:p>
    <w:p>
      <w:pPr>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宋体" w:hAnsi="宋体"/>
          <w:sz w:val="32"/>
          <w:szCs w:val="32"/>
        </w:rPr>
        <w:t>二零二五年</w:t>
      </w:r>
      <w:r>
        <w:rPr>
          <w:rFonts w:hint="eastAsia" w:ascii="宋体" w:hAnsi="宋体"/>
          <w:sz w:val="32"/>
          <w:szCs w:val="32"/>
          <w:lang w:val="en-US" w:eastAsia="zh-CN"/>
        </w:rPr>
        <w:t>十</w:t>
      </w:r>
      <w:r>
        <w:rPr>
          <w:rFonts w:hint="eastAsia" w:ascii="宋体" w:hAnsi="宋体"/>
          <w:sz w:val="32"/>
          <w:szCs w:val="32"/>
        </w:rPr>
        <w:t>月</w:t>
      </w:r>
    </w:p>
    <w:p>
      <w:pPr>
        <w:spacing w:line="500" w:lineRule="atLeast"/>
        <w:jc w:val="center"/>
        <w:outlineLvl w:val="0"/>
        <w:rPr>
          <w:rFonts w:ascii="宋体" w:hAnsi="宋体"/>
          <w:b/>
          <w:sz w:val="36"/>
          <w:szCs w:val="28"/>
        </w:rPr>
      </w:pPr>
      <w:bookmarkStart w:id="4" w:name="_Toc382819067"/>
      <w:bookmarkStart w:id="5" w:name="_Toc382818593"/>
      <w:r>
        <w:rPr>
          <w:rFonts w:hint="eastAsia" w:ascii="宋体" w:hAnsi="宋体"/>
          <w:b/>
          <w:sz w:val="32"/>
          <w:szCs w:val="28"/>
        </w:rPr>
        <w:t>目 录</w:t>
      </w:r>
      <w:bookmarkEnd w:id="4"/>
      <w:bookmarkEnd w:id="5"/>
    </w:p>
    <w:p>
      <w:pPr>
        <w:pStyle w:val="16"/>
        <w:tabs>
          <w:tab w:val="left" w:pos="440"/>
          <w:tab w:val="right" w:leader="dot" w:pos="8296"/>
        </w:tabs>
        <w:spacing w:line="360" w:lineRule="auto"/>
        <w:rPr>
          <w:rFonts w:ascii="Calibri" w:hAnsi="Calibri"/>
          <w:sz w:val="20"/>
          <w:szCs w:val="22"/>
        </w:rPr>
      </w:pPr>
      <w:r>
        <w:rPr>
          <w:rFonts w:ascii="宋体" w:hAnsi="宋体"/>
          <w:sz w:val="20"/>
          <w:szCs w:val="21"/>
        </w:rPr>
        <w:fldChar w:fldCharType="begin"/>
      </w:r>
      <w:r>
        <w:rPr>
          <w:rFonts w:ascii="宋体" w:hAnsi="宋体"/>
          <w:sz w:val="20"/>
          <w:szCs w:val="21"/>
        </w:rPr>
        <w:instrText xml:space="preserve"> </w:instrText>
      </w:r>
      <w:r>
        <w:rPr>
          <w:rFonts w:hint="eastAsia" w:ascii="宋体" w:hAnsi="宋体"/>
          <w:sz w:val="20"/>
          <w:szCs w:val="21"/>
        </w:rPr>
        <w:instrText xml:space="preserve">TOC \o "1-3" \h \z \u</w:instrText>
      </w:r>
      <w:r>
        <w:rPr>
          <w:rFonts w:ascii="宋体" w:hAnsi="宋体"/>
          <w:sz w:val="20"/>
          <w:szCs w:val="21"/>
        </w:rPr>
        <w:instrText xml:space="preserve"> </w:instrText>
      </w:r>
      <w:r>
        <w:rPr>
          <w:rFonts w:ascii="宋体" w:hAnsi="宋体"/>
          <w:sz w:val="20"/>
          <w:szCs w:val="21"/>
        </w:rPr>
        <w:fldChar w:fldCharType="separate"/>
      </w:r>
    </w:p>
    <w:p>
      <w:pPr>
        <w:pStyle w:val="16"/>
        <w:tabs>
          <w:tab w:val="right" w:leader="dot" w:pos="8296"/>
        </w:tabs>
        <w:spacing w:line="360" w:lineRule="auto"/>
        <w:rPr>
          <w:rFonts w:ascii="Calibri" w:hAnsi="Calibri"/>
          <w:sz w:val="24"/>
          <w:szCs w:val="22"/>
        </w:rPr>
      </w:pPr>
      <w:r>
        <w:fldChar w:fldCharType="begin"/>
      </w:r>
      <w:r>
        <w:instrText xml:space="preserve"> HYPERLINK \l "_Toc382819071" </w:instrText>
      </w:r>
      <w:r>
        <w:fldChar w:fldCharType="separate"/>
      </w:r>
      <w:r>
        <w:rPr>
          <w:rStyle w:val="21"/>
          <w:rFonts w:hint="eastAsia" w:ascii="宋体" w:hAnsi="宋体" w:cs="Arial"/>
          <w:sz w:val="24"/>
        </w:rPr>
        <w:t>一、 基金托管协议的依据、目的、原则和解释</w:t>
      </w:r>
      <w:r>
        <w:rPr>
          <w:sz w:val="24"/>
        </w:rPr>
        <w:tab/>
      </w:r>
      <w:r>
        <w:rPr>
          <w:sz w:val="24"/>
        </w:rPr>
        <w:fldChar w:fldCharType="begin"/>
      </w:r>
      <w:r>
        <w:rPr>
          <w:sz w:val="24"/>
        </w:rPr>
        <w:instrText xml:space="preserve"> PAGEREF _Toc382819071 \h </w:instrText>
      </w:r>
      <w:r>
        <w:rPr>
          <w:sz w:val="24"/>
        </w:rPr>
        <w:fldChar w:fldCharType="separate"/>
      </w:r>
      <w:r>
        <w:rPr>
          <w:sz w:val="24"/>
        </w:rPr>
        <w:t>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"_Toc382819072" </w:instrText>
      </w:r>
      <w:r>
        <w:fldChar w:fldCharType="separate"/>
      </w:r>
      <w:r>
        <w:rPr>
          <w:rStyle w:val="21"/>
          <w:rFonts w:hint="eastAsia" w:ascii="宋体" w:hAnsi="宋体" w:cs="Arial"/>
          <w:sz w:val="24"/>
        </w:rPr>
        <w:t>二、 基金托管人对基金管理人的业务监督和核查</w:t>
      </w:r>
      <w:r>
        <w:rPr>
          <w:sz w:val="24"/>
        </w:rPr>
        <w:tab/>
      </w:r>
      <w:r>
        <w:rPr>
          <w:sz w:val="24"/>
        </w:rPr>
        <w:fldChar w:fldCharType="begin"/>
      </w:r>
      <w:r>
        <w:rPr>
          <w:sz w:val="24"/>
        </w:rPr>
        <w:instrText xml:space="preserve"> PAGEREF _Toc382819072 \h </w:instrText>
      </w:r>
      <w:r>
        <w:rPr>
          <w:sz w:val="24"/>
        </w:rPr>
        <w:fldChar w:fldCharType="separate"/>
      </w:r>
      <w:r>
        <w:rPr>
          <w:sz w:val="24"/>
        </w:rPr>
        <w:t>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"_Toc382819076" </w:instrText>
      </w:r>
      <w:r>
        <w:fldChar w:fldCharType="separate"/>
      </w:r>
      <w:r>
        <w:rPr>
          <w:rStyle w:val="21"/>
          <w:rFonts w:hint="eastAsia" w:ascii="宋体" w:hAnsi="宋体" w:cs="Arial"/>
          <w:sz w:val="24"/>
        </w:rPr>
        <w:t>三、 基金管理人对基金托管人的业务核查</w:t>
      </w:r>
      <w:r>
        <w:rPr>
          <w:sz w:val="24"/>
        </w:rPr>
        <w:tab/>
      </w:r>
      <w:r>
        <w:rPr>
          <w:sz w:val="24"/>
        </w:rPr>
        <w:fldChar w:fldCharType="begin"/>
      </w:r>
      <w:r>
        <w:rPr>
          <w:sz w:val="24"/>
        </w:rPr>
        <w:instrText xml:space="preserve"> PAGEREF _Toc382819076 \h </w:instrText>
      </w:r>
      <w:r>
        <w:rPr>
          <w:sz w:val="24"/>
        </w:rPr>
        <w:fldChar w:fldCharType="separate"/>
      </w:r>
      <w:r>
        <w:rPr>
          <w:sz w:val="24"/>
        </w:rPr>
        <w:t>9</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"_Toc382819078" </w:instrText>
      </w:r>
      <w:r>
        <w:fldChar w:fldCharType="separate"/>
      </w:r>
      <w:r>
        <w:rPr>
          <w:rStyle w:val="21"/>
          <w:rFonts w:hint="eastAsia" w:ascii="宋体" w:hAnsi="宋体" w:cs="Arial"/>
          <w:sz w:val="24"/>
        </w:rPr>
        <w:t>四、 基金财产保管</w:t>
      </w:r>
      <w:r>
        <w:rPr>
          <w:sz w:val="24"/>
        </w:rPr>
        <w:tab/>
      </w:r>
      <w:r>
        <w:rPr>
          <w:sz w:val="24"/>
        </w:rPr>
        <w:fldChar w:fldCharType="begin"/>
      </w:r>
      <w:r>
        <w:rPr>
          <w:sz w:val="24"/>
        </w:rPr>
        <w:instrText xml:space="preserve"> PAGEREF _Toc382819078 \h </w:instrText>
      </w:r>
      <w:r>
        <w:rPr>
          <w:sz w:val="24"/>
        </w:rPr>
        <w:fldChar w:fldCharType="separate"/>
      </w:r>
      <w:r>
        <w:rPr>
          <w:sz w:val="24"/>
        </w:rPr>
        <w:t>10</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"_Toc382819088" </w:instrText>
      </w:r>
      <w:r>
        <w:fldChar w:fldCharType="separate"/>
      </w:r>
      <w:r>
        <w:rPr>
          <w:rStyle w:val="21"/>
          <w:rFonts w:hint="eastAsia" w:ascii="宋体" w:hAnsi="宋体" w:cs="Arial"/>
          <w:sz w:val="24"/>
        </w:rPr>
        <w:t>五、 指令的发送、确认和执行</w:t>
      </w:r>
      <w:r>
        <w:rPr>
          <w:sz w:val="24"/>
        </w:rPr>
        <w:tab/>
      </w:r>
      <w:r>
        <w:rPr>
          <w:sz w:val="24"/>
        </w:rPr>
        <w:fldChar w:fldCharType="begin"/>
      </w:r>
      <w:r>
        <w:rPr>
          <w:sz w:val="24"/>
        </w:rPr>
        <w:instrText xml:space="preserve"> PAGEREF _Toc382819088 \h </w:instrText>
      </w:r>
      <w:r>
        <w:rPr>
          <w:sz w:val="24"/>
        </w:rPr>
        <w:fldChar w:fldCharType="separate"/>
      </w:r>
      <w:r>
        <w:rPr>
          <w:sz w:val="24"/>
        </w:rPr>
        <w:t>13</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"_Toc382819097" </w:instrText>
      </w:r>
      <w:r>
        <w:fldChar w:fldCharType="separate"/>
      </w:r>
      <w:r>
        <w:rPr>
          <w:rStyle w:val="21"/>
          <w:rFonts w:hint="eastAsia" w:ascii="宋体" w:hAnsi="宋体" w:cs="Arial"/>
          <w:sz w:val="24"/>
        </w:rPr>
        <w:t>六、 交易及清算交收安排</w:t>
      </w:r>
      <w:r>
        <w:rPr>
          <w:sz w:val="24"/>
        </w:rPr>
        <w:tab/>
      </w:r>
      <w:r>
        <w:rPr>
          <w:sz w:val="24"/>
        </w:rPr>
        <w:fldChar w:fldCharType="begin"/>
      </w:r>
      <w:r>
        <w:rPr>
          <w:sz w:val="24"/>
        </w:rPr>
        <w:instrText xml:space="preserve"> PAGEREF _Toc382819097 \h </w:instrText>
      </w:r>
      <w:r>
        <w:rPr>
          <w:sz w:val="24"/>
        </w:rPr>
        <w:fldChar w:fldCharType="separate"/>
      </w:r>
      <w:r>
        <w:rPr>
          <w:sz w:val="24"/>
        </w:rPr>
        <w:t>16</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"_Toc382819103" </w:instrText>
      </w:r>
      <w:r>
        <w:fldChar w:fldCharType="separate"/>
      </w:r>
      <w:r>
        <w:rPr>
          <w:rStyle w:val="21"/>
          <w:rFonts w:hint="eastAsia" w:ascii="宋体" w:hAnsi="宋体" w:cs="Arial"/>
          <w:sz w:val="24"/>
        </w:rPr>
        <w:t>七、 基金资产净值计算和会计核算</w:t>
      </w:r>
      <w:r>
        <w:rPr>
          <w:sz w:val="24"/>
        </w:rPr>
        <w:tab/>
      </w:r>
      <w:r>
        <w:rPr>
          <w:sz w:val="24"/>
        </w:rPr>
        <w:fldChar w:fldCharType="begin"/>
      </w:r>
      <w:r>
        <w:rPr>
          <w:sz w:val="24"/>
        </w:rPr>
        <w:instrText xml:space="preserve"> PAGEREF _Toc382819103 \h </w:instrText>
      </w:r>
      <w:r>
        <w:rPr>
          <w:sz w:val="24"/>
        </w:rPr>
        <w:fldChar w:fldCharType="separate"/>
      </w:r>
      <w:r>
        <w:rPr>
          <w:sz w:val="24"/>
        </w:rPr>
        <w:t>22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"_Toc382819118" </w:instrText>
      </w:r>
      <w:r>
        <w:fldChar w:fldCharType="separate"/>
      </w:r>
      <w:r>
        <w:rPr>
          <w:rStyle w:val="21"/>
          <w:rFonts w:hint="eastAsia" w:ascii="宋体" w:hAnsi="宋体" w:cs="Arial"/>
          <w:sz w:val="24"/>
        </w:rPr>
        <w:t>八、 基金收益分配</w:t>
      </w:r>
      <w:r>
        <w:rPr>
          <w:sz w:val="24"/>
        </w:rPr>
        <w:tab/>
      </w:r>
      <w:r>
        <w:rPr>
          <w:sz w:val="24"/>
        </w:rPr>
        <w:fldChar w:fldCharType="begin"/>
      </w:r>
      <w:r>
        <w:rPr>
          <w:sz w:val="24"/>
        </w:rPr>
        <w:instrText xml:space="preserve"> PAGEREF _Toc382819118 \h </w:instrText>
      </w:r>
      <w:r>
        <w:rPr>
          <w:sz w:val="24"/>
        </w:rPr>
        <w:fldChar w:fldCharType="separate"/>
      </w:r>
      <w:r>
        <w:rPr>
          <w:sz w:val="24"/>
        </w:rPr>
        <w:t>25</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"_Toc382819121" </w:instrText>
      </w:r>
      <w:r>
        <w:fldChar w:fldCharType="separate"/>
      </w:r>
      <w:r>
        <w:rPr>
          <w:rStyle w:val="21"/>
          <w:rFonts w:hint="eastAsia" w:ascii="宋体" w:hAnsi="宋体" w:cs="Arial"/>
          <w:sz w:val="24"/>
        </w:rPr>
        <w:t>九、 信息披露</w:t>
      </w:r>
      <w:r>
        <w:rPr>
          <w:sz w:val="24"/>
        </w:rPr>
        <w:tab/>
      </w:r>
      <w:r>
        <w:rPr>
          <w:sz w:val="24"/>
        </w:rPr>
        <w:fldChar w:fldCharType="begin"/>
      </w:r>
      <w:r>
        <w:rPr>
          <w:sz w:val="24"/>
        </w:rPr>
        <w:instrText xml:space="preserve"> PAGEREF _Toc382819121 \h </w:instrText>
      </w:r>
      <w:r>
        <w:rPr>
          <w:sz w:val="24"/>
        </w:rPr>
        <w:fldChar w:fldCharType="separate"/>
      </w:r>
      <w:r>
        <w:rPr>
          <w:sz w:val="24"/>
        </w:rPr>
        <w:t>25</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"_Toc382819125" </w:instrText>
      </w:r>
      <w:r>
        <w:fldChar w:fldCharType="separate"/>
      </w:r>
      <w:r>
        <w:rPr>
          <w:rStyle w:val="21"/>
          <w:rFonts w:hint="eastAsia" w:ascii="宋体" w:hAnsi="宋体" w:cs="Arial"/>
          <w:sz w:val="24"/>
        </w:rPr>
        <w:t>十、 托管费用</w:t>
      </w:r>
      <w:r>
        <w:rPr>
          <w:sz w:val="24"/>
        </w:rPr>
        <w:tab/>
      </w:r>
      <w:r>
        <w:rPr>
          <w:sz w:val="24"/>
        </w:rPr>
        <w:fldChar w:fldCharType="begin"/>
      </w:r>
      <w:r>
        <w:rPr>
          <w:sz w:val="24"/>
        </w:rPr>
        <w:instrText xml:space="preserve"> PAGEREF _Toc382819125 \h </w:instrText>
      </w:r>
      <w:r>
        <w:rPr>
          <w:sz w:val="24"/>
        </w:rPr>
        <w:fldChar w:fldCharType="separate"/>
      </w:r>
      <w:r>
        <w:rPr>
          <w:sz w:val="24"/>
        </w:rPr>
        <w:t>27</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"_Toc382819126" </w:instrText>
      </w:r>
      <w:r>
        <w:fldChar w:fldCharType="separate"/>
      </w:r>
      <w:r>
        <w:rPr>
          <w:rStyle w:val="21"/>
          <w:rFonts w:hint="eastAsia" w:ascii="宋体" w:hAnsi="宋体" w:cs="Arial"/>
          <w:sz w:val="24"/>
        </w:rPr>
        <w:t>十一、 基金份额持有人名册的保管</w:t>
      </w:r>
      <w:r>
        <w:rPr>
          <w:sz w:val="24"/>
        </w:rPr>
        <w:tab/>
      </w:r>
      <w:r>
        <w:rPr>
          <w:sz w:val="24"/>
        </w:rPr>
        <w:fldChar w:fldCharType="begin"/>
      </w:r>
      <w:r>
        <w:rPr>
          <w:sz w:val="24"/>
        </w:rPr>
        <w:instrText xml:space="preserve"> PAGEREF _Toc382819126 \h </w:instrText>
      </w:r>
      <w:r>
        <w:rPr>
          <w:sz w:val="24"/>
        </w:rPr>
        <w:fldChar w:fldCharType="separate"/>
      </w:r>
      <w:r>
        <w:rPr>
          <w:sz w:val="24"/>
        </w:rPr>
        <w:t>27</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"_Toc382819127" </w:instrText>
      </w:r>
      <w:r>
        <w:fldChar w:fldCharType="separate"/>
      </w:r>
      <w:r>
        <w:rPr>
          <w:rStyle w:val="21"/>
          <w:rFonts w:hint="eastAsia" w:ascii="宋体" w:hAnsi="宋体" w:cs="Arial"/>
          <w:sz w:val="24"/>
        </w:rPr>
        <w:t>十二、 基金有关文件和档案的保存</w:t>
      </w:r>
      <w:r>
        <w:rPr>
          <w:sz w:val="24"/>
        </w:rPr>
        <w:tab/>
      </w:r>
      <w:r>
        <w:rPr>
          <w:sz w:val="24"/>
        </w:rPr>
        <w:fldChar w:fldCharType="begin"/>
      </w:r>
      <w:r>
        <w:rPr>
          <w:sz w:val="24"/>
        </w:rPr>
        <w:instrText xml:space="preserve"> PAGEREF _Toc382819127 \h </w:instrText>
      </w:r>
      <w:r>
        <w:rPr>
          <w:sz w:val="24"/>
        </w:rPr>
        <w:fldChar w:fldCharType="separate"/>
      </w:r>
      <w:r>
        <w:rPr>
          <w:sz w:val="24"/>
        </w:rPr>
        <w:t>28</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"_Toc382819128" </w:instrText>
      </w:r>
      <w:r>
        <w:fldChar w:fldCharType="separate"/>
      </w:r>
      <w:r>
        <w:rPr>
          <w:rStyle w:val="21"/>
          <w:rFonts w:hint="eastAsia" w:ascii="宋体" w:hAnsi="宋体" w:cs="Arial"/>
          <w:sz w:val="24"/>
        </w:rPr>
        <w:t>十三、 基金管理人和基金托管人的更换</w:t>
      </w:r>
      <w:r>
        <w:rPr>
          <w:sz w:val="24"/>
        </w:rPr>
        <w:tab/>
      </w:r>
      <w:r>
        <w:rPr>
          <w:sz w:val="24"/>
        </w:rPr>
        <w:fldChar w:fldCharType="begin"/>
      </w:r>
      <w:r>
        <w:rPr>
          <w:sz w:val="24"/>
        </w:rPr>
        <w:instrText xml:space="preserve"> PAGEREF _Toc382819128 \h </w:instrText>
      </w:r>
      <w:r>
        <w:rPr>
          <w:sz w:val="24"/>
        </w:rPr>
        <w:fldChar w:fldCharType="separate"/>
      </w:r>
      <w:r>
        <w:rPr>
          <w:sz w:val="24"/>
        </w:rPr>
        <w:t>28</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"_Toc382819131" </w:instrText>
      </w:r>
      <w:r>
        <w:fldChar w:fldCharType="separate"/>
      </w:r>
      <w:r>
        <w:rPr>
          <w:rStyle w:val="21"/>
          <w:rFonts w:hint="eastAsia" w:ascii="宋体" w:hAnsi="宋体" w:cs="Arial"/>
          <w:sz w:val="24"/>
        </w:rPr>
        <w:t>十四、 禁止行为</w:t>
      </w:r>
      <w:r>
        <w:rPr>
          <w:sz w:val="24"/>
        </w:rPr>
        <w:tab/>
      </w:r>
      <w:r>
        <w:rPr>
          <w:sz w:val="24"/>
        </w:rPr>
        <w:fldChar w:fldCharType="begin"/>
      </w:r>
      <w:r>
        <w:rPr>
          <w:sz w:val="24"/>
        </w:rPr>
        <w:instrText xml:space="preserve"> PAGEREF _Toc382819131 \h </w:instrText>
      </w:r>
      <w:r>
        <w:rPr>
          <w:sz w:val="24"/>
        </w:rPr>
        <w:fldChar w:fldCharType="separate"/>
      </w:r>
      <w:r>
        <w:rPr>
          <w:sz w:val="24"/>
        </w:rPr>
        <w:t>31</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"_Toc382819132" </w:instrText>
      </w:r>
      <w:r>
        <w:fldChar w:fldCharType="separate"/>
      </w:r>
      <w:r>
        <w:rPr>
          <w:rStyle w:val="21"/>
          <w:rFonts w:hint="eastAsia" w:ascii="宋体" w:hAnsi="宋体" w:cs="Arial"/>
          <w:sz w:val="24"/>
        </w:rPr>
        <w:t>十五、 基金托管协议的变更、终止与基金财产的清算</w:t>
      </w:r>
      <w:r>
        <w:rPr>
          <w:sz w:val="24"/>
        </w:rPr>
        <w:tab/>
      </w:r>
      <w:r>
        <w:rPr>
          <w:sz w:val="24"/>
        </w:rPr>
        <w:fldChar w:fldCharType="begin"/>
      </w:r>
      <w:r>
        <w:rPr>
          <w:sz w:val="24"/>
        </w:rPr>
        <w:instrText xml:space="preserve"> PAGEREF _Toc382819132 \h </w:instrText>
      </w:r>
      <w:r>
        <w:rPr>
          <w:sz w:val="24"/>
        </w:rPr>
        <w:fldChar w:fldCharType="separate"/>
      </w:r>
      <w:r>
        <w:rPr>
          <w:sz w:val="24"/>
        </w:rPr>
        <w:t>32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"_Toc382819133" </w:instrText>
      </w:r>
      <w:r>
        <w:fldChar w:fldCharType="separate"/>
      </w:r>
      <w:r>
        <w:rPr>
          <w:rStyle w:val="21"/>
          <w:rFonts w:hint="eastAsia" w:ascii="宋体" w:hAnsi="宋体" w:cs="Arial"/>
          <w:sz w:val="24"/>
        </w:rPr>
        <w:t>十六、 违约责任</w:t>
      </w:r>
      <w:r>
        <w:rPr>
          <w:sz w:val="24"/>
        </w:rPr>
        <w:tab/>
      </w:r>
      <w:r>
        <w:rPr>
          <w:sz w:val="24"/>
        </w:rPr>
        <w:fldChar w:fldCharType="begin"/>
      </w:r>
      <w:r>
        <w:rPr>
          <w:sz w:val="24"/>
        </w:rPr>
        <w:instrText xml:space="preserve"> PAGEREF _Toc382819133 \h </w:instrText>
      </w:r>
      <w:r>
        <w:rPr>
          <w:sz w:val="24"/>
        </w:rPr>
        <w:fldChar w:fldCharType="separate"/>
      </w:r>
      <w:r>
        <w:rPr>
          <w:sz w:val="24"/>
        </w:rPr>
        <w:t>33</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"_Toc382819134" </w:instrText>
      </w:r>
      <w:r>
        <w:fldChar w:fldCharType="separate"/>
      </w:r>
      <w:r>
        <w:rPr>
          <w:rStyle w:val="21"/>
          <w:rFonts w:hint="eastAsia" w:ascii="宋体" w:hAnsi="宋体" w:cs="Arial"/>
          <w:sz w:val="24"/>
        </w:rPr>
        <w:t>十七、 适用法律及争议解决方式</w:t>
      </w:r>
      <w:r>
        <w:rPr>
          <w:sz w:val="24"/>
        </w:rPr>
        <w:tab/>
      </w:r>
      <w:r>
        <w:rPr>
          <w:sz w:val="24"/>
        </w:rPr>
        <w:fldChar w:fldCharType="begin"/>
      </w:r>
      <w:r>
        <w:rPr>
          <w:sz w:val="24"/>
        </w:rPr>
        <w:instrText xml:space="preserve"> PAGEREF _Toc382819134 \h </w:instrText>
      </w:r>
      <w:r>
        <w:rPr>
          <w:sz w:val="24"/>
        </w:rPr>
        <w:fldChar w:fldCharType="separate"/>
      </w:r>
      <w:r>
        <w:rPr>
          <w:sz w:val="24"/>
        </w:rPr>
        <w:t>34</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"_Toc382819135" </w:instrText>
      </w:r>
      <w:r>
        <w:fldChar w:fldCharType="separate"/>
      </w:r>
      <w:r>
        <w:rPr>
          <w:rStyle w:val="21"/>
          <w:rFonts w:hint="eastAsia" w:ascii="宋体" w:hAnsi="宋体" w:cs="Arial"/>
          <w:sz w:val="24"/>
        </w:rPr>
        <w:t>十八、 基金托管协议的效力和文本</w:t>
      </w:r>
      <w:r>
        <w:rPr>
          <w:sz w:val="24"/>
        </w:rPr>
        <w:tab/>
      </w:r>
      <w:r>
        <w:rPr>
          <w:sz w:val="24"/>
        </w:rPr>
        <w:fldChar w:fldCharType="begin"/>
      </w:r>
      <w:r>
        <w:rPr>
          <w:sz w:val="24"/>
        </w:rPr>
        <w:instrText xml:space="preserve"> PAGEREF _Toc382819135 \h </w:instrText>
      </w:r>
      <w:r>
        <w:rPr>
          <w:sz w:val="24"/>
        </w:rPr>
        <w:fldChar w:fldCharType="separate"/>
      </w:r>
      <w:r>
        <w:rPr>
          <w:sz w:val="24"/>
        </w:rPr>
        <w:t>34</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"_Toc382819136" </w:instrText>
      </w:r>
      <w:r>
        <w:fldChar w:fldCharType="separate"/>
      </w:r>
      <w:r>
        <w:rPr>
          <w:rStyle w:val="21"/>
          <w:rFonts w:hint="eastAsia" w:ascii="宋体" w:hAnsi="宋体"/>
          <w:sz w:val="24"/>
        </w:rPr>
        <w:t>十九、</w:t>
      </w:r>
      <w:r>
        <w:rPr>
          <w:rStyle w:val="21"/>
          <w:rFonts w:hint="eastAsia" w:ascii="宋体" w:hAnsi="宋体" w:cs="Arial"/>
          <w:sz w:val="24"/>
        </w:rPr>
        <w:t xml:space="preserve"> 其他事项</w:t>
      </w:r>
      <w:r>
        <w:rPr>
          <w:sz w:val="24"/>
        </w:rPr>
        <w:tab/>
      </w:r>
      <w:r>
        <w:rPr>
          <w:sz w:val="24"/>
        </w:rPr>
        <w:fldChar w:fldCharType="begin"/>
      </w:r>
      <w:r>
        <w:rPr>
          <w:sz w:val="24"/>
        </w:rPr>
        <w:instrText xml:space="preserve"> PAGEREF _Toc382819136 \h </w:instrText>
      </w:r>
      <w:r>
        <w:rPr>
          <w:sz w:val="24"/>
        </w:rPr>
        <w:fldChar w:fldCharType="separate"/>
      </w:r>
      <w:r>
        <w:rPr>
          <w:sz w:val="24"/>
        </w:rPr>
        <w:t>35</w:t>
      </w:r>
      <w:r>
        <w:rPr>
          <w:sz w:val="24"/>
        </w:rPr>
        <w:fldChar w:fldCharType="end"/>
      </w:r>
      <w:r>
        <w:rPr>
          <w:sz w:val="24"/>
        </w:rPr>
        <w:fldChar w:fldCharType="end"/>
      </w:r>
    </w:p>
    <w:p>
      <w:pPr>
        <w:spacing w:line="360" w:lineRule="auto"/>
        <w:rPr>
          <w:rFonts w:ascii="仿宋_GB2312" w:eastAsia="仿宋_GB2312"/>
          <w:sz w:val="24"/>
        </w:rPr>
      </w:pPr>
      <w:r>
        <w:rPr>
          <w:rFonts w:ascii="宋体" w:hAnsi="宋体"/>
          <w:sz w:val="20"/>
          <w:szCs w:val="21"/>
        </w:rPr>
        <w:fldChar w:fldCharType="end"/>
      </w:r>
    </w:p>
    <w:p>
      <w:pPr>
        <w:widowControl/>
        <w:jc w:val="left"/>
        <w:rPr>
          <w:rFonts w:ascii="仿宋_GB2312" w:eastAsia="仿宋_GB2312"/>
          <w:sz w:val="24"/>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pStyle w:val="2"/>
        <w:keepNext w:val="0"/>
        <w:keepLines w:val="0"/>
        <w:numPr>
          <w:ilvl w:val="0"/>
          <w:numId w:val="0"/>
        </w:numPr>
        <w:tabs>
          <w:tab w:val="left" w:pos="420"/>
        </w:tabs>
        <w:autoSpaceDE w:val="0"/>
        <w:autoSpaceDN w:val="0"/>
        <w:adjustRightInd w:val="0"/>
        <w:spacing w:before="360" w:after="360"/>
        <w:textAlignment w:val="baseline"/>
        <w:rPr>
          <w:rFonts w:hAnsi="黑体"/>
          <w:b w:val="0"/>
          <w:szCs w:val="32"/>
        </w:rPr>
      </w:pPr>
      <w:bookmarkStart w:id="6" w:name="_Toc382818594"/>
      <w:bookmarkStart w:id="7" w:name="_Toc382819068"/>
      <w:r>
        <w:rPr>
          <w:rFonts w:hint="eastAsia" w:hAnsi="黑体"/>
          <w:b w:val="0"/>
          <w:szCs w:val="32"/>
        </w:rPr>
        <w:t>交银施罗德</w:t>
      </w:r>
      <w:r>
        <w:rPr>
          <w:rFonts w:hint="eastAsia" w:hAnsi="黑体"/>
          <w:b w:val="0"/>
          <w:szCs w:val="32"/>
          <w:lang w:eastAsia="zh-CN"/>
        </w:rPr>
        <w:t>远见成长</w:t>
      </w:r>
      <w:r>
        <w:rPr>
          <w:rFonts w:hint="eastAsia" w:hAnsi="黑体"/>
          <w:b w:val="0"/>
          <w:szCs w:val="32"/>
        </w:rPr>
        <w:t>混合型证券投资基金托管协议</w:t>
      </w:r>
      <w:bookmarkEnd w:id="6"/>
      <w:bookmarkEnd w:id="7"/>
    </w:p>
    <w:p>
      <w:pPr>
        <w:rPr>
          <w:lang w:val="zh-CN"/>
        </w:rPr>
      </w:pPr>
    </w:p>
    <w:p>
      <w:pPr>
        <w:rPr>
          <w:lang w:val="zh-CN"/>
        </w:rPr>
      </w:pPr>
    </w:p>
    <w:p>
      <w:pPr>
        <w:pStyle w:val="3"/>
        <w:keepNext w:val="0"/>
        <w:keepLines w:val="0"/>
        <w:autoSpaceDE w:val="0"/>
        <w:autoSpaceDN w:val="0"/>
        <w:adjustRightInd w:val="0"/>
        <w:spacing w:before="0" w:after="0" w:line="360" w:lineRule="auto"/>
        <w:ind w:firstLine="472" w:firstLineChars="196"/>
        <w:textAlignment w:val="baseline"/>
        <w:rPr>
          <w:rFonts w:ascii="宋体" w:hAnsi="宋体" w:eastAsia="宋体"/>
          <w:sz w:val="24"/>
        </w:rPr>
      </w:pPr>
      <w:bookmarkStart w:id="8" w:name="_Toc382819069"/>
      <w:r>
        <w:rPr>
          <w:rFonts w:hint="eastAsia" w:ascii="宋体" w:hAnsi="宋体" w:eastAsia="宋体" w:cs="Arial"/>
          <w:kern w:val="0"/>
          <w:sz w:val="24"/>
          <w:szCs w:val="24"/>
        </w:rPr>
        <w:t>基金管理人：</w:t>
      </w:r>
      <w:bookmarkEnd w:id="8"/>
      <w:r>
        <w:rPr>
          <w:rFonts w:hint="eastAsia" w:ascii="宋体" w:hAnsi="宋体" w:eastAsia="宋体"/>
          <w:sz w:val="24"/>
        </w:rPr>
        <w:t>交银施罗德基金管理有限公司</w:t>
      </w:r>
    </w:p>
    <w:p>
      <w:pPr>
        <w:spacing w:line="360" w:lineRule="auto"/>
        <w:ind w:firstLine="480" w:firstLineChars="200"/>
        <w:rPr>
          <w:rFonts w:ascii="宋体" w:hAnsi="宋体"/>
          <w:sz w:val="24"/>
        </w:rPr>
      </w:pPr>
      <w:r>
        <w:rPr>
          <w:rFonts w:hint="eastAsia" w:ascii="宋体" w:hAnsi="宋体"/>
          <w:sz w:val="24"/>
        </w:rPr>
        <w:t>住所：中国（上海）自由贸易试验区银城中路188号交通银行大楼二层（裙）</w:t>
      </w:r>
    </w:p>
    <w:p>
      <w:pPr>
        <w:spacing w:line="360" w:lineRule="auto"/>
        <w:ind w:firstLine="480" w:firstLineChars="200"/>
        <w:rPr>
          <w:rFonts w:ascii="宋体" w:hAnsi="宋体"/>
          <w:sz w:val="24"/>
        </w:rPr>
      </w:pPr>
      <w:r>
        <w:rPr>
          <w:rFonts w:hint="eastAsia" w:ascii="宋体" w:hAnsi="宋体"/>
          <w:sz w:val="24"/>
        </w:rPr>
        <w:t>法定代表人：张宏良</w:t>
      </w:r>
    </w:p>
    <w:p>
      <w:pPr>
        <w:spacing w:line="360" w:lineRule="auto"/>
        <w:ind w:firstLine="480" w:firstLineChars="200"/>
        <w:rPr>
          <w:rFonts w:ascii="宋体" w:hAnsi="宋体"/>
          <w:sz w:val="24"/>
        </w:rPr>
      </w:pPr>
      <w:r>
        <w:rPr>
          <w:rFonts w:hint="eastAsia" w:ascii="宋体" w:hAnsi="宋体"/>
          <w:sz w:val="24"/>
        </w:rPr>
        <w:t>成立时间：2005年8月4日</w:t>
      </w:r>
    </w:p>
    <w:p>
      <w:pPr>
        <w:spacing w:line="360" w:lineRule="auto"/>
        <w:ind w:firstLine="480" w:firstLineChars="200"/>
        <w:rPr>
          <w:rFonts w:ascii="宋体" w:hAnsi="宋体"/>
          <w:sz w:val="24"/>
        </w:rPr>
      </w:pPr>
      <w:r>
        <w:rPr>
          <w:rFonts w:hint="eastAsia" w:ascii="宋体" w:hAnsi="宋体"/>
          <w:sz w:val="24"/>
        </w:rPr>
        <w:t>批准设立机关及批准设立文号：中国证监会证监基金字[2005]128号</w:t>
      </w:r>
    </w:p>
    <w:p>
      <w:pPr>
        <w:spacing w:line="360" w:lineRule="auto"/>
        <w:ind w:firstLine="480" w:firstLineChars="200"/>
        <w:rPr>
          <w:rFonts w:ascii="宋体" w:hAnsi="宋体"/>
          <w:sz w:val="24"/>
        </w:rPr>
      </w:pPr>
      <w:r>
        <w:rPr>
          <w:rFonts w:hint="eastAsia" w:ascii="宋体" w:hAnsi="宋体"/>
          <w:sz w:val="24"/>
        </w:rPr>
        <w:t>注册资本：2亿元人民币</w:t>
      </w:r>
    </w:p>
    <w:p>
      <w:pPr>
        <w:spacing w:line="360" w:lineRule="auto"/>
        <w:ind w:firstLine="480" w:firstLineChars="200"/>
        <w:rPr>
          <w:rFonts w:ascii="宋体" w:hAnsi="宋体"/>
          <w:sz w:val="24"/>
        </w:rPr>
      </w:pPr>
      <w:r>
        <w:rPr>
          <w:rFonts w:hint="eastAsia" w:ascii="宋体" w:hAnsi="宋体"/>
          <w:sz w:val="24"/>
        </w:rPr>
        <w:t>组织形式: 有限责任公司</w:t>
      </w:r>
    </w:p>
    <w:p>
      <w:pPr>
        <w:spacing w:line="360" w:lineRule="auto"/>
        <w:ind w:firstLine="480" w:firstLineChars="200"/>
        <w:rPr>
          <w:rFonts w:ascii="宋体" w:hAnsi="宋体"/>
          <w:sz w:val="24"/>
        </w:rPr>
      </w:pPr>
      <w:r>
        <w:rPr>
          <w:rFonts w:hint="eastAsia" w:ascii="宋体" w:hAnsi="宋体"/>
          <w:sz w:val="24"/>
        </w:rPr>
        <w:t>存续期间：持续经营</w:t>
      </w:r>
    </w:p>
    <w:p>
      <w:pPr>
        <w:tabs>
          <w:tab w:val="left" w:pos="1320"/>
        </w:tabs>
        <w:spacing w:line="360" w:lineRule="auto"/>
        <w:ind w:firstLine="480" w:firstLineChars="200"/>
        <w:rPr>
          <w:rFonts w:ascii="宋体" w:hAnsi="宋体"/>
          <w:sz w:val="24"/>
        </w:rPr>
      </w:pPr>
      <w:r>
        <w:rPr>
          <w:rFonts w:hint="eastAsia" w:ascii="宋体" w:hAnsi="宋体"/>
          <w:sz w:val="24"/>
        </w:rPr>
        <w:t>电话：（021）61055050</w:t>
      </w:r>
    </w:p>
    <w:p>
      <w:pPr>
        <w:ind w:firstLine="630"/>
      </w:pPr>
    </w:p>
    <w:p>
      <w:pPr>
        <w:ind w:firstLine="630"/>
      </w:pPr>
    </w:p>
    <w:p>
      <w:pPr>
        <w:ind w:firstLine="630"/>
      </w:pPr>
    </w:p>
    <w:p>
      <w:pPr>
        <w:spacing w:line="360" w:lineRule="auto"/>
        <w:ind w:firstLine="482" w:firstLineChars="200"/>
        <w:rPr>
          <w:rFonts w:ascii="宋体" w:hAnsi="宋体"/>
          <w:b/>
          <w:sz w:val="24"/>
        </w:rPr>
      </w:pPr>
    </w:p>
    <w:p>
      <w:pPr>
        <w:pStyle w:val="3"/>
        <w:keepNext w:val="0"/>
        <w:keepLines w:val="0"/>
        <w:autoSpaceDE w:val="0"/>
        <w:autoSpaceDN w:val="0"/>
        <w:adjustRightInd w:val="0"/>
        <w:spacing w:before="0" w:after="0" w:line="360" w:lineRule="auto"/>
        <w:ind w:firstLine="472" w:firstLineChars="196"/>
        <w:textAlignment w:val="baseline"/>
        <w:rPr>
          <w:rFonts w:ascii="宋体" w:hAnsi="宋体" w:eastAsia="宋体"/>
          <w:bCs w:val="0"/>
          <w:sz w:val="24"/>
          <w:szCs w:val="24"/>
        </w:rPr>
      </w:pPr>
      <w:bookmarkStart w:id="9" w:name="_Toc382819070"/>
      <w:r>
        <w:rPr>
          <w:rFonts w:hint="eastAsia" w:ascii="宋体" w:hAnsi="宋体" w:eastAsia="宋体" w:cs="Arial"/>
          <w:kern w:val="0"/>
          <w:sz w:val="24"/>
          <w:szCs w:val="24"/>
        </w:rPr>
        <w:t>基金托管人：</w:t>
      </w:r>
      <w:r>
        <w:rPr>
          <w:rFonts w:hint="eastAsia" w:ascii="宋体" w:hAnsi="宋体" w:eastAsia="宋体"/>
          <w:bCs w:val="0"/>
          <w:sz w:val="24"/>
          <w:szCs w:val="24"/>
        </w:rPr>
        <w:t>上海浦东发展银行股份有限公司</w:t>
      </w:r>
      <w:bookmarkEnd w:id="9"/>
    </w:p>
    <w:p>
      <w:pPr>
        <w:spacing w:line="360" w:lineRule="auto"/>
        <w:ind w:firstLine="480" w:firstLineChars="200"/>
        <w:rPr>
          <w:rFonts w:ascii="宋体" w:hAnsi="宋体"/>
          <w:sz w:val="24"/>
        </w:rPr>
      </w:pPr>
      <w:r>
        <w:rPr>
          <w:rFonts w:hint="eastAsia" w:ascii="宋体" w:hAnsi="宋体"/>
          <w:sz w:val="24"/>
        </w:rPr>
        <w:t>住所：上海市中山东一路12号</w:t>
      </w:r>
    </w:p>
    <w:p>
      <w:pPr>
        <w:spacing w:line="360" w:lineRule="auto"/>
        <w:ind w:firstLine="480" w:firstLineChars="200"/>
        <w:rPr>
          <w:rFonts w:ascii="宋体" w:hAnsi="宋体"/>
          <w:sz w:val="24"/>
        </w:rPr>
      </w:pPr>
      <w:r>
        <w:rPr>
          <w:rFonts w:hint="eastAsia" w:ascii="宋体" w:hAnsi="宋体"/>
          <w:sz w:val="24"/>
        </w:rPr>
        <w:t>办公地址：上海博成路1388号浦银中心A栋</w:t>
      </w:r>
    </w:p>
    <w:p>
      <w:pPr>
        <w:spacing w:line="360" w:lineRule="auto"/>
        <w:ind w:firstLine="480" w:firstLineChars="200"/>
        <w:rPr>
          <w:rFonts w:ascii="宋体" w:hAnsi="宋体"/>
          <w:sz w:val="24"/>
        </w:rPr>
      </w:pPr>
      <w:r>
        <w:rPr>
          <w:rFonts w:hint="eastAsia" w:ascii="宋体" w:hAnsi="宋体"/>
          <w:sz w:val="24"/>
        </w:rPr>
        <w:t>法定代表人：张为忠</w:t>
      </w:r>
    </w:p>
    <w:p>
      <w:pPr>
        <w:spacing w:line="360" w:lineRule="auto"/>
        <w:ind w:firstLine="480" w:firstLineChars="200"/>
        <w:rPr>
          <w:rFonts w:ascii="宋体" w:hAnsi="宋体"/>
          <w:sz w:val="24"/>
        </w:rPr>
      </w:pPr>
      <w:r>
        <w:rPr>
          <w:rFonts w:hint="eastAsia" w:ascii="宋体" w:hAnsi="宋体"/>
          <w:sz w:val="24"/>
        </w:rPr>
        <w:t>成立日期：1992年10月19日</w:t>
      </w:r>
    </w:p>
    <w:p>
      <w:pPr>
        <w:spacing w:line="360" w:lineRule="auto"/>
        <w:ind w:firstLine="480" w:firstLineChars="200"/>
        <w:rPr>
          <w:rFonts w:ascii="宋体" w:hAnsi="宋体"/>
          <w:sz w:val="24"/>
        </w:rPr>
      </w:pPr>
      <w:r>
        <w:rPr>
          <w:rFonts w:hint="eastAsia" w:ascii="宋体" w:hAnsi="宋体"/>
          <w:sz w:val="24"/>
        </w:rPr>
        <w:t>基金托管业务资格批准机关：中国证监会</w:t>
      </w:r>
    </w:p>
    <w:p>
      <w:pPr>
        <w:spacing w:line="360" w:lineRule="auto"/>
        <w:ind w:firstLine="480" w:firstLineChars="200"/>
        <w:rPr>
          <w:rFonts w:ascii="宋体" w:hAnsi="宋体"/>
          <w:sz w:val="24"/>
        </w:rPr>
      </w:pPr>
      <w:r>
        <w:rPr>
          <w:rFonts w:hint="eastAsia" w:ascii="宋体" w:hAnsi="宋体"/>
          <w:sz w:val="24"/>
        </w:rPr>
        <w:t>基金托管业务资格文号：证监基金字[2003]105号</w:t>
      </w:r>
    </w:p>
    <w:p>
      <w:pPr>
        <w:spacing w:line="360" w:lineRule="auto"/>
        <w:ind w:firstLine="480" w:firstLineChars="200"/>
        <w:rPr>
          <w:rFonts w:ascii="宋体" w:hAnsi="宋体"/>
          <w:sz w:val="24"/>
        </w:rPr>
      </w:pPr>
      <w:r>
        <w:rPr>
          <w:rFonts w:hint="eastAsia"/>
          <w:bCs/>
          <w:sz w:val="24"/>
        </w:rPr>
        <w:t>批准设立机关和批准设立文号：</w:t>
      </w:r>
      <w:r>
        <w:rPr>
          <w:bCs/>
          <w:sz w:val="24"/>
        </w:rPr>
        <w:t>中国人民银行</w:t>
      </w:r>
      <w:r>
        <w:rPr>
          <w:rFonts w:hint="eastAsia"/>
          <w:bCs/>
          <w:sz w:val="24"/>
        </w:rPr>
        <w:t>银复（1992）350号文</w:t>
      </w:r>
    </w:p>
    <w:p>
      <w:pPr>
        <w:spacing w:line="360" w:lineRule="auto"/>
        <w:ind w:firstLine="480" w:firstLineChars="200"/>
        <w:rPr>
          <w:rFonts w:ascii="宋体" w:hAnsi="宋体"/>
          <w:sz w:val="24"/>
        </w:rPr>
      </w:pPr>
      <w:r>
        <w:rPr>
          <w:rFonts w:hint="eastAsia" w:ascii="宋体" w:hAnsi="宋体"/>
          <w:sz w:val="24"/>
        </w:rPr>
        <w:t>组织形式：股份有限公司（上市）</w:t>
      </w:r>
    </w:p>
    <w:p>
      <w:pPr>
        <w:spacing w:line="360" w:lineRule="auto"/>
        <w:ind w:firstLine="480" w:firstLineChars="200"/>
        <w:rPr>
          <w:rFonts w:ascii="宋体" w:hAnsi="宋体"/>
          <w:sz w:val="24"/>
        </w:rPr>
      </w:pPr>
      <w:r>
        <w:rPr>
          <w:rFonts w:hint="eastAsia" w:ascii="宋体" w:hAnsi="宋体"/>
          <w:sz w:val="24"/>
        </w:rPr>
        <w:t>注册资本：人民币</w:t>
      </w:r>
      <w:r>
        <w:rPr>
          <w:rFonts w:ascii="宋体" w:hAnsi="宋体"/>
          <w:sz w:val="24"/>
        </w:rPr>
        <w:t>293.52</w:t>
      </w:r>
      <w:r>
        <w:rPr>
          <w:rFonts w:hint="eastAsia" w:ascii="宋体" w:hAnsi="宋体"/>
          <w:sz w:val="24"/>
        </w:rPr>
        <w:t>亿元</w:t>
      </w:r>
    </w:p>
    <w:p>
      <w:pPr>
        <w:spacing w:line="360" w:lineRule="auto"/>
        <w:ind w:firstLine="480" w:firstLineChars="200"/>
        <w:rPr>
          <w:rFonts w:ascii="宋体" w:hAnsi="宋体"/>
          <w:sz w:val="24"/>
        </w:rPr>
      </w:pPr>
      <w:r>
        <w:rPr>
          <w:rFonts w:hint="eastAsia" w:ascii="宋体" w:hAnsi="宋体"/>
          <w:sz w:val="24"/>
        </w:rPr>
        <w:t>经营期限：永久存续</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0" w:name="_Toc382819071"/>
      <w:r>
        <w:rPr>
          <w:rFonts w:hint="eastAsia" w:ascii="宋体" w:hAnsi="宋体" w:eastAsia="宋体" w:cs="Arial"/>
          <w:sz w:val="21"/>
          <w:szCs w:val="21"/>
        </w:rPr>
        <w:t>基金托管协议的依据、目的、原则和解释</w:t>
      </w:r>
      <w:bookmarkEnd w:id="10"/>
    </w:p>
    <w:p>
      <w:pPr>
        <w:spacing w:line="360" w:lineRule="auto"/>
        <w:ind w:firstLine="420" w:firstLineChars="200"/>
        <w:rPr>
          <w:rFonts w:ascii="宋体" w:hAnsi="宋体"/>
          <w:szCs w:val="21"/>
        </w:rPr>
      </w:pPr>
      <w:r>
        <w:rPr>
          <w:rFonts w:hint="eastAsia" w:ascii="宋体" w:hAnsi="宋体"/>
          <w:szCs w:val="21"/>
        </w:rPr>
        <w:t>（一）依据</w:t>
      </w:r>
    </w:p>
    <w:p>
      <w:pPr>
        <w:spacing w:line="360" w:lineRule="auto"/>
        <w:ind w:firstLine="420" w:firstLineChars="200"/>
        <w:rPr>
          <w:rFonts w:ascii="宋体" w:hAnsi="宋体"/>
          <w:szCs w:val="21"/>
        </w:rPr>
      </w:pPr>
      <w:r>
        <w:rPr>
          <w:rFonts w:hint="eastAsia" w:ascii="宋体" w:hAnsi="宋体"/>
          <w:szCs w:val="21"/>
        </w:rPr>
        <w:t>本协议依据《中华人民共和国民法典》、《中华人民共和国证券法》、《中华人民共和国证券投资基金法》（以下简称《基金法》）、《公开募集证券投资基金运作管理办法》（以下简称《运作办法》）、《</w:t>
      </w:r>
      <w:r>
        <w:rPr>
          <w:rFonts w:hint="eastAsia" w:ascii="宋体" w:hAnsi="宋体"/>
          <w:bCs/>
          <w:szCs w:val="21"/>
        </w:rPr>
        <w:t>公开募集</w:t>
      </w:r>
      <w:r>
        <w:rPr>
          <w:rFonts w:ascii="宋体" w:hAnsi="宋体"/>
          <w:bCs/>
          <w:szCs w:val="21"/>
        </w:rPr>
        <w:t>证券投资基金销售机构监督管理办法</w:t>
      </w:r>
      <w:r>
        <w:rPr>
          <w:rFonts w:hint="eastAsia" w:ascii="宋体" w:hAnsi="宋体"/>
          <w:szCs w:val="21"/>
        </w:rPr>
        <w:t>》、《公开募集证券投资基金信息披露管理办法》（以下简称《信息披露办法》）、</w:t>
      </w:r>
      <w:r>
        <w:rPr>
          <w:rFonts w:ascii="宋体" w:hAnsi="宋体"/>
          <w:szCs w:val="21"/>
        </w:rPr>
        <w:t>《公开募集开放式证券投资基金流动性风险管理规定》（以下简称《流动性风险管理规定》）、</w:t>
      </w:r>
      <w:r>
        <w:rPr>
          <w:rFonts w:hint="eastAsia" w:ascii="宋体" w:hAnsi="宋体"/>
          <w:szCs w:val="21"/>
        </w:rPr>
        <w:t>《证券投资基金托管业务管理办法》、《证券投资基金信息披露内容与格式准则第7号〈托管协议的内容与格式〉》、《交银施罗德</w:t>
      </w:r>
      <w:r>
        <w:rPr>
          <w:rFonts w:hint="eastAsia" w:ascii="宋体" w:hAnsi="宋体"/>
          <w:szCs w:val="21"/>
          <w:lang w:eastAsia="zh-CN"/>
        </w:rPr>
        <w:t>远见成长</w:t>
      </w:r>
      <w:r>
        <w:rPr>
          <w:rFonts w:hint="eastAsia" w:ascii="宋体" w:hAnsi="宋体"/>
          <w:szCs w:val="21"/>
        </w:rPr>
        <w:t>混合型证券投资基金基金合同》（以下简称《基金合同》或基金合同）及其他有关法律、法规制定。</w:t>
      </w:r>
    </w:p>
    <w:p>
      <w:pPr>
        <w:spacing w:line="360" w:lineRule="auto"/>
        <w:ind w:firstLine="420" w:firstLineChars="200"/>
        <w:rPr>
          <w:rFonts w:ascii="宋体" w:hAnsi="宋体"/>
          <w:szCs w:val="21"/>
        </w:rPr>
      </w:pPr>
      <w:r>
        <w:rPr>
          <w:rFonts w:hint="eastAsia" w:ascii="宋体" w:hAnsi="宋体"/>
          <w:szCs w:val="21"/>
        </w:rPr>
        <w:t>（二）目的</w:t>
      </w:r>
    </w:p>
    <w:p>
      <w:pPr>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spacing w:line="360" w:lineRule="auto"/>
        <w:ind w:firstLine="420" w:firstLineChars="200"/>
        <w:rPr>
          <w:rFonts w:ascii="宋体" w:hAnsi="宋体"/>
          <w:szCs w:val="21"/>
        </w:rPr>
      </w:pPr>
      <w:r>
        <w:rPr>
          <w:rFonts w:hint="eastAsia" w:ascii="宋体" w:hAnsi="宋体"/>
          <w:szCs w:val="21"/>
        </w:rPr>
        <w:t>（三）原则</w:t>
      </w:r>
    </w:p>
    <w:p>
      <w:pPr>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pPr>
        <w:spacing w:after="120" w:line="360" w:lineRule="auto"/>
        <w:ind w:firstLine="420" w:firstLineChars="200"/>
        <w:rPr>
          <w:rFonts w:ascii="宋体" w:hAnsi="宋体"/>
          <w:szCs w:val="21"/>
        </w:rPr>
      </w:pPr>
      <w:r>
        <w:rPr>
          <w:rFonts w:hint="eastAsia" w:ascii="宋体" w:hAnsi="宋体"/>
          <w:szCs w:val="21"/>
        </w:rPr>
        <w:t>（四）解释</w:t>
      </w:r>
    </w:p>
    <w:p>
      <w:pPr>
        <w:spacing w:after="120"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w:t>
      </w:r>
    </w:p>
    <w:p>
      <w:pPr>
        <w:spacing w:after="120" w:line="360" w:lineRule="auto"/>
        <w:ind w:firstLine="420" w:firstLineChars="200"/>
        <w:rPr>
          <w:rFonts w:ascii="宋体" w:hAnsi="宋体"/>
          <w:szCs w:val="21"/>
        </w:rPr>
      </w:pPr>
      <w:r>
        <w:rPr>
          <w:rFonts w:hint="eastAsia" w:ascii="宋体" w:hAnsi="宋体"/>
          <w:szCs w:val="21"/>
        </w:rPr>
        <w:t>（五）若本基金实施侧袋机制的，侧袋机制实施期间的相关安排见基金合同和招募说明书的规定。</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1" w:name="_Toc382819072"/>
      <w:r>
        <w:rPr>
          <w:rFonts w:hint="eastAsia" w:ascii="宋体" w:hAnsi="宋体" w:eastAsia="宋体" w:cs="Arial"/>
          <w:sz w:val="21"/>
          <w:szCs w:val="21"/>
        </w:rPr>
        <w:t>基金托管人对基金管理人的业务监督和核查</w:t>
      </w:r>
      <w:bookmarkEnd w:id="11"/>
    </w:p>
    <w:p>
      <w:pPr>
        <w:pStyle w:val="3"/>
        <w:keepNext w:val="0"/>
        <w:keepLines w:val="0"/>
        <w:autoSpaceDE w:val="0"/>
        <w:autoSpaceDN w:val="0"/>
        <w:adjustRightInd w:val="0"/>
        <w:spacing w:before="156" w:beforeLines="50" w:after="156" w:afterLines="50"/>
        <w:ind w:firstLine="315" w:firstLineChars="150"/>
        <w:textAlignment w:val="baseline"/>
        <w:rPr>
          <w:rFonts w:ascii="宋体" w:hAnsi="宋体" w:eastAsia="宋体"/>
          <w:b w:val="0"/>
          <w:sz w:val="21"/>
          <w:szCs w:val="21"/>
        </w:rPr>
      </w:pPr>
      <w:bookmarkStart w:id="12" w:name="_Toc382819073"/>
      <w:r>
        <w:rPr>
          <w:rFonts w:hint="eastAsia" w:ascii="宋体" w:hAnsi="宋体" w:eastAsia="宋体"/>
          <w:b w:val="0"/>
          <w:sz w:val="21"/>
          <w:szCs w:val="21"/>
        </w:rPr>
        <w:t>（一）基金托管人对基金管理人的投资行为行使监督权</w:t>
      </w:r>
      <w:bookmarkEnd w:id="12"/>
    </w:p>
    <w:p>
      <w:pPr>
        <w:widowControl/>
        <w:spacing w:line="360" w:lineRule="auto"/>
        <w:ind w:firstLine="420" w:firstLineChars="200"/>
        <w:jc w:val="left"/>
        <w:rPr>
          <w:rFonts w:ascii="宋体" w:hAnsi="宋体"/>
          <w:szCs w:val="21"/>
        </w:rPr>
      </w:pPr>
      <w:r>
        <w:rPr>
          <w:rFonts w:hint="eastAsia" w:ascii="宋体" w:hAnsi="宋体"/>
          <w:szCs w:val="21"/>
        </w:rPr>
        <w:t>1.基金托管人根据有关法律法规的规定和《基金合同》的约定，对下述基金投资范围、投资对象进行监督。</w:t>
      </w:r>
    </w:p>
    <w:p>
      <w:pPr>
        <w:widowControl/>
        <w:spacing w:line="324" w:lineRule="auto"/>
        <w:ind w:firstLine="420" w:firstLineChars="200"/>
        <w:jc w:val="left"/>
        <w:rPr>
          <w:rFonts w:ascii="宋体" w:hAnsi="宋体" w:cs="宋体"/>
          <w:kern w:val="0"/>
          <w:szCs w:val="21"/>
        </w:rPr>
      </w:pPr>
      <w:bookmarkStart w:id="13" w:name="_Hlk207917109"/>
      <w:r>
        <w:rPr>
          <w:rFonts w:hint="eastAsia" w:ascii="宋体" w:hAnsi="宋体"/>
          <w:szCs w:val="21"/>
        </w:rPr>
        <w:t>本</w:t>
      </w:r>
      <w:r>
        <w:rPr>
          <w:rFonts w:hint="eastAsia" w:ascii="宋体" w:hAnsi="宋体" w:cs="宋体"/>
          <w:kern w:val="0"/>
          <w:szCs w:val="21"/>
        </w:rPr>
        <w:t>基金将投资于以下金融工具：</w:t>
      </w:r>
    </w:p>
    <w:p>
      <w:pPr>
        <w:widowControl/>
        <w:spacing w:line="324" w:lineRule="auto"/>
        <w:ind w:firstLine="420" w:firstLineChars="200"/>
        <w:jc w:val="left"/>
        <w:rPr>
          <w:rFonts w:ascii="宋体" w:hAnsi="宋体" w:cs="宋体"/>
          <w:kern w:val="0"/>
          <w:szCs w:val="21"/>
        </w:rPr>
      </w:pPr>
      <w:r>
        <w:rPr>
          <w:rFonts w:hint="eastAsia" w:ascii="宋体" w:hAnsi="宋体" w:cs="宋体"/>
          <w:kern w:val="0"/>
          <w:szCs w:val="21"/>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20"/>
        <w:rPr>
          <w:rFonts w:ascii="宋体" w:hAnsi="宋体"/>
          <w:b/>
          <w:szCs w:val="21"/>
          <w:u w:val="single"/>
        </w:rPr>
      </w:pPr>
      <w:r>
        <w:rPr>
          <w:rFonts w:hint="eastAsia" w:ascii="宋体" w:hAnsi="宋体" w:cs="宋体"/>
          <w:kern w:val="0"/>
          <w:szCs w:val="21"/>
        </w:rPr>
        <w:t>如法律法规或监管机构以后允许基金投资其他品种，基金管理人在履行适当程序后，可以将其纳入投资范围。</w:t>
      </w:r>
    </w:p>
    <w:p>
      <w:pPr>
        <w:widowControl/>
        <w:spacing w:line="324" w:lineRule="auto"/>
        <w:ind w:firstLine="420" w:firstLineChars="200"/>
        <w:jc w:val="left"/>
        <w:rPr>
          <w:rFonts w:ascii="宋体" w:hAnsi="宋体"/>
          <w:kern w:val="0"/>
          <w:szCs w:val="21"/>
        </w:rPr>
      </w:pPr>
      <w:r>
        <w:rPr>
          <w:rFonts w:hint="eastAsia" w:ascii="宋体" w:hAnsi="宋体"/>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pPr>
        <w:widowControl/>
        <w:spacing w:line="324" w:lineRule="auto"/>
        <w:ind w:firstLine="420" w:firstLineChars="200"/>
        <w:jc w:val="left"/>
        <w:rPr>
          <w:rFonts w:ascii="宋体" w:hAnsi="宋体"/>
          <w:kern w:val="0"/>
          <w:szCs w:val="21"/>
        </w:rPr>
      </w:pPr>
      <w:r>
        <w:rPr>
          <w:rFonts w:hint="eastAsia" w:ascii="宋体" w:hAnsi="宋体"/>
          <w:kern w:val="0"/>
          <w:szCs w:val="21"/>
        </w:rPr>
        <w:t>本基金不得投资于相关法律、法规、部门规章及《基金合同》禁止投资的投资工具。</w:t>
      </w:r>
    </w:p>
    <w:p>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2.基金托管人根据有关法律法规的规定及《基金合同》的约定对下述基金投融资比例进行监督：</w:t>
      </w:r>
    </w:p>
    <w:p>
      <w:pPr>
        <w:spacing w:line="324" w:lineRule="auto"/>
        <w:ind w:firstLine="480"/>
        <w:outlineLvl w:val="1"/>
        <w:rPr>
          <w:rFonts w:ascii="宋体" w:hAnsi="宋体"/>
          <w:szCs w:val="21"/>
        </w:rPr>
      </w:pPr>
      <w:r>
        <w:rPr>
          <w:rFonts w:hint="eastAsia" w:ascii="宋体" w:hAnsi="宋体"/>
          <w:szCs w:val="21"/>
        </w:rPr>
        <w:t>（1）按法律法规的规定及《基金合同》的约定，本基金的投资资产配置比例为：</w:t>
      </w:r>
    </w:p>
    <w:p>
      <w:pPr>
        <w:spacing w:line="324" w:lineRule="auto"/>
        <w:ind w:firstLine="480"/>
        <w:rPr>
          <w:rFonts w:ascii="宋体" w:hAnsi="宋体"/>
          <w:szCs w:val="21"/>
        </w:rPr>
      </w:pPr>
      <w:r>
        <w:rPr>
          <w:rFonts w:hint="eastAsia" w:ascii="宋体" w:hAnsi="宋体"/>
          <w:szCs w:val="21"/>
        </w:rPr>
        <w:t>基金的投资组合比例为：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20"/>
        <w:rPr>
          <w:rFonts w:ascii="宋体" w:hAnsi="宋体"/>
          <w:b/>
          <w:szCs w:val="21"/>
          <w:u w:val="single"/>
        </w:rPr>
      </w:pPr>
      <w:r>
        <w:rPr>
          <w:rFonts w:hint="eastAsia" w:ascii="宋体" w:hAnsi="宋体"/>
          <w:szCs w:val="21"/>
        </w:rPr>
        <w:t>如果法律法规或中国证监会变更投资品种的投资比例限制，基金管理人在履行适当程序后，可以调整上述投资品种的投资比例。</w:t>
      </w:r>
    </w:p>
    <w:p>
      <w:pPr>
        <w:spacing w:line="360" w:lineRule="auto"/>
        <w:ind w:firstLine="420"/>
        <w:rPr>
          <w:rFonts w:ascii="宋体" w:hAnsi="宋体"/>
          <w:szCs w:val="21"/>
        </w:rPr>
      </w:pPr>
      <w:r>
        <w:rPr>
          <w:rFonts w:hint="eastAsia" w:ascii="宋体" w:hAnsi="宋体"/>
          <w:szCs w:val="21"/>
        </w:rPr>
        <w:t>因基金规模或市场变化等因素导致投资组合不符合上述规定的，基金管理人应在合理的期限内调整基金的投资组合，以符合上述比例限定。法律法规另有规定时，从其规定。</w:t>
      </w:r>
    </w:p>
    <w:p>
      <w:pPr>
        <w:spacing w:line="324" w:lineRule="auto"/>
        <w:ind w:firstLine="480"/>
        <w:outlineLvl w:val="1"/>
        <w:rPr>
          <w:rFonts w:ascii="宋体" w:hAnsi="宋体"/>
          <w:szCs w:val="21"/>
        </w:rPr>
      </w:pPr>
      <w:r>
        <w:rPr>
          <w:rFonts w:hint="eastAsia" w:ascii="宋体" w:hAnsi="宋体"/>
          <w:szCs w:val="21"/>
        </w:rPr>
        <w:t xml:space="preserve">（2）根据法律法规的规定及《基金合同》的约定，本基金投资组合遵循以下投资限制： </w:t>
      </w:r>
    </w:p>
    <w:p>
      <w:pPr>
        <w:spacing w:line="324" w:lineRule="auto"/>
        <w:ind w:firstLine="480"/>
        <w:rPr>
          <w:rFonts w:ascii="宋体" w:hAnsi="宋体"/>
          <w:bCs/>
          <w:szCs w:val="21"/>
        </w:rPr>
      </w:pPr>
      <w:r>
        <w:rPr>
          <w:rFonts w:hint="eastAsia" w:ascii="宋体" w:hAnsi="宋体"/>
          <w:bCs/>
          <w:szCs w:val="21"/>
        </w:rPr>
        <w:t>1）股票投资（含存托凭证）占基金资产的比例为60%-95%，其中投资于港股通标的股票的比例占股票资产的0%-50%；</w:t>
      </w:r>
    </w:p>
    <w:p>
      <w:pPr>
        <w:spacing w:line="324" w:lineRule="auto"/>
        <w:ind w:firstLine="480"/>
        <w:rPr>
          <w:rFonts w:ascii="宋体" w:hAnsi="宋体"/>
          <w:bCs/>
          <w:szCs w:val="21"/>
        </w:rPr>
      </w:pPr>
      <w:r>
        <w:rPr>
          <w:rFonts w:hint="eastAsia" w:ascii="宋体" w:hAnsi="宋体"/>
          <w:bCs/>
          <w:szCs w:val="21"/>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24" w:lineRule="auto"/>
        <w:ind w:firstLine="480"/>
        <w:rPr>
          <w:rFonts w:ascii="宋体" w:hAnsi="宋体"/>
          <w:bCs/>
          <w:szCs w:val="21"/>
        </w:rPr>
      </w:pPr>
      <w:r>
        <w:rPr>
          <w:rFonts w:hint="eastAsia" w:ascii="宋体" w:hAnsi="宋体"/>
          <w:bCs/>
          <w:szCs w:val="21"/>
        </w:rPr>
        <w:t>3）本基金持有一家公司发行的证券（同一家公司在内地和香港同时上市的A+H股合计计算），其市值不超过基金资产净值的10％；</w:t>
      </w:r>
    </w:p>
    <w:p>
      <w:pPr>
        <w:spacing w:line="324" w:lineRule="auto"/>
        <w:ind w:firstLine="480"/>
        <w:rPr>
          <w:rFonts w:ascii="宋体" w:hAnsi="宋体"/>
          <w:bCs/>
          <w:szCs w:val="21"/>
        </w:rPr>
      </w:pPr>
      <w:r>
        <w:rPr>
          <w:rFonts w:hint="eastAsia" w:ascii="宋体" w:hAnsi="宋体"/>
          <w:bCs/>
          <w:szCs w:val="21"/>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24" w:lineRule="auto"/>
        <w:ind w:firstLine="480"/>
        <w:rPr>
          <w:rFonts w:ascii="宋体" w:hAnsi="宋体"/>
          <w:bCs/>
          <w:szCs w:val="21"/>
        </w:rPr>
      </w:pPr>
      <w:r>
        <w:rPr>
          <w:rFonts w:hint="eastAsia" w:ascii="宋体" w:hAnsi="宋体"/>
          <w:bCs/>
          <w:szCs w:val="21"/>
        </w:rPr>
        <w:t>5）本基金投资于同一原始权益人的各类资产支持证券的比例，不得超过基金资产净值的10％；</w:t>
      </w:r>
    </w:p>
    <w:p>
      <w:pPr>
        <w:spacing w:line="324" w:lineRule="auto"/>
        <w:ind w:firstLine="480"/>
        <w:rPr>
          <w:rFonts w:ascii="宋体" w:hAnsi="宋体"/>
          <w:bCs/>
          <w:szCs w:val="21"/>
        </w:rPr>
      </w:pPr>
      <w:r>
        <w:rPr>
          <w:rFonts w:hint="eastAsia" w:ascii="宋体" w:hAnsi="宋体"/>
          <w:bCs/>
          <w:szCs w:val="21"/>
        </w:rPr>
        <w:t>6）本基金持有的全部资产支持证券，其市值不得超过基金资产净值的20％；</w:t>
      </w:r>
    </w:p>
    <w:p>
      <w:pPr>
        <w:spacing w:line="324" w:lineRule="auto"/>
        <w:ind w:firstLine="480"/>
        <w:rPr>
          <w:rFonts w:ascii="宋体" w:hAnsi="宋体"/>
          <w:bCs/>
          <w:szCs w:val="21"/>
        </w:rPr>
      </w:pPr>
      <w:r>
        <w:rPr>
          <w:rFonts w:hint="eastAsia" w:ascii="宋体" w:hAnsi="宋体"/>
          <w:bCs/>
          <w:szCs w:val="21"/>
        </w:rPr>
        <w:t>7）本基金持有的同一（指同一信用级别）资产支持证券的比例，不得超过该资产支持证券规模的10％；</w:t>
      </w:r>
    </w:p>
    <w:p>
      <w:pPr>
        <w:spacing w:line="324" w:lineRule="auto"/>
        <w:ind w:firstLine="480"/>
        <w:rPr>
          <w:rFonts w:ascii="宋体" w:hAnsi="宋体"/>
          <w:bCs/>
          <w:szCs w:val="21"/>
        </w:rPr>
      </w:pPr>
      <w:r>
        <w:rPr>
          <w:rFonts w:hint="eastAsia" w:ascii="宋体" w:hAnsi="宋体"/>
          <w:bCs/>
          <w:szCs w:val="21"/>
        </w:rPr>
        <w:t>8）本基金管理人管理的全部基金投资于同一原始权益人的各类资产支持证券，不得超过其各类资产支持证券合计规模的10％；</w:t>
      </w:r>
    </w:p>
    <w:p>
      <w:pPr>
        <w:spacing w:line="324" w:lineRule="auto"/>
        <w:ind w:firstLine="480"/>
        <w:rPr>
          <w:rFonts w:ascii="宋体" w:hAnsi="宋体"/>
          <w:bCs/>
          <w:szCs w:val="21"/>
        </w:rPr>
      </w:pPr>
      <w:r>
        <w:rPr>
          <w:rFonts w:hint="eastAsia" w:ascii="宋体" w:hAnsi="宋体"/>
          <w:bCs/>
          <w:szCs w:val="21"/>
        </w:rPr>
        <w:t>9）本基金应投资于信用级别评级为BBB以上（含BBB）的资产支持证券。基金持有资产支持证券期间，如果其信用等级下降、不再符合投资标准，应在评级报告发布之日起3个月内予以全部卖出；</w:t>
      </w:r>
    </w:p>
    <w:p>
      <w:pPr>
        <w:spacing w:line="324" w:lineRule="auto"/>
        <w:ind w:firstLine="480"/>
        <w:rPr>
          <w:rFonts w:ascii="宋体" w:hAnsi="宋体"/>
          <w:bCs/>
          <w:szCs w:val="21"/>
        </w:rPr>
      </w:pPr>
      <w:r>
        <w:rPr>
          <w:rFonts w:hint="eastAsia" w:ascii="宋体" w:hAnsi="宋体"/>
          <w:bCs/>
          <w:szCs w:val="21"/>
        </w:rPr>
        <w:t>10）基金财产参与股票发行申购，本基金所申报的金额不超过本基金的总资产，本基金所申报的股票数量不超过拟发行股票公司本次发行股票的总量；</w:t>
      </w:r>
    </w:p>
    <w:p>
      <w:pPr>
        <w:spacing w:line="324" w:lineRule="auto"/>
        <w:ind w:firstLine="480"/>
        <w:rPr>
          <w:rFonts w:ascii="宋体" w:hAnsi="宋体"/>
          <w:bCs/>
          <w:szCs w:val="21"/>
        </w:rPr>
      </w:pPr>
      <w:r>
        <w:rPr>
          <w:rFonts w:hint="eastAsia" w:ascii="宋体" w:hAnsi="宋体"/>
          <w:bCs/>
          <w:szCs w:val="21"/>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24" w:lineRule="auto"/>
        <w:ind w:firstLine="480"/>
        <w:rPr>
          <w:rFonts w:ascii="宋体" w:hAnsi="宋体"/>
          <w:bCs/>
          <w:szCs w:val="21"/>
        </w:rPr>
      </w:pPr>
      <w:r>
        <w:rPr>
          <w:rFonts w:hint="eastAsia" w:ascii="宋体" w:hAnsi="宋体"/>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24" w:lineRule="auto"/>
        <w:ind w:firstLine="480"/>
        <w:rPr>
          <w:rFonts w:ascii="宋体" w:hAnsi="宋体"/>
          <w:bCs/>
          <w:szCs w:val="21"/>
        </w:rPr>
      </w:pPr>
      <w:r>
        <w:rPr>
          <w:rFonts w:hint="eastAsia" w:ascii="宋体" w:hAnsi="宋体"/>
          <w:bCs/>
          <w:szCs w:val="21"/>
        </w:rPr>
        <w:t>13）本基金与私募类证券资管产品及中国证监会认定的其他主体为交易对手开展逆回购交易的，可接受质押品的资质要求应当与基金合同约定的投资范围保持一致；</w:t>
      </w:r>
    </w:p>
    <w:p>
      <w:pPr>
        <w:spacing w:line="324" w:lineRule="auto"/>
        <w:ind w:firstLine="480"/>
        <w:rPr>
          <w:rFonts w:ascii="宋体" w:hAnsi="宋体"/>
          <w:bCs/>
          <w:szCs w:val="21"/>
        </w:rPr>
      </w:pPr>
      <w:r>
        <w:rPr>
          <w:rFonts w:hint="eastAsia" w:ascii="宋体" w:hAnsi="宋体"/>
          <w:bCs/>
          <w:szCs w:val="21"/>
        </w:rPr>
        <w:t>14）本基金参与股指期货交易，则：</w:t>
      </w:r>
    </w:p>
    <w:p>
      <w:pPr>
        <w:spacing w:line="324" w:lineRule="auto"/>
        <w:ind w:firstLine="480"/>
        <w:rPr>
          <w:rFonts w:ascii="宋体" w:hAnsi="宋体"/>
          <w:bCs/>
          <w:szCs w:val="21"/>
        </w:rPr>
      </w:pPr>
      <w:r>
        <w:rPr>
          <w:rFonts w:hint="eastAsia" w:ascii="宋体" w:hAnsi="宋体" w:cs="宋体"/>
          <w:bCs/>
          <w:szCs w:val="21"/>
        </w:rPr>
        <w:t>①</w:t>
      </w:r>
      <w:r>
        <w:rPr>
          <w:rFonts w:hint="eastAsia" w:ascii="宋体" w:hAnsi="宋体"/>
          <w:bCs/>
          <w:szCs w:val="21"/>
        </w:rPr>
        <w:t>本基金在任何交易日日终，持有的买入股指期货合约价值，不得超过基金资产净值的10%；</w:t>
      </w:r>
    </w:p>
    <w:p>
      <w:pPr>
        <w:spacing w:line="324" w:lineRule="auto"/>
        <w:ind w:firstLine="480"/>
        <w:rPr>
          <w:rFonts w:ascii="宋体" w:hAnsi="宋体"/>
          <w:bCs/>
          <w:szCs w:val="21"/>
        </w:rPr>
      </w:pPr>
      <w:r>
        <w:rPr>
          <w:rFonts w:hint="eastAsia" w:ascii="宋体" w:hAnsi="宋体" w:cs="宋体"/>
          <w:bCs/>
          <w:szCs w:val="21"/>
        </w:rPr>
        <w:t>②</w:t>
      </w:r>
      <w:r>
        <w:rPr>
          <w:rFonts w:hint="eastAsia" w:ascii="宋体" w:hAnsi="宋体"/>
          <w:bCs/>
          <w:szCs w:val="21"/>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24" w:lineRule="auto"/>
        <w:ind w:firstLine="480"/>
        <w:rPr>
          <w:rFonts w:ascii="宋体" w:hAnsi="宋体"/>
          <w:bCs/>
          <w:szCs w:val="21"/>
        </w:rPr>
      </w:pPr>
      <w:r>
        <w:rPr>
          <w:rFonts w:hint="eastAsia" w:ascii="宋体" w:hAnsi="宋体" w:cs="宋体"/>
          <w:bCs/>
          <w:szCs w:val="21"/>
        </w:rPr>
        <w:t>③</w:t>
      </w:r>
      <w:r>
        <w:rPr>
          <w:rFonts w:hint="eastAsia" w:ascii="宋体" w:hAnsi="宋体"/>
          <w:bCs/>
          <w:szCs w:val="21"/>
        </w:rPr>
        <w:t>本基金在任何交易日日终，持有的卖出股指期货合约价值不得超过基金持有的股票总市值的20%；</w:t>
      </w:r>
    </w:p>
    <w:p>
      <w:pPr>
        <w:spacing w:line="324" w:lineRule="auto"/>
        <w:ind w:firstLine="480"/>
        <w:rPr>
          <w:rFonts w:ascii="宋体" w:hAnsi="宋体"/>
          <w:bCs/>
          <w:szCs w:val="21"/>
        </w:rPr>
      </w:pPr>
      <w:r>
        <w:rPr>
          <w:rFonts w:hint="eastAsia" w:ascii="宋体" w:hAnsi="宋体" w:cs="宋体"/>
          <w:bCs/>
          <w:szCs w:val="21"/>
        </w:rPr>
        <w:t>④</w:t>
      </w:r>
      <w:r>
        <w:rPr>
          <w:rFonts w:hint="eastAsia" w:ascii="宋体" w:hAnsi="宋体"/>
          <w:bCs/>
          <w:szCs w:val="21"/>
        </w:rPr>
        <w:t>本基金所持有的股票市值和买入、卖出股指期货合约价值，合计（轧差计算）应当符合基金合同关于股票投资比例的有关约定；</w:t>
      </w:r>
    </w:p>
    <w:p>
      <w:pPr>
        <w:spacing w:line="324" w:lineRule="auto"/>
        <w:ind w:firstLine="480"/>
        <w:rPr>
          <w:rFonts w:ascii="宋体" w:hAnsi="宋体"/>
          <w:bCs/>
          <w:szCs w:val="21"/>
        </w:rPr>
      </w:pPr>
      <w:r>
        <w:rPr>
          <w:rFonts w:hint="eastAsia" w:ascii="宋体" w:hAnsi="宋体" w:cs="宋体"/>
          <w:bCs/>
          <w:szCs w:val="21"/>
        </w:rPr>
        <w:t>⑤</w:t>
      </w:r>
      <w:r>
        <w:rPr>
          <w:rFonts w:hint="eastAsia" w:ascii="宋体" w:hAnsi="宋体"/>
          <w:bCs/>
          <w:szCs w:val="21"/>
        </w:rPr>
        <w:t>本基金在任何交易日内交易（不包括平仓）的股指期货合约的成交金额不得超过上一交易日基金资产净值的20%；</w:t>
      </w:r>
    </w:p>
    <w:p>
      <w:pPr>
        <w:spacing w:line="324" w:lineRule="auto"/>
        <w:ind w:firstLine="480"/>
        <w:rPr>
          <w:rFonts w:ascii="宋体" w:hAnsi="宋体"/>
          <w:bCs/>
          <w:szCs w:val="21"/>
        </w:rPr>
      </w:pPr>
      <w:r>
        <w:rPr>
          <w:rFonts w:hint="eastAsia" w:ascii="宋体" w:hAnsi="宋体"/>
          <w:bCs/>
          <w:szCs w:val="21"/>
        </w:rPr>
        <w:t>15）本基金资产总值不超过基金资产净值的140%；</w:t>
      </w:r>
    </w:p>
    <w:p>
      <w:pPr>
        <w:spacing w:line="324" w:lineRule="auto"/>
        <w:ind w:firstLine="480"/>
        <w:rPr>
          <w:rFonts w:ascii="宋体" w:hAnsi="宋体"/>
          <w:bCs/>
          <w:szCs w:val="21"/>
        </w:rPr>
      </w:pPr>
      <w:r>
        <w:rPr>
          <w:rFonts w:hint="eastAsia" w:ascii="宋体" w:hAnsi="宋体"/>
          <w:bCs/>
          <w:szCs w:val="21"/>
        </w:rPr>
        <w:t>16）本基金投资存托凭证的比例限制依照境内上市交易的股票执行；</w:t>
      </w:r>
    </w:p>
    <w:p>
      <w:pPr>
        <w:spacing w:line="324" w:lineRule="auto"/>
        <w:ind w:firstLine="480"/>
        <w:rPr>
          <w:rFonts w:ascii="宋体" w:hAnsi="宋体"/>
          <w:bCs/>
          <w:szCs w:val="21"/>
        </w:rPr>
      </w:pPr>
      <w:r>
        <w:rPr>
          <w:rFonts w:hint="eastAsia" w:ascii="宋体" w:hAnsi="宋体"/>
          <w:bCs/>
          <w:szCs w:val="21"/>
        </w:rPr>
        <w:t>17）法律法规及中国证监会规定的和《基金合同》约定的其他投资限制。</w:t>
      </w:r>
    </w:p>
    <w:p>
      <w:pPr>
        <w:spacing w:line="360" w:lineRule="auto"/>
        <w:ind w:firstLine="630" w:firstLineChars="300"/>
        <w:rPr>
          <w:rFonts w:ascii="宋体" w:hAnsi="宋体"/>
          <w:bCs/>
          <w:szCs w:val="21"/>
        </w:rPr>
      </w:pPr>
      <w:r>
        <w:rPr>
          <w:rFonts w:hint="eastAsia" w:ascii="宋体" w:hAnsi="宋体"/>
          <w:bCs/>
          <w:szCs w:val="21"/>
        </w:rPr>
        <w:t>除上述2）、9）、1</w:t>
      </w:r>
      <w:r>
        <w:rPr>
          <w:rFonts w:ascii="宋体" w:hAnsi="宋体"/>
          <w:bCs/>
          <w:szCs w:val="21"/>
        </w:rPr>
        <w:t>2</w:t>
      </w:r>
      <w:r>
        <w:rPr>
          <w:rFonts w:hint="eastAsia" w:ascii="宋体" w:hAnsi="宋体"/>
          <w:bCs/>
          <w:szCs w:val="21"/>
        </w:rPr>
        <w:t>）、1</w:t>
      </w:r>
      <w:r>
        <w:rPr>
          <w:rFonts w:ascii="宋体" w:hAnsi="宋体"/>
          <w:bCs/>
          <w:szCs w:val="21"/>
        </w:rPr>
        <w:t>3</w:t>
      </w:r>
      <w:r>
        <w:rPr>
          <w:rFonts w:hint="eastAsia" w:ascii="宋体" w:hAnsi="宋体"/>
          <w:bCs/>
          <w:szCs w:val="21"/>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630" w:firstLineChars="300"/>
        <w:rPr>
          <w:rFonts w:ascii="宋体" w:hAnsi="宋体"/>
          <w:bCs/>
          <w:szCs w:val="21"/>
        </w:rPr>
      </w:pPr>
      <w:r>
        <w:rPr>
          <w:rFonts w:hint="eastAsia" w:ascii="宋体" w:hAnsi="宋体"/>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pacing w:line="360" w:lineRule="auto"/>
        <w:ind w:firstLine="630" w:firstLineChars="300"/>
        <w:rPr>
          <w:rFonts w:ascii="宋体" w:hAnsi="宋体" w:cs="宋体"/>
          <w:kern w:val="0"/>
          <w:szCs w:val="21"/>
        </w:rPr>
      </w:pPr>
      <w:r>
        <w:rPr>
          <w:rFonts w:ascii="宋体" w:hAnsi="宋体" w:cs="宋体"/>
          <w:bCs/>
          <w:kern w:val="0"/>
          <w:szCs w:val="21"/>
        </w:rPr>
        <w:t>法律法规或监管部门取消</w:t>
      </w:r>
      <w:r>
        <w:rPr>
          <w:rFonts w:hint="eastAsia" w:ascii="宋体" w:hAnsi="宋体" w:cs="宋体"/>
          <w:bCs/>
          <w:kern w:val="0"/>
          <w:szCs w:val="21"/>
        </w:rPr>
        <w:t>或者变更</w:t>
      </w:r>
      <w:r>
        <w:rPr>
          <w:rFonts w:ascii="宋体" w:hAnsi="宋体" w:cs="宋体"/>
          <w:bCs/>
          <w:kern w:val="0"/>
          <w:szCs w:val="21"/>
        </w:rPr>
        <w:t>上述限制，如适用于本基金，基金管理人</w:t>
      </w:r>
      <w:r>
        <w:rPr>
          <w:rFonts w:hint="eastAsia" w:ascii="宋体" w:hAnsi="宋体" w:cs="宋体"/>
          <w:bCs/>
          <w:kern w:val="0"/>
          <w:szCs w:val="21"/>
        </w:rPr>
        <w:t>在</w:t>
      </w:r>
      <w:r>
        <w:rPr>
          <w:rFonts w:ascii="宋体" w:hAnsi="宋体" w:cs="宋体"/>
          <w:bCs/>
          <w:kern w:val="0"/>
          <w:szCs w:val="21"/>
        </w:rPr>
        <w:t>履行适当程序后，则本基金投资不再受相关限制</w:t>
      </w:r>
      <w:r>
        <w:rPr>
          <w:rFonts w:hint="eastAsia" w:ascii="宋体" w:hAnsi="宋体" w:cs="宋体"/>
          <w:bCs/>
          <w:kern w:val="0"/>
          <w:szCs w:val="21"/>
        </w:rPr>
        <w:t>或以变更后的规定为准</w:t>
      </w:r>
      <w:r>
        <w:rPr>
          <w:rFonts w:ascii="宋体" w:hAnsi="宋体" w:cs="宋体"/>
          <w:bCs/>
          <w:kern w:val="0"/>
          <w:szCs w:val="21"/>
        </w:rPr>
        <w:t>。</w:t>
      </w:r>
    </w:p>
    <w:p>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pPr>
        <w:spacing w:line="360" w:lineRule="auto"/>
        <w:ind w:left="1" w:firstLine="472" w:firstLineChars="225"/>
        <w:rPr>
          <w:rFonts w:ascii="宋体" w:hAnsi="宋体"/>
          <w:szCs w:val="21"/>
        </w:rPr>
      </w:pPr>
      <w:r>
        <w:rPr>
          <w:rFonts w:hint="eastAsia" w:ascii="宋体" w:hAnsi="宋体"/>
          <w:szCs w:val="21"/>
        </w:rPr>
        <w:t>根据法律法规的规定及《基金合同》的约定，本基金禁止从事下列行为：</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1）承销证券；</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2）违反规定向他人贷款或者提供担保；</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3）从事承担无限责任的投资；</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4）买卖其他基金份额，但是中国证监会另有规定的除外；</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5）向其基金管理人、基金托管人出资；</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6）从事内幕交易、操纵证券交易价格及其他不正当的证券交易活动；</w:t>
      </w:r>
    </w:p>
    <w:p>
      <w:pPr>
        <w:spacing w:line="360" w:lineRule="auto"/>
        <w:ind w:firstLine="420" w:firstLineChars="200"/>
        <w:rPr>
          <w:rFonts w:ascii="宋体" w:hAnsi="宋体"/>
          <w:b/>
          <w:szCs w:val="21"/>
          <w:u w:val="single"/>
        </w:rPr>
      </w:pPr>
      <w:r>
        <w:rPr>
          <w:rFonts w:hint="eastAsia" w:ascii="宋体" w:hAnsi="宋体"/>
          <w:bCs/>
          <w:szCs w:val="21"/>
        </w:rPr>
        <w:t>（</w:t>
      </w:r>
      <w:r>
        <w:rPr>
          <w:rFonts w:ascii="宋体" w:hAnsi="宋体"/>
          <w:bCs/>
          <w:szCs w:val="21"/>
        </w:rPr>
        <w:t>7）法律、行政法规和中国证监会规定禁止的其他活动。</w:t>
      </w:r>
    </w:p>
    <w:p>
      <w:pPr>
        <w:spacing w:line="360" w:lineRule="auto"/>
        <w:ind w:left="1" w:firstLine="472" w:firstLineChars="225"/>
        <w:rPr>
          <w:rFonts w:ascii="宋体" w:hAnsi="宋体"/>
          <w:szCs w:val="21"/>
        </w:rPr>
      </w:pPr>
      <w:r>
        <w:rPr>
          <w:rFonts w:hint="eastAsia" w:ascii="宋体" w:hAnsi="宋体"/>
          <w:szCs w:val="21"/>
        </w:rPr>
        <w:t>如法律、行政法规或监管部门取消或变更上述禁止性规定，如适用于本基金，基金管理人在履行适当程序后，本基金可不受上述规定的限制或以变更后的规定为准。</w:t>
      </w:r>
    </w:p>
    <w:p>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pPr>
        <w:spacing w:after="120" w:line="440" w:lineRule="exact"/>
        <w:ind w:firstLine="420" w:firstLineChars="200"/>
        <w:rPr>
          <w:rFonts w:ascii="宋体" w:hAnsi="宋体"/>
          <w:szCs w:val="21"/>
        </w:rPr>
      </w:pPr>
      <w:r>
        <w:rPr>
          <w:rFonts w:hint="eastAsia" w:ascii="宋体"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after="120" w:line="440" w:lineRule="exact"/>
        <w:ind w:firstLine="420" w:firstLineChars="200"/>
        <w:rPr>
          <w:rFonts w:ascii="宋体" w:hAnsi="宋体"/>
          <w:szCs w:val="21"/>
        </w:rPr>
      </w:pPr>
      <w:r>
        <w:rPr>
          <w:rFonts w:hint="eastAsia" w:ascii="宋体" w:hAnsi="宋体"/>
          <w:szCs w:val="21"/>
        </w:rPr>
        <w:t>如法律、行政法规或监管部门取消或变更上述规定，如适用于本基金，基金管理人在履行适当程序后，本基金可不受上述规定的限制或以变更后的规定为准。</w:t>
      </w:r>
    </w:p>
    <w:bookmarkEnd w:id="13"/>
    <w:p>
      <w:pPr>
        <w:spacing w:after="120" w:line="440" w:lineRule="exact"/>
        <w:ind w:firstLine="420" w:firstLineChars="200"/>
        <w:rPr>
          <w:rFonts w:ascii="宋体" w:hAnsi="宋体"/>
          <w:szCs w:val="21"/>
        </w:rPr>
      </w:pPr>
      <w:r>
        <w:rPr>
          <w:rFonts w:hint="eastAsia" w:ascii="宋体" w:hAnsi="宋体"/>
          <w:szCs w:val="21"/>
        </w:rPr>
        <w:t>如法律、法规或《基金合同》有关于基金从事关联交易的规定，基金管理人和基金托管人事先相互提供关联方清单及关联关系（以下称“关联交易名单”）。双方有责任确保向对方提供的关联交易名单的真实性、准确性、完整性，并负责及时将更新后的名单发送给对方。名单变更后双方应及时发送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pPr>
        <w:spacing w:line="440" w:lineRule="exact"/>
        <w:ind w:firstLine="420" w:firstLineChars="200"/>
        <w:rPr>
          <w:rFonts w:ascii="宋体" w:hAnsi="宋体"/>
          <w:szCs w:val="21"/>
        </w:rPr>
      </w:pPr>
      <w:r>
        <w:rPr>
          <w:rFonts w:hint="eastAsia" w:ascii="宋体" w:hAnsi="宋体"/>
          <w:szCs w:val="21"/>
        </w:rPr>
        <w:t>5.基金托管人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pPr>
        <w:spacing w:line="440" w:lineRule="exact"/>
        <w:ind w:firstLine="420" w:firstLineChars="200"/>
        <w:rPr>
          <w:rFonts w:ascii="宋体" w:hAnsi="宋体"/>
          <w:szCs w:val="21"/>
        </w:rPr>
      </w:pPr>
      <w:r>
        <w:rPr>
          <w:rFonts w:hint="eastAsia" w:ascii="宋体" w:hAnsi="宋体"/>
          <w:szCs w:val="21"/>
        </w:rPr>
        <w:t>基金托管人根据基金管理人提供的银行间债券市场交易对手名单进行监督。</w:t>
      </w:r>
    </w:p>
    <w:p>
      <w:pPr>
        <w:spacing w:line="440" w:lineRule="exact"/>
        <w:ind w:firstLine="420" w:firstLineChars="200"/>
        <w:rPr>
          <w:rFonts w:ascii="宋体" w:hAnsi="宋体"/>
          <w:szCs w:val="21"/>
        </w:rPr>
      </w:pPr>
      <w:r>
        <w:rPr>
          <w:rFonts w:hint="eastAsia" w:ascii="宋体" w:hAnsi="宋体"/>
          <w:szCs w:val="21"/>
        </w:rPr>
        <w:t>6.基金托管人依据有关法律法规的规定和《基金合同》的约定，对基金银行存款业务进行监督。</w:t>
      </w:r>
    </w:p>
    <w:p>
      <w:pPr>
        <w:spacing w:line="440" w:lineRule="exact"/>
        <w:ind w:firstLine="451" w:firstLineChars="215"/>
        <w:rPr>
          <w:rFonts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对于基金投资的银行存款，由于存款银行发生信用风险事件而造成损失时，如果基金托管人在运作过程中遵循</w:t>
      </w:r>
      <w:r>
        <w:rPr>
          <w:rFonts w:hint="eastAsia" w:ascii="宋体" w:hAnsi="宋体" w:cs="宋体"/>
          <w:kern w:val="0"/>
          <w:szCs w:val="21"/>
        </w:rPr>
        <w:t>有关法律法规的规定和《基金合同》的约定</w:t>
      </w:r>
      <w:r>
        <w:rPr>
          <w:rFonts w:hint="eastAsia" w:ascii="宋体" w:hAnsi="宋体"/>
          <w:kern w:val="0"/>
          <w:szCs w:val="21"/>
        </w:rPr>
        <w:t>监督流程，则对于由于存款银行信用风险引起的损失，不承担赔偿责任。</w:t>
      </w:r>
    </w:p>
    <w:p>
      <w:pPr>
        <w:spacing w:line="440" w:lineRule="exact"/>
        <w:ind w:firstLine="451" w:firstLineChars="215"/>
        <w:rPr>
          <w:rFonts w:ascii="宋体" w:hAnsi="宋体"/>
          <w:szCs w:val="21"/>
        </w:rPr>
      </w:pPr>
      <w:r>
        <w:rPr>
          <w:rFonts w:hint="eastAsia" w:ascii="宋体" w:hAnsi="宋体"/>
          <w:szCs w:val="21"/>
        </w:rPr>
        <w:t>7.基金托管人对基金投资流通受限证券的监督</w:t>
      </w:r>
    </w:p>
    <w:p>
      <w:pPr>
        <w:widowControl/>
        <w:spacing w:line="360" w:lineRule="auto"/>
        <w:ind w:firstLine="420" w:firstLineChars="200"/>
        <w:jc w:val="left"/>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 释义”部分。</w:t>
      </w:r>
    </w:p>
    <w:p>
      <w:pPr>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pPr>
        <w:spacing w:line="360" w:lineRule="auto"/>
        <w:ind w:firstLine="420" w:firstLineChars="200"/>
        <w:rPr>
          <w:rFonts w:ascii="宋体" w:hAnsi="宋体"/>
          <w:szCs w:val="21"/>
        </w:rPr>
      </w:pPr>
      <w:r>
        <w:rPr>
          <w:rFonts w:hint="eastAsia" w:ascii="宋体" w:hAnsi="宋体"/>
          <w:szCs w:val="21"/>
        </w:rPr>
        <w:t>（1）本基金投资的流通受限证券包括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20" w:firstLineChars="200"/>
        <w:rPr>
          <w:rFonts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pPr>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w:t>
      </w:r>
      <w:r>
        <w:rPr>
          <w:rFonts w:hint="eastAsia" w:ascii="宋体" w:hAnsi="宋体"/>
          <w:szCs w:val="21"/>
          <w:lang w:eastAsia="zh-Hans"/>
        </w:rPr>
        <w:t>相应</w:t>
      </w:r>
      <w:r>
        <w:rPr>
          <w:rFonts w:hint="eastAsia" w:ascii="宋体" w:hAnsi="宋体"/>
          <w:szCs w:val="21"/>
        </w:rPr>
        <w:t>责任。如因基金管理人原因导致本基金出现损失的，基金托管人不承担</w:t>
      </w:r>
      <w:r>
        <w:rPr>
          <w:rFonts w:hint="eastAsia" w:ascii="宋体" w:hAnsi="宋体"/>
          <w:szCs w:val="21"/>
          <w:lang w:eastAsia="zh-Hans"/>
        </w:rPr>
        <w:t>相应</w:t>
      </w:r>
      <w:r>
        <w:rPr>
          <w:rFonts w:hint="eastAsia" w:ascii="宋体" w:hAnsi="宋体"/>
          <w:szCs w:val="21"/>
        </w:rPr>
        <w:t>责任。</w:t>
      </w:r>
    </w:p>
    <w:p>
      <w:pPr>
        <w:spacing w:line="360" w:lineRule="auto"/>
        <w:ind w:firstLine="420" w:firstLineChars="200"/>
        <w:rPr>
          <w:rFonts w:ascii="宋体" w:hAnsi="宋体"/>
          <w:szCs w:val="21"/>
        </w:rPr>
      </w:pPr>
      <w:r>
        <w:rPr>
          <w:rFonts w:hint="eastAsia" w:ascii="宋体" w:hAnsi="宋体"/>
          <w:szCs w:val="21"/>
        </w:rPr>
        <w:t>（3）基金管理人应在基金投资非公开发行股票后按照相关法律法规规定，在中国证监会规定媒介披露所投资非公开发行股票的名称、数量、总成本、账面价值，以及总成本和账面价值占基金资产净值的比例、锁定期等信息。</w:t>
      </w:r>
    </w:p>
    <w:p>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pPr>
        <w:spacing w:line="360" w:lineRule="auto"/>
        <w:ind w:firstLine="420" w:firstLineChars="200"/>
        <w:rPr>
          <w:rFonts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连带赔偿责任的，若基金托管人此前已切实履行监督职责的，基金管理人应赔偿基金托管人由此遭受的损失。</w:t>
      </w:r>
    </w:p>
    <w:p>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pPr>
        <w:spacing w:line="360" w:lineRule="auto"/>
        <w:ind w:firstLine="420" w:firstLineChars="200"/>
        <w:rPr>
          <w:rFonts w:ascii="宋体" w:hAnsi="宋体"/>
          <w:szCs w:val="21"/>
        </w:rPr>
      </w:pPr>
      <w:r>
        <w:rPr>
          <w:rFonts w:hint="eastAsia" w:ascii="宋体" w:hAnsi="宋体"/>
          <w:szCs w:val="21"/>
        </w:rPr>
        <w:t>1）中国证监会批准发行非公开发行股票的批准文件。</w:t>
      </w:r>
    </w:p>
    <w:p>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pPr>
        <w:spacing w:line="360" w:lineRule="auto"/>
        <w:ind w:firstLine="420" w:firstLineChars="200"/>
        <w:rPr>
          <w:rFonts w:ascii="宋体" w:hAnsi="宋体"/>
          <w:szCs w:val="21"/>
        </w:rPr>
      </w:pPr>
      <w:r>
        <w:rPr>
          <w:rFonts w:hint="eastAsia" w:ascii="宋体" w:hAnsi="宋体"/>
          <w:szCs w:val="21"/>
        </w:rPr>
        <w:t>3）基金拟认购的数量、价格、总成本、账面价值。</w:t>
      </w:r>
    </w:p>
    <w:p>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pPr>
        <w:spacing w:after="120" w:line="360" w:lineRule="auto"/>
        <w:ind w:firstLine="420" w:firstLineChars="200"/>
        <w:rPr>
          <w:rFonts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w:t>
      </w:r>
      <w:r>
        <w:rPr>
          <w:rFonts w:hint="eastAsia" w:ascii="宋体" w:hAnsi="宋体"/>
          <w:szCs w:val="21"/>
          <w:lang w:eastAsia="zh-Hans"/>
        </w:rPr>
        <w:t>相应</w:t>
      </w:r>
      <w:r>
        <w:rPr>
          <w:rFonts w:hint="eastAsia" w:ascii="宋体" w:hAnsi="宋体"/>
          <w:szCs w:val="21"/>
        </w:rPr>
        <w:t>责任，并有权报告中国证监会。</w:t>
      </w:r>
    </w:p>
    <w:p>
      <w:pPr>
        <w:spacing w:after="120"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w:t>
      </w:r>
      <w:r>
        <w:rPr>
          <w:rFonts w:hint="eastAsia" w:ascii="宋体" w:hAnsi="宋体"/>
          <w:szCs w:val="21"/>
          <w:lang w:eastAsia="zh-Hans"/>
        </w:rPr>
        <w:t>相应</w:t>
      </w:r>
      <w:r>
        <w:rPr>
          <w:rFonts w:hint="eastAsia" w:ascii="宋体" w:hAnsi="宋体"/>
          <w:szCs w:val="21"/>
        </w:rPr>
        <w:t>责任。</w:t>
      </w:r>
    </w:p>
    <w:p>
      <w:pPr>
        <w:widowControl/>
        <w:spacing w:line="360" w:lineRule="auto"/>
        <w:ind w:firstLine="420" w:firstLineChars="200"/>
        <w:jc w:val="left"/>
        <w:rPr>
          <w:rFonts w:ascii="宋体" w:hAnsi="宋体"/>
          <w:szCs w:val="21"/>
        </w:rPr>
      </w:pPr>
      <w:r>
        <w:rPr>
          <w:rFonts w:hint="eastAsia" w:ascii="宋体" w:hAnsi="宋体"/>
          <w:szCs w:val="21"/>
        </w:rPr>
        <w:t>(6)相关法律法规对基金投资流通受限证券有新规定的，从其规定。</w:t>
      </w:r>
    </w:p>
    <w:p>
      <w:pPr>
        <w:spacing w:after="120" w:line="360" w:lineRule="auto"/>
        <w:ind w:firstLine="420" w:firstLineChars="200"/>
        <w:rPr>
          <w:rFonts w:hint="eastAsia" w:ascii="宋体" w:hAnsi="宋体"/>
          <w:szCs w:val="21"/>
        </w:rPr>
      </w:pPr>
      <w:r>
        <w:rPr>
          <w:rFonts w:hint="eastAsia" w:ascii="宋体" w:hAnsi="宋体"/>
          <w:szCs w:val="21"/>
        </w:rPr>
        <w:t>8. 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w:t>
      </w:r>
      <w:r>
        <w:rPr>
          <w:rFonts w:hint="eastAsia" w:ascii="宋体" w:hAnsi="宋体"/>
          <w:szCs w:val="21"/>
          <w:lang w:eastAsia="zh-Hans"/>
        </w:rPr>
        <w:t>相应</w:t>
      </w:r>
      <w:r>
        <w:rPr>
          <w:rFonts w:hint="eastAsia" w:ascii="宋体" w:hAnsi="宋体"/>
          <w:szCs w:val="21"/>
        </w:rPr>
        <w:t>责任。如因基金管理人原因导致基金出现损失的，基金托管人不承担</w:t>
      </w:r>
      <w:r>
        <w:rPr>
          <w:rFonts w:hint="eastAsia" w:ascii="宋体" w:hAnsi="宋体"/>
          <w:szCs w:val="21"/>
          <w:lang w:eastAsia="zh-Hans"/>
        </w:rPr>
        <w:t>相应</w:t>
      </w:r>
      <w:r>
        <w:rPr>
          <w:rFonts w:hint="eastAsia" w:ascii="宋体" w:hAnsi="宋体"/>
          <w:szCs w:val="21"/>
        </w:rPr>
        <w:t>责任。</w:t>
      </w:r>
    </w:p>
    <w:p>
      <w:pPr>
        <w:spacing w:after="120" w:line="360" w:lineRule="auto"/>
        <w:ind w:firstLine="420" w:firstLineChars="200"/>
        <w:rPr>
          <w:rFonts w:hint="eastAsia"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pPr>
        <w:spacing w:after="120" w:line="360" w:lineRule="auto"/>
        <w:ind w:firstLine="420" w:firstLineChars="200"/>
        <w:rPr>
          <w:rFonts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sz w:val="21"/>
          <w:szCs w:val="21"/>
        </w:rPr>
      </w:pPr>
      <w:bookmarkStart w:id="14" w:name="_Toc382819074"/>
      <w:r>
        <w:rPr>
          <w:rFonts w:hint="eastAsia" w:ascii="宋体" w:hAnsi="宋体" w:eastAsia="宋体"/>
          <w:b w:val="0"/>
          <w:sz w:val="21"/>
          <w:szCs w:val="21"/>
        </w:rPr>
        <w:t>（</w:t>
      </w:r>
      <w:r>
        <w:rPr>
          <w:rFonts w:hint="eastAsia" w:ascii="宋体" w:hAnsi="宋体" w:eastAsia="宋体"/>
          <w:b w:val="0"/>
          <w:sz w:val="21"/>
          <w:szCs w:val="21"/>
          <w:lang w:val="en-US" w:eastAsia="zh-CN"/>
        </w:rPr>
        <w:t>三</w:t>
      </w:r>
      <w:r>
        <w:rPr>
          <w:rFonts w:hint="eastAsia" w:ascii="宋体" w:hAnsi="宋体" w:eastAsia="宋体"/>
          <w:b w:val="0"/>
          <w:sz w:val="21"/>
          <w:szCs w:val="21"/>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4"/>
    </w:p>
    <w:p>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sz w:val="21"/>
          <w:szCs w:val="21"/>
        </w:rPr>
      </w:pPr>
      <w:bookmarkStart w:id="15" w:name="_Toc382819075"/>
      <w:r>
        <w:rPr>
          <w:rFonts w:hint="eastAsia" w:ascii="宋体" w:hAnsi="宋体" w:eastAsia="宋体"/>
          <w:b w:val="0"/>
          <w:sz w:val="21"/>
          <w:szCs w:val="21"/>
        </w:rPr>
        <w:t>（</w:t>
      </w:r>
      <w:r>
        <w:rPr>
          <w:rFonts w:hint="eastAsia" w:ascii="宋体" w:hAnsi="宋体" w:eastAsia="宋体"/>
          <w:b w:val="0"/>
          <w:sz w:val="21"/>
          <w:szCs w:val="21"/>
          <w:lang w:val="en-US" w:eastAsia="zh-CN"/>
        </w:rPr>
        <w:t>四</w:t>
      </w:r>
      <w:r>
        <w:rPr>
          <w:rFonts w:hint="eastAsia" w:ascii="宋体" w:hAnsi="宋体" w:eastAsia="宋体"/>
          <w:b w:val="0"/>
          <w:sz w:val="21"/>
          <w:szCs w:val="21"/>
        </w:rPr>
        <w:t>）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5"/>
    </w:p>
    <w:p>
      <w:pPr>
        <w:spacing w:line="360" w:lineRule="auto"/>
        <w:ind w:firstLine="420" w:firstLineChars="200"/>
        <w:rPr>
          <w:rFonts w:ascii="宋体" w:hAnsi="宋体"/>
          <w:szCs w:val="21"/>
        </w:rPr>
      </w:pPr>
      <w:r>
        <w:rPr>
          <w:rFonts w:hint="eastAsia" w:ascii="宋体" w:hAnsi="宋体"/>
          <w:szCs w:val="21"/>
        </w:rPr>
        <w:t>在限期内，基金托管人有权随时对通知事项进行复查，督促基金管理人改正。基金管理人对基金托管人通知的违规事项未能在限期内纠正的，基金托管人应报告中国证监会。</w:t>
      </w:r>
    </w:p>
    <w:p>
      <w:pPr>
        <w:spacing w:line="440" w:lineRule="exact"/>
        <w:ind w:firstLine="420" w:firstLineChars="200"/>
        <w:rPr>
          <w:rFonts w:ascii="宋体" w:hAnsi="宋体"/>
          <w:szCs w:val="21"/>
        </w:rPr>
      </w:pPr>
      <w:r>
        <w:rPr>
          <w:rFonts w:hint="eastAsia" w:ascii="宋体" w:hAnsi="宋体"/>
          <w:szCs w:val="21"/>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spacing w:line="440" w:lineRule="exact"/>
        <w:ind w:firstLine="420" w:firstLineChars="200"/>
        <w:rPr>
          <w:rFonts w:ascii="宋体" w:hAnsi="宋体"/>
          <w:szCs w:val="21"/>
        </w:rPr>
      </w:pPr>
      <w:r>
        <w:rPr>
          <w:rFonts w:hint="eastAsia" w:ascii="宋体" w:hAnsi="宋体"/>
          <w:szCs w:val="21"/>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pPr>
        <w:spacing w:line="440" w:lineRule="exact"/>
        <w:ind w:firstLine="420" w:firstLineChars="200"/>
        <w:rPr>
          <w:rFonts w:ascii="宋体" w:hAnsi="宋体"/>
          <w:szCs w:val="21"/>
        </w:rPr>
      </w:pPr>
      <w:r>
        <w:rPr>
          <w:rFonts w:hint="eastAsia" w:ascii="宋体" w:hAnsi="宋体"/>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pPr>
        <w:spacing w:line="440" w:lineRule="exact"/>
        <w:ind w:firstLine="420" w:firstLineChars="200"/>
        <w:rPr>
          <w:rFonts w:ascii="宋体" w:hAnsi="宋体"/>
          <w:szCs w:val="21"/>
        </w:rPr>
      </w:pPr>
      <w:r>
        <w:rPr>
          <w:rFonts w:hint="eastAsia" w:ascii="宋体" w:hAnsi="宋体"/>
          <w:szCs w:val="21"/>
        </w:rPr>
        <w:t>基金托管人发现基金管理人有重大违规行为，应立即报告中国证监会，同时通知基金管理人限期纠正。</w:t>
      </w:r>
    </w:p>
    <w:p>
      <w:pPr>
        <w:spacing w:line="440" w:lineRule="exact"/>
        <w:ind w:firstLine="420" w:firstLineChars="200"/>
        <w:rPr>
          <w:rFonts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6" w:name="_Toc382819076"/>
      <w:r>
        <w:rPr>
          <w:rFonts w:hint="eastAsia" w:ascii="宋体" w:hAnsi="宋体" w:eastAsia="宋体" w:cs="Arial"/>
          <w:sz w:val="21"/>
          <w:szCs w:val="21"/>
        </w:rPr>
        <w:t>基金管理人对基金托管人的业务核查</w:t>
      </w:r>
      <w:bookmarkEnd w:id="16"/>
    </w:p>
    <w:p>
      <w:pPr>
        <w:spacing w:line="360" w:lineRule="auto"/>
        <w:ind w:firstLine="420" w:firstLineChars="200"/>
        <w:rPr>
          <w:rFonts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证券账户、期货结算账户及投资所需其他账户、是否复核基金管理人计算的基金资产净值和各类基金份额净值、是否根据基金管理人指令办理清算交收、进行相关信息披露和监督基金投资运作等行为。</w:t>
      </w:r>
    </w:p>
    <w:p>
      <w:pPr>
        <w:spacing w:line="360" w:lineRule="auto"/>
        <w:ind w:firstLine="420" w:firstLineChars="200"/>
        <w:rPr>
          <w:rFonts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spacing w:line="360" w:lineRule="auto"/>
        <w:ind w:firstLine="420" w:firstLineChars="200"/>
        <w:rPr>
          <w:rFonts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pPr>
        <w:pStyle w:val="12"/>
        <w:rPr>
          <w:rFonts w:ascii="宋体" w:hAnsi="宋体" w:eastAsia="宋体"/>
          <w:sz w:val="21"/>
          <w:szCs w:val="21"/>
        </w:rPr>
      </w:pPr>
      <w:bookmarkStart w:id="17" w:name="_Toc382818598"/>
      <w:bookmarkStart w:id="18" w:name="_Toc382819077"/>
      <w:r>
        <w:rPr>
          <w:rFonts w:hint="eastAsia" w:ascii="宋体" w:hAnsi="宋体" w:eastAsia="宋体"/>
          <w:sz w:val="21"/>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9" w:name="_Toc382819078"/>
      <w:r>
        <w:rPr>
          <w:rFonts w:hint="eastAsia" w:ascii="宋体" w:hAnsi="宋体" w:eastAsia="宋体" w:cs="Arial"/>
          <w:sz w:val="21"/>
          <w:szCs w:val="21"/>
        </w:rPr>
        <w:t>基金财产保管</w:t>
      </w:r>
      <w:bookmarkEnd w:id="19"/>
    </w:p>
    <w:p>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bookmarkStart w:id="20" w:name="_Toc382819079"/>
      <w:r>
        <w:rPr>
          <w:rFonts w:hint="eastAsia" w:ascii="宋体" w:hAnsi="宋体" w:eastAsia="宋体"/>
          <w:b w:val="0"/>
          <w:bCs w:val="0"/>
          <w:sz w:val="21"/>
          <w:szCs w:val="21"/>
        </w:rPr>
        <w:t>（一）基金财产保管的原则</w:t>
      </w:r>
      <w:bookmarkEnd w:id="20"/>
    </w:p>
    <w:p>
      <w:pPr>
        <w:spacing w:line="360" w:lineRule="auto"/>
        <w:ind w:firstLine="420" w:firstLineChars="200"/>
        <w:rPr>
          <w:rFonts w:ascii="宋体" w:hAnsi="宋体"/>
          <w:szCs w:val="21"/>
        </w:rPr>
      </w:pPr>
      <w:r>
        <w:rPr>
          <w:rFonts w:hint="eastAsia" w:ascii="宋体" w:hAnsi="宋体"/>
          <w:szCs w:val="21"/>
        </w:rPr>
        <w:t>1.基金财产应独立于基金管理人、基金托管人的固有财产。</w:t>
      </w:r>
    </w:p>
    <w:p>
      <w:pPr>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pPr>
        <w:spacing w:line="360" w:lineRule="auto"/>
        <w:ind w:firstLine="420" w:firstLineChars="200"/>
        <w:rPr>
          <w:rFonts w:ascii="宋体" w:hAnsi="宋体"/>
          <w:szCs w:val="21"/>
        </w:rPr>
      </w:pPr>
      <w:r>
        <w:rPr>
          <w:rFonts w:hint="eastAsia" w:ascii="宋体" w:hAnsi="宋体"/>
          <w:szCs w:val="21"/>
        </w:rPr>
        <w:t>3.基金托管人按照规定为托管的基金财产开设资金账户、证券账户、期货结算账户及投资所需其他账户。</w:t>
      </w:r>
    </w:p>
    <w:p>
      <w:pPr>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4.基金托管人对所托管的不同基金财产分别设置账户，与基金托管人的其他业务和其他基金的托管业务实行严格的分账管理，独立核算，确保基金财产的完整与独立。</w:t>
      </w:r>
    </w:p>
    <w:p>
      <w:pPr>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 xml:space="preserve"> 除依据法律法规和基金合同的规定外，基金托管人不得委托第三人托管基金财产。</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1" w:name="_Toc382819080"/>
      <w:r>
        <w:rPr>
          <w:rFonts w:hint="eastAsia" w:ascii="宋体" w:hAnsi="宋体" w:eastAsia="宋体"/>
          <w:b w:val="0"/>
          <w:bCs w:val="0"/>
          <w:sz w:val="21"/>
          <w:szCs w:val="21"/>
        </w:rPr>
        <w:t>（二）募集资金的验证</w:t>
      </w:r>
      <w:bookmarkEnd w:id="21"/>
    </w:p>
    <w:p>
      <w:pPr>
        <w:spacing w:line="360" w:lineRule="auto"/>
        <w:ind w:firstLine="420" w:firstLineChars="200"/>
        <w:rPr>
          <w:rFonts w:ascii="宋体" w:hAnsi="宋体"/>
          <w:szCs w:val="21"/>
        </w:rPr>
      </w:pPr>
      <w:r>
        <w:rPr>
          <w:rFonts w:hint="eastAsia" w:ascii="宋体" w:hAnsi="宋体"/>
          <w:szCs w:val="21"/>
        </w:rPr>
        <w:t>募集期内销售机构按销售服务协议的约定，将认购资金划入基金管理人在具有托管资格的商业银行开设的“交银施罗德基金管理有限公司基金认购专户”。该账户由基金管理人开立并管理。基金募集期满或基金管理人宣布停止募集时，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pPr>
        <w:spacing w:line="360" w:lineRule="auto"/>
        <w:ind w:firstLine="420" w:firstLineChars="200"/>
        <w:rPr>
          <w:rFonts w:ascii="宋体" w:hAnsi="宋体" w:cs="Arial"/>
          <w:szCs w:val="21"/>
        </w:rPr>
      </w:pPr>
      <w:r>
        <w:rPr>
          <w:rFonts w:hint="eastAsia" w:ascii="宋体" w:hAnsi="宋体" w:cs="Arial"/>
          <w:szCs w:val="21"/>
        </w:rPr>
        <w:t>若基金募集期限届满，未能达到《基金合同》生效的条件，由基金管理人按规定办理退款事宜，</w:t>
      </w:r>
      <w:r>
        <w:rPr>
          <w:rFonts w:ascii="宋体" w:hAnsi="宋体" w:cs="Arial"/>
          <w:szCs w:val="21"/>
        </w:rPr>
        <w:t>基金托管人应提供充分协助</w:t>
      </w:r>
      <w:r>
        <w:rPr>
          <w:rFonts w:hint="eastAsia" w:ascii="宋体" w:hAnsi="宋体" w:cs="Arial"/>
          <w:szCs w:val="21"/>
        </w:rPr>
        <w:t>。</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2" w:name="_Toc382819081"/>
      <w:r>
        <w:rPr>
          <w:rFonts w:hint="eastAsia" w:ascii="宋体" w:hAnsi="宋体" w:eastAsia="宋体"/>
          <w:b w:val="0"/>
          <w:bCs w:val="0"/>
          <w:sz w:val="21"/>
          <w:szCs w:val="21"/>
        </w:rPr>
        <w:t>（三）基金资产托管专户的开立和管理</w:t>
      </w:r>
      <w:bookmarkEnd w:id="22"/>
    </w:p>
    <w:p>
      <w:pPr>
        <w:spacing w:line="360" w:lineRule="auto"/>
        <w:ind w:firstLine="420" w:firstLineChars="200"/>
        <w:rPr>
          <w:rFonts w:ascii="宋体" w:hAnsi="宋体"/>
          <w:szCs w:val="21"/>
        </w:rPr>
      </w:pPr>
      <w:r>
        <w:rPr>
          <w:rFonts w:hint="eastAsia" w:ascii="宋体" w:hAnsi="宋体"/>
          <w:szCs w:val="21"/>
        </w:rPr>
        <w:t>基金托管人以基金的名义在其营业机构开设资产托管专户（亦称托管账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pPr>
        <w:spacing w:line="360" w:lineRule="auto"/>
        <w:ind w:firstLine="420" w:firstLineChars="200"/>
        <w:rPr>
          <w:rFonts w:ascii="宋体" w:hAnsi="宋体"/>
          <w:szCs w:val="21"/>
        </w:rPr>
      </w:pPr>
      <w:r>
        <w:rPr>
          <w:rFonts w:hint="eastAsia" w:ascii="宋体" w:hAnsi="宋体"/>
          <w:szCs w:val="21"/>
        </w:rPr>
        <w:t>本基金的一切货币收支活动，均需通过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pPr>
        <w:spacing w:line="360" w:lineRule="auto"/>
        <w:ind w:firstLine="420" w:firstLineChars="200"/>
        <w:rPr>
          <w:rFonts w:ascii="宋体" w:hAnsi="宋体"/>
          <w:szCs w:val="21"/>
        </w:rPr>
      </w:pPr>
      <w:r>
        <w:rPr>
          <w:rFonts w:hint="eastAsia" w:ascii="宋体" w:hAnsi="宋体"/>
          <w:szCs w:val="21"/>
        </w:rPr>
        <w:t>资产托管专户的管理应符合《人民币银行结算账户管理办法》、《人民币利率管理规定》、《支付结算办法》以及银行业监督管理机构的其他有关规定。</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3" w:name="_Toc382819082"/>
      <w:r>
        <w:rPr>
          <w:rFonts w:hint="eastAsia" w:ascii="宋体" w:hAnsi="宋体" w:eastAsia="宋体"/>
          <w:b w:val="0"/>
          <w:bCs w:val="0"/>
          <w:sz w:val="21"/>
          <w:szCs w:val="21"/>
        </w:rPr>
        <w:t>（四）基金证券账户与结算备付金账户的开设和管理</w:t>
      </w:r>
      <w:bookmarkEnd w:id="23"/>
    </w:p>
    <w:p>
      <w:pPr>
        <w:tabs>
          <w:tab w:val="left" w:pos="4680"/>
        </w:tabs>
        <w:spacing w:line="360" w:lineRule="auto"/>
        <w:ind w:firstLine="420" w:firstLineChars="200"/>
        <w:rPr>
          <w:rFonts w:ascii="宋体" w:hAnsi="宋体"/>
          <w:szCs w:val="21"/>
        </w:rPr>
      </w:pPr>
      <w:r>
        <w:rPr>
          <w:rFonts w:hint="eastAsia" w:ascii="宋体" w:hAnsi="宋体"/>
          <w:szCs w:val="21"/>
        </w:rPr>
        <w:t>基金托管人以基金托管人和本基金联名的方式在中国证券登记结算有限责任公司上海分公司/深圳分公司开立专门的证券账户。</w:t>
      </w:r>
    </w:p>
    <w:p>
      <w:pPr>
        <w:spacing w:line="360" w:lineRule="auto"/>
        <w:ind w:firstLine="420" w:firstLineChars="200"/>
        <w:rPr>
          <w:rFonts w:ascii="宋体" w:hAnsi="宋体"/>
          <w:szCs w:val="21"/>
        </w:rPr>
      </w:pPr>
      <w:r>
        <w:rPr>
          <w:rFonts w:hint="eastAsia" w:ascii="宋体" w:hAnsi="宋体"/>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spacing w:line="360" w:lineRule="auto"/>
        <w:ind w:firstLine="420" w:firstLineChars="200"/>
        <w:rPr>
          <w:rFonts w:ascii="宋体" w:hAnsi="宋体"/>
          <w:szCs w:val="21"/>
        </w:rPr>
      </w:pPr>
      <w:r>
        <w:rPr>
          <w:rFonts w:hint="eastAsia" w:ascii="宋体" w:hAnsi="宋体"/>
          <w:szCs w:val="21"/>
        </w:rPr>
        <w:t>基金证券账户的开立和原始开户材料的保管由基金托管人负责，账户资产的管理和运用由基金管理人负责。</w:t>
      </w:r>
    </w:p>
    <w:p>
      <w:pPr>
        <w:spacing w:line="360" w:lineRule="auto"/>
        <w:ind w:firstLine="420" w:firstLineChars="200"/>
        <w:rPr>
          <w:rFonts w:ascii="宋体" w:hAnsi="宋体"/>
          <w:szCs w:val="21"/>
        </w:rPr>
      </w:pPr>
      <w:r>
        <w:rPr>
          <w:rFonts w:hint="eastAsia" w:ascii="宋体" w:hAnsi="宋体"/>
          <w:szCs w:val="21"/>
        </w:rPr>
        <w:t>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4" w:name="_Toc382819083"/>
      <w:r>
        <w:rPr>
          <w:rFonts w:hint="eastAsia" w:ascii="宋体" w:hAnsi="宋体" w:eastAsia="宋体"/>
          <w:b w:val="0"/>
          <w:bCs w:val="0"/>
          <w:sz w:val="21"/>
          <w:szCs w:val="21"/>
        </w:rPr>
        <w:t>（五）银行间市场债券托管和资金结算专户的开立和管理及市场准入备案</w:t>
      </w:r>
      <w:bookmarkEnd w:id="24"/>
    </w:p>
    <w:p>
      <w:pPr>
        <w:spacing w:line="360" w:lineRule="auto"/>
        <w:ind w:firstLine="420" w:firstLineChars="200"/>
        <w:rPr>
          <w:rFonts w:ascii="宋体" w:hAnsi="宋体"/>
          <w:szCs w:val="21"/>
        </w:rPr>
      </w:pPr>
      <w:bookmarkStart w:id="25"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5"/>
    </w:p>
    <w:p>
      <w:pPr>
        <w:spacing w:line="360" w:lineRule="auto"/>
        <w:ind w:firstLine="420" w:firstLineChars="200"/>
        <w:rPr>
          <w:rFonts w:ascii="宋体" w:hAnsi="宋体"/>
          <w:szCs w:val="21"/>
        </w:rPr>
      </w:pPr>
      <w:r>
        <w:rPr>
          <w:rFonts w:hint="eastAsia" w:ascii="宋体" w:hAnsi="宋体"/>
          <w:szCs w:val="21"/>
        </w:rPr>
        <w:t>（六）</w:t>
      </w:r>
      <w:r>
        <w:rPr>
          <w:rFonts w:ascii="宋体" w:hAnsi="宋体"/>
          <w:szCs w:val="21"/>
        </w:rPr>
        <w:t>期货结算账户的开立和管理</w:t>
      </w:r>
    </w:p>
    <w:p>
      <w:pPr>
        <w:spacing w:line="360" w:lineRule="auto"/>
        <w:ind w:firstLine="420" w:firstLineChars="200"/>
        <w:outlineLvl w:val="1"/>
        <w:rPr>
          <w:rFonts w:ascii="宋体" w:hAnsi="宋体"/>
          <w:szCs w:val="21"/>
        </w:rPr>
      </w:pPr>
      <w:r>
        <w:rPr>
          <w:rFonts w:ascii="宋体" w:hAnsi="宋体"/>
          <w:szCs w:val="21"/>
        </w:rPr>
        <w:t>基金托管人、基金管理人应当代表本基金，按照相关规定开立期货结算账户、期货资金账户，在中国金融期货交易所获取交易编码。期货结算账户名称、期货资金账户名称及交易编码对应名称应按照有关规定设立。</w:t>
      </w:r>
    </w:p>
    <w:p>
      <w:pPr>
        <w:spacing w:line="360" w:lineRule="auto"/>
        <w:ind w:firstLine="420" w:firstLineChars="200"/>
        <w:outlineLvl w:val="1"/>
        <w:rPr>
          <w:rFonts w:ascii="宋体" w:hAnsi="宋体"/>
          <w:szCs w:val="21"/>
        </w:rPr>
      </w:pPr>
      <w:r>
        <w:rPr>
          <w:rFonts w:hint="eastAsia" w:ascii="宋体" w:hAnsi="宋体"/>
          <w:szCs w:val="21"/>
        </w:rPr>
        <w:t>（七）其他账户的开设和管理</w:t>
      </w:r>
    </w:p>
    <w:p>
      <w:pPr>
        <w:tabs>
          <w:tab w:val="left" w:pos="4680"/>
        </w:tabs>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pPr>
        <w:tabs>
          <w:tab w:val="left" w:pos="4680"/>
        </w:tabs>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6" w:name="_Toc382819085"/>
      <w:r>
        <w:rPr>
          <w:rFonts w:hint="eastAsia" w:ascii="宋体" w:hAnsi="宋体" w:eastAsia="宋体"/>
          <w:b w:val="0"/>
          <w:bCs w:val="0"/>
          <w:sz w:val="21"/>
          <w:szCs w:val="21"/>
        </w:rPr>
        <w:t>（八）基金投资银行存款账户的开立和管理</w:t>
      </w:r>
      <w:bookmarkEnd w:id="26"/>
    </w:p>
    <w:p>
      <w:pPr>
        <w:tabs>
          <w:tab w:val="left" w:pos="4680"/>
        </w:tabs>
        <w:spacing w:line="360" w:lineRule="auto"/>
        <w:ind w:firstLine="420" w:firstLineChars="200"/>
        <w:rPr>
          <w:rFonts w:ascii="宋体" w:hAnsi="宋体"/>
          <w:szCs w:val="21"/>
        </w:rPr>
      </w:pPr>
      <w:r>
        <w:rPr>
          <w:rFonts w:hint="eastAsia" w:ascii="宋体" w:hAnsi="宋体"/>
          <w:szCs w:val="21"/>
        </w:rPr>
        <w:t>基金投资银行定期存款，基金管理人与基金托管人应比照相关规定，就本基金投资银行存款业务签订书面协议。</w:t>
      </w:r>
    </w:p>
    <w:p>
      <w:pPr>
        <w:tabs>
          <w:tab w:val="left" w:pos="4680"/>
        </w:tabs>
        <w:spacing w:line="360" w:lineRule="auto"/>
        <w:ind w:firstLine="420" w:firstLineChars="200"/>
        <w:rPr>
          <w:rFonts w:ascii="宋体" w:hAnsi="宋体"/>
          <w:szCs w:val="21"/>
        </w:rPr>
      </w:pPr>
      <w:r>
        <w:rPr>
          <w:rFonts w:hint="eastAsia" w:ascii="宋体" w:hAnsi="宋体"/>
          <w:szCs w:val="21"/>
        </w:rPr>
        <w:t>存款账户必须以基金名义开立，账户名称为基金名称，存款账户开户文件上加盖预留印鉴及基金管理人公章。</w:t>
      </w:r>
    </w:p>
    <w:p>
      <w:pPr>
        <w:tabs>
          <w:tab w:val="left" w:pos="4680"/>
        </w:tabs>
        <w:spacing w:line="360" w:lineRule="auto"/>
        <w:ind w:firstLine="420" w:firstLineChars="200"/>
        <w:rPr>
          <w:rFonts w:ascii="宋体" w:hAnsi="宋体"/>
          <w:szCs w:val="21"/>
        </w:rPr>
      </w:pPr>
      <w:r>
        <w:rPr>
          <w:rFonts w:hint="eastAsia" w:ascii="宋体" w:hAnsi="宋体"/>
          <w:szCs w:val="21"/>
        </w:rPr>
        <w:t>本基金投资银行存款时，基金管理人应当与存款银行签订具体存款协议，明确存款的类型、期限、利率、金额、账号、对账方式、支取方式、账户管理等细则。</w:t>
      </w:r>
    </w:p>
    <w:p>
      <w:pPr>
        <w:tabs>
          <w:tab w:val="left" w:pos="4680"/>
        </w:tabs>
        <w:spacing w:line="360" w:lineRule="auto"/>
        <w:ind w:firstLine="420" w:firstLineChars="200"/>
        <w:rPr>
          <w:rFonts w:ascii="宋体" w:hAnsi="宋体"/>
          <w:szCs w:val="21"/>
        </w:rPr>
      </w:pPr>
      <w:r>
        <w:rPr>
          <w:rFonts w:hint="eastAsia" w:ascii="宋体" w:hAnsi="宋体"/>
          <w:szCs w:val="21"/>
        </w:rPr>
        <w:t>为防范特殊情况下的流动性风险，定期存款协议中应当约定提前支取条款。</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7" w:name="_Toc382819086"/>
      <w:r>
        <w:rPr>
          <w:rFonts w:hint="eastAsia" w:ascii="宋体" w:hAnsi="宋体" w:eastAsia="宋体"/>
          <w:b w:val="0"/>
          <w:bCs w:val="0"/>
          <w:sz w:val="21"/>
          <w:szCs w:val="21"/>
        </w:rPr>
        <w:t>基金所投资定期存款存续期间，基金管理人、基金托管人应当与存款银行建立定期对账机制，确保基金银行存款业务账目及核对的真实、准确。</w:t>
      </w:r>
      <w:bookmarkEnd w:id="27"/>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8" w:name="_Toc382819087"/>
      <w:r>
        <w:rPr>
          <w:rFonts w:hint="eastAsia" w:ascii="宋体" w:hAnsi="宋体" w:eastAsia="宋体"/>
          <w:b w:val="0"/>
          <w:bCs w:val="0"/>
          <w:sz w:val="21"/>
          <w:szCs w:val="21"/>
        </w:rPr>
        <w:t>（九）基金财产投资的有关实物证券、银行定期存款存单等有价凭证的保管</w:t>
      </w:r>
      <w:bookmarkEnd w:id="28"/>
    </w:p>
    <w:p>
      <w:pPr>
        <w:spacing w:line="360" w:lineRule="auto"/>
        <w:ind w:firstLine="420" w:firstLineChars="200"/>
        <w:rPr>
          <w:rFonts w:ascii="宋体" w:hAnsi="宋体"/>
          <w:szCs w:val="21"/>
        </w:rPr>
      </w:pPr>
      <w:r>
        <w:rPr>
          <w:rFonts w:hint="eastAsia" w:ascii="宋体" w:hAnsi="宋体"/>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或保管的实物证券、银行定期存款存单对应的财产不承担保管责任。</w:t>
      </w:r>
    </w:p>
    <w:p>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（十）与基金财产有关的重大合同的保管</w:t>
      </w:r>
    </w:p>
    <w:p>
      <w:pPr>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ascii="宋体" w:hAnsi="宋体"/>
          <w:szCs w:val="21"/>
        </w:rPr>
        <w:t>30</w:t>
      </w:r>
      <w:r>
        <w:rPr>
          <w:rFonts w:hint="eastAsia" w:ascii="宋体" w:hAnsi="宋体"/>
          <w:szCs w:val="21"/>
        </w:rPr>
        <w:t>个工作日内通过专人送达、挂号邮寄等安全方式将合同原件送达基金托管人处。合同原件应存放于基金管理人和基金托管人各自文件保管部门，保管期限</w:t>
      </w:r>
      <w:r>
        <w:rPr>
          <w:rFonts w:hint="eastAsia" w:ascii="宋体" w:hAnsi="宋体"/>
          <w:bCs/>
          <w:szCs w:val="21"/>
        </w:rPr>
        <w:t>不低于法律法规规定的最低期限</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29" w:name="_Toc382819088"/>
      <w:r>
        <w:rPr>
          <w:rFonts w:hint="eastAsia" w:ascii="宋体" w:hAnsi="宋体" w:eastAsia="宋体" w:cs="Arial"/>
          <w:sz w:val="21"/>
          <w:szCs w:val="21"/>
        </w:rPr>
        <w:t>指令的发送、确认和执行</w:t>
      </w:r>
      <w:bookmarkEnd w:id="29"/>
    </w:p>
    <w:p>
      <w:pPr>
        <w:spacing w:line="360" w:lineRule="auto"/>
        <w:ind w:firstLine="420" w:firstLineChars="200"/>
        <w:rPr>
          <w:rFonts w:ascii="宋体" w:hAnsi="宋体"/>
          <w:szCs w:val="21"/>
        </w:rPr>
      </w:pPr>
      <w:bookmarkStart w:id="30" w:name="_Toc382819089"/>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p>
    <w:p>
      <w:pPr>
        <w:spacing w:line="360" w:lineRule="auto"/>
        <w:ind w:firstLine="420" w:firstLineChars="200"/>
        <w:rPr>
          <w:rFonts w:ascii="宋体" w:hAnsi="宋体"/>
          <w:szCs w:val="21"/>
        </w:rPr>
      </w:pPr>
      <w:r>
        <w:rPr>
          <w:rFonts w:hint="eastAsia" w:ascii="宋体" w:hAnsi="宋体"/>
          <w:szCs w:val="21"/>
        </w:rPr>
        <w:t>基金管理人发送的指令包括电子指令和纸质指令。</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bookmarkEnd w:id="30"/>
      <w:bookmarkStart w:id="31" w:name="_Toc382819090"/>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（一）基金管理人对发送指令人员的书面授权</w:t>
      </w:r>
      <w:bookmarkEnd w:id="31"/>
    </w:p>
    <w:p>
      <w:pPr>
        <w:pStyle w:val="12"/>
        <w:rPr>
          <w:rFonts w:ascii="宋体" w:hAnsi="宋体" w:eastAsia="宋体"/>
          <w:sz w:val="21"/>
          <w:szCs w:val="21"/>
        </w:rPr>
      </w:pPr>
      <w:bookmarkStart w:id="32" w:name="_Toc382818601"/>
      <w:bookmarkStart w:id="33" w:name="_Toc382819091"/>
      <w:r>
        <w:rPr>
          <w:rFonts w:hint="eastAsia" w:ascii="宋体" w:hAnsi="宋体" w:eastAsia="宋体"/>
          <w:sz w:val="21"/>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w:t>
      </w:r>
      <w:r>
        <w:rPr>
          <w:rFonts w:hint="eastAsia" w:ascii="宋体" w:hAnsi="宋体" w:eastAsia="宋体"/>
          <w:sz w:val="21"/>
          <w:szCs w:val="21"/>
          <w:lang w:eastAsia="zh-Hans"/>
        </w:rPr>
        <w:t>基金</w:t>
      </w:r>
      <w:r>
        <w:rPr>
          <w:rFonts w:hint="eastAsia" w:ascii="宋体" w:hAnsi="宋体" w:eastAsia="宋体"/>
          <w:sz w:val="21"/>
          <w:szCs w:val="21"/>
        </w:rPr>
        <w:t>成立时或后续更新，必须提前至少一个交易日，发送扫描件或其他基金托管人和基金管理人书面确认的方式向基金托管人发出加盖基金管理人公章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及相关操作人员以外的任何人泄露</w:t>
      </w:r>
      <w:bookmarkEnd w:id="32"/>
      <w:bookmarkEnd w:id="33"/>
      <w:r>
        <w:rPr>
          <w:rFonts w:hint="eastAsia" w:ascii="宋体" w:hAnsi="宋体" w:eastAsia="宋体"/>
          <w:sz w:val="21"/>
          <w:szCs w:val="21"/>
        </w:rPr>
        <w:t>，但法律法规或有权机关另有要求的除外。</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4" w:name="_Toc382819092"/>
      <w:r>
        <w:rPr>
          <w:rFonts w:hint="eastAsia" w:ascii="宋体" w:hAnsi="宋体" w:eastAsia="宋体"/>
          <w:b w:val="0"/>
          <w:bCs w:val="0"/>
          <w:sz w:val="21"/>
          <w:szCs w:val="21"/>
        </w:rPr>
        <w:t>（二）指令的内容</w:t>
      </w:r>
      <w:bookmarkEnd w:id="34"/>
    </w:p>
    <w:p>
      <w:pPr>
        <w:tabs>
          <w:tab w:val="left" w:pos="4680"/>
        </w:tabs>
        <w:spacing w:line="360" w:lineRule="auto"/>
        <w:ind w:firstLine="420" w:firstLineChars="200"/>
        <w:rPr>
          <w:rFonts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pPr>
        <w:tabs>
          <w:tab w:val="left" w:pos="4680"/>
        </w:tabs>
        <w:spacing w:line="360" w:lineRule="auto"/>
        <w:ind w:firstLine="420" w:firstLineChars="200"/>
        <w:rPr>
          <w:rFonts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2、基金管理人发给基金托管人的指令应写明付款账号、付款户名、开户行、收款账号、收款户名、开户行、款项事由、支付时间、到账时间、金额、账户等，加盖预留印鉴并由被授权人签字。</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5" w:name="_Toc382819093"/>
      <w:r>
        <w:rPr>
          <w:rFonts w:hint="eastAsia" w:ascii="宋体" w:hAnsi="宋体" w:eastAsia="宋体"/>
          <w:b w:val="0"/>
          <w:bCs w:val="0"/>
          <w:sz w:val="21"/>
          <w:szCs w:val="21"/>
        </w:rPr>
        <w:t>（三）指令的发送、确认和执行的时间和程序</w:t>
      </w:r>
      <w:bookmarkEnd w:id="35"/>
    </w:p>
    <w:p>
      <w:pPr>
        <w:spacing w:after="120" w:line="360" w:lineRule="auto"/>
        <w:ind w:firstLine="420" w:firstLineChars="200"/>
        <w:rPr>
          <w:rFonts w:ascii="宋体" w:hAnsi="宋体"/>
          <w:szCs w:val="21"/>
        </w:rPr>
      </w:pPr>
      <w:r>
        <w:rPr>
          <w:rFonts w:hint="eastAsia" w:ascii="宋体" w:hAnsi="宋体"/>
          <w:szCs w:val="21"/>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w:t>
      </w:r>
      <w:r>
        <w:rPr>
          <w:rFonts w:hint="eastAsia" w:ascii="宋体" w:hAnsi="宋体"/>
          <w:szCs w:val="21"/>
          <w:lang w:eastAsia="zh-Hans"/>
        </w:rPr>
        <w:t>相应</w:t>
      </w:r>
      <w:r>
        <w:rPr>
          <w:rFonts w:hint="eastAsia" w:ascii="宋体" w:hAnsi="宋体"/>
          <w:szCs w:val="21"/>
        </w:rPr>
        <w:t>责任。基金托管人依照“授权通知”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非担保交收指令、新股、新债、增发等申购指令）应在15点（指令截止时间）前提交基金托管人，如基金管理人要求当天某一时点到账，则指令需提前2个工作小时(工作时间9点至11点30分</w:t>
      </w:r>
      <w:r>
        <w:rPr>
          <w:rFonts w:hint="eastAsia" w:ascii="宋体" w:hAnsi="宋体"/>
          <w:szCs w:val="21"/>
          <w:lang w:eastAsia="zh-CN"/>
        </w:rPr>
        <w:t>，</w:t>
      </w:r>
      <w:r>
        <w:rPr>
          <w:rFonts w:hint="eastAsia" w:ascii="宋体" w:hAnsi="宋体"/>
          <w:szCs w:val="21"/>
        </w:rPr>
        <w:t>13点至17点)提交基金托管人。</w:t>
      </w:r>
    </w:p>
    <w:p>
      <w:pPr>
        <w:spacing w:after="120" w:line="360" w:lineRule="auto"/>
        <w:ind w:firstLine="420" w:firstLineChars="200"/>
        <w:rPr>
          <w:rFonts w:ascii="宋体" w:hAnsi="宋体"/>
          <w:szCs w:val="21"/>
        </w:rPr>
      </w:pPr>
      <w:r>
        <w:rPr>
          <w:rFonts w:hint="eastAsia" w:ascii="宋体" w:hAnsi="宋体"/>
          <w:szCs w:val="21"/>
        </w:rPr>
        <w:t>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pPr>
        <w:spacing w:after="120" w:line="360" w:lineRule="auto"/>
        <w:ind w:firstLine="420" w:firstLineChars="200"/>
        <w:rPr>
          <w:rFonts w:ascii="宋体" w:hAnsi="宋体"/>
          <w:szCs w:val="21"/>
        </w:rPr>
      </w:pPr>
      <w:r>
        <w:rPr>
          <w:rFonts w:hint="eastAsia" w:ascii="宋体" w:hAnsi="宋体"/>
          <w:szCs w:val="21"/>
        </w:rPr>
        <w:t>如划款指令中给予基金托管人的划拨时间小于2个工作小时或晚于前述指令截止时间的，基金托管人应尽力在指定时间内完成资金划拨,但不承担因时间不足导致执行失败的责任。</w:t>
      </w:r>
    </w:p>
    <w:p>
      <w:pPr>
        <w:spacing w:after="120" w:line="360" w:lineRule="auto"/>
        <w:ind w:firstLine="420" w:firstLineChars="200"/>
        <w:rPr>
          <w:rFonts w:ascii="宋体" w:hAnsi="宋体"/>
          <w:szCs w:val="21"/>
        </w:rPr>
      </w:pPr>
      <w:r>
        <w:rPr>
          <w:rFonts w:hint="eastAsia" w:ascii="宋体" w:hAnsi="宋体"/>
          <w:szCs w:val="21"/>
        </w:rPr>
        <w:t>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pPr>
        <w:spacing w:line="360" w:lineRule="auto"/>
        <w:ind w:firstLine="420" w:firstLineChars="200"/>
        <w:rPr>
          <w:rFonts w:ascii="宋体" w:hAnsi="宋体"/>
          <w:szCs w:val="21"/>
        </w:rPr>
      </w:pPr>
      <w:r>
        <w:rPr>
          <w:rFonts w:hint="eastAsia" w:ascii="宋体" w:hAnsi="宋体"/>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pPr>
        <w:spacing w:line="360" w:lineRule="auto"/>
        <w:ind w:firstLine="420" w:firstLineChars="200"/>
        <w:rPr>
          <w:rFonts w:ascii="宋体" w:hAnsi="宋体"/>
          <w:szCs w:val="21"/>
        </w:rPr>
      </w:pPr>
      <w:r>
        <w:rPr>
          <w:rFonts w:hint="eastAsia" w:ascii="宋体" w:hAnsi="宋体"/>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w:t>
      </w:r>
      <w:r>
        <w:rPr>
          <w:rFonts w:hint="eastAsia" w:ascii="宋体" w:hAnsi="宋体"/>
          <w:szCs w:val="21"/>
          <w:lang w:eastAsia="zh-Hans"/>
        </w:rPr>
        <w:t>相应</w:t>
      </w:r>
      <w:r>
        <w:rPr>
          <w:rFonts w:hint="eastAsia" w:ascii="宋体" w:hAnsi="宋体"/>
          <w:szCs w:val="21"/>
        </w:rPr>
        <w:t>责任。</w:t>
      </w:r>
    </w:p>
    <w:p>
      <w:pPr>
        <w:spacing w:line="360" w:lineRule="auto"/>
        <w:ind w:firstLine="420" w:firstLineChars="200"/>
        <w:rPr>
          <w:rFonts w:ascii="宋体" w:hAnsi="宋体"/>
          <w:szCs w:val="21"/>
        </w:rPr>
      </w:pPr>
      <w:r>
        <w:rPr>
          <w:rFonts w:hint="eastAsia" w:ascii="宋体" w:hAnsi="宋体"/>
          <w:szCs w:val="21"/>
        </w:rPr>
        <w:t>基金管理人应将同业市场国债交易通知单加盖预留印鉴后传真给基金托管人。</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6" w:name="_Toc382819094"/>
      <w:r>
        <w:rPr>
          <w:rFonts w:hint="eastAsia" w:ascii="宋体" w:hAnsi="宋体" w:eastAsia="宋体"/>
          <w:b w:val="0"/>
          <w:bCs w:val="0"/>
          <w:sz w:val="21"/>
          <w:szCs w:val="21"/>
        </w:rPr>
        <w:t>（四）基金管理人发送错误指令的情形和处理程序</w:t>
      </w:r>
      <w:bookmarkEnd w:id="36"/>
    </w:p>
    <w:p>
      <w:pPr>
        <w:spacing w:after="120" w:line="360" w:lineRule="auto"/>
        <w:ind w:firstLine="420" w:firstLineChars="200"/>
        <w:rPr>
          <w:rFonts w:ascii="宋体" w:hAnsi="宋体"/>
          <w:szCs w:val="21"/>
        </w:rPr>
      </w:pPr>
      <w:r>
        <w:rPr>
          <w:rFonts w:hint="eastAsia" w:ascii="宋体" w:hAnsi="宋体"/>
          <w:szCs w:val="21"/>
        </w:rPr>
        <w:t>基金管理人发送错误指令的情形包括但不限于指令发送人员无权或超越权限发送指令及交割信息错误，指令中重要信息模糊不清或不全</w:t>
      </w:r>
      <w:r>
        <w:rPr>
          <w:rFonts w:hint="eastAsia" w:ascii="宋体" w:hAnsi="宋体"/>
          <w:szCs w:val="21"/>
          <w:lang w:eastAsia="zh-CN"/>
        </w:rPr>
        <w:t>，</w:t>
      </w:r>
      <w:r>
        <w:rPr>
          <w:rFonts w:hint="eastAsia" w:ascii="宋体" w:hAnsi="宋体"/>
          <w:szCs w:val="21"/>
        </w:rPr>
        <w:t>指令违反法律法规和《基金合同》及本协议约定等。</w:t>
      </w:r>
    </w:p>
    <w:p>
      <w:pPr>
        <w:spacing w:line="360" w:lineRule="auto"/>
        <w:ind w:firstLine="420" w:firstLineChars="200"/>
        <w:rPr>
          <w:rFonts w:ascii="宋体" w:hAnsi="宋体"/>
          <w:szCs w:val="21"/>
          <w:lang w:val="zh-CN"/>
        </w:rPr>
      </w:pPr>
      <w:r>
        <w:rPr>
          <w:rFonts w:hint="eastAsia" w:ascii="宋体" w:hAnsi="宋体"/>
          <w:szCs w:val="21"/>
        </w:rPr>
        <w:t>基金托管人在履行监督职能时，如发现基金管理人的指令错误，有权拒绝</w:t>
      </w:r>
      <w:r>
        <w:rPr>
          <w:rFonts w:ascii="宋体" w:hAnsi="宋体"/>
          <w:szCs w:val="21"/>
        </w:rPr>
        <w:t>或暂缓</w:t>
      </w:r>
      <w:r>
        <w:rPr>
          <w:rFonts w:hint="eastAsia" w:ascii="宋体" w:hAnsi="宋体"/>
          <w:szCs w:val="21"/>
        </w:rPr>
        <w:t>执行，并及时以书面形式通知基金管理人改正，基金管理人收到通知后应及时核对，并以书面形式对基金托管人发出回函确认。如需撤销指令，基金管理人应出具书面说明，并加盖预留印鉴。</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7" w:name="_Toc382819095"/>
      <w:r>
        <w:rPr>
          <w:rFonts w:hint="eastAsia" w:ascii="宋体" w:hAnsi="宋体" w:eastAsia="宋体"/>
          <w:b w:val="0"/>
          <w:bCs w:val="0"/>
          <w:sz w:val="21"/>
          <w:szCs w:val="21"/>
        </w:rPr>
        <w:t>（五）基金托管人未按照基金管理人指令执行的处理方法</w:t>
      </w:r>
      <w:bookmarkEnd w:id="37"/>
    </w:p>
    <w:p>
      <w:pPr>
        <w:spacing w:line="360" w:lineRule="auto"/>
        <w:ind w:firstLine="420" w:firstLineChars="200"/>
        <w:rPr>
          <w:rFonts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8" w:name="_Toc382819096"/>
      <w:r>
        <w:rPr>
          <w:rFonts w:hint="eastAsia" w:ascii="宋体" w:hAnsi="宋体" w:eastAsia="宋体"/>
          <w:b w:val="0"/>
          <w:bCs w:val="0"/>
          <w:sz w:val="21"/>
          <w:szCs w:val="21"/>
        </w:rPr>
        <w:t>（六）更换被授权人的程序</w:t>
      </w:r>
      <w:bookmarkEnd w:id="38"/>
    </w:p>
    <w:p>
      <w:pPr>
        <w:spacing w:line="360" w:lineRule="auto"/>
        <w:ind w:firstLine="420" w:firstLineChars="200"/>
        <w:rPr>
          <w:rFonts w:ascii="宋体" w:hAnsi="宋体"/>
          <w:szCs w:val="21"/>
        </w:rPr>
      </w:pPr>
      <w:r>
        <w:rPr>
          <w:rFonts w:hint="eastAsia" w:ascii="宋体" w:hAnsi="宋体"/>
          <w:szCs w:val="21"/>
        </w:rPr>
        <w:t>基金管理人更换被授权人、更改或终止对被授权人的授权范围的，必须提前至少一个交易日，发送扫描件或通过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相应责任。基金托管人更换接收基金管理人指令的人员，应提前通过邮件、传真或录音电话等方式通知基金管理人。</w:t>
      </w:r>
    </w:p>
    <w:p>
      <w:pPr>
        <w:spacing w:line="360" w:lineRule="auto"/>
        <w:ind w:firstLine="420" w:firstLineChars="200"/>
        <w:rPr>
          <w:rFonts w:ascii="宋体" w:hAnsi="宋体"/>
          <w:szCs w:val="21"/>
        </w:rPr>
      </w:pPr>
      <w:r>
        <w:rPr>
          <w:rFonts w:hint="eastAsia" w:ascii="宋体" w:hAnsi="宋体"/>
          <w:szCs w:val="21"/>
        </w:rPr>
        <w:t>（七）其它事项</w:t>
      </w:r>
    </w:p>
    <w:p>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基金管理人承担下达违法、违规或违反《基金合同》和本协议约定的指令所导致的责任。基金托管人对执行基金管理人的按照正常交易程序已经生效的指令对基金财产造成的损失不承担赔偿责任。</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39" w:name="_Toc382819097"/>
      <w:r>
        <w:rPr>
          <w:rFonts w:hint="eastAsia" w:ascii="宋体" w:hAnsi="宋体" w:eastAsia="宋体" w:cs="Arial"/>
          <w:sz w:val="21"/>
          <w:szCs w:val="21"/>
        </w:rPr>
        <w:t>交易及清算交收安排</w:t>
      </w:r>
      <w:bookmarkEnd w:id="39"/>
    </w:p>
    <w:p>
      <w:pPr>
        <w:pStyle w:val="3"/>
        <w:keepNext w:val="0"/>
        <w:keepLines w:val="0"/>
        <w:spacing w:before="0" w:after="0"/>
        <w:ind w:firstLine="420" w:firstLineChars="200"/>
        <w:jc w:val="left"/>
        <w:rPr>
          <w:rFonts w:ascii="宋体" w:hAnsi="宋体" w:eastAsia="宋体"/>
          <w:b w:val="0"/>
          <w:sz w:val="21"/>
          <w:szCs w:val="21"/>
        </w:rPr>
      </w:pPr>
      <w:bookmarkStart w:id="40" w:name="_Toc382819098"/>
      <w:r>
        <w:rPr>
          <w:rFonts w:hint="eastAsia" w:ascii="宋体" w:hAnsi="宋体" w:eastAsia="宋体"/>
          <w:b w:val="0"/>
          <w:sz w:val="21"/>
          <w:szCs w:val="21"/>
        </w:rPr>
        <w:t>（一）选择代理证券、期货买卖的证券、期货经纪机构的标准和程序</w:t>
      </w:r>
      <w:bookmarkEnd w:id="40"/>
    </w:p>
    <w:p>
      <w:pPr>
        <w:spacing w:line="360" w:lineRule="auto"/>
        <w:ind w:firstLine="420" w:firstLineChars="200"/>
        <w:rPr>
          <w:rFonts w:ascii="宋体" w:hAnsi="宋体"/>
          <w:szCs w:val="21"/>
        </w:rPr>
      </w:pPr>
      <w:r>
        <w:rPr>
          <w:rFonts w:hint="eastAsia" w:ascii="宋体" w:hAnsi="宋体"/>
          <w:szCs w:val="21"/>
        </w:rPr>
        <w:t>基金管理人负责选择代理本基金证券买卖的证券经纪机构。</w:t>
      </w:r>
    </w:p>
    <w:p>
      <w:pPr>
        <w:spacing w:line="360" w:lineRule="auto"/>
        <w:ind w:firstLine="420" w:firstLineChars="200"/>
        <w:rPr>
          <w:rFonts w:ascii="宋体" w:hAnsi="宋体"/>
          <w:szCs w:val="21"/>
        </w:rPr>
      </w:pPr>
      <w:r>
        <w:rPr>
          <w:rFonts w:hint="eastAsia" w:ascii="宋体" w:hAnsi="宋体"/>
          <w:szCs w:val="21"/>
        </w:rPr>
        <w:t>基金管理人负责根据相关标准以及内部管理制度对有关证券经营机构进行考察后确定代理本基金证券买卖证券经营机构，并承担相应责任。基金管理人和被选择的证券经纪机构签订交易单元租用协议，由基金管理人通知基金托管人，并在法定信息披露公告中披露有关内容。</w:t>
      </w:r>
    </w:p>
    <w:p>
      <w:pPr>
        <w:spacing w:line="360" w:lineRule="auto"/>
        <w:ind w:firstLine="420" w:firstLineChars="200"/>
        <w:rPr>
          <w:rFonts w:ascii="宋体" w:hAnsi="宋体"/>
          <w:szCs w:val="21"/>
        </w:rPr>
      </w:pPr>
      <w:r>
        <w:rPr>
          <w:rFonts w:hint="eastAsia" w:ascii="宋体" w:hAnsi="宋体"/>
          <w:szCs w:val="21"/>
        </w:rPr>
        <w:t>基金管理人应在基金起始运作前将基金专用交易单元号、佣金费率等基本信息以及变更情况及时以书面形式通知基金托管人,并将被选中证券经营机构提供的《交易单元租用协议》及时送达基金托管人，确保基金托管人申请接收结算数据。</w:t>
      </w:r>
    </w:p>
    <w:p>
      <w:pPr>
        <w:spacing w:line="360" w:lineRule="auto"/>
        <w:ind w:firstLine="420" w:firstLineChars="200"/>
        <w:rPr>
          <w:rFonts w:ascii="宋体" w:hAnsi="宋体"/>
          <w:szCs w:val="21"/>
        </w:rPr>
      </w:pPr>
      <w:r>
        <w:rPr>
          <w:rFonts w:hint="eastAsia" w:ascii="宋体" w:hAnsi="宋体"/>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pPr>
        <w:pStyle w:val="3"/>
        <w:keepNext w:val="0"/>
        <w:keepLines w:val="0"/>
        <w:spacing w:before="0" w:after="0"/>
        <w:ind w:firstLine="420" w:firstLineChars="200"/>
        <w:jc w:val="left"/>
        <w:rPr>
          <w:rFonts w:ascii="宋体" w:hAnsi="宋体" w:eastAsia="宋体"/>
          <w:b w:val="0"/>
          <w:sz w:val="21"/>
          <w:szCs w:val="21"/>
        </w:rPr>
      </w:pPr>
      <w:bookmarkStart w:id="41" w:name="_Toc382819099"/>
      <w:r>
        <w:rPr>
          <w:rFonts w:hint="eastAsia" w:ascii="宋体" w:hAnsi="宋体" w:eastAsia="宋体"/>
          <w:b w:val="0"/>
          <w:sz w:val="21"/>
          <w:szCs w:val="21"/>
        </w:rPr>
        <w:t>（二）基金投资证券后的清算交收安排</w:t>
      </w:r>
      <w:bookmarkEnd w:id="41"/>
      <w:bookmarkStart w:id="42" w:name="_Toc382819100"/>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1、本基金投资于证券发生的所有场内、场外交易的资金清算交割，全部由基金托管人负责办理。</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 xml:space="preserve">2、本基金投资于场内交易的投资品种前，基金管理人和基金托管人应当另行签署托管银行证券资金结算协议。 </w:t>
      </w:r>
    </w:p>
    <w:p>
      <w:pPr>
        <w:spacing w:line="360" w:lineRule="auto"/>
        <w:ind w:firstLine="420" w:firstLineChars="200"/>
        <w:rPr>
          <w:rFonts w:ascii="宋体" w:hAnsi="宋体"/>
          <w:szCs w:val="21"/>
        </w:rPr>
      </w:pPr>
      <w:r>
        <w:rPr>
          <w:rFonts w:hint="eastAsia" w:ascii="宋体" w:hAnsi="宋体"/>
          <w:szCs w:val="21"/>
        </w:rPr>
        <w:t>3、本基金投资于非担保交收的投资品种时，基金管理人应遵守基金托管人提前以告客户书形式提供的书面通知。</w:t>
      </w:r>
      <w:bookmarkEnd w:id="42"/>
    </w:p>
    <w:p>
      <w:pPr>
        <w:spacing w:line="360" w:lineRule="auto"/>
        <w:ind w:firstLine="420" w:firstLineChars="200"/>
        <w:rPr>
          <w:rFonts w:ascii="宋体" w:hAnsi="宋体"/>
          <w:szCs w:val="21"/>
        </w:rPr>
      </w:pPr>
      <w:r>
        <w:rPr>
          <w:rFonts w:hint="eastAsia" w:ascii="宋体" w:hAnsi="宋体"/>
          <w:szCs w:val="21"/>
        </w:rPr>
        <w:t>4、银行间债券券款对付结算</w:t>
      </w:r>
    </w:p>
    <w:p>
      <w:pPr>
        <w:spacing w:line="360" w:lineRule="auto"/>
        <w:ind w:firstLine="420" w:firstLineChars="200"/>
        <w:rPr>
          <w:rFonts w:ascii="宋体" w:hAnsi="宋体"/>
          <w:szCs w:val="21"/>
        </w:rPr>
      </w:pPr>
      <w:r>
        <w:rPr>
          <w:rFonts w:hint="eastAsia" w:ascii="宋体" w:hAnsi="宋体"/>
          <w:szCs w:val="21"/>
        </w:rPr>
        <w:t>基金管理人应及时将银行间市场清算所股份有限公司、</w:t>
      </w:r>
      <w:r>
        <w:rPr>
          <w:rFonts w:ascii="宋体" w:hAnsi="宋体"/>
          <w:szCs w:val="21"/>
        </w:rPr>
        <w:t>中央国债登记结算有限责任公司</w:t>
      </w:r>
      <w:r>
        <w:rPr>
          <w:rFonts w:hint="eastAsia" w:ascii="宋体" w:hAnsi="宋体"/>
          <w:szCs w:val="21"/>
        </w:rPr>
        <w:t xml:space="preserve">划款指令和成交通知单按相关规定提交基金托管人，基金管理人应为基金托管人留出执行指令所必需的时间。  </w:t>
      </w:r>
    </w:p>
    <w:p>
      <w:pPr>
        <w:spacing w:line="360" w:lineRule="auto"/>
        <w:ind w:firstLine="420" w:firstLineChars="200"/>
        <w:rPr>
          <w:rFonts w:ascii="宋体" w:hAnsi="宋体"/>
          <w:szCs w:val="21"/>
        </w:rPr>
      </w:pPr>
      <w:r>
        <w:rPr>
          <w:rFonts w:hint="eastAsia" w:ascii="宋体" w:hAnsi="宋体"/>
          <w:szCs w:val="21"/>
        </w:rPr>
        <w:t>基金管理人应根据</w:t>
      </w:r>
      <w:r>
        <w:rPr>
          <w:rFonts w:ascii="宋体" w:hAnsi="宋体"/>
          <w:szCs w:val="21"/>
        </w:rPr>
        <w:t>中央国债登记结算有限责任公司</w:t>
      </w:r>
      <w:r>
        <w:rPr>
          <w:rFonts w:hint="eastAsia" w:ascii="宋体" w:hAnsi="宋体"/>
          <w:szCs w:val="21"/>
        </w:rPr>
        <w:t>、银行间市场清算所股份有限公司提供的查询功能，实时跟踪交易结算情况、证券与资金到账与余额变动情况，便于监控结算过程，做好资金与交易匹配的前端控制。</w:t>
      </w:r>
    </w:p>
    <w:p>
      <w:pPr>
        <w:spacing w:line="360" w:lineRule="auto"/>
        <w:ind w:firstLine="420" w:firstLineChars="200"/>
        <w:rPr>
          <w:rFonts w:ascii="宋体" w:hAnsi="宋体"/>
          <w:szCs w:val="21"/>
        </w:rPr>
      </w:pPr>
      <w:r>
        <w:rPr>
          <w:rFonts w:hint="eastAsia" w:ascii="宋体" w:hAnsi="宋体"/>
          <w:szCs w:val="21"/>
        </w:rPr>
        <w:t>5、定期投资</w:t>
      </w:r>
    </w:p>
    <w:p>
      <w:pPr>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基金管理人与存款行签订的存款协议条款格式应在定期存款起息日的前一个工作日发送给基金托管人，</w:t>
      </w:r>
      <w:r>
        <w:rPr>
          <w:rFonts w:hint="eastAsia" w:ascii="宋体" w:hAnsi="宋体" w:cs="Arial"/>
          <w:color w:val="000000"/>
          <w:szCs w:val="21"/>
        </w:rPr>
        <w:t>基金管理人应将</w:t>
      </w:r>
      <w:r>
        <w:rPr>
          <w:rFonts w:hint="eastAsia" w:ascii="宋体" w:hAnsi="宋体"/>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pPr>
        <w:spacing w:line="360" w:lineRule="auto"/>
        <w:ind w:firstLine="420" w:firstLineChars="200"/>
        <w:rPr>
          <w:rFonts w:ascii="宋体" w:hAnsi="宋体"/>
          <w:szCs w:val="21"/>
        </w:rPr>
      </w:pPr>
      <w:r>
        <w:rPr>
          <w:rFonts w:hint="eastAsia" w:ascii="宋体" w:hAnsi="宋体"/>
          <w:szCs w:val="21"/>
        </w:rPr>
        <w:t>基金管理人在发送投资指令时，应为基金托管人执行投资指令留出执行指令所必需的时间。投资指令传输不及时、未能留出足够的划款时间，导致资金未能及时到账所造成的损失与基金</w:t>
      </w:r>
      <w:r>
        <w:rPr>
          <w:rFonts w:ascii="宋体" w:hAnsi="宋体"/>
          <w:szCs w:val="21"/>
        </w:rPr>
        <w:t>托管人无关</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pPr>
        <w:spacing w:line="360" w:lineRule="auto"/>
        <w:ind w:firstLine="420" w:firstLineChars="200"/>
        <w:rPr>
          <w:rFonts w:ascii="宋体" w:hAnsi="宋体"/>
          <w:szCs w:val="21"/>
        </w:rPr>
      </w:pPr>
      <w:r>
        <w:rPr>
          <w:rFonts w:hint="eastAsia" w:ascii="宋体" w:hAnsi="宋体"/>
          <w:szCs w:val="21"/>
        </w:rPr>
        <w:t xml:space="preserve"> 基金管理人与存款银行签订的存款协议，应包括：</w:t>
      </w:r>
    </w:p>
    <w:p>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（4）存款银行应保证及时支付存款本金和利息，于支取当日将本息划付至本基金开立在基金托管人（上海浦东发展银行股份有限公司）处的托管账户， 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pPr>
        <w:spacing w:line="360" w:lineRule="auto"/>
        <w:ind w:firstLine="420" w:firstLineChars="200"/>
        <w:rPr>
          <w:rFonts w:ascii="宋体" w:hAnsi="宋体"/>
          <w:szCs w:val="21"/>
        </w:rPr>
      </w:pPr>
      <w:r>
        <w:rPr>
          <w:rFonts w:hint="eastAsia" w:ascii="宋体" w:hAnsi="宋体"/>
          <w:szCs w:val="21"/>
        </w:rPr>
        <w:t>（6）在存款存续期内， “证实书”的预留印鉴发生变更的，存款银行应配合办理变更手续。</w:t>
      </w:r>
    </w:p>
    <w:p>
      <w:pPr>
        <w:spacing w:line="360" w:lineRule="auto"/>
        <w:ind w:firstLine="420" w:firstLineChars="200"/>
        <w:rPr>
          <w:rFonts w:ascii="宋体" w:hAnsi="宋体"/>
          <w:szCs w:val="21"/>
        </w:rPr>
      </w:pPr>
      <w:r>
        <w:rPr>
          <w:rFonts w:hint="eastAsia" w:ascii="宋体" w:hAnsi="宋体"/>
          <w:szCs w:val="21"/>
        </w:rPr>
        <w:t>6、本基金拟投资于期货交易市场前，基金管理人、期货经纪机构及基金托管人应当另行签署股指期货投资托管协议。</w:t>
      </w:r>
    </w:p>
    <w:p>
      <w:pPr>
        <w:spacing w:line="360" w:lineRule="auto"/>
        <w:ind w:firstLine="420"/>
        <w:rPr>
          <w:rFonts w:ascii="宋体" w:hAnsi="宋体"/>
          <w:szCs w:val="21"/>
        </w:rPr>
      </w:pPr>
      <w:r>
        <w:rPr>
          <w:rFonts w:hint="eastAsia" w:asciiTheme="minorEastAsia" w:hAnsiTheme="minorEastAsia" w:eastAsiaTheme="minorEastAsia" w:cstheme="minorEastAsia"/>
          <w:color w:val="000000"/>
          <w:szCs w:val="21"/>
        </w:rPr>
        <w:t>7</w:t>
      </w:r>
      <w:r>
        <w:rPr>
          <w:rFonts w:ascii="Segoe UI" w:hAnsi="Segoe UI" w:cs="Segoe UI"/>
          <w:color w:val="000000"/>
          <w:szCs w:val="21"/>
        </w:rPr>
        <w:t>、</w:t>
      </w:r>
      <w:r>
        <w:rPr>
          <w:rFonts w:hint="eastAsia" w:ascii="宋体" w:hAnsi="宋体"/>
          <w:szCs w:val="21"/>
        </w:rPr>
        <w:t>基金参与港股通交易的清算交收安排</w:t>
      </w:r>
    </w:p>
    <w:p>
      <w:pPr>
        <w:spacing w:line="360" w:lineRule="auto"/>
        <w:ind w:firstLine="420"/>
        <w:rPr>
          <w:rFonts w:ascii="宋体" w:hAnsi="宋体"/>
          <w:szCs w:val="21"/>
        </w:rPr>
      </w:pPr>
      <w:r>
        <w:rPr>
          <w:rFonts w:hint="eastAsia" w:ascii="宋体" w:hAnsi="宋体"/>
          <w:szCs w:val="21"/>
        </w:rPr>
        <w:t>（1）基金参与港股通交易的，基金管理人应保证在T日日终之前在托管的托管账户或港股通备付金账户上有足够的头寸用于港股通T+1日公司行动、证券组合费和风控资金的交收，在T+1日11：00之前在托管的托管账户或港股通备付金上有足够的头寸用于港股通T+2日交易资金的交收。对于T日港股通交易清算结果为净应付的，基金托管人于T+1日10：00扣收应付资金。对于T日港股通交易清算结果为净应收的，基金托管人在与中国证券登记结算有限责任公司完成净应收资金交割后，于T+3日上午12:00前返还应收资金。若因非基金托管人原因造成净应收资金划付延迟的，基金托管人不承担</w:t>
      </w:r>
      <w:r>
        <w:rPr>
          <w:rFonts w:hint="eastAsia" w:ascii="宋体" w:hAnsi="宋体"/>
          <w:szCs w:val="21"/>
          <w:lang w:eastAsia="zh-Hans"/>
        </w:rPr>
        <w:t>相应</w:t>
      </w:r>
      <w:r>
        <w:rPr>
          <w:rFonts w:hint="eastAsia" w:ascii="宋体" w:hAnsi="宋体"/>
          <w:szCs w:val="21"/>
        </w:rPr>
        <w:t>责任。</w:t>
      </w:r>
    </w:p>
    <w:p>
      <w:pPr>
        <w:spacing w:line="360" w:lineRule="auto"/>
        <w:ind w:firstLine="420" w:firstLineChars="200"/>
      </w:pPr>
      <w:r>
        <w:rPr>
          <w:rFonts w:hint="eastAsia" w:ascii="宋体" w:hAnsi="宋体"/>
          <w:szCs w:val="21"/>
        </w:rPr>
        <w:t>如由于基金管理人的过错导致港股通交收失败，由此给基金托管人、基金托管人托管的其他资产组合造成的</w:t>
      </w:r>
      <w:r>
        <w:rPr>
          <w:rFonts w:hint="eastAsia" w:ascii="宋体" w:hAnsi="宋体"/>
          <w:b/>
          <w:bCs/>
          <w:szCs w:val="21"/>
        </w:rPr>
        <w:t>直接</w:t>
      </w:r>
      <w:r>
        <w:rPr>
          <w:rFonts w:hint="eastAsia" w:ascii="宋体" w:hAnsi="宋体"/>
          <w:szCs w:val="21"/>
        </w:rPr>
        <w:t>经济损失，由基金管理人承担。如由于非基金管理人和基金托管人的原因导致港股通交收失败，由此给基金资产组合造成的经济损失，基金管理人可向过错人追偿。</w:t>
      </w:r>
    </w:p>
    <w:p>
      <w:pPr>
        <w:pStyle w:val="3"/>
        <w:keepNext w:val="0"/>
        <w:keepLines w:val="0"/>
        <w:spacing w:before="0" w:after="0"/>
        <w:ind w:firstLine="420" w:firstLineChars="200"/>
        <w:jc w:val="left"/>
        <w:rPr>
          <w:rFonts w:ascii="宋体" w:hAnsi="宋体" w:eastAsia="宋体"/>
          <w:b w:val="0"/>
          <w:sz w:val="21"/>
          <w:szCs w:val="21"/>
        </w:rPr>
      </w:pPr>
      <w:bookmarkStart w:id="43" w:name="_Toc382819102"/>
      <w:r>
        <w:rPr>
          <w:rFonts w:hint="eastAsia" w:ascii="宋体" w:hAnsi="宋体" w:eastAsia="宋体"/>
          <w:b w:val="0"/>
          <w:sz w:val="21"/>
          <w:szCs w:val="21"/>
        </w:rPr>
        <w:t>（三）可用资金余额的确认</w:t>
      </w:r>
      <w:bookmarkEnd w:id="43"/>
    </w:p>
    <w:p>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pPr>
        <w:tabs>
          <w:tab w:val="left" w:pos="4680"/>
        </w:tabs>
        <w:spacing w:line="360" w:lineRule="auto"/>
        <w:ind w:firstLine="420" w:firstLineChars="200"/>
        <w:jc w:val="left"/>
        <w:outlineLvl w:val="1"/>
        <w:rPr>
          <w:rFonts w:ascii="宋体" w:hAnsi="宋体"/>
          <w:bCs/>
          <w:szCs w:val="21"/>
        </w:rPr>
      </w:pPr>
      <w:r>
        <w:rPr>
          <w:rFonts w:hint="eastAsia" w:ascii="宋体" w:hAnsi="宋体"/>
          <w:bCs/>
          <w:szCs w:val="21"/>
        </w:rPr>
        <w:t>（四）交易记录、资金、证券账目的核对</w:t>
      </w:r>
    </w:p>
    <w:p>
      <w:pPr>
        <w:tabs>
          <w:tab w:val="left" w:pos="4680"/>
        </w:tabs>
        <w:spacing w:line="360" w:lineRule="auto"/>
        <w:ind w:firstLine="420" w:firstLineChars="200"/>
        <w:jc w:val="left"/>
        <w:outlineLvl w:val="2"/>
        <w:rPr>
          <w:rFonts w:ascii="宋体" w:hAnsi="宋体"/>
          <w:szCs w:val="21"/>
        </w:rPr>
      </w:pPr>
      <w:r>
        <w:rPr>
          <w:rFonts w:hint="eastAsia" w:ascii="宋体" w:hAnsi="宋体"/>
          <w:szCs w:val="21"/>
        </w:rPr>
        <w:t>1、交易记录的核对</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基金管理人和基金托管人按日进行交易记录的核对。每日对外披露净值之前，必须保证当天所有实际交易记录与基金会计账簿上的交易记录一致。</w:t>
      </w:r>
    </w:p>
    <w:p>
      <w:pPr>
        <w:tabs>
          <w:tab w:val="left" w:pos="4680"/>
        </w:tabs>
        <w:spacing w:line="360" w:lineRule="auto"/>
        <w:ind w:firstLine="420" w:firstLineChars="200"/>
        <w:jc w:val="left"/>
        <w:outlineLvl w:val="2"/>
        <w:rPr>
          <w:rFonts w:ascii="宋体" w:hAnsi="宋体"/>
          <w:szCs w:val="21"/>
        </w:rPr>
      </w:pPr>
      <w:r>
        <w:rPr>
          <w:rFonts w:hint="eastAsia" w:ascii="宋体" w:hAnsi="宋体"/>
          <w:szCs w:val="21"/>
        </w:rPr>
        <w:t>2、资金账目的核对</w:t>
      </w:r>
    </w:p>
    <w:p>
      <w:pPr>
        <w:tabs>
          <w:tab w:val="left" w:pos="4680"/>
        </w:tabs>
        <w:spacing w:line="360" w:lineRule="auto"/>
        <w:ind w:firstLine="420" w:firstLineChars="200"/>
        <w:jc w:val="left"/>
        <w:rPr>
          <w:rFonts w:ascii="宋体" w:hAnsi="宋体"/>
          <w:szCs w:val="21"/>
        </w:rPr>
      </w:pPr>
      <w:r>
        <w:rPr>
          <w:rFonts w:hint="eastAsia" w:ascii="宋体" w:hAnsi="宋体"/>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pPr>
        <w:tabs>
          <w:tab w:val="left" w:pos="4680"/>
        </w:tabs>
        <w:spacing w:line="360" w:lineRule="auto"/>
        <w:ind w:firstLine="420" w:firstLineChars="200"/>
        <w:jc w:val="left"/>
        <w:outlineLvl w:val="2"/>
        <w:rPr>
          <w:rFonts w:ascii="宋体" w:hAnsi="宋体"/>
          <w:szCs w:val="21"/>
        </w:rPr>
      </w:pPr>
      <w:r>
        <w:rPr>
          <w:rFonts w:hint="eastAsia" w:ascii="宋体" w:hAnsi="宋体"/>
          <w:szCs w:val="21"/>
        </w:rPr>
        <w:t>3、证券账目的核对</w:t>
      </w:r>
    </w:p>
    <w:p>
      <w:pPr>
        <w:tabs>
          <w:tab w:val="left" w:pos="4680"/>
        </w:tabs>
        <w:spacing w:line="360" w:lineRule="auto"/>
        <w:ind w:firstLine="420" w:firstLineChars="200"/>
        <w:jc w:val="left"/>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pPr>
        <w:tabs>
          <w:tab w:val="left" w:pos="4680"/>
        </w:tabs>
        <w:spacing w:line="360" w:lineRule="auto"/>
        <w:ind w:firstLine="420" w:firstLineChars="200"/>
        <w:jc w:val="left"/>
        <w:outlineLvl w:val="1"/>
        <w:rPr>
          <w:rFonts w:ascii="宋体" w:hAnsi="宋体"/>
          <w:szCs w:val="21"/>
        </w:rPr>
      </w:pPr>
      <w:r>
        <w:rPr>
          <w:rFonts w:hint="eastAsia" w:ascii="宋体" w:hAnsi="宋体"/>
          <w:szCs w:val="21"/>
        </w:rPr>
        <w:t>（五）基金申购、赎回、转换业务处理的基本规定</w:t>
      </w:r>
    </w:p>
    <w:p>
      <w:pPr>
        <w:tabs>
          <w:tab w:val="left" w:pos="4680"/>
        </w:tabs>
        <w:spacing w:line="360" w:lineRule="auto"/>
        <w:ind w:firstLine="420" w:firstLineChars="200"/>
        <w:jc w:val="left"/>
        <w:rPr>
          <w:rFonts w:ascii="宋体" w:hAnsi="宋体"/>
          <w:szCs w:val="21"/>
        </w:rPr>
      </w:pPr>
      <w:r>
        <w:rPr>
          <w:rFonts w:hint="eastAsia" w:ascii="宋体" w:hAnsi="宋体"/>
          <w:szCs w:val="21"/>
        </w:rPr>
        <w:t>1、本基金可</w:t>
      </w:r>
      <w:r>
        <w:rPr>
          <w:rFonts w:hint="eastAsia" w:ascii="宋体" w:hAnsi="宋体"/>
          <w:bCs/>
          <w:szCs w:val="21"/>
        </w:rPr>
        <w:t>根据实际情况依法决定开始办理申购，</w:t>
      </w:r>
      <w:r>
        <w:rPr>
          <w:rFonts w:hint="eastAsia" w:ascii="宋体" w:hAnsi="宋体"/>
          <w:szCs w:val="21"/>
        </w:rPr>
        <w:t>自《基金合同》生效后不超过3个月开始办理赎回，具体办理时间以公告为准。基金份额申购、赎回的确认、清算由基金管理人或其委托的登记机构负责。</w:t>
      </w:r>
    </w:p>
    <w:p>
      <w:pPr>
        <w:tabs>
          <w:tab w:val="left" w:pos="4680"/>
        </w:tabs>
        <w:spacing w:line="360" w:lineRule="auto"/>
        <w:ind w:firstLine="420" w:firstLineChars="200"/>
        <w:jc w:val="left"/>
        <w:rPr>
          <w:rFonts w:ascii="宋体" w:hAnsi="宋体"/>
          <w:szCs w:val="21"/>
        </w:rPr>
      </w:pPr>
      <w:r>
        <w:rPr>
          <w:rFonts w:hint="eastAsia" w:ascii="宋体" w:hAnsi="宋体"/>
          <w:szCs w:val="21"/>
        </w:rPr>
        <w:t>2、基金管理人应在每个交易日按本协议相关规定向基金托管人发送基金管理人确认的申购、赎回和转换</w:t>
      </w:r>
      <w:r>
        <w:rPr>
          <w:rFonts w:hint="eastAsia" w:ascii="宋体" w:hAnsi="宋体"/>
          <w:szCs w:val="21"/>
          <w:lang w:eastAsia="zh-Hans"/>
        </w:rPr>
        <w:t>本</w:t>
      </w:r>
      <w:r>
        <w:rPr>
          <w:rFonts w:hint="eastAsia" w:ascii="宋体" w:hAnsi="宋体"/>
          <w:szCs w:val="21"/>
        </w:rPr>
        <w:t>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pPr>
        <w:tabs>
          <w:tab w:val="left" w:pos="4680"/>
        </w:tabs>
        <w:spacing w:line="360" w:lineRule="auto"/>
        <w:ind w:firstLine="420" w:firstLineChars="200"/>
        <w:jc w:val="left"/>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pPr>
        <w:tabs>
          <w:tab w:val="left" w:pos="4680"/>
        </w:tabs>
        <w:spacing w:line="360" w:lineRule="auto"/>
        <w:ind w:firstLine="420" w:firstLineChars="200"/>
        <w:jc w:val="left"/>
        <w:rPr>
          <w:rFonts w:ascii="宋体" w:hAnsi="宋体"/>
          <w:szCs w:val="21"/>
        </w:rPr>
      </w:pPr>
      <w:r>
        <w:rPr>
          <w:rFonts w:hint="eastAsia" w:ascii="宋体" w:hAnsi="宋体"/>
          <w:szCs w:val="21"/>
        </w:rPr>
        <w:t>4、基金管理人应保证其发送的注册登记数据的接口规范与基金托管人的接口规范保持一致。</w:t>
      </w:r>
    </w:p>
    <w:p>
      <w:pPr>
        <w:tabs>
          <w:tab w:val="left" w:pos="4680"/>
        </w:tabs>
        <w:spacing w:line="360" w:lineRule="auto"/>
        <w:ind w:firstLine="420" w:firstLineChars="200"/>
        <w:jc w:val="left"/>
        <w:rPr>
          <w:rFonts w:ascii="宋体" w:hAnsi="宋体"/>
          <w:szCs w:val="21"/>
        </w:rPr>
      </w:pPr>
      <w:r>
        <w:rPr>
          <w:rFonts w:hint="eastAsia" w:ascii="宋体" w:hAnsi="宋体"/>
          <w:szCs w:val="21"/>
        </w:rPr>
        <w:t>5、基金注册登记清算专用账户的开立和管理</w:t>
      </w:r>
    </w:p>
    <w:p>
      <w:pPr>
        <w:tabs>
          <w:tab w:val="left" w:pos="4680"/>
        </w:tabs>
        <w:spacing w:line="360" w:lineRule="auto"/>
        <w:ind w:firstLine="420" w:firstLineChars="200"/>
        <w:jc w:val="left"/>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pPr>
        <w:tabs>
          <w:tab w:val="left" w:pos="4680"/>
        </w:tabs>
        <w:spacing w:line="360" w:lineRule="auto"/>
        <w:ind w:firstLine="420" w:firstLineChars="200"/>
        <w:jc w:val="left"/>
        <w:rPr>
          <w:rFonts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基金托管人不承担</w:t>
      </w:r>
      <w:r>
        <w:rPr>
          <w:rFonts w:hint="eastAsia" w:ascii="宋体" w:hAnsi="宋体"/>
          <w:szCs w:val="21"/>
          <w:lang w:eastAsia="zh-Hans"/>
        </w:rPr>
        <w:t>相应</w:t>
      </w:r>
      <w:r>
        <w:rPr>
          <w:rFonts w:hint="eastAsia" w:ascii="宋体" w:hAnsi="宋体"/>
          <w:szCs w:val="21"/>
        </w:rPr>
        <w:t>责任</w:t>
      </w:r>
      <w:r>
        <w:rPr>
          <w:rFonts w:hint="eastAsia" w:ascii="宋体" w:hAnsi="宋体"/>
          <w:kern w:val="21"/>
          <w:szCs w:val="21"/>
        </w:rPr>
        <w:t>。</w:t>
      </w:r>
    </w:p>
    <w:p>
      <w:pPr>
        <w:tabs>
          <w:tab w:val="left" w:pos="4680"/>
        </w:tabs>
        <w:spacing w:line="360" w:lineRule="auto"/>
        <w:ind w:firstLine="420" w:firstLineChars="200"/>
        <w:jc w:val="left"/>
        <w:rPr>
          <w:rFonts w:ascii="宋体" w:hAnsi="宋体"/>
          <w:szCs w:val="21"/>
        </w:rPr>
      </w:pPr>
      <w:r>
        <w:rPr>
          <w:rFonts w:hint="eastAsia" w:ascii="宋体" w:hAnsi="宋体"/>
          <w:szCs w:val="21"/>
        </w:rPr>
        <w:t>7、赎回资金的支付</w:t>
      </w:r>
    </w:p>
    <w:p>
      <w:pPr>
        <w:tabs>
          <w:tab w:val="left" w:pos="4680"/>
        </w:tabs>
        <w:spacing w:line="360" w:lineRule="auto"/>
        <w:ind w:firstLine="420" w:firstLineChars="200"/>
        <w:jc w:val="left"/>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但基金托管人应及时通知基金管理人；如是除基金管理人、基金托管人外的第三方原因造成的，责任由第三方承担，基金托管人不承担垫款义务，若给基金份额持有人造成损失的，基金托管人负有配合基金管理人向第三方追偿的义务。</w:t>
      </w:r>
    </w:p>
    <w:p>
      <w:pPr>
        <w:tabs>
          <w:tab w:val="left" w:pos="4680"/>
        </w:tabs>
        <w:spacing w:line="360" w:lineRule="auto"/>
        <w:ind w:firstLine="420" w:firstLineChars="200"/>
        <w:jc w:val="left"/>
        <w:rPr>
          <w:rFonts w:ascii="宋体" w:hAnsi="宋体"/>
          <w:szCs w:val="21"/>
        </w:rPr>
      </w:pPr>
      <w:r>
        <w:rPr>
          <w:rFonts w:hint="eastAsia" w:ascii="宋体" w:hAnsi="宋体"/>
          <w:szCs w:val="21"/>
        </w:rPr>
        <w:t>8、资金支付执行和责任界定</w:t>
      </w:r>
    </w:p>
    <w:p>
      <w:pPr>
        <w:tabs>
          <w:tab w:val="left" w:pos="4680"/>
        </w:tabs>
        <w:spacing w:line="360" w:lineRule="auto"/>
        <w:ind w:firstLine="420" w:firstLineChars="200"/>
        <w:jc w:val="left"/>
        <w:rPr>
          <w:rFonts w:ascii="宋体" w:hAnsi="宋体"/>
          <w:szCs w:val="21"/>
        </w:rPr>
      </w:pPr>
      <w:r>
        <w:rPr>
          <w:rFonts w:hint="eastAsia" w:ascii="宋体" w:hAnsi="宋体"/>
          <w:szCs w:val="21"/>
        </w:rPr>
        <w:t xml:space="preserve"> 除申购款项到达基金托管人处的基金账户需双方按约定方式对账外，净额划出、赎回资金支付时，应按照本协议相关规定执行。若本协议没有规定的按双方协商一致内容执行。</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pPr>
        <w:tabs>
          <w:tab w:val="left" w:pos="4680"/>
        </w:tabs>
        <w:spacing w:line="360" w:lineRule="auto"/>
        <w:ind w:firstLine="420" w:firstLineChars="200"/>
        <w:jc w:val="left"/>
        <w:rPr>
          <w:rFonts w:ascii="宋体" w:hAnsi="宋体"/>
          <w:szCs w:val="21"/>
        </w:rPr>
      </w:pPr>
      <w:r>
        <w:rPr>
          <w:rFonts w:hint="eastAsia" w:ascii="宋体" w:hAnsi="宋体"/>
          <w:szCs w:val="21"/>
        </w:rPr>
        <w:t>9、暂停赎回和巨额赎回处理</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pPr>
        <w:tabs>
          <w:tab w:val="left" w:pos="4680"/>
        </w:tabs>
        <w:spacing w:line="360" w:lineRule="auto"/>
        <w:ind w:firstLine="420" w:firstLineChars="200"/>
        <w:jc w:val="left"/>
        <w:outlineLvl w:val="1"/>
        <w:rPr>
          <w:rFonts w:ascii="宋体" w:hAnsi="宋体"/>
          <w:szCs w:val="21"/>
        </w:rPr>
      </w:pPr>
      <w:r>
        <w:rPr>
          <w:rFonts w:hint="eastAsia" w:ascii="宋体" w:hAnsi="宋体"/>
          <w:szCs w:val="21"/>
        </w:rPr>
        <w:t>（六）申购赎回资金结算</w:t>
      </w:r>
    </w:p>
    <w:p>
      <w:pPr>
        <w:tabs>
          <w:tab w:val="left" w:pos="4680"/>
        </w:tabs>
        <w:spacing w:line="360" w:lineRule="auto"/>
        <w:ind w:firstLine="420" w:firstLineChars="200"/>
        <w:jc w:val="left"/>
        <w:rPr>
          <w:rFonts w:ascii="宋体" w:hAnsi="宋体"/>
          <w:szCs w:val="21"/>
        </w:rPr>
      </w:pPr>
      <w:r>
        <w:rPr>
          <w:rFonts w:hint="eastAsia" w:ascii="宋体" w:hAnsi="宋体"/>
          <w:szCs w:val="21"/>
        </w:rPr>
        <w:t>1、基金管理人负责根据T日投资人申购、赎回基金的确认数据汇总传输给基金托管人。基金管理人和基金托管人据此进行申购、赎回的基金会计处理。</w:t>
      </w:r>
    </w:p>
    <w:p>
      <w:pPr>
        <w:tabs>
          <w:tab w:val="left" w:pos="4680"/>
        </w:tabs>
        <w:spacing w:line="360" w:lineRule="auto"/>
        <w:ind w:firstLine="420" w:firstLineChars="200"/>
        <w:jc w:val="left"/>
        <w:rPr>
          <w:rFonts w:ascii="宋体" w:hAnsi="宋体"/>
          <w:szCs w:val="21"/>
        </w:rPr>
      </w:pPr>
      <w:r>
        <w:rPr>
          <w:rFonts w:hint="eastAsia" w:ascii="宋体" w:hAnsi="宋体"/>
          <w:szCs w:val="21"/>
        </w:rPr>
        <w:t>T日申购、赎回申请的对应款项在</w:t>
      </w:r>
      <w:r>
        <w:rPr>
          <w:rFonts w:ascii="宋体" w:hAnsi="宋体"/>
          <w:szCs w:val="21"/>
        </w:rPr>
        <w:t>指定时间进行</w:t>
      </w:r>
      <w:r>
        <w:rPr>
          <w:rFonts w:hint="eastAsia" w:ascii="宋体" w:hAnsi="宋体"/>
          <w:szCs w:val="21"/>
        </w:rPr>
        <w:t>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交收</w:t>
      </w:r>
      <w:r>
        <w:rPr>
          <w:rFonts w:ascii="宋体" w:hAnsi="宋体"/>
          <w:szCs w:val="21"/>
        </w:rPr>
        <w:t>日</w:t>
      </w:r>
      <w:r>
        <w:rPr>
          <w:rFonts w:hint="eastAsia" w:ascii="宋体" w:hAnsi="宋体"/>
          <w:szCs w:val="21"/>
          <w:lang w:val="en-US" w:eastAsia="zh-CN"/>
        </w:rPr>
        <w:t>17:00</w:t>
      </w:r>
      <w:r>
        <w:rPr>
          <w:rFonts w:hint="eastAsia" w:ascii="宋体" w:hAnsi="宋体"/>
          <w:szCs w:val="21"/>
        </w:rPr>
        <w:t>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交收日12:00 之前划往基金清算账户，基金托管人在资金划出后立即通知基金管理人，并将有关书面凭证交给基金管理人进行账务管理。</w:t>
      </w:r>
    </w:p>
    <w:p>
      <w:pPr>
        <w:tabs>
          <w:tab w:val="left" w:pos="4680"/>
        </w:tabs>
        <w:spacing w:line="360" w:lineRule="auto"/>
        <w:ind w:firstLine="420" w:firstLineChars="200"/>
        <w:jc w:val="left"/>
        <w:rPr>
          <w:rFonts w:ascii="宋体" w:hAnsi="宋体"/>
          <w:szCs w:val="21"/>
        </w:rPr>
      </w:pPr>
      <w:r>
        <w:rPr>
          <w:rFonts w:hint="eastAsia" w:ascii="宋体" w:hAnsi="宋体"/>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pPr>
        <w:tabs>
          <w:tab w:val="left" w:pos="4680"/>
        </w:tabs>
        <w:spacing w:line="360" w:lineRule="auto"/>
        <w:ind w:firstLine="420" w:firstLineChars="200"/>
        <w:jc w:val="left"/>
        <w:outlineLvl w:val="1"/>
        <w:rPr>
          <w:rFonts w:ascii="宋体" w:hAnsi="宋体"/>
          <w:bCs/>
          <w:szCs w:val="21"/>
        </w:rPr>
      </w:pPr>
      <w:r>
        <w:rPr>
          <w:rFonts w:hint="eastAsia" w:ascii="宋体" w:hAnsi="宋体"/>
          <w:bCs/>
          <w:szCs w:val="21"/>
        </w:rPr>
        <w:t>（七）基金转换</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基金管理人与基金托管人按照相关法律法规、《基金合同》、以及本协议的规定办理基金转换。</w:t>
      </w:r>
    </w:p>
    <w:p>
      <w:pPr>
        <w:tabs>
          <w:tab w:val="left" w:pos="4680"/>
        </w:tabs>
        <w:spacing w:line="360" w:lineRule="auto"/>
        <w:ind w:firstLine="420" w:firstLineChars="200"/>
        <w:jc w:val="left"/>
        <w:outlineLvl w:val="1"/>
        <w:rPr>
          <w:rFonts w:ascii="宋体" w:hAnsi="宋体"/>
          <w:bCs/>
          <w:szCs w:val="21"/>
        </w:rPr>
      </w:pPr>
      <w:r>
        <w:rPr>
          <w:rFonts w:hint="eastAsia" w:ascii="宋体" w:hAnsi="宋体"/>
          <w:bCs/>
          <w:szCs w:val="21"/>
        </w:rPr>
        <w:t>(八)基金出现超买或超卖的责任认定及处理程序</w:t>
      </w:r>
    </w:p>
    <w:p>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由此给基金及基金托管人造成的损失由基金管理人承担。如果因基金管理人原因发生超买行为，基金管理人必须于T+1日上午12时之前划拨资金，用以完成清算交收。</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44" w:name="_Toc382819103"/>
      <w:r>
        <w:rPr>
          <w:rFonts w:hint="eastAsia" w:ascii="宋体" w:hAnsi="宋体" w:eastAsia="宋体" w:cs="Arial"/>
          <w:sz w:val="21"/>
          <w:szCs w:val="21"/>
        </w:rPr>
        <w:t>基金资产净值计算和会计核算</w:t>
      </w:r>
      <w:bookmarkEnd w:id="44"/>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5" w:name="_Toc382819104"/>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45"/>
    </w:p>
    <w:p>
      <w:pPr>
        <w:spacing w:line="440" w:lineRule="atLeast"/>
        <w:ind w:right="28" w:firstLine="420" w:firstLineChars="200"/>
        <w:rPr>
          <w:rFonts w:ascii="宋体" w:hAnsi="宋体"/>
          <w:szCs w:val="21"/>
        </w:rPr>
      </w:pPr>
      <w:r>
        <w:rPr>
          <w:rFonts w:hint="eastAsia" w:ascii="宋体" w:hAnsi="宋体"/>
          <w:szCs w:val="21"/>
        </w:rPr>
        <w:t>基金资产净值是指基金资产总值减去基金负债后的价值。</w:t>
      </w:r>
      <w:r>
        <w:rPr>
          <w:rFonts w:hint="eastAsia" w:ascii="宋体" w:hAnsi="宋体"/>
          <w:bCs/>
          <w:szCs w:val="21"/>
        </w:rPr>
        <w:t>各类</w:t>
      </w:r>
      <w:r>
        <w:rPr>
          <w:rFonts w:ascii="宋体" w:hAnsi="宋体"/>
          <w:bCs/>
          <w:szCs w:val="21"/>
        </w:rPr>
        <w:t>基金份额</w:t>
      </w:r>
      <w:r>
        <w:rPr>
          <w:rFonts w:hint="eastAsia" w:ascii="宋体" w:hAnsi="宋体"/>
          <w:bCs/>
          <w:szCs w:val="21"/>
        </w:rPr>
        <w:t>的</w:t>
      </w:r>
      <w:r>
        <w:rPr>
          <w:rFonts w:ascii="宋体" w:hAnsi="宋体"/>
          <w:bCs/>
          <w:szCs w:val="21"/>
        </w:rPr>
        <w:t>基金份额净值是按照每个工作日闭市后，</w:t>
      </w:r>
      <w:r>
        <w:rPr>
          <w:rFonts w:hint="eastAsia" w:ascii="宋体" w:hAnsi="宋体"/>
          <w:bCs/>
          <w:szCs w:val="21"/>
        </w:rPr>
        <w:t>该类基金份额的</w:t>
      </w:r>
      <w:r>
        <w:rPr>
          <w:rFonts w:ascii="宋体" w:hAnsi="宋体"/>
          <w:bCs/>
          <w:szCs w:val="21"/>
        </w:rPr>
        <w:t>基金资产净值除以当日</w:t>
      </w:r>
      <w:r>
        <w:rPr>
          <w:rFonts w:hint="eastAsia" w:ascii="宋体" w:hAnsi="宋体"/>
          <w:bCs/>
          <w:szCs w:val="21"/>
        </w:rPr>
        <w:t>该类</w:t>
      </w:r>
      <w:r>
        <w:rPr>
          <w:rFonts w:ascii="宋体" w:hAnsi="宋体"/>
          <w:bCs/>
          <w:szCs w:val="21"/>
        </w:rPr>
        <w:t>基金份额的余额数量计算，精确到</w:t>
      </w:r>
      <w:r>
        <w:rPr>
          <w:rFonts w:hint="eastAsia" w:ascii="宋体" w:hAnsi="宋体"/>
          <w:bCs/>
          <w:szCs w:val="21"/>
        </w:rPr>
        <w:t>0.0001</w:t>
      </w:r>
      <w:r>
        <w:rPr>
          <w:rFonts w:ascii="宋体" w:hAnsi="宋体"/>
          <w:bCs/>
          <w:szCs w:val="21"/>
        </w:rPr>
        <w:t>元，小数点后第</w:t>
      </w:r>
      <w:r>
        <w:rPr>
          <w:rFonts w:hint="eastAsia" w:ascii="宋体" w:hAnsi="宋体"/>
          <w:bCs/>
          <w:szCs w:val="21"/>
        </w:rPr>
        <w:t>5</w:t>
      </w:r>
      <w:r>
        <w:rPr>
          <w:rFonts w:ascii="宋体" w:hAnsi="宋体"/>
          <w:bCs/>
          <w:szCs w:val="21"/>
        </w:rPr>
        <w:t>位四舍五入。</w:t>
      </w:r>
      <w:r>
        <w:rPr>
          <w:rFonts w:hint="eastAsia" w:ascii="宋体" w:hAnsi="宋体"/>
          <w:bCs/>
          <w:szCs w:val="21"/>
        </w:rPr>
        <w:t>基金管理人可以设立大额赎回情形下的净值精度应急调整机制，具体可参见相关公告。</w:t>
      </w:r>
      <w:r>
        <w:rPr>
          <w:rFonts w:ascii="宋体" w:hAnsi="宋体"/>
          <w:bCs/>
          <w:szCs w:val="21"/>
        </w:rPr>
        <w:t>国家另有规定的，从其规定。</w:t>
      </w:r>
    </w:p>
    <w:p>
      <w:pPr>
        <w:spacing w:line="440" w:lineRule="atLeast"/>
        <w:ind w:right="28" w:firstLine="420" w:firstLineChars="200"/>
        <w:rPr>
          <w:rFonts w:ascii="宋体" w:hAnsi="宋体"/>
          <w:szCs w:val="21"/>
        </w:rPr>
      </w:pPr>
      <w:r>
        <w:rPr>
          <w:rFonts w:hint="eastAsia" w:ascii="宋体" w:hAnsi="宋体"/>
          <w:szCs w:val="21"/>
        </w:rPr>
        <w:t>每个工作日，基金管理人应对基金资产估值，但基金管理人根据法律法规或基金合同的规定暂停估值时除外。估值原则应符合《基金合同》、《证券投资基金会计核算业务指引》及其他法律、法规的规定</w:t>
      </w:r>
      <w:r>
        <w:rPr>
          <w:rFonts w:hint="eastAsia" w:ascii="宋体" w:hAnsi="宋体"/>
          <w:color w:val="000000"/>
          <w:szCs w:val="21"/>
        </w:rPr>
        <w:t>。</w:t>
      </w:r>
      <w:r>
        <w:rPr>
          <w:rFonts w:hint="eastAsia" w:ascii="宋体" w:hAnsi="宋体" w:cs="宋体"/>
          <w:color w:val="000000"/>
          <w:kern w:val="0"/>
          <w:szCs w:val="21"/>
        </w:rPr>
        <w:t>基金管理人应于每个工作日交易结束后计算当日的各类基金份额净值和基金资产净值并以双方认可的方式发送给基金托管人。基金托管人对净值计算结果复核后以双方认可的方式发送给基金管理人，由基金管理人按约定对外公布。</w:t>
      </w:r>
    </w:p>
    <w:p>
      <w:pPr>
        <w:spacing w:line="440" w:lineRule="atLeast"/>
        <w:ind w:right="28" w:firstLine="420" w:firstLineChars="200"/>
        <w:rPr>
          <w:rFonts w:ascii="宋体" w:hAnsi="宋体"/>
          <w:szCs w:val="21"/>
        </w:rPr>
      </w:pPr>
      <w:r>
        <w:rPr>
          <w:rFonts w:hint="eastAsia" w:ascii="宋体" w:hAnsi="宋体"/>
          <w:szCs w:val="21"/>
        </w:rPr>
        <w:t>根据《基金法》等法律法规，基金管理人计算并公告基金净值信息，基金托管人复核、审查基金管理人计算的基金净值信息。本基金的基金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6" w:name="_Toc382819105"/>
      <w:r>
        <w:rPr>
          <w:rFonts w:hint="eastAsia" w:ascii="宋体" w:hAnsi="宋体" w:eastAsia="宋体"/>
          <w:b w:val="0"/>
          <w:bCs w:val="0"/>
          <w:sz w:val="21"/>
          <w:szCs w:val="21"/>
        </w:rPr>
        <w:t>（二）基金资产估值</w:t>
      </w:r>
      <w:bookmarkEnd w:id="46"/>
    </w:p>
    <w:p>
      <w:pPr>
        <w:spacing w:line="440" w:lineRule="atLeast"/>
        <w:ind w:right="28" w:firstLine="420" w:firstLineChars="200"/>
        <w:rPr>
          <w:rFonts w:ascii="宋体" w:hAnsi="宋体"/>
          <w:szCs w:val="21"/>
        </w:rPr>
      </w:pPr>
      <w:r>
        <w:rPr>
          <w:rFonts w:hint="eastAsia" w:ascii="宋体" w:hAnsi="宋体"/>
          <w:szCs w:val="21"/>
        </w:rPr>
        <w:t>估值原则应符合《基金合同》、《证券投资基金会计核算业务指引》及其他法律法规的规定的约定。</w:t>
      </w:r>
    </w:p>
    <w:p>
      <w:pPr>
        <w:spacing w:line="440" w:lineRule="atLeast"/>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pPr>
        <w:pStyle w:val="3"/>
        <w:keepNext w:val="0"/>
        <w:keepLines w:val="0"/>
        <w:autoSpaceDE w:val="0"/>
        <w:autoSpaceDN w:val="0"/>
        <w:adjustRightInd w:val="0"/>
        <w:spacing w:before="0" w:after="0" w:line="440" w:lineRule="atLeast"/>
        <w:ind w:firstLine="420" w:firstLineChars="200"/>
        <w:textAlignment w:val="baseline"/>
        <w:rPr>
          <w:rFonts w:ascii="宋体" w:hAnsi="宋体"/>
          <w:szCs w:val="21"/>
        </w:rPr>
      </w:pPr>
      <w:bookmarkStart w:id="47" w:name="_Toc382819106"/>
      <w:r>
        <w:rPr>
          <w:rFonts w:hint="eastAsia" w:ascii="宋体" w:hAnsi="宋体" w:eastAsia="宋体"/>
          <w:b w:val="0"/>
          <w:bCs w:val="0"/>
          <w:sz w:val="21"/>
          <w:szCs w:val="21"/>
        </w:rPr>
        <w:t>（三）实施侧袋机制期间的基金资产估值</w:t>
      </w:r>
    </w:p>
    <w:p>
      <w:pPr>
        <w:spacing w:line="440" w:lineRule="atLeast"/>
        <w:ind w:right="28" w:firstLine="420" w:firstLineChars="200"/>
        <w:rPr>
          <w:rFonts w:ascii="宋体" w:hAnsi="宋体"/>
          <w:szCs w:val="21"/>
        </w:rPr>
      </w:pPr>
      <w:r>
        <w:rPr>
          <w:rFonts w:hint="eastAsia" w:ascii="宋体" w:hAnsi="宋体"/>
          <w:szCs w:val="21"/>
        </w:rPr>
        <w:t>本基金实施侧袋机制的，应根据基金合同的约定对主袋账户资产进行估值并披露主袋账户的基金净值信息，暂停披露侧袋账户份额净值。</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（四）估值错误处理</w:t>
      </w:r>
      <w:bookmarkEnd w:id="47"/>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8" w:name="_Toc382819107"/>
      <w:r>
        <w:rPr>
          <w:rFonts w:hint="eastAsia" w:ascii="宋体" w:hAnsi="宋体" w:eastAsia="宋体"/>
          <w:b w:val="0"/>
          <w:bCs w:val="0"/>
          <w:sz w:val="21"/>
          <w:szCs w:val="21"/>
        </w:rPr>
        <w:t>1.当基金份额净值小数点后</w:t>
      </w:r>
      <w:r>
        <w:rPr>
          <w:rFonts w:ascii="宋体" w:hAnsi="宋体" w:eastAsia="宋体"/>
          <w:b w:val="0"/>
          <w:bCs w:val="0"/>
          <w:sz w:val="21"/>
          <w:szCs w:val="21"/>
        </w:rPr>
        <w:t>4位以内(含第4位)</w:t>
      </w:r>
      <w:r>
        <w:rPr>
          <w:rFonts w:hint="eastAsia" w:ascii="宋体" w:hAnsi="宋体" w:eastAsia="宋体"/>
          <w:b w:val="0"/>
          <w:bCs w:val="0"/>
          <w:sz w:val="21"/>
          <w:szCs w:val="21"/>
        </w:rPr>
        <w:t>发生估值错误时，视为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bookmarkEnd w:id="48"/>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9" w:name="_Toc382819108"/>
      <w:r>
        <w:rPr>
          <w:rFonts w:hint="eastAsia" w:ascii="宋体" w:hAnsi="宋体" w:eastAsia="宋体"/>
          <w:b w:val="0"/>
          <w:bCs w:val="0"/>
          <w:sz w:val="21"/>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49"/>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0" w:name="_Toc382819109"/>
      <w:r>
        <w:rPr>
          <w:rFonts w:hint="eastAsia" w:ascii="宋体" w:hAnsi="宋体" w:eastAsia="宋体"/>
          <w:b w:val="0"/>
          <w:bCs w:val="0"/>
          <w:sz w:val="21"/>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2）若基金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（4）由于基金管理人提供的信息错误（包括但不限于基金申购或赎回金额等），导致基金份额净值计算错误而引起的基金份额持有人和基金财产的损失，由基金管理人负责赔付。</w:t>
      </w:r>
      <w:bookmarkEnd w:id="50"/>
      <w:bookmarkStart w:id="51" w:name="_Toc382819110"/>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2" w:name="_Hlk196310639"/>
      <w:r>
        <w:rPr>
          <w:rFonts w:hint="eastAsia" w:ascii="宋体" w:hAnsi="宋体" w:eastAsia="宋体"/>
          <w:b w:val="0"/>
          <w:bCs w:val="0"/>
          <w:sz w:val="21"/>
          <w:szCs w:val="21"/>
        </w:rPr>
        <w:t>3.</w:t>
      </w:r>
      <w:r>
        <w:rPr>
          <w:rFonts w:hint="eastAsia"/>
        </w:rPr>
        <w:t xml:space="preserve"> </w:t>
      </w:r>
      <w:r>
        <w:rPr>
          <w:rFonts w:hint="eastAsia" w:ascii="宋体" w:hAnsi="宋体" w:eastAsia="宋体"/>
          <w:b w:val="0"/>
          <w:bCs w:val="0"/>
          <w:sz w:val="21"/>
          <w:szCs w:val="21"/>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bookmarkEnd w:id="51"/>
      <w:bookmarkStart w:id="53" w:name="_Toc382819111"/>
    </w:p>
    <w:bookmarkEnd w:id="52"/>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4.基金管理人和基金托管人由于各自技术系统设置而产生的净值计算尾差，以基金管理人计算结果为准。</w:t>
      </w:r>
      <w:bookmarkEnd w:id="53"/>
      <w:bookmarkStart w:id="54" w:name="_Toc382819112"/>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5.前述内容如法律法规或者监管部门另有规定的，从其规定。如果行业另有通行做法，双方当事人应本着平等和保护基金份额持有人利益的原则进行协商。</w:t>
      </w:r>
      <w:bookmarkEnd w:id="54"/>
      <w:bookmarkStart w:id="55" w:name="_Toc382819113"/>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6" w:name="_Hlk196310644"/>
      <w:r>
        <w:rPr>
          <w:rFonts w:hint="eastAsia" w:ascii="宋体" w:hAnsi="宋体" w:eastAsia="宋体"/>
          <w:b w:val="0"/>
          <w:bCs w:val="0"/>
          <w:sz w:val="21"/>
          <w:szCs w:val="21"/>
        </w:rPr>
        <w:t>（五）暂停估值的情形</w:t>
      </w:r>
      <w:bookmarkEnd w:id="55"/>
      <w:bookmarkStart w:id="57" w:name="_Toc382819114"/>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1.</w:t>
      </w:r>
      <w:bookmarkStart w:id="58" w:name="OLE_LINK16"/>
      <w:bookmarkStart w:id="59" w:name="OLE_LINK15"/>
      <w:r>
        <w:rPr>
          <w:rFonts w:hint="eastAsia" w:ascii="宋体" w:hAnsi="宋体" w:eastAsia="宋体"/>
          <w:b w:val="0"/>
          <w:bCs w:val="0"/>
          <w:sz w:val="21"/>
          <w:szCs w:val="21"/>
        </w:rPr>
        <w:t>基金投资所涉及的证券、期货交易市场遇法定节假日或因其他原因暂停营业时</w:t>
      </w:r>
      <w:bookmarkEnd w:id="58"/>
      <w:bookmarkEnd w:id="59"/>
      <w:r>
        <w:rPr>
          <w:rFonts w:hint="eastAsia" w:ascii="宋体" w:hAnsi="宋体" w:eastAsia="宋体"/>
          <w:b w:val="0"/>
          <w:bCs w:val="0"/>
          <w:sz w:val="21"/>
          <w:szCs w:val="21"/>
        </w:rPr>
        <w:t>；</w:t>
      </w:r>
      <w:bookmarkEnd w:id="57"/>
      <w:bookmarkStart w:id="60" w:name="_Toc382819115"/>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2.因不可抗力致使基金管理人、基金托管人无法准确评估基金资产价值时；</w:t>
      </w:r>
      <w:bookmarkEnd w:id="60"/>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ascii="宋体" w:hAnsi="宋体" w:eastAsia="宋体"/>
          <w:b w:val="0"/>
          <w:bCs w:val="0"/>
          <w:sz w:val="21"/>
          <w:szCs w:val="21"/>
        </w:rPr>
        <w:t>4.</w:t>
      </w:r>
      <w:r>
        <w:rPr>
          <w:rFonts w:hint="eastAsia"/>
        </w:rPr>
        <w:t xml:space="preserve"> </w:t>
      </w:r>
      <w:r>
        <w:rPr>
          <w:rFonts w:hint="eastAsia" w:ascii="宋体" w:hAnsi="宋体" w:eastAsia="宋体"/>
          <w:b w:val="0"/>
          <w:bCs w:val="0"/>
          <w:sz w:val="21"/>
          <w:szCs w:val="21"/>
        </w:rPr>
        <w:t>法律法规、中国证监会和《基金合同》认定的其他情形。</w:t>
      </w:r>
      <w:bookmarkStart w:id="61" w:name="_Toc382819116"/>
    </w:p>
    <w:bookmarkEnd w:id="56"/>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（六）基金账册的建立</w:t>
      </w:r>
      <w:bookmarkEnd w:id="61"/>
    </w:p>
    <w:p>
      <w:pPr>
        <w:spacing w:line="360" w:lineRule="auto"/>
        <w:ind w:firstLine="420" w:firstLineChars="200"/>
        <w:rPr>
          <w:rFonts w:ascii="宋体" w:hAnsi="宋体"/>
          <w:szCs w:val="21"/>
        </w:rPr>
      </w:pPr>
      <w:r>
        <w:rPr>
          <w:rFonts w:hint="eastAsia" w:ascii="宋体" w:hAnsi="宋体"/>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spacing w:line="360" w:lineRule="auto"/>
        <w:ind w:firstLine="420" w:firstLineChars="200"/>
        <w:rPr>
          <w:rFonts w:ascii="宋体" w:hAnsi="宋体"/>
          <w:szCs w:val="21"/>
        </w:rPr>
      </w:pPr>
      <w:r>
        <w:rPr>
          <w:rFonts w:hint="eastAsia" w:ascii="宋体" w:hAnsi="宋体"/>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62" w:name="_Toc382819117"/>
      <w:r>
        <w:rPr>
          <w:rFonts w:hint="eastAsia" w:ascii="宋体" w:hAnsi="宋体" w:eastAsia="宋体"/>
          <w:b w:val="0"/>
          <w:bCs w:val="0"/>
          <w:sz w:val="21"/>
          <w:szCs w:val="21"/>
        </w:rPr>
        <w:t>（七）基金定期报告、基金招募说明书的编制和复核</w:t>
      </w:r>
      <w:bookmarkEnd w:id="62"/>
    </w:p>
    <w:p>
      <w:pPr>
        <w:spacing w:line="360" w:lineRule="auto"/>
        <w:ind w:firstLine="420" w:firstLineChars="200"/>
        <w:rPr>
          <w:rFonts w:ascii="宋体" w:hAnsi="宋体"/>
          <w:szCs w:val="21"/>
        </w:rPr>
      </w:pPr>
      <w:r>
        <w:rPr>
          <w:rFonts w:hint="eastAsia" w:ascii="宋体" w:hAnsi="宋体"/>
          <w:szCs w:val="21"/>
        </w:rPr>
        <w:t>基金财务报表由基金管理人和基金托管人每月分别独立编制。月度报表的编制，应于每月终了后5个工作日内完成。</w:t>
      </w:r>
    </w:p>
    <w:p>
      <w:pPr>
        <w:spacing w:line="360" w:lineRule="auto"/>
        <w:ind w:firstLine="420" w:firstLineChars="200"/>
        <w:rPr>
          <w:rFonts w:ascii="宋体" w:hAnsi="宋体"/>
          <w:szCs w:val="21"/>
        </w:rPr>
      </w:pPr>
      <w:r>
        <w:rPr>
          <w:rFonts w:ascii="宋体" w:hAnsi="宋体"/>
          <w:bCs/>
          <w:szCs w:val="21"/>
        </w:rPr>
        <w:t>《基金合同》生效后，</w:t>
      </w:r>
      <w:r>
        <w:rPr>
          <w:rFonts w:hint="eastAsia" w:ascii="宋体" w:hAnsi="宋体"/>
          <w:bCs/>
          <w:szCs w:val="21"/>
        </w:rPr>
        <w:t>基金招募说明书的信息发生重大变更的，基金管理人应当在三个工作日内，更新基金招募说明书并登载在规定网站上；基金招募说明书其他信息发生变更的，基金管理人至少每年更新一次</w:t>
      </w:r>
      <w:r>
        <w:rPr>
          <w:rFonts w:ascii="宋体" w:hAnsi="宋体"/>
          <w:bCs/>
          <w:szCs w:val="21"/>
        </w:rPr>
        <w:t>。</w:t>
      </w:r>
      <w:r>
        <w:rPr>
          <w:rFonts w:hint="eastAsia" w:ascii="宋体" w:hAnsi="宋体"/>
          <w:szCs w:val="21"/>
        </w:rPr>
        <w:t>基金管理人在季度结束之日起15个工作日内完成季度报告编制并公告；在上半年结束之日</w:t>
      </w:r>
      <w:r>
        <w:rPr>
          <w:rFonts w:ascii="宋体" w:hAnsi="宋体"/>
          <w:szCs w:val="21"/>
        </w:rPr>
        <w:t>起</w:t>
      </w:r>
      <w:r>
        <w:rPr>
          <w:rFonts w:hint="eastAsia" w:ascii="宋体" w:hAnsi="宋体"/>
          <w:szCs w:val="21"/>
        </w:rPr>
        <w:t>两个月内完成中期报告编制并公告；在每年结束之日起</w:t>
      </w:r>
      <w:r>
        <w:rPr>
          <w:rFonts w:ascii="宋体" w:hAnsi="宋体"/>
          <w:szCs w:val="21"/>
        </w:rPr>
        <w:t>三个月</w:t>
      </w:r>
      <w:r>
        <w:rPr>
          <w:rFonts w:hint="eastAsia" w:ascii="宋体" w:hAnsi="宋体"/>
          <w:szCs w:val="21"/>
        </w:rPr>
        <w:t>内完成年度报告编制并公告。基金合同生效不足2个月的，基金管理人可以不编制当期季度报告、中期报告或者年度报告。</w:t>
      </w:r>
    </w:p>
    <w:p>
      <w:pPr>
        <w:spacing w:line="360" w:lineRule="auto"/>
        <w:ind w:firstLine="420" w:firstLineChars="200"/>
        <w:rPr>
          <w:rFonts w:ascii="宋体" w:hAnsi="宋体"/>
          <w:szCs w:val="21"/>
        </w:rPr>
      </w:pPr>
      <w:r>
        <w:rPr>
          <w:rFonts w:hint="eastAsia" w:ascii="宋体" w:hAnsi="宋体"/>
          <w:szCs w:val="21"/>
        </w:rPr>
        <w:t>基金管理人在每月结束后5个工作日内完成月度报告，在月度报告完成当日，对报告加盖公章后，以加密传真方式将有关报告提供基金托管人复核；基金托管人在3个工作日内进行复核，并将复核结果及时书面通知基金管理人。基金管理人在每季度结束后7个工作日内完成季度报告，在季度报告完成当日，将有关报告提供基金托管人复核，基金托管人在收到后7个工作日内进行复核，并将复核结果书面通知基金管理人。基金管理人在基金会计年度前六个月结束后30日内完成</w:t>
      </w:r>
      <w:r>
        <w:rPr>
          <w:rFonts w:ascii="宋体" w:hAnsi="宋体"/>
          <w:szCs w:val="21"/>
        </w:rPr>
        <w:t>中期报告</w:t>
      </w:r>
      <w:r>
        <w:rPr>
          <w:rFonts w:hint="eastAsia" w:ascii="宋体" w:hAnsi="宋体"/>
          <w:szCs w:val="21"/>
        </w:rPr>
        <w:t>，在中期报告完成当日，将有关报告提供基金托管人复核，基金托管人在收到后30日内进行复核，并将复核结果书面通知基金管理人。基金管理人在基金会计年度结束后45日内完成年度报告，在年度报告完成当日，将有关报告提供基金托管人复核，基金托管人在收到后45日内复核，并将复核结果书面通知基金管理人。</w:t>
      </w:r>
    </w:p>
    <w:p>
      <w:pPr>
        <w:spacing w:line="360" w:lineRule="auto"/>
        <w:ind w:firstLine="420" w:firstLineChars="200"/>
        <w:rPr>
          <w:rFonts w:ascii="宋体" w:hAnsi="宋体"/>
          <w:szCs w:val="21"/>
        </w:rPr>
      </w:pPr>
      <w:r>
        <w:rPr>
          <w:rFonts w:hint="eastAsia" w:ascii="宋体" w:hAnsi="宋体"/>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pPr>
        <w:spacing w:line="360" w:lineRule="auto"/>
        <w:ind w:firstLine="420" w:firstLineChars="200"/>
        <w:rPr>
          <w:rFonts w:ascii="宋体" w:hAnsi="宋体"/>
          <w:szCs w:val="21"/>
        </w:rPr>
      </w:pPr>
      <w:r>
        <w:rPr>
          <w:rFonts w:hint="eastAsia" w:ascii="宋体" w:hAnsi="宋体"/>
          <w:szCs w:val="21"/>
        </w:rPr>
        <w:t>基金托管人在对财务会计报告、中期报告或年度报告复核完毕后，需盖章确认或出具相应的复核确认书，以备有权机构对相关文件审核时提示。</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63" w:name="_Toc382819118"/>
      <w:r>
        <w:rPr>
          <w:rFonts w:hint="eastAsia" w:ascii="宋体" w:hAnsi="宋体" w:eastAsia="宋体" w:cs="Arial"/>
          <w:sz w:val="21"/>
          <w:szCs w:val="21"/>
        </w:rPr>
        <w:t>基金收益分配</w:t>
      </w:r>
      <w:bookmarkEnd w:id="63"/>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cs="Arial"/>
          <w:kern w:val="0"/>
          <w:sz w:val="21"/>
          <w:szCs w:val="21"/>
        </w:rPr>
      </w:pPr>
      <w:bookmarkStart w:id="64" w:name="_Toc382819119"/>
      <w:r>
        <w:rPr>
          <w:rFonts w:hint="eastAsia" w:ascii="宋体" w:hAnsi="宋体" w:eastAsia="宋体"/>
          <w:b w:val="0"/>
          <w:bCs w:val="0"/>
          <w:sz w:val="21"/>
          <w:szCs w:val="21"/>
        </w:rPr>
        <w:t>（一）基金收益分配的原则</w:t>
      </w:r>
      <w:bookmarkEnd w:id="64"/>
    </w:p>
    <w:p>
      <w:pPr>
        <w:spacing w:line="360" w:lineRule="auto"/>
        <w:ind w:firstLine="472" w:firstLineChars="225"/>
        <w:rPr>
          <w:rFonts w:ascii="宋体" w:hAnsi="宋体"/>
          <w:szCs w:val="21"/>
        </w:rPr>
      </w:pPr>
      <w:r>
        <w:rPr>
          <w:rFonts w:hint="eastAsia" w:ascii="宋体" w:hAnsi="宋体"/>
          <w:szCs w:val="21"/>
        </w:rPr>
        <w:t>基金收益分配是指将本基金可供分配利润按收益分配方案确定的分配金额和比例根据持有本基金基金份额的数量按比例向该基金份额持有人进行分配。</w:t>
      </w:r>
    </w:p>
    <w:p>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65" w:name="_Toc382819120"/>
    </w:p>
    <w:p>
      <w:pPr>
        <w:spacing w:line="360" w:lineRule="auto"/>
        <w:ind w:firstLine="472" w:firstLineChars="225"/>
        <w:outlineLvl w:val="1"/>
        <w:rPr>
          <w:rFonts w:ascii="宋体" w:hAnsi="宋体"/>
          <w:szCs w:val="21"/>
        </w:rPr>
      </w:pPr>
      <w:r>
        <w:rPr>
          <w:rFonts w:hint="eastAsia" w:ascii="宋体" w:hAnsi="宋体"/>
          <w:szCs w:val="21"/>
        </w:rPr>
        <w:t>（二）基金收益分配方案的制定和实施程序</w:t>
      </w:r>
      <w:bookmarkEnd w:id="65"/>
    </w:p>
    <w:p>
      <w:pPr>
        <w:ind w:firstLine="640"/>
        <w:rPr>
          <w:rFonts w:ascii="宋体" w:hAnsi="宋体"/>
          <w:szCs w:val="21"/>
        </w:rPr>
      </w:pPr>
      <w:r>
        <w:rPr>
          <w:rFonts w:hint="eastAsia" w:ascii="宋体" w:hAnsi="宋体"/>
          <w:szCs w:val="21"/>
        </w:rPr>
        <w:t>基金收益分配方案由基金管理人根据《基金合同》的相关规定制定。</w:t>
      </w:r>
    </w:p>
    <w:p>
      <w:pPr>
        <w:spacing w:line="360" w:lineRule="auto"/>
        <w:ind w:right="28" w:firstLine="630" w:firstLineChars="300"/>
        <w:rPr>
          <w:rFonts w:ascii="宋体" w:hAnsi="宋体"/>
          <w:szCs w:val="21"/>
        </w:rPr>
      </w:pPr>
      <w:r>
        <w:rPr>
          <w:rFonts w:hint="eastAsia" w:ascii="宋体" w:hAnsi="宋体"/>
          <w:szCs w:val="21"/>
        </w:rPr>
        <w:t>基金收益分配方案由基金管理人拟定，并由基金托管人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pPr>
        <w:spacing w:line="360" w:lineRule="auto"/>
        <w:ind w:right="28" w:firstLine="630" w:firstLineChars="300"/>
        <w:rPr>
          <w:rFonts w:ascii="宋体" w:hAnsi="宋体"/>
          <w:szCs w:val="21"/>
        </w:rPr>
      </w:pPr>
      <w:r>
        <w:rPr>
          <w:rFonts w:hint="eastAsia" w:ascii="宋体" w:hAnsi="宋体"/>
          <w:szCs w:val="21"/>
        </w:rPr>
        <w:t>（三）实施侧袋机制期间的收益分配</w:t>
      </w:r>
    </w:p>
    <w:p>
      <w:pPr>
        <w:spacing w:line="360" w:lineRule="auto"/>
        <w:ind w:right="28" w:firstLine="630" w:firstLineChars="300"/>
        <w:rPr>
          <w:rFonts w:ascii="宋体" w:hAnsi="宋体"/>
          <w:szCs w:val="21"/>
        </w:rPr>
      </w:pPr>
      <w:r>
        <w:rPr>
          <w:rFonts w:hint="eastAsia" w:ascii="宋体" w:hAnsi="宋体"/>
          <w:szCs w:val="21"/>
        </w:rPr>
        <w:t>本基金实施侧袋机制的，侧袋账户不进行收益分配，详见招募说明书的规定。</w:t>
      </w:r>
    </w:p>
    <w:p>
      <w:pPr>
        <w:spacing w:line="360" w:lineRule="auto"/>
        <w:ind w:right="28" w:firstLine="630" w:firstLineChars="300"/>
        <w:rPr>
          <w:rFonts w:ascii="宋体" w:hAnsi="宋体"/>
          <w:szCs w:val="21"/>
        </w:rPr>
      </w:pP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66" w:name="_Toc382819121"/>
      <w:r>
        <w:rPr>
          <w:rFonts w:hint="eastAsia" w:ascii="宋体" w:hAnsi="宋体" w:eastAsia="宋体" w:cs="Arial"/>
          <w:sz w:val="21"/>
          <w:szCs w:val="21"/>
        </w:rPr>
        <w:t>信息披露</w:t>
      </w:r>
      <w:bookmarkEnd w:id="66"/>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cs="Arial"/>
          <w:b w:val="0"/>
          <w:kern w:val="0"/>
          <w:sz w:val="21"/>
          <w:szCs w:val="21"/>
        </w:rPr>
      </w:pPr>
      <w:bookmarkStart w:id="67" w:name="_Toc382819122"/>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67"/>
    </w:p>
    <w:p>
      <w:pPr>
        <w:spacing w:line="360" w:lineRule="auto"/>
        <w:ind w:right="28" w:firstLine="420" w:firstLineChars="200"/>
        <w:rPr>
          <w:rFonts w:ascii="宋体" w:hAnsi="宋体"/>
          <w:szCs w:val="21"/>
        </w:rPr>
      </w:pPr>
      <w:r>
        <w:rPr>
          <w:rFonts w:hint="eastAsia" w:ascii="宋体" w:hAnsi="宋体"/>
          <w:szCs w:val="21"/>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pPr>
        <w:pStyle w:val="11"/>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pPr>
        <w:spacing w:line="360" w:lineRule="auto"/>
        <w:ind w:firstLine="420" w:firstLineChars="200"/>
        <w:rPr>
          <w:rFonts w:ascii="宋体" w:hAnsi="宋体"/>
          <w:szCs w:val="21"/>
        </w:rPr>
      </w:pPr>
      <w:r>
        <w:rPr>
          <w:rFonts w:hint="eastAsia" w:ascii="宋体" w:hAnsi="宋体"/>
          <w:szCs w:val="21"/>
        </w:rPr>
        <w:t>2.基金管理人和基金托管人为遵守和服从法院判决、仲裁裁决或中国证监会等监管机构的命令、决定所做出的信息披露或公开。</w:t>
      </w:r>
    </w:p>
    <w:p>
      <w:pPr>
        <w:tabs>
          <w:tab w:val="left" w:pos="4680"/>
        </w:tabs>
        <w:spacing w:line="360" w:lineRule="auto"/>
        <w:ind w:firstLine="420" w:firstLineChars="200"/>
        <w:outlineLvl w:val="1"/>
        <w:rPr>
          <w:rFonts w:ascii="宋体" w:hAnsi="宋体"/>
          <w:szCs w:val="21"/>
        </w:rPr>
      </w:pPr>
      <w:r>
        <w:rPr>
          <w:rFonts w:hint="eastAsia" w:ascii="宋体" w:hAnsi="宋体"/>
          <w:bCs/>
          <w:szCs w:val="21"/>
        </w:rPr>
        <w:t>（二）</w:t>
      </w:r>
      <w:r>
        <w:rPr>
          <w:rFonts w:hint="eastAsia" w:ascii="宋体" w:hAnsi="宋体"/>
          <w:szCs w:val="21"/>
        </w:rPr>
        <w:t>信息披露的内容</w:t>
      </w:r>
    </w:p>
    <w:p>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pPr>
        <w:tabs>
          <w:tab w:val="left" w:pos="4680"/>
        </w:tabs>
        <w:spacing w:line="360" w:lineRule="auto"/>
        <w:ind w:firstLine="420" w:firstLineChars="200"/>
        <w:rPr>
          <w:rFonts w:ascii="宋体" w:hAnsi="宋体"/>
          <w:szCs w:val="21"/>
        </w:rPr>
      </w:pPr>
      <w:r>
        <w:rPr>
          <w:rFonts w:hint="eastAsia" w:ascii="宋体" w:hAnsi="宋体"/>
          <w:szCs w:val="21"/>
        </w:rPr>
        <w:t>本基金的信息披露主要包括基金招募说明书、《基金合同》、基金托管协议、基金产品资料概要、基金份额发售公告、《基金合同》生效公告、定期报告、临时公告、基金净值信息、基金份额申购、赎回价格、澄清公告、基金份额持有人大会决议、实施侧袋机制期间的信息披露、清算报告、基金投资资产支持证券情况、基金投资股指期货情况、基金投资港股通标的股票情况等其他必要的公告文件，由基金管理人拟定并负责公布。</w:t>
      </w:r>
    </w:p>
    <w:p>
      <w:pPr>
        <w:tabs>
          <w:tab w:val="left" w:pos="4680"/>
        </w:tabs>
        <w:spacing w:line="360" w:lineRule="auto"/>
        <w:ind w:firstLine="420" w:firstLineChars="200"/>
        <w:rPr>
          <w:rFonts w:ascii="宋体" w:hAnsi="宋体"/>
          <w:szCs w:val="21"/>
        </w:rPr>
      </w:pPr>
      <w:r>
        <w:rPr>
          <w:rFonts w:hint="eastAsia" w:ascii="宋体" w:hAnsi="宋体"/>
          <w:szCs w:val="21"/>
        </w:rPr>
        <w:t>基金管理人与基金托管人应严格遵守《基金合同》所规定的信息披露要求。基金资产净值、各类基金份额净值、基金业绩表现数据、基金定期报告和更新的招募说明书、基金产品资料概要、基金清算报告等相关基金信息按有关规定需经基金托管人复核的，须由基金托管人进行复核、审查，并向基金管理人</w:t>
      </w:r>
      <w:r>
        <w:rPr>
          <w:rFonts w:hint="eastAsia" w:ascii="宋体" w:hAnsi="宋体"/>
          <w:bCs/>
          <w:szCs w:val="21"/>
        </w:rPr>
        <w:t>进行书面或电子</w:t>
      </w:r>
      <w:r>
        <w:rPr>
          <w:rFonts w:ascii="宋体" w:hAnsi="宋体"/>
          <w:bCs/>
          <w:szCs w:val="21"/>
        </w:rPr>
        <w:t>确认</w:t>
      </w:r>
      <w:r>
        <w:rPr>
          <w:rFonts w:hint="eastAsia" w:ascii="宋体" w:hAnsi="宋体"/>
          <w:szCs w:val="21"/>
        </w:rPr>
        <w:t>。相关信息经基金托管人复核无误后方可公布。其他不需经基金托管人复核的信息披露内容，应及时告知基金托管人。</w:t>
      </w:r>
    </w:p>
    <w:p>
      <w:pPr>
        <w:tabs>
          <w:tab w:val="left" w:pos="4680"/>
        </w:tabs>
        <w:spacing w:line="360" w:lineRule="auto"/>
        <w:ind w:firstLine="420" w:firstLineChars="200"/>
        <w:rPr>
          <w:rFonts w:ascii="宋体" w:hAnsi="宋体"/>
          <w:szCs w:val="21"/>
        </w:rPr>
      </w:pPr>
      <w:r>
        <w:rPr>
          <w:rFonts w:hint="eastAsia" w:ascii="宋体" w:hAnsi="宋体"/>
          <w:szCs w:val="21"/>
          <w:lang w:eastAsia="zh-Hans"/>
        </w:rPr>
        <w:t>基金</w:t>
      </w:r>
      <w:r>
        <w:rPr>
          <w:rFonts w:hint="eastAsia" w:ascii="宋体" w:hAnsi="宋体"/>
          <w:szCs w:val="21"/>
        </w:rPr>
        <w:t>年度报告中的财务报告部分，需经符合《中华人民共和国证券法》规定的会计师事务所审计后，方可披露。</w:t>
      </w:r>
    </w:p>
    <w:p>
      <w:pPr>
        <w:pStyle w:val="3"/>
        <w:keepNext w:val="0"/>
        <w:keepLines w:val="0"/>
        <w:tabs>
          <w:tab w:val="left" w:pos="1080"/>
        </w:tabs>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68" w:name="_Toc382819123"/>
      <w:r>
        <w:rPr>
          <w:rFonts w:hint="eastAsia" w:ascii="宋体" w:hAnsi="宋体" w:eastAsia="宋体"/>
          <w:b w:val="0"/>
          <w:bCs w:val="0"/>
          <w:sz w:val="21"/>
          <w:szCs w:val="21"/>
        </w:rPr>
        <w:t>基金管理人应当在中国证监会规定的时间内，将应予披露的基金信息通过符合</w:t>
      </w:r>
      <w:r>
        <w:rPr>
          <w:rFonts w:ascii="宋体" w:hAnsi="宋体" w:eastAsia="宋体"/>
          <w:b w:val="0"/>
          <w:bCs w:val="0"/>
          <w:sz w:val="21"/>
          <w:szCs w:val="21"/>
        </w:rPr>
        <w:t>中国证监会</w:t>
      </w:r>
      <w:r>
        <w:rPr>
          <w:rFonts w:hint="eastAsia" w:ascii="宋体" w:hAnsi="宋体" w:eastAsia="宋体"/>
          <w:b w:val="0"/>
          <w:bCs w:val="0"/>
          <w:sz w:val="21"/>
          <w:szCs w:val="21"/>
        </w:rPr>
        <w:t>规定条件</w:t>
      </w:r>
      <w:r>
        <w:rPr>
          <w:rFonts w:ascii="宋体" w:hAnsi="宋体" w:eastAsia="宋体"/>
          <w:b w:val="0"/>
          <w:bCs w:val="0"/>
          <w:sz w:val="21"/>
          <w:szCs w:val="21"/>
        </w:rPr>
        <w:t>的</w:t>
      </w:r>
      <w:r>
        <w:rPr>
          <w:rFonts w:hint="eastAsia" w:ascii="宋体" w:hAnsi="宋体" w:eastAsia="宋体"/>
          <w:b w:val="0"/>
          <w:bCs w:val="0"/>
          <w:sz w:val="21"/>
          <w:szCs w:val="21"/>
        </w:rPr>
        <w:t>全国性报刊及《信息披露办法》规定的</w:t>
      </w:r>
      <w:r>
        <w:rPr>
          <w:rFonts w:ascii="宋体" w:hAnsi="宋体" w:eastAsia="宋体"/>
          <w:b w:val="0"/>
          <w:bCs w:val="0"/>
          <w:sz w:val="21"/>
          <w:szCs w:val="21"/>
        </w:rPr>
        <w:t>互联网网站</w:t>
      </w:r>
      <w:r>
        <w:rPr>
          <w:rFonts w:hint="eastAsia" w:ascii="宋体" w:hAnsi="宋体" w:eastAsia="宋体"/>
          <w:b w:val="0"/>
          <w:bCs w:val="0"/>
          <w:sz w:val="21"/>
          <w:szCs w:val="21"/>
        </w:rPr>
        <w:t>等媒介披露。根据法律法规应由基金托管人公开披露的信息，基金托管人将通过规定报刊和规定网站公开披露。</w:t>
      </w:r>
      <w:bookmarkEnd w:id="68"/>
    </w:p>
    <w:p>
      <w:pPr>
        <w:pStyle w:val="3"/>
        <w:keepNext w:val="0"/>
        <w:keepLines w:val="0"/>
        <w:tabs>
          <w:tab w:val="left" w:pos="1080"/>
        </w:tabs>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69" w:name="_Toc382819124"/>
      <w:r>
        <w:rPr>
          <w:rFonts w:hint="eastAsia" w:ascii="宋体" w:hAnsi="宋体" w:eastAsia="宋体"/>
          <w:b w:val="0"/>
          <w:bCs w:val="0"/>
          <w:sz w:val="21"/>
          <w:szCs w:val="21"/>
        </w:rPr>
        <w:t>（三）基金管理人和基金托管人在信息披露中的职责和信息披露程序</w:t>
      </w:r>
      <w:bookmarkEnd w:id="69"/>
    </w:p>
    <w:p>
      <w:pPr>
        <w:tabs>
          <w:tab w:val="left" w:pos="4680"/>
        </w:tabs>
        <w:spacing w:line="360" w:lineRule="auto"/>
        <w:ind w:firstLine="420" w:firstLineChars="200"/>
        <w:outlineLvl w:val="2"/>
        <w:rPr>
          <w:rFonts w:ascii="宋体" w:hAnsi="宋体"/>
          <w:szCs w:val="21"/>
        </w:rPr>
      </w:pPr>
      <w:r>
        <w:rPr>
          <w:rFonts w:hint="eastAsia" w:ascii="宋体" w:hAnsi="宋体"/>
          <w:szCs w:val="21"/>
        </w:rPr>
        <w:t>1、职责</w:t>
      </w:r>
    </w:p>
    <w:p>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pPr>
        <w:tabs>
          <w:tab w:val="left" w:pos="4680"/>
        </w:tabs>
        <w:spacing w:line="360" w:lineRule="auto"/>
        <w:ind w:firstLine="420" w:firstLineChars="200"/>
        <w:outlineLvl w:val="2"/>
        <w:rPr>
          <w:rFonts w:ascii="宋体" w:hAnsi="宋体"/>
          <w:szCs w:val="21"/>
        </w:rPr>
      </w:pPr>
      <w:r>
        <w:rPr>
          <w:rFonts w:hint="eastAsia" w:ascii="宋体" w:hAnsi="宋体"/>
          <w:szCs w:val="21"/>
        </w:rPr>
        <w:t>2、程序</w:t>
      </w:r>
    </w:p>
    <w:p>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pPr>
        <w:tabs>
          <w:tab w:val="left" w:pos="4680"/>
        </w:tabs>
        <w:spacing w:line="360" w:lineRule="auto"/>
        <w:ind w:firstLine="420" w:firstLineChars="200"/>
        <w:outlineLvl w:val="2"/>
        <w:rPr>
          <w:rFonts w:ascii="宋体" w:hAnsi="宋体"/>
          <w:szCs w:val="21"/>
        </w:rPr>
      </w:pPr>
      <w:r>
        <w:rPr>
          <w:rFonts w:hint="eastAsia" w:ascii="宋体" w:hAnsi="宋体"/>
          <w:szCs w:val="21"/>
        </w:rPr>
        <w:t>3、信息文本的存放</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依法必须披露的信息发布后，基金管理人、基金托管人应当按照相关法律法规规定将信息置备于各自办公场所，供社会公众查阅、复制</w:t>
      </w:r>
      <w:r>
        <w:rPr>
          <w:rFonts w:ascii="宋体" w:hAnsi="宋体"/>
          <w:bCs/>
          <w:szCs w:val="21"/>
        </w:rPr>
        <w:t>。</w:t>
      </w:r>
      <w:r>
        <w:rPr>
          <w:rFonts w:hint="eastAsia" w:ascii="宋体" w:hAnsi="宋体"/>
          <w:bCs/>
          <w:szCs w:val="21"/>
        </w:rPr>
        <w:t>投资者</w:t>
      </w:r>
      <w:r>
        <w:rPr>
          <w:rFonts w:hint="eastAsia" w:ascii="宋体" w:hAnsi="宋体"/>
          <w:szCs w:val="21"/>
        </w:rPr>
        <w:t>在支付工本费后可以获得上述文件的复制件或复印件。</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pPr>
        <w:spacing w:line="360" w:lineRule="auto"/>
        <w:ind w:firstLine="420" w:firstLineChars="200"/>
        <w:outlineLvl w:val="2"/>
        <w:rPr>
          <w:rFonts w:ascii="宋体" w:hAnsi="宋体"/>
          <w:szCs w:val="21"/>
        </w:rPr>
      </w:pPr>
      <w:r>
        <w:rPr>
          <w:rFonts w:hint="eastAsia" w:ascii="宋体" w:hAnsi="宋体"/>
          <w:szCs w:val="21"/>
        </w:rPr>
        <w:t>4、暂停</w:t>
      </w:r>
      <w:r>
        <w:rPr>
          <w:rFonts w:hint="eastAsia" w:ascii="宋体" w:hAnsi="宋体" w:cs="Arial"/>
          <w:szCs w:val="21"/>
        </w:rPr>
        <w:t>或延迟披露基金相关信息</w:t>
      </w:r>
      <w:r>
        <w:rPr>
          <w:rFonts w:hint="eastAsia" w:ascii="宋体" w:hAnsi="宋体"/>
          <w:szCs w:val="21"/>
        </w:rPr>
        <w:t>的情形</w:t>
      </w:r>
    </w:p>
    <w:p>
      <w:pPr>
        <w:spacing w:line="360" w:lineRule="auto"/>
        <w:ind w:firstLine="420" w:firstLineChars="200"/>
        <w:rPr>
          <w:rFonts w:ascii="宋体" w:hAnsi="宋体"/>
          <w:szCs w:val="21"/>
        </w:rPr>
      </w:pPr>
      <w:r>
        <w:rPr>
          <w:rFonts w:hint="eastAsia" w:ascii="宋体" w:hAnsi="宋体"/>
          <w:szCs w:val="21"/>
        </w:rPr>
        <w:t>（1）基金投资涉及的证券、期货交易市场遇法定节假日或因其他原因停市时；</w:t>
      </w:r>
    </w:p>
    <w:p>
      <w:pPr>
        <w:pStyle w:val="35"/>
        <w:spacing w:after="78"/>
        <w:ind w:firstLine="420"/>
        <w:rPr>
          <w:rFonts w:ascii="宋体" w:hAnsi="宋体"/>
          <w:sz w:val="21"/>
          <w:szCs w:val="21"/>
        </w:rPr>
      </w:pPr>
      <w:r>
        <w:rPr>
          <w:rFonts w:hint="eastAsia" w:ascii="宋体" w:hAnsi="宋体"/>
          <w:sz w:val="21"/>
          <w:szCs w:val="21"/>
        </w:rPr>
        <w:t>（2）因不可抗力或其他情形致使基金管理人、基金托管人无法准确评估基金资产价值时；</w:t>
      </w:r>
    </w:p>
    <w:p>
      <w:pPr>
        <w:spacing w:line="360" w:lineRule="auto"/>
        <w:ind w:right="28" w:firstLine="420" w:firstLineChars="200"/>
        <w:rPr>
          <w:rFonts w:ascii="宋体" w:hAnsi="宋体"/>
          <w:szCs w:val="21"/>
        </w:rPr>
      </w:pPr>
      <w:r>
        <w:rPr>
          <w:rFonts w:hint="eastAsia" w:ascii="宋体" w:hAnsi="宋体"/>
          <w:szCs w:val="21"/>
        </w:rPr>
        <w:t>（3）中国证监会和《基金合同》认定的其他情形。</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0" w:name="_Toc382819125"/>
      <w:r>
        <w:rPr>
          <w:rFonts w:hint="eastAsia" w:ascii="宋体" w:hAnsi="宋体" w:eastAsia="宋体" w:cs="Arial"/>
          <w:sz w:val="21"/>
          <w:szCs w:val="21"/>
        </w:rPr>
        <w:t>基金费用</w:t>
      </w:r>
      <w:bookmarkEnd w:id="70"/>
    </w:p>
    <w:p>
      <w:pPr>
        <w:spacing w:line="360" w:lineRule="auto"/>
        <w:ind w:firstLine="420" w:firstLineChars="200"/>
        <w:rPr>
          <w:rFonts w:ascii="宋体" w:hAnsi="宋体"/>
          <w:szCs w:val="21"/>
        </w:rPr>
      </w:pPr>
      <w:r>
        <w:rPr>
          <w:rFonts w:hint="eastAsia" w:ascii="宋体" w:hAnsi="宋体"/>
          <w:szCs w:val="21"/>
        </w:rPr>
        <w:t>本基金的托管费按前一日基金资产净值的0.2%年费率计提。托管费的计算方法如下：</w:t>
      </w:r>
    </w:p>
    <w:p>
      <w:pPr>
        <w:spacing w:line="360" w:lineRule="auto"/>
        <w:ind w:firstLine="420" w:firstLineChars="200"/>
        <w:rPr>
          <w:rFonts w:ascii="宋体" w:hAnsi="宋体"/>
          <w:szCs w:val="21"/>
        </w:rPr>
      </w:pPr>
      <w:r>
        <w:rPr>
          <w:rFonts w:hint="eastAsia" w:ascii="宋体" w:hAnsi="宋体"/>
          <w:szCs w:val="21"/>
        </w:rPr>
        <w:t>H＝E×年托管费率÷当年天数</w:t>
      </w:r>
    </w:p>
    <w:p>
      <w:pPr>
        <w:spacing w:line="360" w:lineRule="auto"/>
        <w:ind w:firstLine="420" w:firstLineChars="200"/>
        <w:rPr>
          <w:rFonts w:ascii="宋体" w:hAnsi="宋体"/>
          <w:szCs w:val="21"/>
        </w:rPr>
      </w:pPr>
      <w:r>
        <w:rPr>
          <w:rFonts w:hint="eastAsia" w:ascii="宋体" w:hAnsi="宋体"/>
          <w:szCs w:val="21"/>
        </w:rPr>
        <w:t>H为每日应计提的基金托管费</w:t>
      </w:r>
    </w:p>
    <w:p>
      <w:pPr>
        <w:spacing w:line="360" w:lineRule="auto"/>
        <w:ind w:firstLine="420" w:firstLineChars="200"/>
        <w:rPr>
          <w:rFonts w:ascii="宋体" w:hAnsi="宋体"/>
          <w:szCs w:val="21"/>
        </w:rPr>
      </w:pPr>
      <w:r>
        <w:rPr>
          <w:rFonts w:hint="eastAsia" w:ascii="宋体" w:hAnsi="宋体"/>
          <w:szCs w:val="21"/>
        </w:rPr>
        <w:t>E为前一日的基金资产净值</w:t>
      </w:r>
    </w:p>
    <w:p>
      <w:pPr>
        <w:spacing w:line="360" w:lineRule="auto"/>
        <w:ind w:firstLine="420" w:firstLineChars="200"/>
        <w:rPr>
          <w:rFonts w:ascii="宋体" w:hAnsi="宋体"/>
          <w:szCs w:val="21"/>
        </w:rPr>
      </w:pPr>
      <w:r>
        <w:rPr>
          <w:rFonts w:hint="eastAsia" w:ascii="宋体" w:hAnsi="宋体"/>
          <w:szCs w:val="21"/>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pPr>
        <w:spacing w:line="360" w:lineRule="auto"/>
        <w:ind w:firstLine="420" w:firstLineChars="200"/>
        <w:rPr>
          <w:rFonts w:ascii="宋体" w:hAnsi="宋体"/>
          <w:szCs w:val="21"/>
          <w:lang w:val="zh-CN"/>
        </w:rPr>
      </w:pPr>
      <w:r>
        <w:rPr>
          <w:rFonts w:hint="eastAsia" w:ascii="宋体" w:hAnsi="宋体"/>
          <w:szCs w:val="21"/>
        </w:rPr>
        <w:t>其他基金费用按照《基金合同》的约定计提和支付。</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1" w:name="_Toc382819126"/>
      <w:r>
        <w:rPr>
          <w:rFonts w:hint="eastAsia" w:ascii="宋体" w:hAnsi="宋体" w:eastAsia="宋体" w:cs="Arial"/>
          <w:sz w:val="21"/>
          <w:szCs w:val="21"/>
        </w:rPr>
        <w:t>基金份额持有人名册的保管</w:t>
      </w:r>
      <w:bookmarkEnd w:id="71"/>
    </w:p>
    <w:p>
      <w:pPr>
        <w:spacing w:line="360" w:lineRule="auto"/>
        <w:ind w:firstLine="420" w:firstLineChars="200"/>
        <w:rPr>
          <w:rFonts w:ascii="宋体" w:hAnsi="宋体"/>
          <w:szCs w:val="21"/>
        </w:rPr>
      </w:pPr>
      <w:r>
        <w:rPr>
          <w:rFonts w:hint="eastAsia" w:ascii="宋体" w:hAnsi="宋体"/>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pPr>
        <w:spacing w:line="360" w:lineRule="auto"/>
        <w:ind w:firstLine="420" w:firstLineChars="200"/>
        <w:rPr>
          <w:rFonts w:ascii="宋体" w:hAnsi="宋体"/>
          <w:szCs w:val="21"/>
        </w:rPr>
      </w:pPr>
      <w:r>
        <w:rPr>
          <w:rFonts w:hint="eastAsia" w:ascii="宋体" w:hAnsi="宋体"/>
          <w:szCs w:val="21"/>
        </w:rPr>
        <w:t>基金份额持有人名册由基金的</w:t>
      </w:r>
      <w:r>
        <w:rPr>
          <w:rFonts w:hint="eastAsia" w:ascii="宋体" w:hAnsi="宋体" w:cs="Arial"/>
          <w:szCs w:val="21"/>
        </w:rPr>
        <w:t>基金登记机构根据基金管理人的指令编制和保管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w:t>
      </w:r>
      <w:r>
        <w:rPr>
          <w:rFonts w:ascii="宋体" w:hAnsi="宋体"/>
          <w:szCs w:val="21"/>
        </w:rPr>
        <w:t>法规</w:t>
      </w:r>
      <w:r>
        <w:rPr>
          <w:rFonts w:hint="eastAsia" w:ascii="宋体" w:hAnsi="宋体"/>
          <w:szCs w:val="21"/>
        </w:rPr>
        <w:t>规定</w:t>
      </w:r>
      <w:r>
        <w:rPr>
          <w:rFonts w:ascii="宋体" w:hAnsi="宋体"/>
          <w:szCs w:val="21"/>
        </w:rPr>
        <w:t>的最低期限</w:t>
      </w:r>
      <w:r>
        <w:rPr>
          <w:rFonts w:hint="eastAsia" w:ascii="宋体" w:hAnsi="宋体"/>
          <w:szCs w:val="21"/>
        </w:rPr>
        <w:t>。</w:t>
      </w:r>
    </w:p>
    <w:p>
      <w:pPr>
        <w:spacing w:line="360" w:lineRule="auto"/>
        <w:ind w:firstLine="420" w:firstLineChars="200"/>
        <w:rPr>
          <w:rFonts w:ascii="宋体" w:hAnsi="宋体" w:cs="Arial"/>
          <w:szCs w:val="21"/>
        </w:rPr>
      </w:pPr>
      <w:r>
        <w:rPr>
          <w:rFonts w:hint="eastAsia" w:ascii="宋体" w:hAnsi="宋体"/>
          <w:szCs w:val="21"/>
        </w:rPr>
        <w:t>在基金托管人编制中期报告和</w:t>
      </w:r>
      <w:r>
        <w:rPr>
          <w:rFonts w:ascii="宋体" w:hAnsi="宋体"/>
          <w:szCs w:val="21"/>
        </w:rPr>
        <w:t>年度报告</w:t>
      </w:r>
      <w:r>
        <w:rPr>
          <w:rFonts w:hint="eastAsia" w:ascii="宋体" w:hAnsi="宋体"/>
          <w:szCs w:val="21"/>
        </w:rPr>
        <w:t>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2" w:name="_Toc382819127"/>
      <w:r>
        <w:rPr>
          <w:rFonts w:hint="eastAsia" w:ascii="宋体" w:hAnsi="宋体" w:eastAsia="宋体" w:cs="Arial"/>
          <w:sz w:val="21"/>
          <w:szCs w:val="21"/>
        </w:rPr>
        <w:t>基金有关文件和档案的保存</w:t>
      </w:r>
      <w:bookmarkEnd w:id="72"/>
    </w:p>
    <w:p>
      <w:pPr>
        <w:spacing w:line="360" w:lineRule="auto"/>
        <w:ind w:firstLine="420" w:firstLineChars="200"/>
        <w:outlineLvl w:val="1"/>
        <w:rPr>
          <w:rFonts w:ascii="宋体" w:hAnsi="宋体" w:cs="Arial"/>
          <w:szCs w:val="21"/>
        </w:rPr>
      </w:pPr>
      <w:r>
        <w:rPr>
          <w:rFonts w:hint="eastAsia" w:ascii="宋体" w:hAnsi="宋体" w:cs="Arial"/>
          <w:szCs w:val="21"/>
        </w:rPr>
        <w:t>（一）档案保存</w:t>
      </w:r>
    </w:p>
    <w:p>
      <w:pPr>
        <w:spacing w:line="360" w:lineRule="auto"/>
        <w:ind w:firstLine="420" w:firstLineChars="200"/>
        <w:rPr>
          <w:rFonts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w:t>
      </w:r>
      <w:r>
        <w:rPr>
          <w:rFonts w:hint="eastAsia" w:ascii="宋体" w:hAnsi="宋体"/>
          <w:szCs w:val="21"/>
        </w:rPr>
        <w:t>不低于法律</w:t>
      </w:r>
      <w:r>
        <w:rPr>
          <w:rFonts w:ascii="宋体" w:hAnsi="宋体"/>
          <w:szCs w:val="21"/>
        </w:rPr>
        <w:t>法规</w:t>
      </w:r>
      <w:r>
        <w:rPr>
          <w:rFonts w:hint="eastAsia" w:ascii="宋体" w:hAnsi="宋体"/>
          <w:szCs w:val="21"/>
        </w:rPr>
        <w:t>规定</w:t>
      </w:r>
      <w:r>
        <w:rPr>
          <w:rFonts w:ascii="宋体" w:hAnsi="宋体"/>
          <w:szCs w:val="21"/>
        </w:rPr>
        <w:t>的最低期限</w:t>
      </w:r>
      <w:r>
        <w:rPr>
          <w:rFonts w:hint="eastAsia" w:ascii="宋体" w:hAnsi="宋体"/>
          <w:szCs w:val="21"/>
        </w:rPr>
        <w:t>。</w:t>
      </w:r>
    </w:p>
    <w:p>
      <w:pPr>
        <w:spacing w:line="360" w:lineRule="auto"/>
        <w:ind w:firstLine="420" w:firstLineChars="200"/>
        <w:outlineLvl w:val="1"/>
        <w:rPr>
          <w:rFonts w:ascii="宋体" w:hAnsi="宋体" w:cs="Arial"/>
          <w:szCs w:val="21"/>
        </w:rPr>
      </w:pPr>
      <w:r>
        <w:rPr>
          <w:rFonts w:hint="eastAsia" w:ascii="宋体" w:hAnsi="宋体" w:cs="Arial"/>
          <w:szCs w:val="21"/>
        </w:rPr>
        <w:t>（二）合同档案的建立</w:t>
      </w:r>
    </w:p>
    <w:p>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pPr>
        <w:spacing w:line="360" w:lineRule="auto"/>
        <w:ind w:firstLine="420" w:firstLineChars="200"/>
        <w:rPr>
          <w:rFonts w:ascii="宋体" w:hAnsi="宋体" w:cs="Arial"/>
          <w:szCs w:val="21"/>
        </w:rPr>
      </w:pPr>
      <w:r>
        <w:rPr>
          <w:rFonts w:hint="eastAsia" w:ascii="宋体" w:hAnsi="宋体" w:cs="Arial"/>
          <w:szCs w:val="21"/>
        </w:rPr>
        <w:t>2、基金管理人和基金托管人应按各自职责保管就基金资产对外签署的全部合同的正本。</w:t>
      </w:r>
    </w:p>
    <w:p>
      <w:pPr>
        <w:spacing w:line="360" w:lineRule="auto"/>
        <w:ind w:firstLine="420" w:firstLineChars="200"/>
        <w:outlineLvl w:val="1"/>
        <w:rPr>
          <w:rFonts w:ascii="宋体" w:hAnsi="宋体" w:cs="Arial"/>
          <w:szCs w:val="21"/>
        </w:rPr>
      </w:pPr>
      <w:r>
        <w:rPr>
          <w:rFonts w:hint="eastAsia" w:ascii="宋体" w:hAnsi="宋体" w:cs="Arial"/>
          <w:szCs w:val="21"/>
        </w:rPr>
        <w:t>（三）变更与协助</w:t>
      </w:r>
    </w:p>
    <w:p>
      <w:pPr>
        <w:spacing w:line="360" w:lineRule="auto"/>
        <w:ind w:firstLine="420" w:firstLineChars="200"/>
        <w:rPr>
          <w:rFonts w:ascii="宋体" w:hAnsi="宋体"/>
          <w:szCs w:val="21"/>
        </w:rPr>
      </w:pPr>
      <w:r>
        <w:rPr>
          <w:rFonts w:hint="eastAsia" w:ascii="宋体" w:hAnsi="宋体" w:cs="Arial"/>
          <w:szCs w:val="21"/>
        </w:rPr>
        <w:t>若基金管理人和基金托管人发生变更，未变更的一方有义务协助变更后的接任人接收相应文件。</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3" w:name="_Toc382819128"/>
      <w:bookmarkStart w:id="74" w:name="_Hlk207919470"/>
      <w:r>
        <w:rPr>
          <w:rFonts w:hint="eastAsia" w:ascii="宋体" w:hAnsi="宋体" w:eastAsia="宋体" w:cs="Arial"/>
          <w:sz w:val="21"/>
          <w:szCs w:val="21"/>
        </w:rPr>
        <w:t>基金管理人和基金托管人的更换</w:t>
      </w:r>
      <w:bookmarkEnd w:id="73"/>
    </w:p>
    <w:p>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bookmarkStart w:id="75" w:name="_Toc382819129"/>
      <w:r>
        <w:rPr>
          <w:rFonts w:hint="eastAsia" w:ascii="宋体" w:hAnsi="宋体" w:eastAsia="宋体" w:cs="Arial"/>
          <w:b w:val="0"/>
          <w:bCs w:val="0"/>
          <w:kern w:val="0"/>
          <w:sz w:val="21"/>
          <w:szCs w:val="21"/>
        </w:rPr>
        <w:t>（一）基金管理人的更换</w:t>
      </w:r>
      <w:bookmarkEnd w:id="75"/>
    </w:p>
    <w:p>
      <w:pPr>
        <w:spacing w:line="360" w:lineRule="auto"/>
        <w:ind w:firstLine="420" w:firstLineChars="200"/>
        <w:rPr>
          <w:rFonts w:ascii="宋体" w:hAnsi="宋体"/>
          <w:szCs w:val="21"/>
        </w:rPr>
      </w:pPr>
      <w:r>
        <w:rPr>
          <w:rFonts w:hint="eastAsia" w:ascii="宋体" w:hAnsi="宋体"/>
          <w:szCs w:val="21"/>
        </w:rPr>
        <w:t>1.基金管理人的更换条件</w:t>
      </w:r>
    </w:p>
    <w:p>
      <w:pPr>
        <w:spacing w:line="360" w:lineRule="auto"/>
        <w:ind w:firstLine="420" w:firstLineChars="200"/>
        <w:rPr>
          <w:rFonts w:ascii="宋体" w:hAnsi="宋体"/>
          <w:szCs w:val="21"/>
        </w:rPr>
      </w:pPr>
      <w:r>
        <w:rPr>
          <w:rFonts w:hint="eastAsia" w:ascii="宋体" w:hAnsi="宋体"/>
          <w:szCs w:val="21"/>
        </w:rPr>
        <w:t>有下列情形之一的，基金管理人职责终止：</w:t>
      </w:r>
    </w:p>
    <w:p>
      <w:pPr>
        <w:spacing w:line="360" w:lineRule="auto"/>
        <w:ind w:firstLine="420" w:firstLineChars="200"/>
        <w:rPr>
          <w:rFonts w:ascii="宋体" w:hAnsi="宋体"/>
          <w:szCs w:val="21"/>
        </w:rPr>
      </w:pPr>
      <w:r>
        <w:rPr>
          <w:rFonts w:hint="eastAsia" w:ascii="宋体" w:hAnsi="宋体"/>
          <w:szCs w:val="21"/>
        </w:rPr>
        <w:t>(1) 被依法取消基金管理资格；</w:t>
      </w:r>
    </w:p>
    <w:p>
      <w:pPr>
        <w:spacing w:line="360" w:lineRule="auto"/>
        <w:ind w:firstLine="420" w:firstLineChars="200"/>
        <w:rPr>
          <w:rFonts w:ascii="宋体" w:hAnsi="宋体"/>
          <w:szCs w:val="21"/>
        </w:rPr>
      </w:pPr>
      <w:r>
        <w:rPr>
          <w:rFonts w:hint="eastAsia" w:ascii="宋体" w:hAnsi="宋体"/>
          <w:szCs w:val="21"/>
        </w:rPr>
        <w:t>(2) 被基金份额持有人大会解任；</w:t>
      </w:r>
    </w:p>
    <w:p>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pPr>
        <w:spacing w:line="360" w:lineRule="auto"/>
        <w:ind w:firstLine="420" w:firstLineChars="200"/>
        <w:rPr>
          <w:rFonts w:ascii="宋体" w:hAnsi="宋体"/>
          <w:szCs w:val="21"/>
        </w:rPr>
      </w:pPr>
      <w:r>
        <w:rPr>
          <w:rFonts w:hint="eastAsia" w:ascii="宋体" w:hAnsi="宋体"/>
          <w:szCs w:val="21"/>
        </w:rPr>
        <w:t>(4) 法律法规</w:t>
      </w:r>
      <w:r>
        <w:rPr>
          <w:rFonts w:hint="eastAsia" w:ascii="宋体" w:hAnsi="宋体"/>
          <w:bCs/>
          <w:szCs w:val="21"/>
        </w:rPr>
        <w:t>及中国证监会规定的</w:t>
      </w:r>
      <w:r>
        <w:rPr>
          <w:rFonts w:hint="eastAsia" w:ascii="宋体" w:hAnsi="宋体"/>
          <w:szCs w:val="21"/>
        </w:rPr>
        <w:t>和《基金合同》规定的其它情形。</w:t>
      </w:r>
    </w:p>
    <w:p>
      <w:pPr>
        <w:spacing w:line="360" w:lineRule="auto"/>
        <w:ind w:firstLine="420" w:firstLineChars="200"/>
        <w:rPr>
          <w:rFonts w:ascii="宋体" w:hAnsi="宋体"/>
          <w:szCs w:val="21"/>
        </w:rPr>
      </w:pPr>
      <w:r>
        <w:rPr>
          <w:rFonts w:hint="eastAsia" w:ascii="宋体" w:hAnsi="宋体"/>
          <w:szCs w:val="21"/>
        </w:rPr>
        <w:t>2.更换基金管理人的程序</w:t>
      </w:r>
    </w:p>
    <w:p>
      <w:pPr>
        <w:spacing w:line="360" w:lineRule="auto"/>
        <w:ind w:firstLine="420" w:firstLineChars="200"/>
        <w:rPr>
          <w:rFonts w:ascii="宋体" w:hAnsi="宋体"/>
          <w:szCs w:val="21"/>
        </w:rPr>
      </w:pPr>
      <w:r>
        <w:rPr>
          <w:rFonts w:hint="eastAsia" w:ascii="宋体" w:hAnsi="宋体"/>
          <w:szCs w:val="21"/>
        </w:rPr>
        <w:t>（1）提名：新任基金管理人由基金托管人或由单独或合计持有10%以上（含10%）基金份额的基金份额持有人提名；</w:t>
      </w:r>
    </w:p>
    <w:p>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w:t>
      </w:r>
      <w:r>
        <w:rPr>
          <w:rFonts w:hint="eastAsia" w:ascii="宋体" w:hAnsi="宋体"/>
          <w:bCs/>
          <w:szCs w:val="21"/>
        </w:rPr>
        <w:t>新任</w:t>
      </w:r>
      <w:r>
        <w:rPr>
          <w:rFonts w:hint="eastAsia" w:ascii="宋体" w:hAnsi="宋体"/>
          <w:szCs w:val="21"/>
        </w:rPr>
        <w:t>基金管理人形成决议，该决议需经参加大会的基金份额持有人所持表决权的2/3以上（含2/3）表决通过</w:t>
      </w:r>
      <w:r>
        <w:rPr>
          <w:rFonts w:ascii="宋体" w:hAnsi="宋体"/>
          <w:bCs/>
          <w:szCs w:val="21"/>
        </w:rPr>
        <w:t>，决议自表决通过之日起生效</w:t>
      </w:r>
      <w:r>
        <w:rPr>
          <w:rFonts w:hint="eastAsia" w:ascii="宋体" w:hAnsi="宋体"/>
          <w:bCs/>
          <w:szCs w:val="21"/>
        </w:rPr>
        <w:t>，新任基金管理人应当符合法律法规及中国证监会规定的资格条件</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（3）临时基金管理人：新任基金管理人产生之前，由中国证监会指定临时基金管理人；</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备案</w:t>
      </w:r>
      <w:r>
        <w:rPr>
          <w:rFonts w:hint="eastAsia" w:ascii="宋体" w:hAnsi="宋体"/>
          <w:szCs w:val="21"/>
        </w:rPr>
        <w:t>：基金份额持有人大会</w:t>
      </w:r>
      <w:r>
        <w:rPr>
          <w:rFonts w:ascii="宋体" w:hAnsi="宋体"/>
          <w:szCs w:val="21"/>
        </w:rPr>
        <w:t>更换</w:t>
      </w:r>
      <w:r>
        <w:rPr>
          <w:rFonts w:hint="eastAsia" w:ascii="宋体" w:hAnsi="宋体"/>
          <w:szCs w:val="21"/>
        </w:rPr>
        <w:t>基金管理人的决议须</w:t>
      </w:r>
      <w:r>
        <w:rPr>
          <w:rFonts w:ascii="宋体" w:hAnsi="宋体"/>
          <w:szCs w:val="21"/>
        </w:rPr>
        <w:t>报</w:t>
      </w:r>
      <w:r>
        <w:rPr>
          <w:rFonts w:hint="eastAsia" w:ascii="宋体" w:hAnsi="宋体"/>
          <w:szCs w:val="21"/>
        </w:rPr>
        <w:t>中国证监会</w:t>
      </w:r>
      <w:r>
        <w:rPr>
          <w:rFonts w:ascii="宋体" w:hAnsi="宋体"/>
          <w:szCs w:val="21"/>
        </w:rPr>
        <w:t>备案</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（5）公告：基金管理人更换后，由基金托管人在</w:t>
      </w:r>
      <w:r>
        <w:rPr>
          <w:rFonts w:ascii="宋体" w:hAnsi="宋体"/>
          <w:bCs/>
          <w:szCs w:val="21"/>
        </w:rPr>
        <w:t>更换基金管理人的基金份额持有人大会决议生效后</w:t>
      </w:r>
      <w:r>
        <w:rPr>
          <w:rFonts w:hint="eastAsia" w:ascii="宋体" w:hAnsi="宋体"/>
          <w:bCs/>
          <w:szCs w:val="21"/>
        </w:rPr>
        <w:t>依照《信息披露办法》的规定</w:t>
      </w:r>
      <w:r>
        <w:rPr>
          <w:rFonts w:ascii="宋体" w:hAnsi="宋体"/>
          <w:bCs/>
          <w:szCs w:val="21"/>
        </w:rPr>
        <w:t>在</w:t>
      </w:r>
      <w:r>
        <w:rPr>
          <w:rFonts w:hint="eastAsia" w:ascii="宋体" w:hAnsi="宋体"/>
          <w:bCs/>
          <w:szCs w:val="21"/>
        </w:rPr>
        <w:t>规定媒介</w:t>
      </w:r>
      <w:r>
        <w:rPr>
          <w:rFonts w:ascii="宋体" w:hAnsi="宋体"/>
          <w:bCs/>
          <w:szCs w:val="21"/>
        </w:rPr>
        <w:t>公告</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bCs/>
          <w:szCs w:val="21"/>
        </w:rPr>
        <w:t>（6）</w:t>
      </w:r>
      <w:r>
        <w:rPr>
          <w:rFonts w:ascii="宋体" w:hAnsi="宋体"/>
          <w:bCs/>
          <w:szCs w:val="21"/>
        </w:rPr>
        <w:t>交接：基金管理人职责终止的，</w:t>
      </w:r>
      <w:r>
        <w:rPr>
          <w:rFonts w:hint="eastAsia" w:ascii="宋体" w:hAnsi="宋体"/>
          <w:szCs w:val="21"/>
        </w:rPr>
        <w:t>基金管理人应妥善保管基金管理业务资料，及时向临时基金管理人或新任基金管理人办理基金管理业务的移交手续，临时基金管理人或新任基金管理人应及时接收</w:t>
      </w:r>
      <w:r>
        <w:rPr>
          <w:rFonts w:ascii="宋体" w:hAnsi="宋体"/>
          <w:bCs/>
          <w:szCs w:val="21"/>
        </w:rPr>
        <w:t>。新任基金管理人</w:t>
      </w:r>
      <w:r>
        <w:rPr>
          <w:rFonts w:hint="eastAsia" w:ascii="宋体" w:hAnsi="宋体"/>
          <w:bCs/>
          <w:szCs w:val="21"/>
        </w:rPr>
        <w:t>或者临时基金管理人</w:t>
      </w:r>
      <w:r>
        <w:rPr>
          <w:rFonts w:ascii="宋体" w:hAnsi="宋体"/>
          <w:bCs/>
          <w:szCs w:val="21"/>
        </w:rPr>
        <w:t>应与基金托管人核对基金资产总值</w:t>
      </w:r>
      <w:r>
        <w:rPr>
          <w:rFonts w:hint="eastAsia" w:ascii="宋体" w:hAnsi="宋体"/>
          <w:bCs/>
          <w:szCs w:val="21"/>
        </w:rPr>
        <w:t>和净值</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）审计：基金管理人职责终止的，应当按照法律法规规定聘请</w:t>
      </w:r>
      <w:r>
        <w:rPr>
          <w:rFonts w:hint="eastAsia" w:ascii="宋体" w:hAnsi="宋体"/>
          <w:bCs/>
          <w:szCs w:val="21"/>
        </w:rPr>
        <w:t>符合《中华人民共和国证券法》规定的</w:t>
      </w:r>
      <w:r>
        <w:rPr>
          <w:rFonts w:hint="eastAsia" w:ascii="宋体" w:hAnsi="宋体"/>
          <w:szCs w:val="21"/>
        </w:rPr>
        <w:t>会计师事务所对基金财产进行审计，并将审计结果予以公告，同时报中国证监会备案</w:t>
      </w:r>
      <w:r>
        <w:rPr>
          <w:rFonts w:hint="eastAsia" w:ascii="宋体" w:hAnsi="宋体"/>
          <w:bCs/>
          <w:szCs w:val="21"/>
        </w:rPr>
        <w:t>，审计费用从基金财产中列支</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）基金名称变更：基金管理人更换后，如果原任或新任基金管理人要求，应按其要求替换或删除基金名称中与原基金管理人有关的名称字样。</w:t>
      </w:r>
    </w:p>
    <w:p>
      <w:pPr>
        <w:spacing w:line="360" w:lineRule="auto"/>
        <w:ind w:firstLine="420" w:firstLineChars="200"/>
        <w:rPr>
          <w:rFonts w:ascii="宋体" w:hAnsi="宋体"/>
          <w:szCs w:val="21"/>
        </w:rPr>
      </w:pPr>
      <w:r>
        <w:rPr>
          <w:rFonts w:hint="eastAsia" w:ascii="宋体" w:hAnsi="宋体"/>
          <w:szCs w:val="21"/>
        </w:rPr>
        <w:t>3.原任基金管理人职责终止后，新任基金管理人或临时基金管理人接收基金管理业务前，原任基金管理人和基金托管人需采取审慎措施确保基金财产的安全，不对基金份额持有人的利益造成损失，并有义务协助新任基金管理人或临时基金管理人尽快恢复基金财产的投资运作。</w:t>
      </w:r>
    </w:p>
    <w:p>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bookmarkStart w:id="76" w:name="_Toc382819130"/>
      <w:r>
        <w:rPr>
          <w:rFonts w:hint="eastAsia" w:ascii="宋体" w:hAnsi="宋体" w:eastAsia="宋体" w:cs="Arial"/>
          <w:b w:val="0"/>
          <w:bCs w:val="0"/>
          <w:kern w:val="0"/>
          <w:sz w:val="21"/>
          <w:szCs w:val="21"/>
        </w:rPr>
        <w:t>（二）基金托管人的更换</w:t>
      </w:r>
      <w:bookmarkEnd w:id="76"/>
    </w:p>
    <w:p>
      <w:pPr>
        <w:spacing w:line="360" w:lineRule="auto"/>
        <w:ind w:firstLine="420" w:firstLineChars="200"/>
        <w:rPr>
          <w:rFonts w:ascii="宋体" w:hAnsi="宋体"/>
          <w:szCs w:val="21"/>
        </w:rPr>
      </w:pPr>
      <w:r>
        <w:rPr>
          <w:rFonts w:hint="eastAsia" w:ascii="宋体" w:hAnsi="宋体"/>
          <w:szCs w:val="21"/>
        </w:rPr>
        <w:t>1.基金托管人的更换条件</w:t>
      </w:r>
    </w:p>
    <w:p>
      <w:pPr>
        <w:spacing w:line="360" w:lineRule="auto"/>
        <w:ind w:firstLine="420" w:firstLineChars="200"/>
        <w:rPr>
          <w:rFonts w:ascii="宋体" w:hAnsi="宋体"/>
          <w:szCs w:val="21"/>
        </w:rPr>
      </w:pPr>
      <w:r>
        <w:rPr>
          <w:rFonts w:hint="eastAsia" w:ascii="宋体" w:hAnsi="宋体"/>
          <w:szCs w:val="21"/>
        </w:rPr>
        <w:t>有下列情形之一的，基金托管人职责终止：</w:t>
      </w:r>
    </w:p>
    <w:p>
      <w:pPr>
        <w:spacing w:line="360" w:lineRule="auto"/>
        <w:ind w:firstLine="420" w:firstLineChars="200"/>
        <w:rPr>
          <w:rFonts w:ascii="宋体" w:hAnsi="宋体"/>
          <w:szCs w:val="21"/>
        </w:rPr>
      </w:pPr>
      <w:r>
        <w:rPr>
          <w:rFonts w:hint="eastAsia" w:ascii="宋体" w:hAnsi="宋体"/>
          <w:szCs w:val="21"/>
        </w:rPr>
        <w:t>(1) 被依法取消基金托管资格；</w:t>
      </w:r>
    </w:p>
    <w:p>
      <w:pPr>
        <w:spacing w:line="360" w:lineRule="auto"/>
        <w:ind w:firstLine="420" w:firstLineChars="200"/>
        <w:rPr>
          <w:rFonts w:ascii="宋体" w:hAnsi="宋体"/>
          <w:szCs w:val="21"/>
        </w:rPr>
      </w:pPr>
      <w:r>
        <w:rPr>
          <w:rFonts w:hint="eastAsia" w:ascii="宋体" w:hAnsi="宋体"/>
          <w:szCs w:val="21"/>
        </w:rPr>
        <w:t>(2) 被基金份额持有人大会解任；</w:t>
      </w:r>
    </w:p>
    <w:p>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pPr>
        <w:spacing w:line="360" w:lineRule="auto"/>
        <w:ind w:firstLine="420" w:firstLineChars="200"/>
        <w:rPr>
          <w:rFonts w:ascii="宋体" w:hAnsi="宋体"/>
          <w:szCs w:val="21"/>
        </w:rPr>
      </w:pPr>
      <w:r>
        <w:rPr>
          <w:rFonts w:hint="eastAsia" w:ascii="宋体" w:hAnsi="宋体"/>
          <w:szCs w:val="21"/>
        </w:rPr>
        <w:t>(4) 法律法规</w:t>
      </w:r>
      <w:r>
        <w:rPr>
          <w:rFonts w:hint="eastAsia" w:ascii="宋体" w:hAnsi="宋体"/>
          <w:bCs/>
          <w:szCs w:val="21"/>
        </w:rPr>
        <w:t>及中国证监会规定的</w:t>
      </w:r>
      <w:r>
        <w:rPr>
          <w:rFonts w:hint="eastAsia" w:ascii="宋体" w:hAnsi="宋体"/>
          <w:szCs w:val="21"/>
        </w:rPr>
        <w:t>和《基金合同》规定的其它情形。</w:t>
      </w:r>
    </w:p>
    <w:p>
      <w:pPr>
        <w:spacing w:line="360" w:lineRule="auto"/>
        <w:ind w:firstLine="420" w:firstLineChars="200"/>
        <w:rPr>
          <w:rFonts w:ascii="宋体" w:hAnsi="宋体"/>
          <w:szCs w:val="21"/>
        </w:rPr>
      </w:pPr>
      <w:r>
        <w:rPr>
          <w:rFonts w:hint="eastAsia" w:ascii="宋体" w:hAnsi="宋体"/>
          <w:szCs w:val="21"/>
        </w:rPr>
        <w:t>2.更换基金托管人的程序</w:t>
      </w:r>
    </w:p>
    <w:p>
      <w:pPr>
        <w:spacing w:line="360" w:lineRule="auto"/>
        <w:ind w:firstLine="420" w:firstLineChars="200"/>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pPr>
        <w:spacing w:line="360" w:lineRule="auto"/>
        <w:ind w:firstLine="420" w:firstLineChars="200"/>
        <w:rPr>
          <w:rFonts w:ascii="宋体" w:hAnsi="宋体"/>
          <w:szCs w:val="21"/>
        </w:rPr>
      </w:pPr>
      <w:r>
        <w:rPr>
          <w:rFonts w:hint="eastAsia" w:ascii="宋体" w:hAnsi="宋体"/>
          <w:szCs w:val="21"/>
        </w:rPr>
        <w:t>（2）决议：基金份额持有人大会在基金托管人职责终止后6个月内对被提名的</w:t>
      </w:r>
      <w:r>
        <w:rPr>
          <w:rFonts w:ascii="宋体" w:hAnsi="宋体"/>
          <w:bCs/>
          <w:szCs w:val="21"/>
        </w:rPr>
        <w:t>新任</w:t>
      </w:r>
      <w:r>
        <w:rPr>
          <w:rFonts w:hint="eastAsia" w:ascii="宋体" w:hAnsi="宋体"/>
          <w:szCs w:val="21"/>
        </w:rPr>
        <w:t>基金托管人形成决议，该决议需经参加大会的基金份额持有人所持表决权的2/3以上（含2/3）表决通过，</w:t>
      </w:r>
      <w:r>
        <w:rPr>
          <w:rFonts w:hint="eastAsia" w:ascii="宋体" w:hAnsi="宋体"/>
          <w:bCs/>
          <w:szCs w:val="21"/>
        </w:rPr>
        <w:t>决议</w:t>
      </w:r>
      <w:r>
        <w:rPr>
          <w:rFonts w:hint="eastAsia" w:ascii="宋体" w:hAnsi="宋体"/>
          <w:szCs w:val="21"/>
        </w:rPr>
        <w:t>自表决通过之日起生效</w:t>
      </w:r>
      <w:r>
        <w:rPr>
          <w:rFonts w:hint="eastAsia" w:ascii="宋体" w:hAnsi="宋体"/>
          <w:bCs/>
          <w:szCs w:val="21"/>
        </w:rPr>
        <w:t>，新任基金托管人应当符合法律法规及中国证监会规定的资格条件</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（3）临时基金托管人：新任基金托管人产生之前，由中国证监会指定临时基金托管人；</w:t>
      </w:r>
    </w:p>
    <w:p>
      <w:pPr>
        <w:spacing w:line="360" w:lineRule="auto"/>
        <w:ind w:firstLine="420" w:firstLineChars="200"/>
        <w:rPr>
          <w:rFonts w:ascii="宋体" w:hAnsi="宋体"/>
          <w:szCs w:val="21"/>
        </w:rPr>
      </w:pPr>
      <w:r>
        <w:rPr>
          <w:rFonts w:hint="eastAsia" w:ascii="宋体" w:hAnsi="宋体"/>
          <w:szCs w:val="21"/>
        </w:rPr>
        <w:t>（4）</w:t>
      </w:r>
      <w:r>
        <w:rPr>
          <w:rFonts w:hint="eastAsia" w:ascii="宋体" w:hAnsi="宋体"/>
          <w:bCs/>
          <w:szCs w:val="21"/>
        </w:rPr>
        <w:t>备案</w:t>
      </w:r>
      <w:r>
        <w:rPr>
          <w:rFonts w:hint="eastAsia" w:ascii="宋体" w:hAnsi="宋体"/>
          <w:szCs w:val="21"/>
        </w:rPr>
        <w:t>：基金份额持有人大会</w:t>
      </w:r>
      <w:r>
        <w:rPr>
          <w:rFonts w:ascii="宋体" w:hAnsi="宋体"/>
          <w:szCs w:val="21"/>
        </w:rPr>
        <w:t>更换</w:t>
      </w:r>
      <w:r>
        <w:rPr>
          <w:rFonts w:hint="eastAsia" w:ascii="宋体" w:hAnsi="宋体"/>
          <w:szCs w:val="21"/>
        </w:rPr>
        <w:t>基金托管人的决议须</w:t>
      </w:r>
      <w:r>
        <w:rPr>
          <w:rFonts w:ascii="宋体" w:hAnsi="宋体"/>
          <w:szCs w:val="21"/>
        </w:rPr>
        <w:t>报</w:t>
      </w:r>
      <w:r>
        <w:rPr>
          <w:rFonts w:hint="eastAsia" w:ascii="宋体" w:hAnsi="宋体"/>
          <w:szCs w:val="21"/>
        </w:rPr>
        <w:t>中国证监会</w:t>
      </w:r>
      <w:r>
        <w:rPr>
          <w:rFonts w:hint="eastAsia" w:ascii="宋体" w:hAnsi="宋体"/>
          <w:bCs/>
          <w:szCs w:val="21"/>
        </w:rPr>
        <w:t>备案</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szCs w:val="21"/>
        </w:rPr>
        <w:t>（5）公告：</w:t>
      </w:r>
      <w:r>
        <w:rPr>
          <w:rFonts w:ascii="宋体" w:hAnsi="宋体"/>
          <w:szCs w:val="21"/>
        </w:rPr>
        <w:t>基金托管人更换后，由基金管理人在</w:t>
      </w:r>
      <w:r>
        <w:rPr>
          <w:rFonts w:ascii="宋体" w:hAnsi="宋体"/>
          <w:bCs/>
          <w:szCs w:val="21"/>
        </w:rPr>
        <w:t>更换基金托管人的基金份额持有人大会决议生效</w:t>
      </w:r>
      <w:r>
        <w:rPr>
          <w:rFonts w:ascii="宋体" w:hAnsi="宋体"/>
          <w:szCs w:val="21"/>
        </w:rPr>
        <w:t>后</w:t>
      </w:r>
      <w:r>
        <w:rPr>
          <w:rFonts w:hint="eastAsia" w:ascii="宋体" w:hAnsi="宋体"/>
          <w:bCs/>
          <w:szCs w:val="21"/>
        </w:rPr>
        <w:t>依照《信息披露办法》的</w:t>
      </w:r>
      <w:r>
        <w:rPr>
          <w:rFonts w:hint="eastAsia" w:ascii="宋体" w:hAnsi="宋体"/>
          <w:szCs w:val="21"/>
        </w:rPr>
        <w:t>规定</w:t>
      </w:r>
      <w:r>
        <w:rPr>
          <w:rFonts w:ascii="宋体" w:hAnsi="宋体"/>
          <w:bCs/>
          <w:szCs w:val="21"/>
        </w:rPr>
        <w:t>在</w:t>
      </w:r>
      <w:r>
        <w:rPr>
          <w:rFonts w:hint="eastAsia" w:ascii="宋体" w:hAnsi="宋体"/>
          <w:bCs/>
          <w:szCs w:val="21"/>
        </w:rPr>
        <w:t>规定</w:t>
      </w:r>
      <w:r>
        <w:rPr>
          <w:rFonts w:hint="eastAsia" w:ascii="宋体" w:hAnsi="宋体"/>
          <w:szCs w:val="21"/>
        </w:rPr>
        <w:t>媒介</w:t>
      </w:r>
      <w:r>
        <w:rPr>
          <w:rFonts w:ascii="宋体" w:hAnsi="宋体"/>
          <w:szCs w:val="21"/>
        </w:rPr>
        <w:t>公告</w:t>
      </w:r>
      <w:r>
        <w:rPr>
          <w:rFonts w:hint="eastAsia" w:ascii="宋体" w:hAnsi="宋体"/>
          <w:bCs/>
          <w:szCs w:val="21"/>
        </w:rPr>
        <w:t>；</w:t>
      </w:r>
    </w:p>
    <w:p>
      <w:pPr>
        <w:spacing w:line="360" w:lineRule="auto"/>
        <w:ind w:firstLine="420" w:firstLineChars="200"/>
        <w:rPr>
          <w:rFonts w:ascii="宋体" w:hAnsi="宋体"/>
          <w:szCs w:val="21"/>
        </w:rPr>
      </w:pPr>
      <w:r>
        <w:rPr>
          <w:rFonts w:hint="eastAsia" w:ascii="宋体" w:hAnsi="宋体"/>
          <w:bCs/>
          <w:szCs w:val="21"/>
        </w:rPr>
        <w:t>（6）</w:t>
      </w:r>
      <w:r>
        <w:rPr>
          <w:rFonts w:ascii="宋体" w:hAnsi="宋体"/>
          <w:bCs/>
          <w:szCs w:val="21"/>
        </w:rPr>
        <w:t>交接：基金托管人职责终止的，应当妥善保管基金财产和基金托管业务资料，及时办理基金财产和基金托管业务的移交手续，</w:t>
      </w:r>
      <w:r>
        <w:rPr>
          <w:rFonts w:ascii="宋体" w:hAnsi="宋体"/>
          <w:szCs w:val="21"/>
        </w:rPr>
        <w:t>新任基金托管人</w:t>
      </w:r>
      <w:r>
        <w:rPr>
          <w:rFonts w:ascii="宋体" w:hAnsi="宋体"/>
          <w:bCs/>
          <w:szCs w:val="21"/>
        </w:rPr>
        <w:t>或者临时基金托管人应当及时接收。新任基金托管人</w:t>
      </w:r>
      <w:r>
        <w:rPr>
          <w:rFonts w:hint="eastAsia" w:ascii="宋体" w:hAnsi="宋体"/>
          <w:bCs/>
          <w:szCs w:val="21"/>
        </w:rPr>
        <w:t>或者临时基金托管人</w:t>
      </w:r>
      <w:r>
        <w:rPr>
          <w:rFonts w:ascii="宋体" w:hAnsi="宋体"/>
          <w:szCs w:val="21"/>
        </w:rPr>
        <w:t>与基金管理人核对</w:t>
      </w:r>
      <w:r>
        <w:rPr>
          <w:rFonts w:ascii="宋体" w:hAnsi="宋体"/>
          <w:bCs/>
          <w:szCs w:val="21"/>
        </w:rPr>
        <w:t>基金</w:t>
      </w:r>
      <w:r>
        <w:rPr>
          <w:rFonts w:ascii="宋体" w:hAnsi="宋体"/>
          <w:szCs w:val="21"/>
        </w:rPr>
        <w:t>资产总值</w:t>
      </w:r>
      <w:r>
        <w:rPr>
          <w:rFonts w:hint="eastAsia" w:ascii="宋体" w:hAnsi="宋体"/>
          <w:bCs/>
          <w:szCs w:val="21"/>
        </w:rPr>
        <w:t>和净值</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（7）审计：基金托管人职责终止的，应当按照法律法规规定聘请</w:t>
      </w:r>
      <w:r>
        <w:rPr>
          <w:rFonts w:hint="eastAsia" w:ascii="宋体" w:hAnsi="宋体"/>
          <w:bCs/>
          <w:szCs w:val="21"/>
        </w:rPr>
        <w:t>符合《中华人民共和国证券法》规定的</w:t>
      </w:r>
      <w:r>
        <w:rPr>
          <w:rFonts w:hint="eastAsia" w:ascii="宋体" w:hAnsi="宋体"/>
          <w:szCs w:val="21"/>
        </w:rPr>
        <w:t>会计师事务所对基金财产进行审计，并</w:t>
      </w:r>
      <w:r>
        <w:rPr>
          <w:rFonts w:ascii="宋体" w:hAnsi="宋体"/>
          <w:bCs/>
          <w:szCs w:val="21"/>
        </w:rPr>
        <w:t>将审计结果</w:t>
      </w:r>
      <w:r>
        <w:rPr>
          <w:rFonts w:hint="eastAsia" w:ascii="宋体" w:hAnsi="宋体"/>
          <w:szCs w:val="21"/>
        </w:rPr>
        <w:t>予以公告，同时报中国证监会备案</w:t>
      </w:r>
      <w:r>
        <w:rPr>
          <w:rFonts w:hint="eastAsia" w:ascii="宋体" w:hAnsi="宋体"/>
          <w:bCs/>
          <w:szCs w:val="21"/>
        </w:rPr>
        <w:t>，审计费用从基金财产中列支</w:t>
      </w:r>
      <w:r>
        <w:rPr>
          <w:rFonts w:hint="eastAsia" w:ascii="宋体" w:hAnsi="宋体"/>
          <w:szCs w:val="21"/>
        </w:rPr>
        <w:t>。</w:t>
      </w:r>
    </w:p>
    <w:p>
      <w:pPr>
        <w:spacing w:line="360" w:lineRule="auto"/>
        <w:ind w:firstLine="472" w:firstLineChars="225"/>
        <w:rPr>
          <w:rFonts w:ascii="宋体" w:hAnsi="宋体"/>
          <w:szCs w:val="21"/>
        </w:rPr>
      </w:pPr>
      <w:r>
        <w:rPr>
          <w:rFonts w:hint="eastAsia" w:ascii="宋体" w:hAnsi="宋体"/>
          <w:szCs w:val="21"/>
        </w:rPr>
        <w:t>3.原基金托管人职责终止后，新任基金托管人或临时基金托管人接收基金财产和基金托管业务前，原基金托管人和基金管理人需采取审慎措施确保基金财产的安全，不对基金份额持有人的利益造成损失，并有义务协助新任基金托管人或临时基金托管人尽快交接基金资产。</w:t>
      </w:r>
    </w:p>
    <w:p>
      <w:pPr>
        <w:spacing w:line="360" w:lineRule="auto"/>
        <w:ind w:firstLine="420" w:firstLineChars="200"/>
        <w:outlineLvl w:val="1"/>
        <w:rPr>
          <w:rFonts w:ascii="宋体" w:hAnsi="宋体"/>
          <w:bCs/>
          <w:szCs w:val="21"/>
        </w:rPr>
      </w:pPr>
      <w:r>
        <w:rPr>
          <w:rFonts w:hint="eastAsia" w:ascii="宋体" w:hAnsi="宋体"/>
          <w:bCs/>
          <w:szCs w:val="21"/>
        </w:rPr>
        <w:t>（三）</w:t>
      </w:r>
      <w:r>
        <w:rPr>
          <w:rFonts w:hint="eastAsia" w:ascii="宋体" w:hAnsi="宋体"/>
          <w:bCs/>
          <w:szCs w:val="21"/>
        </w:rPr>
        <w:tab/>
      </w:r>
      <w:r>
        <w:rPr>
          <w:rFonts w:hint="eastAsia" w:ascii="宋体" w:hAnsi="宋体"/>
          <w:bCs/>
          <w:szCs w:val="21"/>
        </w:rPr>
        <w:t>基金管理人和基金托管人的同时更换程序</w:t>
      </w:r>
    </w:p>
    <w:p>
      <w:pPr>
        <w:spacing w:line="360" w:lineRule="auto"/>
        <w:ind w:firstLine="472" w:firstLineChars="225"/>
        <w:rPr>
          <w:rFonts w:hint="eastAsia" w:ascii="宋体" w:hAnsi="宋体"/>
          <w:szCs w:val="21"/>
        </w:rPr>
      </w:pPr>
      <w:r>
        <w:rPr>
          <w:rFonts w:hint="eastAsia" w:ascii="宋体" w:hAnsi="宋体"/>
          <w:szCs w:val="21"/>
        </w:rPr>
        <w:t>1、提名：如果基金管理人和基金托管人同时更换，由单独或合计持有基金总份额10%以上（含10%）的基金份额持有人提名新的基金管理人和基金托管人；</w:t>
      </w:r>
    </w:p>
    <w:p>
      <w:pPr>
        <w:spacing w:line="360" w:lineRule="auto"/>
        <w:ind w:firstLine="472" w:firstLineChars="225"/>
        <w:rPr>
          <w:rFonts w:hint="eastAsia" w:ascii="宋体" w:hAnsi="宋体"/>
          <w:szCs w:val="21"/>
        </w:rPr>
      </w:pPr>
      <w:r>
        <w:rPr>
          <w:rFonts w:hint="eastAsia" w:ascii="宋体" w:hAnsi="宋体"/>
          <w:szCs w:val="21"/>
        </w:rPr>
        <w:t>2、基金管理人和基金托管人的更换分别按上述程序进行；</w:t>
      </w:r>
    </w:p>
    <w:p>
      <w:pPr>
        <w:spacing w:line="360" w:lineRule="auto"/>
        <w:ind w:firstLine="472" w:firstLineChars="225"/>
        <w:rPr>
          <w:rFonts w:ascii="宋体" w:hAnsi="宋体"/>
          <w:szCs w:val="21"/>
        </w:rPr>
      </w:pPr>
      <w:r>
        <w:rPr>
          <w:rFonts w:hint="eastAsia" w:ascii="宋体" w:hAnsi="宋体"/>
          <w:szCs w:val="21"/>
        </w:rPr>
        <w:t>3、公告：新任基金管理人和新任基金托管人应在更换基金管理人和基金托管人的基金份额持有人大会决议生效后依照《信息披露办法》的规定在规定媒介上联合公告。</w:t>
      </w:r>
    </w:p>
    <w:bookmarkEnd w:id="74"/>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7" w:name="_Toc382819131"/>
      <w:r>
        <w:rPr>
          <w:rFonts w:hint="eastAsia" w:ascii="宋体" w:hAnsi="宋体" w:eastAsia="宋体" w:cs="Arial"/>
          <w:sz w:val="21"/>
          <w:szCs w:val="21"/>
        </w:rPr>
        <w:t>禁止行为</w:t>
      </w:r>
      <w:bookmarkEnd w:id="77"/>
    </w:p>
    <w:p>
      <w:pPr>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pPr>
        <w:spacing w:line="360" w:lineRule="auto"/>
        <w:ind w:firstLine="472" w:firstLineChars="225"/>
        <w:rPr>
          <w:rFonts w:ascii="宋体" w:hAnsi="宋体"/>
          <w:szCs w:val="21"/>
        </w:rPr>
      </w:pPr>
      <w:r>
        <w:rPr>
          <w:rFonts w:hint="eastAsia" w:ascii="宋体" w:hAnsi="宋体"/>
          <w:szCs w:val="21"/>
        </w:rPr>
        <w:t>（一）基金管理人、基金托管人将其固有财产或者他人财产混同于基金财产从事证券投资。</w:t>
      </w:r>
    </w:p>
    <w:p>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pPr>
        <w:spacing w:line="360" w:lineRule="auto"/>
        <w:ind w:firstLine="472" w:firstLineChars="225"/>
        <w:rPr>
          <w:rFonts w:ascii="宋体" w:hAnsi="宋体"/>
          <w:szCs w:val="21"/>
        </w:rPr>
      </w:pPr>
      <w:r>
        <w:rPr>
          <w:rFonts w:hint="eastAsia" w:ascii="宋体" w:hAnsi="宋体"/>
          <w:szCs w:val="21"/>
        </w:rPr>
        <w:t>（三）基金管理人、基金托管人利用基金财产为基金份额持有人以外的第三人牟取利益。</w:t>
      </w:r>
    </w:p>
    <w:p>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pPr>
        <w:spacing w:line="360" w:lineRule="auto"/>
        <w:ind w:firstLine="472" w:firstLineChars="225"/>
        <w:rPr>
          <w:rFonts w:ascii="宋体" w:hAnsi="宋体"/>
          <w:szCs w:val="21"/>
        </w:rPr>
      </w:pPr>
      <w:r>
        <w:rPr>
          <w:rFonts w:hint="eastAsia" w:ascii="宋体" w:hAnsi="宋体"/>
          <w:szCs w:val="21"/>
        </w:rPr>
        <w:t>（五）基金管理人、基金托管人对他人泄露基金经营过程中任何尚未按法律法规规定的方式公开披露的信息。</w:t>
      </w:r>
    </w:p>
    <w:p>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pPr>
        <w:spacing w:line="360" w:lineRule="auto"/>
        <w:ind w:firstLine="472" w:firstLineChars="225"/>
        <w:rPr>
          <w:rFonts w:ascii="宋体" w:hAnsi="宋体"/>
          <w:szCs w:val="21"/>
        </w:rPr>
      </w:pPr>
      <w:r>
        <w:rPr>
          <w:rFonts w:hint="eastAsia" w:ascii="宋体" w:hAnsi="宋体"/>
          <w:szCs w:val="21"/>
        </w:rPr>
        <w:t>（七）基金托管人对基金管理人的符合本协议约定的有效指令拖延或拒绝执行。</w:t>
      </w:r>
    </w:p>
    <w:p>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（八）基金管理人、基金托管人在行政上、财务上不独立，其高级管理人员相互兼职。 </w:t>
      </w:r>
    </w:p>
    <w:p>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pPr>
        <w:spacing w:line="360" w:lineRule="auto"/>
        <w:ind w:firstLine="472" w:firstLineChars="225"/>
        <w:rPr>
          <w:rFonts w:ascii="宋体" w:hAnsi="宋体"/>
          <w:szCs w:val="21"/>
        </w:rPr>
      </w:pPr>
      <w:r>
        <w:rPr>
          <w:rFonts w:hint="eastAsia" w:ascii="宋体" w:hAnsi="宋体"/>
          <w:szCs w:val="21"/>
        </w:rPr>
        <w:t>（十）基金管理人、基金托管人不得利用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w:t>
      </w:r>
      <w:r>
        <w:rPr>
          <w:rFonts w:ascii="宋体" w:hAnsi="宋体"/>
          <w:szCs w:val="21"/>
        </w:rPr>
        <w:t>7</w:t>
      </w:r>
      <w:r>
        <w:rPr>
          <w:rFonts w:hint="eastAsia" w:ascii="宋体" w:hAnsi="宋体"/>
          <w:szCs w:val="21"/>
        </w:rPr>
        <w:t>）法律、行政法规和中国证监会规定禁止的其他活动。</w:t>
      </w:r>
    </w:p>
    <w:p>
      <w:pPr>
        <w:spacing w:line="360" w:lineRule="auto"/>
        <w:rPr>
          <w:rFonts w:ascii="宋体" w:hAnsi="宋体"/>
          <w:szCs w:val="21"/>
        </w:rPr>
      </w:pPr>
      <w:r>
        <w:rPr>
          <w:rFonts w:hint="eastAsia" w:ascii="宋体" w:hAnsi="宋体"/>
          <w:szCs w:val="21"/>
        </w:rPr>
        <w:t xml:space="preserve">  （十一）法律法规和基金合同禁止的其他行为，以及依照法律法规有关规定，由中国证监会规定禁止基金管理人、基金托管人从事的其他行为。</w:t>
      </w:r>
    </w:p>
    <w:p>
      <w:pPr>
        <w:spacing w:line="360" w:lineRule="auto"/>
        <w:rPr>
          <w:rFonts w:ascii="宋体" w:hAnsi="宋体"/>
          <w:szCs w:val="21"/>
        </w:rPr>
      </w:pPr>
      <w:r>
        <w:rPr>
          <w:rFonts w:hint="eastAsia" w:ascii="宋体" w:hAnsi="宋体"/>
          <w:szCs w:val="21"/>
        </w:rPr>
        <w:t xml:space="preserve">  （十二）法律、行政法规或监管部门取消或变更上述禁止性规定，如适用于本基金，基金管理人有权在履行适当程序后，本基金可不受上述规定的限制或按照法律法规或监管部门调整或修改后的规定执行，并应向投资者履行信息披露义务。</w:t>
      </w:r>
      <w:bookmarkStart w:id="78" w:name="_Toc382819132"/>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r>
        <w:rPr>
          <w:rFonts w:hint="eastAsia" w:ascii="宋体" w:hAnsi="宋体" w:eastAsia="宋体" w:cs="Arial"/>
          <w:sz w:val="21"/>
          <w:szCs w:val="21"/>
        </w:rPr>
        <w:t>基金托管协议的变更、终止与基金财产的清算</w:t>
      </w:r>
      <w:bookmarkEnd w:id="78"/>
    </w:p>
    <w:p>
      <w:pPr>
        <w:spacing w:line="360" w:lineRule="auto"/>
        <w:ind w:firstLine="420" w:firstLineChars="200"/>
        <w:outlineLvl w:val="1"/>
        <w:rPr>
          <w:rFonts w:ascii="宋体" w:hAnsi="宋体"/>
          <w:szCs w:val="21"/>
        </w:rPr>
      </w:pPr>
      <w:r>
        <w:rPr>
          <w:rFonts w:hint="eastAsia" w:ascii="宋体" w:hAnsi="宋体"/>
          <w:szCs w:val="21"/>
        </w:rPr>
        <w:t>（一）托管协议的变更与终止</w:t>
      </w:r>
    </w:p>
    <w:p>
      <w:pPr>
        <w:spacing w:line="360" w:lineRule="auto"/>
        <w:ind w:firstLine="420" w:firstLineChars="200"/>
        <w:outlineLvl w:val="2"/>
        <w:rPr>
          <w:rFonts w:ascii="宋体" w:hAnsi="宋体"/>
          <w:szCs w:val="21"/>
        </w:rPr>
      </w:pPr>
      <w:r>
        <w:rPr>
          <w:rFonts w:hint="eastAsia" w:ascii="宋体" w:hAnsi="宋体"/>
          <w:szCs w:val="21"/>
        </w:rPr>
        <w:t>1.托管协议的变更程序</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本协议双方当事人经协商一致，可以对协议的内容进行变更。变更后的托管协议，其内容不得与《基金合同》的规定有任何冲突</w:t>
      </w:r>
      <w:r>
        <w:rPr>
          <w:rStyle w:val="22"/>
          <w:rFonts w:hint="eastAsia"/>
        </w:rPr>
        <w:t>，</w:t>
      </w:r>
      <w:r>
        <w:rPr>
          <w:rFonts w:hint="eastAsia" w:ascii="宋体" w:hAnsi="宋体"/>
          <w:spacing w:val="6"/>
          <w:szCs w:val="21"/>
        </w:rPr>
        <w:t>基金托管协议的变更按规定报中国证监会备案。</w:t>
      </w:r>
    </w:p>
    <w:p>
      <w:pPr>
        <w:spacing w:line="360" w:lineRule="auto"/>
        <w:ind w:firstLine="420" w:firstLineChars="200"/>
        <w:outlineLvl w:val="2"/>
        <w:rPr>
          <w:rFonts w:ascii="宋体" w:hAnsi="宋体"/>
          <w:szCs w:val="21"/>
        </w:rPr>
      </w:pPr>
      <w:r>
        <w:rPr>
          <w:rFonts w:hint="eastAsia" w:ascii="宋体" w:hAnsi="宋体"/>
          <w:szCs w:val="21"/>
        </w:rPr>
        <w:t>2.基金托管协议终止的情形</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发生以下情况，本托管协议终止：</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（1）《基金合同》终止；</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（2）基金托管人解散、依法被撤销、破产或有其他基金托管人接管基金资产；</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（3）基金管理人解散、依法被撤销、破产或有其他基金管理人接管基金管理权；</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（4）发生法律法规或《基金合同》规定的终止事项。</w:t>
      </w:r>
    </w:p>
    <w:p>
      <w:pPr>
        <w:spacing w:line="360" w:lineRule="auto"/>
        <w:ind w:firstLine="420" w:firstLineChars="200"/>
        <w:outlineLvl w:val="1"/>
        <w:rPr>
          <w:rFonts w:ascii="宋体" w:hAnsi="宋体"/>
          <w:szCs w:val="21"/>
        </w:rPr>
      </w:pPr>
      <w:bookmarkStart w:id="79" w:name="_Hlk207919495"/>
      <w:r>
        <w:rPr>
          <w:rFonts w:hint="eastAsia" w:ascii="宋体" w:hAnsi="宋体"/>
          <w:szCs w:val="21"/>
        </w:rPr>
        <w:t>（二）基金财产的清算</w:t>
      </w:r>
    </w:p>
    <w:p>
      <w:pPr>
        <w:spacing w:line="360" w:lineRule="auto"/>
        <w:ind w:firstLine="420" w:firstLineChars="200"/>
        <w:rPr>
          <w:rFonts w:ascii="宋体" w:hAnsi="宋体"/>
          <w:szCs w:val="21"/>
        </w:rPr>
      </w:pPr>
      <w:r>
        <w:rPr>
          <w:rFonts w:hint="eastAsia" w:ascii="宋体" w:hAnsi="宋体"/>
          <w:szCs w:val="21"/>
        </w:rPr>
        <w:t>1.基金财产清算小组：自出现《基金合同》终止事由之日起30个工作日内成立清算小组，基金管理人组织基金财产清算小组并在中国证监会的监督下进行基金清算。</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kern w:val="0"/>
          <w:szCs w:val="21"/>
        </w:rPr>
        <w:t>在基金财产清算小组接管基金财产之前，基金管理人和基金托管人应按照《基金合同》和本托管协议的规定继续履行保护基金财产安全的职责。</w:t>
      </w:r>
    </w:p>
    <w:p>
      <w:pPr>
        <w:spacing w:line="360" w:lineRule="auto"/>
        <w:ind w:firstLine="420" w:firstLineChars="200"/>
        <w:rPr>
          <w:rFonts w:ascii="宋体" w:hAnsi="宋体"/>
          <w:szCs w:val="21"/>
        </w:rPr>
      </w:pPr>
      <w:r>
        <w:rPr>
          <w:rFonts w:hint="eastAsia" w:ascii="宋体" w:hAnsi="宋体"/>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20" w:firstLineChars="200"/>
        <w:rPr>
          <w:rFonts w:ascii="宋体" w:hAnsi="宋体"/>
          <w:szCs w:val="21"/>
        </w:rPr>
      </w:pPr>
      <w:r>
        <w:rPr>
          <w:rFonts w:hint="eastAsia" w:ascii="宋体" w:hAnsi="宋体"/>
          <w:szCs w:val="21"/>
        </w:rPr>
        <w:t>4.基金财产清算小组职责：基金财产清算小组负责基金财产的保管、清理、估价、变现和分配。基金财产清算小组可以依法进行必要的民事活动。</w:t>
      </w:r>
    </w:p>
    <w:p>
      <w:pPr>
        <w:tabs>
          <w:tab w:val="left" w:pos="6435"/>
        </w:tabs>
        <w:spacing w:line="360" w:lineRule="auto"/>
        <w:ind w:firstLine="420" w:firstLineChars="200"/>
        <w:rPr>
          <w:rFonts w:ascii="宋体" w:hAnsi="宋体"/>
          <w:szCs w:val="21"/>
        </w:rPr>
      </w:pPr>
      <w:r>
        <w:rPr>
          <w:rFonts w:hint="eastAsia" w:ascii="宋体" w:hAnsi="宋体"/>
          <w:szCs w:val="21"/>
        </w:rPr>
        <w:t>5.基金财产清算程序：</w:t>
      </w:r>
      <w:r>
        <w:rPr>
          <w:rFonts w:hint="eastAsia" w:ascii="宋体" w:hAnsi="宋体"/>
          <w:szCs w:val="21"/>
        </w:rPr>
        <w:tab/>
      </w:r>
    </w:p>
    <w:p>
      <w:pPr>
        <w:spacing w:line="360" w:lineRule="auto"/>
        <w:ind w:firstLine="420" w:firstLineChars="200"/>
        <w:rPr>
          <w:rFonts w:ascii="宋体" w:hAnsi="宋体"/>
          <w:szCs w:val="21"/>
        </w:rPr>
      </w:pPr>
      <w:r>
        <w:rPr>
          <w:rFonts w:hint="eastAsia" w:ascii="宋体" w:hAnsi="宋体"/>
          <w:szCs w:val="21"/>
        </w:rPr>
        <w:t>（1）《基金合同》终止情形出现时，由基金财产清算小组统一接管基金财产；</w:t>
      </w:r>
    </w:p>
    <w:p>
      <w:pPr>
        <w:spacing w:line="360" w:lineRule="auto"/>
        <w:ind w:firstLine="420" w:firstLineChars="200"/>
        <w:rPr>
          <w:rFonts w:ascii="宋体" w:hAnsi="宋体"/>
          <w:szCs w:val="21"/>
        </w:rPr>
      </w:pPr>
      <w:r>
        <w:rPr>
          <w:rFonts w:hint="eastAsia" w:ascii="宋体" w:hAnsi="宋体"/>
          <w:szCs w:val="21"/>
        </w:rPr>
        <w:t>（2）对基金财产和债权债务进行清理和确认；</w:t>
      </w:r>
    </w:p>
    <w:p>
      <w:pPr>
        <w:spacing w:line="360" w:lineRule="auto"/>
        <w:ind w:firstLine="420" w:firstLineChars="200"/>
        <w:rPr>
          <w:rFonts w:ascii="宋体" w:hAnsi="宋体"/>
          <w:szCs w:val="21"/>
        </w:rPr>
      </w:pPr>
      <w:r>
        <w:rPr>
          <w:rFonts w:hint="eastAsia" w:ascii="宋体" w:hAnsi="宋体"/>
          <w:szCs w:val="21"/>
        </w:rPr>
        <w:t>（3）对基金财产进行估值和变现；</w:t>
      </w:r>
    </w:p>
    <w:p>
      <w:pPr>
        <w:spacing w:line="360" w:lineRule="auto"/>
        <w:ind w:firstLine="420" w:firstLineChars="200"/>
        <w:rPr>
          <w:rFonts w:ascii="宋体" w:hAnsi="宋体"/>
          <w:szCs w:val="21"/>
        </w:rPr>
      </w:pPr>
      <w:r>
        <w:rPr>
          <w:rFonts w:hint="eastAsia" w:ascii="宋体" w:hAnsi="宋体"/>
          <w:szCs w:val="21"/>
        </w:rPr>
        <w:t>（4）制作清算报告；</w:t>
      </w:r>
    </w:p>
    <w:p>
      <w:pPr>
        <w:spacing w:line="360" w:lineRule="auto"/>
        <w:ind w:firstLine="420" w:firstLineChars="200"/>
        <w:rPr>
          <w:rFonts w:ascii="宋体" w:hAnsi="宋体"/>
          <w:szCs w:val="21"/>
        </w:rPr>
      </w:pPr>
      <w:r>
        <w:rPr>
          <w:rFonts w:hint="eastAsia" w:ascii="宋体" w:hAnsi="宋体"/>
          <w:szCs w:val="21"/>
        </w:rPr>
        <w:t>（5）</w:t>
      </w:r>
      <w:r>
        <w:rPr>
          <w:rFonts w:hint="eastAsia" w:ascii="宋体" w:hAnsi="宋体"/>
          <w:bCs/>
          <w:szCs w:val="21"/>
        </w:rPr>
        <w:t>聘请会计师事务所对清算报告进行外部审计，聘请律师事务所对清算报告出具法律意见书；</w:t>
      </w:r>
    </w:p>
    <w:p>
      <w:pPr>
        <w:spacing w:line="360" w:lineRule="auto"/>
        <w:ind w:firstLine="420" w:firstLineChars="200"/>
        <w:rPr>
          <w:rFonts w:ascii="宋体" w:hAnsi="宋体"/>
          <w:kern w:val="0"/>
          <w:szCs w:val="21"/>
        </w:rPr>
      </w:pPr>
      <w:r>
        <w:rPr>
          <w:rFonts w:hint="eastAsia" w:ascii="宋体" w:hAnsi="宋体"/>
          <w:szCs w:val="21"/>
        </w:rPr>
        <w:t>（6）将清算报告报中国证监会备案并公告；</w:t>
      </w:r>
    </w:p>
    <w:p>
      <w:pPr>
        <w:spacing w:line="360" w:lineRule="auto"/>
        <w:ind w:firstLine="420" w:firstLineChars="200"/>
        <w:rPr>
          <w:rFonts w:ascii="宋体" w:hAnsi="宋体"/>
          <w:bCs/>
          <w:szCs w:val="21"/>
        </w:rPr>
      </w:pPr>
      <w:r>
        <w:rPr>
          <w:rFonts w:hint="eastAsia" w:ascii="宋体" w:hAnsi="宋体"/>
          <w:szCs w:val="21"/>
        </w:rPr>
        <w:t>（7）</w:t>
      </w:r>
      <w:r>
        <w:rPr>
          <w:rFonts w:hint="eastAsia" w:ascii="宋体" w:hAnsi="宋体"/>
          <w:bCs/>
          <w:szCs w:val="21"/>
        </w:rPr>
        <w:t>对基金剩余财产进行分配。</w:t>
      </w:r>
    </w:p>
    <w:p>
      <w:pPr>
        <w:spacing w:line="360" w:lineRule="auto"/>
        <w:ind w:firstLine="420" w:firstLineChars="200"/>
        <w:rPr>
          <w:rFonts w:ascii="宋体" w:hAnsi="宋体"/>
          <w:szCs w:val="21"/>
        </w:rPr>
      </w:pPr>
      <w:r>
        <w:rPr>
          <w:rFonts w:hint="eastAsia" w:ascii="宋体" w:hAnsi="宋体"/>
          <w:bCs/>
          <w:szCs w:val="21"/>
        </w:rPr>
        <w:t>基金财产清算的期限为6个月，但因本基金所持证券的流动性受到限制而不能及时变现的，清算期限相应顺延。</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6.清算费用</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7.基金财产按下列顺序清偿：</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(1)支付清算费用；</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(2)交纳所欠税款；</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(3)清偿基金债务；</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(4)按基金份额持有人持有的基金份额比例进行分配。</w:t>
      </w:r>
    </w:p>
    <w:p>
      <w:pPr>
        <w:spacing w:line="360" w:lineRule="auto"/>
        <w:ind w:firstLine="420" w:firstLineChars="200"/>
        <w:rPr>
          <w:rFonts w:ascii="宋体" w:hAnsi="宋体" w:cs="Arial"/>
          <w:szCs w:val="21"/>
        </w:rPr>
      </w:pPr>
      <w:r>
        <w:rPr>
          <w:rFonts w:hint="eastAsia" w:ascii="宋体" w:hAnsi="宋体" w:cs="Arial"/>
          <w:szCs w:val="21"/>
        </w:rPr>
        <w:t>基金财产未按前款(1)－(3)项规定清偿前，不分配给基金份额持有人。</w:t>
      </w:r>
    </w:p>
    <w:p>
      <w:pPr>
        <w:spacing w:line="360" w:lineRule="auto"/>
        <w:ind w:firstLine="420" w:firstLineChars="200"/>
        <w:outlineLvl w:val="1"/>
        <w:rPr>
          <w:rFonts w:ascii="宋体" w:hAnsi="宋体"/>
          <w:bCs/>
          <w:szCs w:val="21"/>
        </w:rPr>
      </w:pPr>
      <w:r>
        <w:rPr>
          <w:rFonts w:hint="eastAsia" w:ascii="宋体" w:hAnsi="宋体"/>
          <w:bCs/>
          <w:szCs w:val="21"/>
        </w:rPr>
        <w:t>（三）基金财产清算的公告</w:t>
      </w:r>
    </w:p>
    <w:p>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w:t>
      </w:r>
      <w:r>
        <w:rPr>
          <w:rFonts w:ascii="宋体" w:hAnsi="宋体"/>
          <w:bCs/>
          <w:szCs w:val="21"/>
        </w:rPr>
        <w:t>符合</w:t>
      </w:r>
      <w:r>
        <w:rPr>
          <w:rFonts w:hint="eastAsia" w:ascii="宋体" w:hAnsi="宋体"/>
          <w:bCs/>
          <w:szCs w:val="21"/>
        </w:rPr>
        <w:t>《中华人民共和国证券法》规定的</w:t>
      </w:r>
      <w:r>
        <w:rPr>
          <w:rFonts w:hint="eastAsia" w:ascii="宋体" w:hAnsi="宋体"/>
          <w:szCs w:val="21"/>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ascii="宋体" w:hAnsi="宋体"/>
          <w:bCs/>
          <w:szCs w:val="21"/>
        </w:rPr>
        <w:t>，基金财产清算小组应当将清算报告登载在规定网站上，并将清算报告提示性公告登载在规定报刊上</w:t>
      </w:r>
      <w:r>
        <w:rPr>
          <w:rFonts w:hint="eastAsia" w:ascii="宋体" w:hAnsi="宋体"/>
          <w:szCs w:val="21"/>
        </w:rPr>
        <w:t>。</w:t>
      </w:r>
    </w:p>
    <w:p>
      <w:pPr>
        <w:spacing w:line="360" w:lineRule="auto"/>
        <w:ind w:firstLine="420" w:firstLineChars="200"/>
        <w:outlineLvl w:val="1"/>
        <w:rPr>
          <w:rFonts w:ascii="宋体" w:hAnsi="宋体"/>
          <w:bCs/>
          <w:szCs w:val="21"/>
        </w:rPr>
      </w:pPr>
      <w:r>
        <w:rPr>
          <w:rFonts w:hint="eastAsia" w:ascii="宋体" w:hAnsi="宋体"/>
          <w:bCs/>
          <w:szCs w:val="21"/>
        </w:rPr>
        <w:t>（四）基金财产清算账册及文件的保存</w:t>
      </w:r>
    </w:p>
    <w:p>
      <w:pPr>
        <w:spacing w:line="360" w:lineRule="auto"/>
        <w:ind w:firstLine="200"/>
        <w:rPr>
          <w:rFonts w:ascii="宋体" w:hAnsi="宋体"/>
          <w:szCs w:val="21"/>
        </w:rPr>
      </w:pPr>
      <w:r>
        <w:rPr>
          <w:rFonts w:hint="eastAsia" w:ascii="宋体" w:hAnsi="宋体"/>
          <w:szCs w:val="21"/>
        </w:rPr>
        <w:t>基金财产清算账册及有关文件由基金托管人保存不低于法律</w:t>
      </w:r>
      <w:r>
        <w:rPr>
          <w:rFonts w:ascii="宋体" w:hAnsi="宋体"/>
          <w:szCs w:val="21"/>
        </w:rPr>
        <w:t>法规规定的最低期限</w:t>
      </w:r>
      <w:r>
        <w:rPr>
          <w:rFonts w:hint="eastAsia" w:ascii="宋体" w:hAnsi="宋体"/>
          <w:szCs w:val="21"/>
        </w:rPr>
        <w:t>。</w:t>
      </w:r>
    </w:p>
    <w:bookmarkEnd w:id="79"/>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80" w:name="_Toc382819133"/>
      <w:r>
        <w:rPr>
          <w:rFonts w:hint="eastAsia" w:ascii="宋体" w:hAnsi="宋体" w:eastAsia="宋体" w:cs="Arial"/>
          <w:sz w:val="21"/>
          <w:szCs w:val="21"/>
        </w:rPr>
        <w:t>违约责任</w:t>
      </w:r>
      <w:bookmarkEnd w:id="80"/>
    </w:p>
    <w:p>
      <w:pPr>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但是发生下列情况，当事人免责：</w:t>
      </w:r>
    </w:p>
    <w:p>
      <w:pPr>
        <w:spacing w:line="360" w:lineRule="auto"/>
        <w:ind w:firstLine="420" w:firstLineChars="200"/>
        <w:rPr>
          <w:rFonts w:ascii="宋体" w:hAnsi="宋体"/>
          <w:szCs w:val="21"/>
        </w:rPr>
      </w:pPr>
      <w:r>
        <w:rPr>
          <w:rFonts w:hint="eastAsia" w:ascii="宋体" w:hAnsi="宋体"/>
          <w:szCs w:val="21"/>
        </w:rPr>
        <w:t>1、不可抗力；</w:t>
      </w:r>
    </w:p>
    <w:p>
      <w:pPr>
        <w:spacing w:line="360" w:lineRule="auto"/>
        <w:ind w:firstLine="420" w:firstLineChars="200"/>
        <w:rPr>
          <w:rFonts w:ascii="宋体" w:hAnsi="宋体"/>
          <w:szCs w:val="21"/>
        </w:rPr>
      </w:pPr>
      <w:r>
        <w:rPr>
          <w:rFonts w:hint="eastAsia" w:ascii="宋体" w:hAnsi="宋体"/>
          <w:szCs w:val="21"/>
        </w:rPr>
        <w:t>2、基金管理人和/或基金托管人按照当时有效的法律法规或中国证监会等监管机构的规定作为或不作为而造成的损失等；</w:t>
      </w:r>
    </w:p>
    <w:p>
      <w:pPr>
        <w:spacing w:line="360" w:lineRule="auto"/>
        <w:ind w:firstLine="420" w:firstLineChars="200"/>
        <w:rPr>
          <w:rFonts w:ascii="宋体" w:hAnsi="宋体"/>
          <w:szCs w:val="21"/>
        </w:rPr>
      </w:pPr>
      <w:r>
        <w:rPr>
          <w:rFonts w:hint="eastAsia" w:ascii="宋体" w:hAnsi="宋体"/>
          <w:szCs w:val="21"/>
        </w:rPr>
        <w:t>3、基金管理人由于按照基金合同规定的投资原则行使或不行使其投资权而造成的损失等。</w:t>
      </w:r>
    </w:p>
    <w:p>
      <w:pPr>
        <w:spacing w:line="360" w:lineRule="auto"/>
        <w:ind w:firstLine="420" w:firstLineChars="200"/>
        <w:rPr>
          <w:bCs/>
          <w:szCs w:val="21"/>
        </w:rPr>
      </w:pPr>
      <w:r>
        <w:rPr>
          <w:rFonts w:hint="eastAsia" w:ascii="宋体" w:hAnsi="宋体"/>
          <w:szCs w:val="21"/>
        </w:rPr>
        <w:t>（二）</w:t>
      </w:r>
      <w:r>
        <w:rPr>
          <w:rFonts w:hint="eastAsia"/>
          <w:bCs/>
          <w:szCs w:val="21"/>
        </w:rPr>
        <w:t>在发生一方或多方违约的情况下，在最大限度地保护基金份额持有人利益的前提下，《基金合同》和本协议能够继续履行的应当继续履行。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pPr>
        <w:spacing w:line="360" w:lineRule="auto"/>
        <w:ind w:firstLine="420" w:firstLineChars="200"/>
        <w:rPr>
          <w:rFonts w:ascii="宋体" w:hAnsi="宋体"/>
          <w:szCs w:val="21"/>
          <w:lang w:val="zh-CN"/>
        </w:rPr>
      </w:pPr>
      <w:r>
        <w:rPr>
          <w:rFonts w:hint="eastAsia" w:ascii="宋体" w:hAnsi="宋体"/>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81" w:name="_Toc382819134"/>
      <w:r>
        <w:rPr>
          <w:rFonts w:hint="eastAsia" w:ascii="宋体" w:hAnsi="宋体" w:eastAsia="宋体" w:cs="Arial"/>
          <w:sz w:val="21"/>
          <w:szCs w:val="21"/>
        </w:rPr>
        <w:t>适用法律及争议解决方式</w:t>
      </w:r>
      <w:bookmarkEnd w:id="81"/>
    </w:p>
    <w:p>
      <w:pPr>
        <w:spacing w:line="360" w:lineRule="auto"/>
        <w:ind w:firstLine="420" w:firstLineChars="200"/>
        <w:rPr>
          <w:rFonts w:ascii="宋体" w:hAnsi="宋体"/>
          <w:b w:val="0"/>
          <w:bCs w:val="0"/>
          <w:szCs w:val="21"/>
          <w:lang w:val="zh-CN"/>
        </w:rPr>
      </w:pPr>
      <w:r>
        <w:rPr>
          <w:rFonts w:hint="eastAsia" w:ascii="宋体" w:hAnsi="宋体"/>
          <w:b w:val="0"/>
          <w:bCs w:val="0"/>
          <w:szCs w:val="21"/>
          <w:lang w:val="zh-CN"/>
        </w:rPr>
        <w:t>（一）</w:t>
      </w:r>
      <w:r>
        <w:rPr>
          <w:rFonts w:hint="eastAsia" w:ascii="宋体" w:hAnsi="宋体"/>
          <w:b w:val="0"/>
          <w:bCs w:val="0"/>
          <w:szCs w:val="21"/>
        </w:rPr>
        <w:t>本协议适用中华人民共和国法律（为本协议之目的，在此不包括香港、澳门特别行政区和台湾地区法律），并从其解释。</w:t>
      </w:r>
    </w:p>
    <w:p>
      <w:pPr>
        <w:spacing w:line="360" w:lineRule="auto"/>
        <w:ind w:firstLine="422" w:firstLineChars="200"/>
        <w:rPr>
          <w:rFonts w:ascii="宋体" w:hAnsi="宋体"/>
          <w:b/>
          <w:bCs/>
          <w:szCs w:val="21"/>
        </w:rPr>
      </w:pPr>
      <w:r>
        <w:rPr>
          <w:rFonts w:hint="eastAsia" w:ascii="宋体" w:hAnsi="宋体"/>
          <w:b/>
          <w:bCs/>
          <w:szCs w:val="21"/>
        </w:rPr>
        <w:t>（二）</w:t>
      </w:r>
      <w:r>
        <w:rPr>
          <w:rFonts w:ascii="宋体" w:hAnsi="宋体"/>
          <w:b/>
          <w:bCs/>
          <w:szCs w:val="21"/>
        </w:rPr>
        <w:t>双方</w:t>
      </w:r>
      <w:r>
        <w:rPr>
          <w:rFonts w:hint="eastAsia" w:ascii="宋体" w:hAnsi="宋体"/>
          <w:b/>
          <w:bCs/>
          <w:szCs w:val="21"/>
        </w:rPr>
        <w:t>当事人同意，因本协议而产生的或与本协议有关的一切争议，除经友好协商可以解决的，任何一方均有权将争议提交</w:t>
      </w:r>
      <w:bookmarkStart w:id="82" w:name="OLE_LINK19"/>
      <w:bookmarkStart w:id="83" w:name="OLE_LINK18"/>
      <w:r>
        <w:rPr>
          <w:rFonts w:hint="eastAsia" w:ascii="宋体" w:hAnsi="宋体"/>
          <w:b/>
          <w:bCs/>
          <w:szCs w:val="21"/>
        </w:rPr>
        <w:t>上海国际经济贸易仲裁委员会</w:t>
      </w:r>
      <w:bookmarkEnd w:id="82"/>
      <w:bookmarkEnd w:id="83"/>
      <w:r>
        <w:rPr>
          <w:rFonts w:hint="eastAsia" w:ascii="宋体" w:hAnsi="宋体"/>
          <w:b/>
          <w:bCs/>
          <w:szCs w:val="21"/>
        </w:rPr>
        <w:t>，根据该会届时有效的仲裁规则进行仲裁，仲裁的地点在</w:t>
      </w:r>
      <w:r>
        <w:rPr>
          <w:rFonts w:hint="eastAsia" w:ascii="宋体" w:hAnsi="宋体"/>
          <w:b/>
          <w:bCs/>
          <w:szCs w:val="21"/>
          <w:u w:val="single"/>
        </w:rPr>
        <w:t>上海市</w:t>
      </w:r>
      <w:r>
        <w:rPr>
          <w:rFonts w:hint="eastAsia" w:ascii="宋体" w:hAnsi="宋体"/>
          <w:b/>
          <w:bCs/>
          <w:szCs w:val="21"/>
        </w:rPr>
        <w:t>，仲裁裁决是终局性的并对</w:t>
      </w:r>
      <w:r>
        <w:rPr>
          <w:rFonts w:ascii="宋体" w:hAnsi="宋体"/>
          <w:b/>
          <w:bCs/>
          <w:szCs w:val="21"/>
        </w:rPr>
        <w:t>双方</w:t>
      </w:r>
      <w:r>
        <w:rPr>
          <w:rFonts w:hint="eastAsia" w:ascii="宋体" w:hAnsi="宋体"/>
          <w:b/>
          <w:bCs/>
          <w:szCs w:val="21"/>
        </w:rPr>
        <w:t>均有约束力，除非仲裁裁决另有规定，仲裁费用由败诉方承担。</w:t>
      </w:r>
    </w:p>
    <w:p>
      <w:pPr>
        <w:spacing w:line="360" w:lineRule="auto"/>
        <w:ind w:firstLine="420" w:firstLineChars="200"/>
        <w:rPr>
          <w:rFonts w:ascii="宋体" w:hAnsi="宋体"/>
          <w:szCs w:val="21"/>
        </w:rPr>
      </w:pPr>
      <w:r>
        <w:rPr>
          <w:rFonts w:hint="eastAsia" w:ascii="宋体" w:hAnsi="宋体"/>
          <w:szCs w:val="21"/>
        </w:rPr>
        <w:t>争议处理期间，</w:t>
      </w:r>
      <w:r>
        <w:rPr>
          <w:rFonts w:ascii="宋体" w:hAnsi="宋体"/>
          <w:szCs w:val="21"/>
        </w:rPr>
        <w:t>双方</w:t>
      </w:r>
      <w:r>
        <w:rPr>
          <w:rFonts w:hint="eastAsia" w:ascii="宋体" w:hAnsi="宋体"/>
          <w:szCs w:val="21"/>
        </w:rPr>
        <w:t>当事人应恪守基金管理人和基金托管人职责，继续忠实、勤勉、尽责地履行《基金合同》和本托管协议规定的义务，维护基金份额持有人的合法权益。</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84" w:name="_Toc382819135"/>
      <w:r>
        <w:rPr>
          <w:rFonts w:hint="eastAsia" w:ascii="宋体" w:hAnsi="宋体" w:eastAsia="宋体" w:cs="Arial"/>
          <w:sz w:val="21"/>
          <w:szCs w:val="21"/>
        </w:rPr>
        <w:t>基金托管协议的效力和文本</w:t>
      </w:r>
      <w:bookmarkEnd w:id="84"/>
    </w:p>
    <w:p>
      <w:pPr>
        <w:pStyle w:val="11"/>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本协议经基金管理人、基金托管人双方法定代表人或授权代表签字（或盖章）并加盖公章（或合同专用章）后成立</w:t>
      </w:r>
      <w:r>
        <w:rPr>
          <w:rFonts w:hint="eastAsia" w:ascii="宋体" w:hAnsi="宋体"/>
          <w:szCs w:val="21"/>
        </w:rPr>
        <w:t>。本协议以中国证监会注册的文本为正式文本。</w:t>
      </w:r>
    </w:p>
    <w:p>
      <w:pPr>
        <w:pStyle w:val="11"/>
        <w:rPr>
          <w:rFonts w:ascii="宋体" w:hAnsi="宋体"/>
          <w:szCs w:val="21"/>
        </w:rPr>
      </w:pPr>
      <w:r>
        <w:rPr>
          <w:rFonts w:hint="eastAsia" w:ascii="宋体" w:hAnsi="宋体"/>
          <w:szCs w:val="21"/>
        </w:rPr>
        <w:t>（二）本协议自《基金合同》生效之日起生效，有效期自其生效之日起至该基金财产清算结果报中国证监会备案并公告之日止。</w:t>
      </w:r>
    </w:p>
    <w:p>
      <w:pPr>
        <w:spacing w:line="360" w:lineRule="auto"/>
        <w:ind w:firstLine="420" w:firstLineChars="200"/>
        <w:rPr>
          <w:rFonts w:ascii="宋体" w:hAnsi="宋体"/>
          <w:szCs w:val="21"/>
        </w:rPr>
      </w:pPr>
      <w:r>
        <w:rPr>
          <w:rFonts w:hint="eastAsia" w:ascii="宋体" w:hAnsi="宋体"/>
          <w:szCs w:val="21"/>
        </w:rPr>
        <w:t>（三）本协议自生效之日起对各当事人具有同等的法律约束力。</w:t>
      </w:r>
    </w:p>
    <w:p>
      <w:pPr>
        <w:spacing w:line="360" w:lineRule="auto"/>
        <w:ind w:firstLine="420" w:firstLineChars="200"/>
        <w:rPr>
          <w:rFonts w:ascii="宋体" w:hAnsi="宋体"/>
          <w:szCs w:val="21"/>
        </w:rPr>
      </w:pPr>
      <w:r>
        <w:rPr>
          <w:rFonts w:hint="eastAsia" w:ascii="宋体" w:hAnsi="宋体"/>
          <w:szCs w:val="21"/>
        </w:rPr>
        <w:t>（四）本协议一式三份，除上报有关监管机构一份外，基金管理人和基金托管人分别持一份，每份具有同等的法律效力。</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r>
        <w:rPr>
          <w:rFonts w:hint="eastAsia" w:ascii="宋体" w:hAnsi="宋体" w:eastAsia="宋体" w:cs="Arial"/>
          <w:sz w:val="21"/>
          <w:szCs w:val="21"/>
        </w:rPr>
        <w:t xml:space="preserve"> </w:t>
      </w:r>
      <w:bookmarkStart w:id="85" w:name="_Toc382819136"/>
      <w:r>
        <w:rPr>
          <w:rFonts w:hint="eastAsia" w:ascii="宋体" w:hAnsi="宋体" w:eastAsia="宋体" w:cs="Arial"/>
          <w:sz w:val="21"/>
          <w:szCs w:val="21"/>
        </w:rPr>
        <w:t>其他事项</w:t>
      </w:r>
      <w:bookmarkEnd w:id="85"/>
    </w:p>
    <w:p>
      <w:pPr>
        <w:pStyle w:val="11"/>
        <w:rPr>
          <w:rFonts w:ascii="宋体" w:hAnsi="宋体"/>
          <w:szCs w:val="21"/>
        </w:rPr>
      </w:pPr>
      <w:r>
        <w:rPr>
          <w:rFonts w:hint="eastAsia" w:ascii="宋体" w:hAnsi="宋体"/>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pPr>
        <w:pStyle w:val="11"/>
        <w:rPr>
          <w:rFonts w:ascii="宋体" w:hAnsi="宋体"/>
          <w:szCs w:val="21"/>
        </w:rPr>
      </w:pPr>
      <w:r>
        <w:rPr>
          <w:rFonts w:hint="eastAsia" w:ascii="宋体" w:hAnsi="宋体"/>
          <w:szCs w:val="21"/>
        </w:rPr>
        <w:t>（二）反洗钱义务</w:t>
      </w:r>
    </w:p>
    <w:p>
      <w:pPr>
        <w:pStyle w:val="11"/>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pPr>
        <w:pStyle w:val="11"/>
        <w:rPr>
          <w:rFonts w:ascii="宋体" w:hAnsi="宋体"/>
          <w:szCs w:val="21"/>
        </w:rPr>
      </w:pPr>
      <w:r>
        <w:rPr>
          <w:rFonts w:hint="eastAsia" w:ascii="宋体" w:hAnsi="宋体"/>
          <w:szCs w:val="21"/>
        </w:rPr>
        <w:t>基金管理人确认并同意，基金托管人有权根据适用的反洗钱法律法规规定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制裁、恐怖融资或大规模杀伤性武器扩散融资活动、出口管制、或逃税等违法违规行为的，基金托管人有权按照中国人民银行反洗钱监管规定等规定等采取必要的管控措施。</w:t>
      </w:r>
    </w:p>
    <w:p>
      <w:pPr>
        <w:pStyle w:val="11"/>
        <w:rPr>
          <w:rFonts w:ascii="宋体" w:hAnsi="宋体"/>
          <w:szCs w:val="21"/>
        </w:rPr>
      </w:pPr>
      <w:r>
        <w:rPr>
          <w:rFonts w:hint="eastAsia" w:ascii="宋体" w:hAnsi="宋体"/>
          <w:szCs w:val="21"/>
        </w:rPr>
        <w:t>（三）通知</w:t>
      </w:r>
    </w:p>
    <w:p>
      <w:pPr>
        <w:pStyle w:val="11"/>
        <w:rPr>
          <w:rFonts w:ascii="宋体" w:hAnsi="宋体"/>
          <w:szCs w:val="21"/>
        </w:rPr>
      </w:pPr>
      <w:r>
        <w:rPr>
          <w:rFonts w:hint="eastAsia" w:ascii="宋体" w:hAnsi="宋体"/>
          <w:szCs w:val="21"/>
        </w:rPr>
        <w:t>1、除本协议另有约定外，其他与本协议有关的通知应以书面形式作出，并送达至协议约定的地址，如果相关信息发生变动，变动的一方应当在变动发生之日起五（5）日书面通知其他各方。</w:t>
      </w:r>
    </w:p>
    <w:p>
      <w:pPr>
        <w:pStyle w:val="11"/>
        <w:rPr>
          <w:rFonts w:ascii="宋体" w:hAnsi="宋体"/>
          <w:szCs w:val="21"/>
        </w:rPr>
      </w:pPr>
      <w:r>
        <w:rPr>
          <w:rFonts w:hint="eastAsia"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pPr>
        <w:pStyle w:val="11"/>
        <w:rPr>
          <w:rFonts w:ascii="宋体" w:hAnsi="宋体"/>
          <w:szCs w:val="21"/>
        </w:rPr>
      </w:pPr>
      <w:r>
        <w:rPr>
          <w:rFonts w:hint="eastAsia" w:ascii="宋体" w:hAnsi="宋体"/>
          <w:szCs w:val="21"/>
        </w:rPr>
        <w:t>3、任何一方在任何时间改变接收通知所用的地址都应立即将该变更通过本协议约定或各方认可的方式通知另一方，基金管理人发布公告视为已通知托管人送达地址变更事项；如果该变更通知未能送达，递交给上述收件人或地址的通知或联络应视为被正常发送和接收。</w:t>
      </w:r>
    </w:p>
    <w:p>
      <w:pPr>
        <w:pStyle w:val="11"/>
        <w:rPr>
          <w:rFonts w:ascii="宋体" w:hAnsi="宋体"/>
          <w:szCs w:val="21"/>
        </w:rPr>
      </w:pPr>
      <w:r>
        <w:rPr>
          <w:rFonts w:hint="eastAsia" w:ascii="宋体" w:hAnsi="宋体"/>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pPr>
        <w:pStyle w:val="11"/>
        <w:rPr>
          <w:rFonts w:ascii="宋体" w:hAnsi="宋体"/>
          <w:szCs w:val="21"/>
        </w:rPr>
      </w:pPr>
      <w:r>
        <w:rPr>
          <w:rFonts w:hint="eastAsia" w:ascii="宋体" w:hAnsi="宋体"/>
          <w:szCs w:val="21"/>
        </w:rPr>
        <w:t>（三）本协议未尽事宜，当事人依据《基金合同》以及有关法律、法规和规定协商办理。</w:t>
      </w:r>
    </w:p>
    <w:p>
      <w:pPr>
        <w:pStyle w:val="11"/>
        <w:ind w:firstLine="0" w:firstLineChars="0"/>
        <w:rPr>
          <w:rFonts w:ascii="宋体" w:hAnsi="宋体"/>
          <w:szCs w:val="21"/>
        </w:rPr>
      </w:pPr>
      <w:r>
        <w:rPr>
          <w:rFonts w:hint="eastAsia" w:ascii="宋体" w:hAnsi="宋体"/>
          <w:szCs w:val="21"/>
        </w:rPr>
        <w:t>（以下无正文）</w:t>
      </w:r>
    </w:p>
    <w:p>
      <w:pPr>
        <w:widowControl/>
        <w:spacing w:beforeAutospacing="1" w:line="360" w:lineRule="auto"/>
        <w:jc w:val="left"/>
        <w:rPr>
          <w:rFonts w:ascii="宋体" w:hAnsi="宋体"/>
          <w:szCs w:val="21"/>
          <w:lang w:val="zh-CN"/>
        </w:rPr>
        <w:sectPr>
          <w:footerReference r:id="rId8" w:type="default"/>
          <w:pgSz w:w="11906" w:h="16838"/>
          <w:pgMar w:top="1440" w:right="1800" w:bottom="1440" w:left="1800" w:header="851" w:footer="992" w:gutter="0"/>
          <w:pgNumType w:start="1"/>
          <w:cols w:space="720" w:num="1"/>
          <w:docGrid w:type="lines" w:linePitch="312" w:charSpace="0"/>
        </w:sectPr>
      </w:pPr>
    </w:p>
    <w:p>
      <w:pPr>
        <w:spacing w:after="120" w:line="360" w:lineRule="auto"/>
        <w:ind w:firstLine="420" w:firstLineChars="200"/>
        <w:rPr>
          <w:rFonts w:ascii="宋体" w:hAnsi="宋体"/>
          <w:szCs w:val="21"/>
        </w:rPr>
      </w:pPr>
      <w:r>
        <w:rPr>
          <w:rFonts w:hint="eastAsia" w:ascii="宋体" w:hAnsi="宋体"/>
          <w:szCs w:val="21"/>
        </w:rPr>
        <w:t>（本页为《交银施罗德</w:t>
      </w:r>
      <w:r>
        <w:rPr>
          <w:rFonts w:hint="eastAsia" w:ascii="宋体" w:hAnsi="宋体"/>
          <w:szCs w:val="21"/>
          <w:lang w:eastAsia="zh-CN"/>
        </w:rPr>
        <w:t>远见成长</w:t>
      </w:r>
      <w:r>
        <w:rPr>
          <w:rFonts w:hint="eastAsia" w:ascii="宋体" w:hAnsi="宋体"/>
          <w:szCs w:val="21"/>
        </w:rPr>
        <w:t>混合型证券投资基金托管协议》签署页，无正文）</w:t>
      </w:r>
    </w:p>
    <w:p>
      <w:pPr>
        <w:spacing w:line="360" w:lineRule="auto"/>
        <w:ind w:right="26"/>
        <w:rPr>
          <w:rFonts w:ascii="宋体" w:hAnsi="宋体"/>
          <w:b/>
          <w:bCs/>
          <w:szCs w:val="21"/>
        </w:rPr>
      </w:pPr>
    </w:p>
    <w:p>
      <w:pPr>
        <w:spacing w:line="360" w:lineRule="auto"/>
        <w:ind w:right="26"/>
        <w:rPr>
          <w:rFonts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pPr>
        <w:spacing w:line="360" w:lineRule="auto"/>
        <w:ind w:right="26"/>
        <w:rPr>
          <w:rFonts w:ascii="宋体" w:hAnsi="宋体"/>
          <w:szCs w:val="21"/>
        </w:rPr>
      </w:pPr>
    </w:p>
    <w:p>
      <w:pPr>
        <w:spacing w:line="360" w:lineRule="auto"/>
        <w:ind w:right="26"/>
        <w:rPr>
          <w:rFonts w:ascii="宋体" w:hAnsi="宋体"/>
          <w:szCs w:val="21"/>
        </w:rPr>
      </w:pPr>
    </w:p>
    <w:tbl>
      <w:tblPr>
        <w:tblStyle w:val="19"/>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bCs/>
                <w:szCs w:val="21"/>
              </w:rPr>
            </w:pPr>
            <w:r>
              <w:rPr>
                <w:rFonts w:hint="eastAsia" w:ascii="宋体" w:hAnsi="宋体"/>
                <w:b/>
                <w:szCs w:val="21"/>
              </w:rPr>
              <w:t>基金管理人</w:t>
            </w:r>
            <w:r>
              <w:rPr>
                <w:rFonts w:hint="eastAsia" w:ascii="宋体" w:hAnsi="宋体"/>
                <w:b/>
                <w:bCs/>
                <w:szCs w:val="21"/>
              </w:rPr>
              <w:t>：</w:t>
            </w:r>
          </w:p>
          <w:p>
            <w:pPr>
              <w:spacing w:line="360" w:lineRule="auto"/>
              <w:ind w:right="26"/>
              <w:rPr>
                <w:rFonts w:ascii="宋体" w:hAnsi="宋体"/>
                <w:b/>
                <w:szCs w:val="21"/>
              </w:rPr>
            </w:pPr>
            <w:r>
              <w:rPr>
                <w:rFonts w:hint="eastAsia" w:ascii="宋体" w:hAnsi="宋体"/>
                <w:b/>
                <w:szCs w:val="21"/>
              </w:rPr>
              <w:t>交银施罗德基金管理有限公司</w:t>
            </w: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基金托管人：</w:t>
            </w:r>
          </w:p>
          <w:p>
            <w:pPr>
              <w:spacing w:line="360" w:lineRule="auto"/>
              <w:ind w:right="26"/>
              <w:rPr>
                <w:rFonts w:ascii="宋体" w:hAnsi="宋体"/>
                <w:szCs w:val="21"/>
              </w:rPr>
            </w:pPr>
            <w:r>
              <w:rPr>
                <w:rFonts w:hint="eastAsia" w:ascii="宋体" w:hAnsi="宋体"/>
                <w:b/>
                <w:szCs w:val="21"/>
              </w:rPr>
              <w:t>上海浦东发展银行股份有限公司</w:t>
            </w: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szCs w:val="21"/>
              </w:rPr>
            </w:pPr>
            <w:r>
              <w:rPr>
                <w:rFonts w:hint="eastAsia" w:ascii="宋体" w:hAnsi="宋体"/>
                <w:b/>
                <w:szCs w:val="21"/>
              </w:rPr>
              <w:t>（公章或合同专用章）</w:t>
            </w:r>
          </w:p>
          <w:p>
            <w:pPr>
              <w:spacing w:line="360" w:lineRule="auto"/>
              <w:ind w:right="26"/>
              <w:rPr>
                <w:rFonts w:ascii="宋体" w:hAnsi="宋体"/>
                <w:szCs w:val="21"/>
              </w:rPr>
            </w:pPr>
          </w:p>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（公章或合同专用章）</w:t>
            </w:r>
          </w:p>
          <w:p>
            <w:pPr>
              <w:spacing w:line="360" w:lineRule="auto"/>
              <w:ind w:right="26"/>
              <w:rPr>
                <w:rFonts w:ascii="宋体" w:hAnsi="宋体"/>
                <w:szCs w:val="21"/>
              </w:rPr>
            </w:pPr>
          </w:p>
          <w:p>
            <w:pPr>
              <w:spacing w:line="360" w:lineRule="auto"/>
              <w:ind w:right="26"/>
              <w:rPr>
                <w:rFonts w:ascii="宋体" w:hAnsi="宋体"/>
                <w:szCs w:val="21"/>
              </w:rPr>
            </w:pP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szCs w:val="21"/>
              </w:rPr>
            </w:pPr>
            <w:r>
              <w:rPr>
                <w:rFonts w:hint="eastAsia" w:ascii="宋体" w:hAnsi="宋体"/>
                <w:b/>
                <w:szCs w:val="21"/>
              </w:rPr>
              <w:t>法定代表人或授权代表：</w:t>
            </w:r>
          </w:p>
        </w:tc>
        <w:tc>
          <w:tcPr>
            <w:tcW w:w="4261" w:type="dxa"/>
            <w:shd w:val="clear" w:color="auto" w:fill="auto"/>
          </w:tcPr>
          <w:p>
            <w:pPr>
              <w:spacing w:line="360" w:lineRule="auto"/>
              <w:ind w:right="26"/>
              <w:rPr>
                <w:rFonts w:ascii="宋体" w:hAnsi="宋体"/>
                <w:szCs w:val="21"/>
              </w:rPr>
            </w:pPr>
            <w:r>
              <w:rPr>
                <w:rFonts w:hint="eastAsia" w:ascii="宋体" w:hAnsi="宋体"/>
                <w:b/>
                <w:szCs w:val="21"/>
              </w:rPr>
              <w:t>法定代表人或授权代表：</w:t>
            </w: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szCs w:val="21"/>
              </w:rPr>
            </w:pPr>
            <w:r>
              <w:rPr>
                <w:rFonts w:hint="eastAsia" w:ascii="宋体" w:hAnsi="宋体"/>
                <w:b/>
                <w:szCs w:val="21"/>
              </w:rPr>
              <w:t>（签字或盖章）</w:t>
            </w:r>
          </w:p>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（签字或盖章）</w:t>
            </w:r>
          </w:p>
          <w:p>
            <w:pPr>
              <w:spacing w:line="360" w:lineRule="auto"/>
              <w:ind w:right="26"/>
              <w:rPr>
                <w:rFonts w:ascii="宋体" w:hAnsi="宋体"/>
                <w:szCs w:val="21"/>
              </w:rPr>
            </w:pP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szCs w:val="21"/>
              </w:rPr>
            </w:pPr>
          </w:p>
        </w:tc>
      </w:tr>
    </w:tbl>
    <w:p>
      <w:pPr>
        <w:spacing w:line="360" w:lineRule="auto"/>
        <w:ind w:right="26"/>
        <w:rPr>
          <w:rFonts w:ascii="宋体" w:hAnsi="宋体"/>
          <w:szCs w:val="21"/>
        </w:rPr>
      </w:pPr>
    </w:p>
    <w:p>
      <w:pPr>
        <w:spacing w:line="360" w:lineRule="auto"/>
        <w:ind w:right="26"/>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LargeGap" w:color="auto" w:sz="24" w:space="10"/>
      </w:pBdr>
      <w:tabs>
        <w:tab w:val="right" w:pos="8280"/>
      </w:tabs>
      <w:wordWrap w:val="0"/>
      <w:adjustRightInd w:val="0"/>
      <w:jc w:val="both"/>
    </w:pPr>
    <w:r>
      <w:rPr>
        <w:rFonts w:hint="eastAsia"/>
        <w:color w:val="000000"/>
        <w:lang w:eastAsia="zh-CN"/>
      </w:rPr>
      <w:t>远见成长</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交银施罗德</w:t>
    </w:r>
    <w:r>
      <w:rPr>
        <w:rFonts w:hint="eastAsia"/>
        <w:lang w:eastAsia="zh-CN"/>
      </w:rPr>
      <w:t>远见成长</w:t>
    </w:r>
    <w:r>
      <w:rPr>
        <w:rFonts w:hint="eastAsia"/>
      </w:rPr>
      <w:t>混合型证券投资基金托管协议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5F952C2D"/>
    <w:multiLevelType w:val="multilevel"/>
    <w:tmpl w:val="5F952C2D"/>
    <w:lvl w:ilvl="0" w:tentative="0">
      <w:start w:val="1"/>
      <w:numFmt w:val="chineseCountingThousand"/>
      <w:suff w:val="nothing"/>
      <w:lvlText w:val="%1、"/>
      <w:lvlJc w:val="center"/>
      <w:pPr>
        <w:ind w:left="0" w:firstLine="288"/>
      </w:pPr>
      <w:rPr>
        <w:rFonts w:hint="eastAsia"/>
        <w:sz w:val="21"/>
        <w:szCs w:val="30"/>
        <w:lang w:val="en-US"/>
      </w:rPr>
    </w:lvl>
    <w:lvl w:ilvl="1" w:tentative="0">
      <w:start w:val="1"/>
      <w:numFmt w:val="japaneseCounting"/>
      <w:lvlText w:val="（%2）"/>
      <w:lvlJc w:val="left"/>
      <w:pPr>
        <w:tabs>
          <w:tab w:val="left" w:pos="720"/>
        </w:tabs>
        <w:ind w:left="720" w:hanging="720"/>
      </w:pPr>
      <w:rPr>
        <w:rFonts w:hint="default"/>
      </w:rPr>
    </w:lvl>
    <w:lvl w:ilvl="2" w:tentative="0">
      <w:start w:val="1"/>
      <w:numFmt w:val="decimal"/>
      <w:lvlText w:val="%3."/>
      <w:lvlJc w:val="left"/>
      <w:pPr>
        <w:tabs>
          <w:tab w:val="left" w:pos="360"/>
        </w:tabs>
        <w:ind w:left="0" w:firstLine="0"/>
      </w:pPr>
      <w:rPr>
        <w:rFonts w:hint="eastAsia"/>
      </w:rPr>
    </w:lvl>
    <w:lvl w:ilvl="3" w:tentative="0">
      <w:start w:val="1"/>
      <w:numFmt w:val="decimal"/>
      <w:lvlText w:val="（%4）"/>
      <w:lvlJc w:val="left"/>
      <w:pPr>
        <w:tabs>
          <w:tab w:val="left" w:pos="720"/>
        </w:tabs>
        <w:ind w:left="0" w:firstLine="0"/>
      </w:pPr>
      <w:rPr>
        <w:rFonts w:hint="default" w:ascii="Times New Roman" w:hAnsi="Times New Roman" w:eastAsia="宋体"/>
        <w:sz w:val="21"/>
      </w:rPr>
    </w:lvl>
    <w:lvl w:ilvl="4" w:tentative="0">
      <w:start w:val="1"/>
      <w:numFmt w:val="none"/>
      <w:lvlText w:val=""/>
      <w:lvlJc w:val="left"/>
      <w:pPr>
        <w:tabs>
          <w:tab w:val="left" w:pos="360"/>
        </w:tabs>
        <w:ind w:left="0" w:firstLine="0"/>
      </w:pPr>
      <w:rPr>
        <w:rFonts w:hint="eastAsia"/>
        <w:sz w:val="24"/>
      </w:rPr>
    </w:lvl>
    <w:lvl w:ilvl="5" w:tentative="0">
      <w:start w:val="1"/>
      <w:numFmt w:val="upperLetter"/>
      <w:lvlText w:val="%6."/>
      <w:lvlJc w:val="left"/>
      <w:pPr>
        <w:tabs>
          <w:tab w:val="left" w:pos="927"/>
        </w:tabs>
        <w:ind w:left="0" w:firstLine="567"/>
      </w:pPr>
      <w:rPr>
        <w:rFonts w:hint="eastAsia"/>
        <w:sz w:val="24"/>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6183"/>
    <w:rsid w:val="00010CC9"/>
    <w:rsid w:val="00014998"/>
    <w:rsid w:val="000157A8"/>
    <w:rsid w:val="00021B4E"/>
    <w:rsid w:val="000246AC"/>
    <w:rsid w:val="00025052"/>
    <w:rsid w:val="0003144A"/>
    <w:rsid w:val="00034A0F"/>
    <w:rsid w:val="0004463F"/>
    <w:rsid w:val="00044EF4"/>
    <w:rsid w:val="00046762"/>
    <w:rsid w:val="00047276"/>
    <w:rsid w:val="00050C79"/>
    <w:rsid w:val="0005155A"/>
    <w:rsid w:val="00051815"/>
    <w:rsid w:val="00052848"/>
    <w:rsid w:val="00053197"/>
    <w:rsid w:val="0005414C"/>
    <w:rsid w:val="00054496"/>
    <w:rsid w:val="00054591"/>
    <w:rsid w:val="00056200"/>
    <w:rsid w:val="00057B6A"/>
    <w:rsid w:val="0006509E"/>
    <w:rsid w:val="00070C46"/>
    <w:rsid w:val="00080622"/>
    <w:rsid w:val="00094282"/>
    <w:rsid w:val="00097C82"/>
    <w:rsid w:val="000A2206"/>
    <w:rsid w:val="000A5A7A"/>
    <w:rsid w:val="000B4FF8"/>
    <w:rsid w:val="000B7B45"/>
    <w:rsid w:val="000C145C"/>
    <w:rsid w:val="000D109D"/>
    <w:rsid w:val="000D11A4"/>
    <w:rsid w:val="000D1C93"/>
    <w:rsid w:val="000D411C"/>
    <w:rsid w:val="000D41DC"/>
    <w:rsid w:val="000D7AB0"/>
    <w:rsid w:val="000E0D20"/>
    <w:rsid w:val="000E264D"/>
    <w:rsid w:val="000E4F5D"/>
    <w:rsid w:val="000E7AE1"/>
    <w:rsid w:val="000F1EB1"/>
    <w:rsid w:val="000F581B"/>
    <w:rsid w:val="0010311F"/>
    <w:rsid w:val="00107311"/>
    <w:rsid w:val="00110B8C"/>
    <w:rsid w:val="001142CF"/>
    <w:rsid w:val="001279F8"/>
    <w:rsid w:val="00127DF0"/>
    <w:rsid w:val="00136594"/>
    <w:rsid w:val="001412F5"/>
    <w:rsid w:val="0015297C"/>
    <w:rsid w:val="0016119F"/>
    <w:rsid w:val="00161647"/>
    <w:rsid w:val="00162C4A"/>
    <w:rsid w:val="0016302A"/>
    <w:rsid w:val="00170D13"/>
    <w:rsid w:val="001721C0"/>
    <w:rsid w:val="00177C69"/>
    <w:rsid w:val="001815B6"/>
    <w:rsid w:val="001820B6"/>
    <w:rsid w:val="0018526F"/>
    <w:rsid w:val="00194AC3"/>
    <w:rsid w:val="001A1969"/>
    <w:rsid w:val="001A76BE"/>
    <w:rsid w:val="001B21A0"/>
    <w:rsid w:val="001C483E"/>
    <w:rsid w:val="001C5433"/>
    <w:rsid w:val="001C5813"/>
    <w:rsid w:val="00201FD4"/>
    <w:rsid w:val="00203F42"/>
    <w:rsid w:val="002060EF"/>
    <w:rsid w:val="002079A0"/>
    <w:rsid w:val="00241ABC"/>
    <w:rsid w:val="002527C3"/>
    <w:rsid w:val="00253A68"/>
    <w:rsid w:val="002613EE"/>
    <w:rsid w:val="002614A0"/>
    <w:rsid w:val="00262FEF"/>
    <w:rsid w:val="0026380E"/>
    <w:rsid w:val="0026466E"/>
    <w:rsid w:val="00264994"/>
    <w:rsid w:val="00267EB6"/>
    <w:rsid w:val="00275457"/>
    <w:rsid w:val="002755B8"/>
    <w:rsid w:val="00276C95"/>
    <w:rsid w:val="002774B7"/>
    <w:rsid w:val="00283C66"/>
    <w:rsid w:val="0029461F"/>
    <w:rsid w:val="002A00AB"/>
    <w:rsid w:val="002A0411"/>
    <w:rsid w:val="002A152C"/>
    <w:rsid w:val="002A18AE"/>
    <w:rsid w:val="002A60AD"/>
    <w:rsid w:val="002B4412"/>
    <w:rsid w:val="002B5538"/>
    <w:rsid w:val="002C1EAB"/>
    <w:rsid w:val="002C7C71"/>
    <w:rsid w:val="002E3226"/>
    <w:rsid w:val="002E4F30"/>
    <w:rsid w:val="002E69D0"/>
    <w:rsid w:val="002E7534"/>
    <w:rsid w:val="002F6C41"/>
    <w:rsid w:val="00321C58"/>
    <w:rsid w:val="00322D2C"/>
    <w:rsid w:val="003238AE"/>
    <w:rsid w:val="00327D4B"/>
    <w:rsid w:val="00327DA9"/>
    <w:rsid w:val="00335399"/>
    <w:rsid w:val="00341323"/>
    <w:rsid w:val="00343C48"/>
    <w:rsid w:val="00350C1E"/>
    <w:rsid w:val="00356671"/>
    <w:rsid w:val="00356A82"/>
    <w:rsid w:val="00361F6D"/>
    <w:rsid w:val="00366D06"/>
    <w:rsid w:val="00367714"/>
    <w:rsid w:val="0037148E"/>
    <w:rsid w:val="00382975"/>
    <w:rsid w:val="0039575B"/>
    <w:rsid w:val="00395C3C"/>
    <w:rsid w:val="0039663C"/>
    <w:rsid w:val="003979E4"/>
    <w:rsid w:val="003A2B06"/>
    <w:rsid w:val="003A3453"/>
    <w:rsid w:val="003B0C66"/>
    <w:rsid w:val="003B3DDA"/>
    <w:rsid w:val="003B40EE"/>
    <w:rsid w:val="003B69E7"/>
    <w:rsid w:val="003B7EFD"/>
    <w:rsid w:val="003C3043"/>
    <w:rsid w:val="003C61C9"/>
    <w:rsid w:val="003C6896"/>
    <w:rsid w:val="003C79A0"/>
    <w:rsid w:val="003D136C"/>
    <w:rsid w:val="003D4060"/>
    <w:rsid w:val="003E1C92"/>
    <w:rsid w:val="003E4EBA"/>
    <w:rsid w:val="004079DF"/>
    <w:rsid w:val="00411554"/>
    <w:rsid w:val="0042019F"/>
    <w:rsid w:val="00424B34"/>
    <w:rsid w:val="0043058C"/>
    <w:rsid w:val="004315E0"/>
    <w:rsid w:val="004337DA"/>
    <w:rsid w:val="00436201"/>
    <w:rsid w:val="0047059D"/>
    <w:rsid w:val="0047313B"/>
    <w:rsid w:val="00473C91"/>
    <w:rsid w:val="00482CCB"/>
    <w:rsid w:val="0048402F"/>
    <w:rsid w:val="00496FB8"/>
    <w:rsid w:val="004B0946"/>
    <w:rsid w:val="004B1591"/>
    <w:rsid w:val="004B7EAD"/>
    <w:rsid w:val="004C06C6"/>
    <w:rsid w:val="004C3FC1"/>
    <w:rsid w:val="004C5AC8"/>
    <w:rsid w:val="004E2435"/>
    <w:rsid w:val="004E4CB4"/>
    <w:rsid w:val="004F0C70"/>
    <w:rsid w:val="004F25BD"/>
    <w:rsid w:val="004F5C6C"/>
    <w:rsid w:val="00506D57"/>
    <w:rsid w:val="00511FC1"/>
    <w:rsid w:val="005134AB"/>
    <w:rsid w:val="00517911"/>
    <w:rsid w:val="00527566"/>
    <w:rsid w:val="0053788A"/>
    <w:rsid w:val="005423D2"/>
    <w:rsid w:val="00542EBE"/>
    <w:rsid w:val="0054433F"/>
    <w:rsid w:val="00553789"/>
    <w:rsid w:val="0056355B"/>
    <w:rsid w:val="00565005"/>
    <w:rsid w:val="00567AA7"/>
    <w:rsid w:val="00587F80"/>
    <w:rsid w:val="00593BD2"/>
    <w:rsid w:val="005945B3"/>
    <w:rsid w:val="005A1730"/>
    <w:rsid w:val="005A24B0"/>
    <w:rsid w:val="005A2C89"/>
    <w:rsid w:val="005A4382"/>
    <w:rsid w:val="005B0D1C"/>
    <w:rsid w:val="005B47FC"/>
    <w:rsid w:val="005B5D51"/>
    <w:rsid w:val="005D05AF"/>
    <w:rsid w:val="005E1774"/>
    <w:rsid w:val="005E4D85"/>
    <w:rsid w:val="005E4EF4"/>
    <w:rsid w:val="005F1CBD"/>
    <w:rsid w:val="005F5071"/>
    <w:rsid w:val="00601B9E"/>
    <w:rsid w:val="00606F78"/>
    <w:rsid w:val="00617BE4"/>
    <w:rsid w:val="006208B9"/>
    <w:rsid w:val="0062565D"/>
    <w:rsid w:val="0062599F"/>
    <w:rsid w:val="006270CD"/>
    <w:rsid w:val="006302ED"/>
    <w:rsid w:val="0063212C"/>
    <w:rsid w:val="00632BB1"/>
    <w:rsid w:val="006341C7"/>
    <w:rsid w:val="006442DD"/>
    <w:rsid w:val="0064794A"/>
    <w:rsid w:val="0065263F"/>
    <w:rsid w:val="006534BE"/>
    <w:rsid w:val="00675B08"/>
    <w:rsid w:val="006835B2"/>
    <w:rsid w:val="00694F09"/>
    <w:rsid w:val="0069592C"/>
    <w:rsid w:val="006B1820"/>
    <w:rsid w:val="006B632E"/>
    <w:rsid w:val="006D7AE7"/>
    <w:rsid w:val="006E1290"/>
    <w:rsid w:val="006F01E1"/>
    <w:rsid w:val="006F1B2A"/>
    <w:rsid w:val="006F35A8"/>
    <w:rsid w:val="006F510F"/>
    <w:rsid w:val="006F7236"/>
    <w:rsid w:val="006F783E"/>
    <w:rsid w:val="00701CDE"/>
    <w:rsid w:val="0070524E"/>
    <w:rsid w:val="00716876"/>
    <w:rsid w:val="00720BD2"/>
    <w:rsid w:val="007245A1"/>
    <w:rsid w:val="00725946"/>
    <w:rsid w:val="00732C5F"/>
    <w:rsid w:val="00737DA9"/>
    <w:rsid w:val="0074280D"/>
    <w:rsid w:val="007524FE"/>
    <w:rsid w:val="007527AD"/>
    <w:rsid w:val="00755EAD"/>
    <w:rsid w:val="00781A9B"/>
    <w:rsid w:val="00790C10"/>
    <w:rsid w:val="007A0D38"/>
    <w:rsid w:val="007A1768"/>
    <w:rsid w:val="007A3D27"/>
    <w:rsid w:val="007B0921"/>
    <w:rsid w:val="007B0D03"/>
    <w:rsid w:val="007B4D43"/>
    <w:rsid w:val="007C735E"/>
    <w:rsid w:val="007D520B"/>
    <w:rsid w:val="007D5F9E"/>
    <w:rsid w:val="007E145C"/>
    <w:rsid w:val="007F6FAD"/>
    <w:rsid w:val="008007E7"/>
    <w:rsid w:val="00802827"/>
    <w:rsid w:val="008050F2"/>
    <w:rsid w:val="00805782"/>
    <w:rsid w:val="00812211"/>
    <w:rsid w:val="00824605"/>
    <w:rsid w:val="00826455"/>
    <w:rsid w:val="00833F4A"/>
    <w:rsid w:val="00840319"/>
    <w:rsid w:val="0084271B"/>
    <w:rsid w:val="008434C1"/>
    <w:rsid w:val="008450D5"/>
    <w:rsid w:val="008513E3"/>
    <w:rsid w:val="008557DF"/>
    <w:rsid w:val="00856F2D"/>
    <w:rsid w:val="008639B4"/>
    <w:rsid w:val="00870130"/>
    <w:rsid w:val="00870EF8"/>
    <w:rsid w:val="0087186C"/>
    <w:rsid w:val="00882F11"/>
    <w:rsid w:val="00891412"/>
    <w:rsid w:val="008923C7"/>
    <w:rsid w:val="008A6986"/>
    <w:rsid w:val="008B4AA9"/>
    <w:rsid w:val="008B78EF"/>
    <w:rsid w:val="008C1C0E"/>
    <w:rsid w:val="008C3149"/>
    <w:rsid w:val="008C5D33"/>
    <w:rsid w:val="008D2280"/>
    <w:rsid w:val="008D4C0E"/>
    <w:rsid w:val="008E525C"/>
    <w:rsid w:val="008E53B3"/>
    <w:rsid w:val="008E5DC6"/>
    <w:rsid w:val="008F0CBE"/>
    <w:rsid w:val="008F150F"/>
    <w:rsid w:val="0090455E"/>
    <w:rsid w:val="00914AAD"/>
    <w:rsid w:val="00921B1B"/>
    <w:rsid w:val="0092747D"/>
    <w:rsid w:val="009336ED"/>
    <w:rsid w:val="009342DB"/>
    <w:rsid w:val="00951330"/>
    <w:rsid w:val="00960954"/>
    <w:rsid w:val="0096114D"/>
    <w:rsid w:val="0097751A"/>
    <w:rsid w:val="00977A77"/>
    <w:rsid w:val="00980631"/>
    <w:rsid w:val="009826C6"/>
    <w:rsid w:val="009850E8"/>
    <w:rsid w:val="00987DDD"/>
    <w:rsid w:val="0099494F"/>
    <w:rsid w:val="00995BB2"/>
    <w:rsid w:val="009A216F"/>
    <w:rsid w:val="009A7E32"/>
    <w:rsid w:val="009B6A63"/>
    <w:rsid w:val="009C08CC"/>
    <w:rsid w:val="009C1201"/>
    <w:rsid w:val="009C12A8"/>
    <w:rsid w:val="009C238F"/>
    <w:rsid w:val="009D2D46"/>
    <w:rsid w:val="009E1907"/>
    <w:rsid w:val="009E4A3B"/>
    <w:rsid w:val="009E7F25"/>
    <w:rsid w:val="009F39BB"/>
    <w:rsid w:val="009F61BD"/>
    <w:rsid w:val="00A040BD"/>
    <w:rsid w:val="00A04572"/>
    <w:rsid w:val="00A05ED3"/>
    <w:rsid w:val="00A06F16"/>
    <w:rsid w:val="00A12310"/>
    <w:rsid w:val="00A141D1"/>
    <w:rsid w:val="00A16100"/>
    <w:rsid w:val="00A16F02"/>
    <w:rsid w:val="00A25EF4"/>
    <w:rsid w:val="00A2646C"/>
    <w:rsid w:val="00A265EC"/>
    <w:rsid w:val="00A300A1"/>
    <w:rsid w:val="00A436B5"/>
    <w:rsid w:val="00A53663"/>
    <w:rsid w:val="00A5737F"/>
    <w:rsid w:val="00A862CE"/>
    <w:rsid w:val="00A90925"/>
    <w:rsid w:val="00A96B43"/>
    <w:rsid w:val="00AA13D2"/>
    <w:rsid w:val="00AA629C"/>
    <w:rsid w:val="00AB1729"/>
    <w:rsid w:val="00AB2720"/>
    <w:rsid w:val="00AB5978"/>
    <w:rsid w:val="00AB5CA0"/>
    <w:rsid w:val="00AB7F9E"/>
    <w:rsid w:val="00AC6403"/>
    <w:rsid w:val="00AE6D54"/>
    <w:rsid w:val="00AE75B2"/>
    <w:rsid w:val="00AF4107"/>
    <w:rsid w:val="00AF5BE0"/>
    <w:rsid w:val="00AF74F7"/>
    <w:rsid w:val="00B05B23"/>
    <w:rsid w:val="00B073CC"/>
    <w:rsid w:val="00B2567B"/>
    <w:rsid w:val="00B26A0A"/>
    <w:rsid w:val="00B36173"/>
    <w:rsid w:val="00B37C0C"/>
    <w:rsid w:val="00B40CF5"/>
    <w:rsid w:val="00B43288"/>
    <w:rsid w:val="00B44094"/>
    <w:rsid w:val="00B475FC"/>
    <w:rsid w:val="00B648E5"/>
    <w:rsid w:val="00B77B61"/>
    <w:rsid w:val="00B834CA"/>
    <w:rsid w:val="00B90424"/>
    <w:rsid w:val="00B935B0"/>
    <w:rsid w:val="00B972AD"/>
    <w:rsid w:val="00B97DCB"/>
    <w:rsid w:val="00BA076E"/>
    <w:rsid w:val="00BA5E58"/>
    <w:rsid w:val="00BB0664"/>
    <w:rsid w:val="00BB42A9"/>
    <w:rsid w:val="00BC11DA"/>
    <w:rsid w:val="00BC3F42"/>
    <w:rsid w:val="00BD0108"/>
    <w:rsid w:val="00BE10A1"/>
    <w:rsid w:val="00BF1034"/>
    <w:rsid w:val="00BF2196"/>
    <w:rsid w:val="00BF2228"/>
    <w:rsid w:val="00BF75B2"/>
    <w:rsid w:val="00C16B60"/>
    <w:rsid w:val="00C2346D"/>
    <w:rsid w:val="00C23720"/>
    <w:rsid w:val="00C41C25"/>
    <w:rsid w:val="00C41E76"/>
    <w:rsid w:val="00C47001"/>
    <w:rsid w:val="00C60616"/>
    <w:rsid w:val="00C61BA6"/>
    <w:rsid w:val="00C62ACD"/>
    <w:rsid w:val="00C65903"/>
    <w:rsid w:val="00C65909"/>
    <w:rsid w:val="00C70DAB"/>
    <w:rsid w:val="00C820A3"/>
    <w:rsid w:val="00C838D1"/>
    <w:rsid w:val="00CA221E"/>
    <w:rsid w:val="00CA6158"/>
    <w:rsid w:val="00CB57D1"/>
    <w:rsid w:val="00CC18E7"/>
    <w:rsid w:val="00CD100F"/>
    <w:rsid w:val="00CD1C39"/>
    <w:rsid w:val="00CD5705"/>
    <w:rsid w:val="00CD5D47"/>
    <w:rsid w:val="00CD77ED"/>
    <w:rsid w:val="00CD7920"/>
    <w:rsid w:val="00CF114B"/>
    <w:rsid w:val="00CF2413"/>
    <w:rsid w:val="00CF6712"/>
    <w:rsid w:val="00D03533"/>
    <w:rsid w:val="00D045BF"/>
    <w:rsid w:val="00D048EB"/>
    <w:rsid w:val="00D131DE"/>
    <w:rsid w:val="00D16C91"/>
    <w:rsid w:val="00D2097F"/>
    <w:rsid w:val="00D2119B"/>
    <w:rsid w:val="00D2332F"/>
    <w:rsid w:val="00D30E3A"/>
    <w:rsid w:val="00D32C3A"/>
    <w:rsid w:val="00D34883"/>
    <w:rsid w:val="00D3667B"/>
    <w:rsid w:val="00D3680D"/>
    <w:rsid w:val="00D369D6"/>
    <w:rsid w:val="00D51F48"/>
    <w:rsid w:val="00D53EFD"/>
    <w:rsid w:val="00D54D38"/>
    <w:rsid w:val="00D606A2"/>
    <w:rsid w:val="00D61D60"/>
    <w:rsid w:val="00D7102A"/>
    <w:rsid w:val="00D77662"/>
    <w:rsid w:val="00D82F8A"/>
    <w:rsid w:val="00D85EAE"/>
    <w:rsid w:val="00D8649A"/>
    <w:rsid w:val="00DA1DEF"/>
    <w:rsid w:val="00DA668B"/>
    <w:rsid w:val="00DC4E34"/>
    <w:rsid w:val="00DC510C"/>
    <w:rsid w:val="00DC53E6"/>
    <w:rsid w:val="00DC5AE5"/>
    <w:rsid w:val="00DD2666"/>
    <w:rsid w:val="00DD3B3B"/>
    <w:rsid w:val="00DD4D55"/>
    <w:rsid w:val="00E01C79"/>
    <w:rsid w:val="00E13468"/>
    <w:rsid w:val="00E1455B"/>
    <w:rsid w:val="00E14764"/>
    <w:rsid w:val="00E1614E"/>
    <w:rsid w:val="00E20A2F"/>
    <w:rsid w:val="00E3001C"/>
    <w:rsid w:val="00E3720B"/>
    <w:rsid w:val="00E37B8E"/>
    <w:rsid w:val="00E44CB0"/>
    <w:rsid w:val="00E47959"/>
    <w:rsid w:val="00E50A2C"/>
    <w:rsid w:val="00E65EC9"/>
    <w:rsid w:val="00E6790D"/>
    <w:rsid w:val="00E710CD"/>
    <w:rsid w:val="00E741E2"/>
    <w:rsid w:val="00E851A7"/>
    <w:rsid w:val="00E86DC0"/>
    <w:rsid w:val="00E971F6"/>
    <w:rsid w:val="00EA2610"/>
    <w:rsid w:val="00EB73FA"/>
    <w:rsid w:val="00EC18E2"/>
    <w:rsid w:val="00EC6BAB"/>
    <w:rsid w:val="00ED2841"/>
    <w:rsid w:val="00ED47D6"/>
    <w:rsid w:val="00EE70A6"/>
    <w:rsid w:val="00EF244B"/>
    <w:rsid w:val="00F10A9C"/>
    <w:rsid w:val="00F17853"/>
    <w:rsid w:val="00F33371"/>
    <w:rsid w:val="00F4405E"/>
    <w:rsid w:val="00F510D3"/>
    <w:rsid w:val="00F51164"/>
    <w:rsid w:val="00F5511B"/>
    <w:rsid w:val="00F64E86"/>
    <w:rsid w:val="00F65359"/>
    <w:rsid w:val="00F67842"/>
    <w:rsid w:val="00F714E4"/>
    <w:rsid w:val="00F80AE3"/>
    <w:rsid w:val="00F86691"/>
    <w:rsid w:val="00F86C1B"/>
    <w:rsid w:val="00F95771"/>
    <w:rsid w:val="00FA3F83"/>
    <w:rsid w:val="00FA77A2"/>
    <w:rsid w:val="00FB1113"/>
    <w:rsid w:val="00FC0797"/>
    <w:rsid w:val="00FC6CC7"/>
    <w:rsid w:val="00FD1578"/>
    <w:rsid w:val="00FD51F5"/>
    <w:rsid w:val="00FE0246"/>
    <w:rsid w:val="00FE3D58"/>
    <w:rsid w:val="00FE4EC8"/>
    <w:rsid w:val="00FF4C78"/>
    <w:rsid w:val="01EC61EC"/>
    <w:rsid w:val="03BC047B"/>
    <w:rsid w:val="089645E3"/>
    <w:rsid w:val="0B271CFF"/>
    <w:rsid w:val="0DB63570"/>
    <w:rsid w:val="14BD37D2"/>
    <w:rsid w:val="17391135"/>
    <w:rsid w:val="19C177C7"/>
    <w:rsid w:val="22407BB4"/>
    <w:rsid w:val="22C43431"/>
    <w:rsid w:val="25D548D9"/>
    <w:rsid w:val="280E42A4"/>
    <w:rsid w:val="2A4251D5"/>
    <w:rsid w:val="302A1F5F"/>
    <w:rsid w:val="38543B72"/>
    <w:rsid w:val="3B4E3C3F"/>
    <w:rsid w:val="3B551934"/>
    <w:rsid w:val="44352862"/>
    <w:rsid w:val="448E55F3"/>
    <w:rsid w:val="45BC60CC"/>
    <w:rsid w:val="469C08BA"/>
    <w:rsid w:val="49DA6DB1"/>
    <w:rsid w:val="500D0E60"/>
    <w:rsid w:val="543A1059"/>
    <w:rsid w:val="58AB7559"/>
    <w:rsid w:val="58E80BC1"/>
    <w:rsid w:val="5C372409"/>
    <w:rsid w:val="5D5940F3"/>
    <w:rsid w:val="5D8E0ED7"/>
    <w:rsid w:val="5EEA0AA3"/>
    <w:rsid w:val="5FE134B4"/>
    <w:rsid w:val="60D11AA8"/>
    <w:rsid w:val="61214489"/>
    <w:rsid w:val="638D24E1"/>
    <w:rsid w:val="672727D5"/>
    <w:rsid w:val="69F37401"/>
    <w:rsid w:val="6A331C23"/>
    <w:rsid w:val="6A806127"/>
    <w:rsid w:val="6BF97ACE"/>
    <w:rsid w:val="6E3D7B6E"/>
    <w:rsid w:val="6F423A58"/>
    <w:rsid w:val="70684AFE"/>
    <w:rsid w:val="713654EF"/>
    <w:rsid w:val="751B3BD6"/>
    <w:rsid w:val="75C77401"/>
    <w:rsid w:val="794E2422"/>
    <w:rsid w:val="7C2A0A63"/>
    <w:rsid w:val="7E6B261C"/>
    <w:rsid w:val="CD7F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28"/>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line="300" w:lineRule="auto"/>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40"/>
    <w:unhideWhenUsed/>
    <w:qFormat/>
    <w:uiPriority w:val="99"/>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0"/>
    <w:rPr>
      <w:sz w:val="18"/>
      <w:szCs w:val="18"/>
    </w:rPr>
  </w:style>
  <w:style w:type="character" w:customStyle="1" w:styleId="24">
    <w:name w:val="页脚 字符"/>
    <w:basedOn w:val="20"/>
    <w:link w:val="14"/>
    <w:qFormat/>
    <w:uiPriority w:val="99"/>
    <w:rPr>
      <w:sz w:val="18"/>
      <w:szCs w:val="18"/>
    </w:rPr>
  </w:style>
  <w:style w:type="character" w:customStyle="1" w:styleId="25">
    <w:name w:val="标题 1 字符"/>
    <w:basedOn w:val="20"/>
    <w:link w:val="2"/>
    <w:qFormat/>
    <w:uiPriority w:val="0"/>
    <w:rPr>
      <w:rFonts w:ascii="黑体" w:eastAsia="黑体"/>
      <w:b/>
      <w:kern w:val="44"/>
      <w:sz w:val="28"/>
      <w:lang w:val="zh-CN"/>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标题 3 字符"/>
    <w:basedOn w:val="20"/>
    <w:link w:val="4"/>
    <w:qFormat/>
    <w:uiPriority w:val="0"/>
    <w:rPr>
      <w:rFonts w:ascii="Arial" w:hAnsi="Arial" w:eastAsia="仿宋_GB2312" w:cs="Times New Roman"/>
      <w:b/>
      <w:sz w:val="24"/>
      <w:szCs w:val="20"/>
      <w:lang w:val="zh-CN" w:eastAsia="zh-CN"/>
    </w:rPr>
  </w:style>
  <w:style w:type="character" w:customStyle="1" w:styleId="28">
    <w:name w:val="标题 4 字符"/>
    <w:basedOn w:val="20"/>
    <w:link w:val="5"/>
    <w:qFormat/>
    <w:uiPriority w:val="0"/>
    <w:rPr>
      <w:rFonts w:ascii="Arial" w:hAnsi="Arial" w:eastAsia="仿宋_GB2312" w:cs="Times New Roman"/>
      <w:sz w:val="24"/>
      <w:szCs w:val="20"/>
      <w:lang w:val="zh-CN" w:eastAsia="zh-CN"/>
    </w:rPr>
  </w:style>
  <w:style w:type="character" w:customStyle="1" w:styleId="29">
    <w:name w:val="标题 5 字符"/>
    <w:basedOn w:val="20"/>
    <w:link w:val="6"/>
    <w:qFormat/>
    <w:uiPriority w:val="0"/>
    <w:rPr>
      <w:rFonts w:ascii="Arial" w:hAnsi="Arial" w:eastAsia="仿宋_GB2312" w:cs="Times New Roman"/>
      <w:sz w:val="24"/>
      <w:szCs w:val="20"/>
      <w:lang w:val="zh-CN" w:eastAsia="zh-CN"/>
    </w:rPr>
  </w:style>
  <w:style w:type="character" w:customStyle="1" w:styleId="30">
    <w:name w:val="标题 6 字符"/>
    <w:basedOn w:val="20"/>
    <w:link w:val="7"/>
    <w:qFormat/>
    <w:uiPriority w:val="0"/>
    <w:rPr>
      <w:rFonts w:ascii="Arial" w:hAnsi="Arial" w:eastAsia="仿宋_GB2312" w:cs="Times New Roman"/>
      <w:sz w:val="24"/>
      <w:szCs w:val="20"/>
      <w:lang w:val="zh-CN" w:eastAsia="zh-CN"/>
    </w:rPr>
  </w:style>
  <w:style w:type="character" w:customStyle="1" w:styleId="31">
    <w:name w:val="标题 7 字符"/>
    <w:basedOn w:val="20"/>
    <w:link w:val="8"/>
    <w:qFormat/>
    <w:uiPriority w:val="0"/>
    <w:rPr>
      <w:rFonts w:ascii="仿宋_GB2312" w:hAnsi="Times New Roman" w:eastAsia="仿宋_GB2312" w:cs="Times New Roman"/>
      <w:sz w:val="24"/>
      <w:szCs w:val="20"/>
      <w:lang w:val="zh-CN" w:eastAsia="zh-CN"/>
    </w:rPr>
  </w:style>
  <w:style w:type="character" w:customStyle="1" w:styleId="32">
    <w:name w:val="正文文本缩进 2 字符"/>
    <w:basedOn w:val="20"/>
    <w:link w:val="12"/>
    <w:qFormat/>
    <w:uiPriority w:val="0"/>
    <w:rPr>
      <w:rFonts w:ascii="仿宋_GB2312" w:hAnsi="Calibri" w:eastAsia="仿宋_GB2312" w:cs="Times New Roman"/>
      <w:sz w:val="24"/>
      <w:szCs w:val="20"/>
    </w:rPr>
  </w:style>
  <w:style w:type="character" w:customStyle="1" w:styleId="33">
    <w:name w:val="正文文本缩进 字符"/>
    <w:basedOn w:val="20"/>
    <w:link w:val="11"/>
    <w:qFormat/>
    <w:uiPriority w:val="0"/>
    <w:rPr>
      <w:rFonts w:ascii="Times New Roman" w:hAnsi="Times New Roman" w:eastAsia="宋体" w:cs="Times New Roman"/>
      <w:szCs w:val="24"/>
      <w:lang w:val="zh-CN" w:eastAsia="zh-CN"/>
    </w:rPr>
  </w:style>
  <w:style w:type="character" w:customStyle="1" w:styleId="34">
    <w:name w:val="正文缩进 字符"/>
    <w:link w:val="9"/>
    <w:qFormat/>
    <w:uiPriority w:val="99"/>
    <w:rPr>
      <w:rFonts w:ascii="Calibri" w:hAnsi="Calibri" w:eastAsia="宋体" w:cs="Times New Roman"/>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字符"/>
    <w:basedOn w:val="20"/>
    <w:link w:val="13"/>
    <w:semiHidden/>
    <w:qFormat/>
    <w:uiPriority w:val="99"/>
    <w:rPr>
      <w:rFonts w:ascii="Times New Roman" w:hAnsi="Times New Roman" w:eastAsia="宋体" w:cs="Times New Roman"/>
      <w:sz w:val="18"/>
      <w:szCs w:val="18"/>
    </w:rPr>
  </w:style>
  <w:style w:type="character" w:customStyle="1" w:styleId="37">
    <w:name w:val="批注文字 字符"/>
    <w:basedOn w:val="20"/>
    <w:semiHidden/>
    <w:qFormat/>
    <w:uiPriority w:val="99"/>
    <w:rPr>
      <w:rFonts w:ascii="Times New Roman" w:hAnsi="Times New Roman" w:eastAsia="宋体" w:cs="Times New Roman"/>
      <w:szCs w:val="24"/>
    </w:rPr>
  </w:style>
  <w:style w:type="character" w:customStyle="1" w:styleId="38">
    <w:name w:val="批注主题 字符"/>
    <w:basedOn w:val="37"/>
    <w:link w:val="18"/>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批注文字 字符1"/>
    <w:basedOn w:val="20"/>
    <w:link w:val="10"/>
    <w:qFormat/>
    <w:uiPriority w:val="0"/>
    <w:rPr>
      <w:rFonts w:hint="default" w:ascii="Times New Roman" w:hAnsi="Times New Roman" w:cs="Times New Roman"/>
      <w:kern w:val="2"/>
      <w:sz w:val="21"/>
      <w:szCs w:val="24"/>
    </w:r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4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5262</Words>
  <Characters>29996</Characters>
  <Lines>249</Lines>
  <Paragraphs>70</Paragraphs>
  <TotalTime>234</TotalTime>
  <ScaleCrop>false</ScaleCrop>
  <LinksUpToDate>false</LinksUpToDate>
  <CharactersWithSpaces>35188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2025-09-05T10:38:00Z</dcterms:created>
  <dc:creator>Administrator</dc:creator>
  <cp:lastModifiedBy>喻秋燕</cp:lastModifiedBy>
  <dcterms:modified xsi:type="dcterms:W3CDTF">2025-10-29T08:25:57Z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0D9B25286F2B2849A121EF6201ED38AC</vt:lpwstr>
  </property>
</Properties>
</file>