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32"/>
        </w:rPr>
      </w:pPr>
    </w:p>
    <w:p>
      <w:pPr>
        <w:rPr>
          <w:sz w:val="32"/>
        </w:rPr>
      </w:pPr>
    </w:p>
    <w:p>
      <w:pPr>
        <w:rPr>
          <w:sz w:val="32"/>
        </w:rPr>
      </w:pPr>
    </w:p>
    <w:p>
      <w:pPr>
        <w:jc w:val="center"/>
        <w:rPr>
          <w:sz w:val="32"/>
        </w:rPr>
      </w:pPr>
      <w:r>
        <w:drawing>
          <wp:inline distT="0" distB="0" distL="0" distR="0">
            <wp:extent cx="4343400" cy="571500"/>
            <wp:effectExtent l="0" t="0" r="0" b="0"/>
            <wp:docPr id="7"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logo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343400" cy="571500"/>
                    </a:xfrm>
                    <a:prstGeom prst="rect">
                      <a:avLst/>
                    </a:prstGeom>
                    <a:noFill/>
                    <a:ln>
                      <a:noFill/>
                    </a:ln>
                  </pic:spPr>
                </pic:pic>
              </a:graphicData>
            </a:graphic>
          </wp:inline>
        </w:drawing>
      </w:r>
    </w:p>
    <w:p>
      <w:pPr>
        <w:autoSpaceDE w:val="0"/>
        <w:autoSpaceDN w:val="0"/>
        <w:adjustRightInd w:val="0"/>
        <w:snapToGrid w:val="0"/>
        <w:spacing w:before="63" w:line="360" w:lineRule="auto"/>
        <w:ind w:right="13" w:rightChars="6"/>
        <w:jc w:val="center"/>
        <w:rPr>
          <w:rFonts w:ascii="宋体" w:hAnsi="宋体"/>
          <w:b/>
          <w:spacing w:val="2"/>
          <w:w w:val="99"/>
          <w:kern w:val="0"/>
          <w:position w:val="-4"/>
          <w:sz w:val="44"/>
          <w:szCs w:val="44"/>
        </w:rPr>
      </w:pPr>
    </w:p>
    <w:p>
      <w:pPr>
        <w:autoSpaceDE w:val="0"/>
        <w:autoSpaceDN w:val="0"/>
        <w:adjustRightInd w:val="0"/>
        <w:snapToGrid w:val="0"/>
        <w:spacing w:before="63" w:line="360" w:lineRule="auto"/>
        <w:ind w:right="13" w:rightChars="6"/>
        <w:jc w:val="center"/>
        <w:rPr>
          <w:rFonts w:ascii="宋体" w:hAnsi="宋体"/>
          <w:b/>
          <w:spacing w:val="2"/>
          <w:w w:val="99"/>
          <w:kern w:val="0"/>
          <w:position w:val="-4"/>
          <w:sz w:val="44"/>
          <w:szCs w:val="44"/>
        </w:rPr>
      </w:pPr>
    </w:p>
    <w:p>
      <w:pPr>
        <w:autoSpaceDE w:val="0"/>
        <w:autoSpaceDN w:val="0"/>
        <w:adjustRightInd w:val="0"/>
        <w:snapToGrid w:val="0"/>
        <w:spacing w:before="63" w:line="360" w:lineRule="auto"/>
        <w:ind w:right="13" w:rightChars="6"/>
        <w:jc w:val="center"/>
        <w:rPr>
          <w:rFonts w:ascii="黑体" w:hAnsi="黑体"/>
          <w:b/>
          <w:spacing w:val="2"/>
          <w:w w:val="99"/>
          <w:kern w:val="0"/>
          <w:position w:val="-4"/>
          <w:sz w:val="44"/>
          <w:szCs w:val="44"/>
        </w:rPr>
      </w:pPr>
      <w:r>
        <w:rPr>
          <w:rFonts w:ascii="Times New Roman" w:hAnsi="Times New Roman"/>
          <w:b/>
          <w:spacing w:val="2"/>
          <w:w w:val="99"/>
          <w:kern w:val="0"/>
          <w:position w:val="-4"/>
          <w:sz w:val="44"/>
          <w:szCs w:val="44"/>
        </w:rPr>
        <w:t>交银施罗德丰润收益债券型证券投资基金</w:t>
      </w:r>
    </w:p>
    <w:p>
      <w:pPr>
        <w:autoSpaceDE w:val="0"/>
        <w:autoSpaceDN w:val="0"/>
        <w:adjustRightInd w:val="0"/>
        <w:snapToGrid w:val="0"/>
        <w:spacing w:before="63" w:line="360" w:lineRule="auto"/>
        <w:ind w:right="13" w:rightChars="6"/>
        <w:jc w:val="center"/>
        <w:rPr>
          <w:rFonts w:ascii="宋体" w:hAnsi="宋体"/>
          <w:b/>
          <w:kern w:val="0"/>
          <w:sz w:val="44"/>
          <w:szCs w:val="44"/>
        </w:rPr>
      </w:pPr>
      <w:r>
        <w:rPr>
          <w:rFonts w:ascii="宋体" w:hAnsi="宋体"/>
          <w:b/>
          <w:spacing w:val="2"/>
          <w:w w:val="99"/>
          <w:kern w:val="0"/>
          <w:sz w:val="44"/>
          <w:szCs w:val="44"/>
        </w:rPr>
        <w:t>招募说明书(更新)</w:t>
      </w:r>
    </w:p>
    <w:p>
      <w:pPr>
        <w:snapToGrid w:val="0"/>
        <w:spacing w:line="360" w:lineRule="auto"/>
        <w:jc w:val="center"/>
        <w:rPr>
          <w:rFonts w:ascii="宋体" w:hAnsi="宋体"/>
          <w:b/>
          <w:sz w:val="30"/>
          <w:szCs w:val="30"/>
        </w:rPr>
      </w:pPr>
    </w:p>
    <w:p>
      <w:pPr>
        <w:autoSpaceDE w:val="0"/>
        <w:autoSpaceDN w:val="0"/>
        <w:adjustRightInd w:val="0"/>
        <w:snapToGrid w:val="0"/>
        <w:spacing w:line="360" w:lineRule="auto"/>
        <w:ind w:right="13" w:rightChars="6"/>
        <w:jc w:val="center"/>
        <w:rPr>
          <w:rFonts w:ascii="宋体" w:hAnsi="宋体"/>
          <w:spacing w:val="2"/>
          <w:w w:val="99"/>
          <w:kern w:val="0"/>
          <w:sz w:val="32"/>
          <w:szCs w:val="32"/>
        </w:rPr>
      </w:pPr>
    </w:p>
    <w:p>
      <w:pPr>
        <w:autoSpaceDE w:val="0"/>
        <w:autoSpaceDN w:val="0"/>
        <w:adjustRightInd w:val="0"/>
        <w:snapToGrid w:val="0"/>
        <w:spacing w:line="360" w:lineRule="auto"/>
        <w:ind w:right="13" w:rightChars="6"/>
        <w:jc w:val="center"/>
        <w:rPr>
          <w:rFonts w:ascii="宋体" w:hAnsi="宋体"/>
          <w:spacing w:val="2"/>
          <w:w w:val="99"/>
          <w:kern w:val="0"/>
          <w:sz w:val="32"/>
          <w:szCs w:val="32"/>
        </w:rPr>
      </w:pPr>
    </w:p>
    <w:p>
      <w:pPr>
        <w:autoSpaceDE w:val="0"/>
        <w:autoSpaceDN w:val="0"/>
        <w:adjustRightInd w:val="0"/>
        <w:snapToGrid w:val="0"/>
        <w:spacing w:line="360" w:lineRule="auto"/>
        <w:ind w:right="13" w:rightChars="6"/>
        <w:jc w:val="center"/>
        <w:rPr>
          <w:rFonts w:ascii="宋体" w:hAnsi="宋体"/>
          <w:spacing w:val="2"/>
          <w:w w:val="99"/>
          <w:kern w:val="0"/>
          <w:sz w:val="32"/>
          <w:szCs w:val="32"/>
        </w:rPr>
      </w:pPr>
    </w:p>
    <w:p>
      <w:pPr>
        <w:autoSpaceDE w:val="0"/>
        <w:autoSpaceDN w:val="0"/>
        <w:adjustRightInd w:val="0"/>
        <w:snapToGrid w:val="0"/>
        <w:spacing w:line="360" w:lineRule="auto"/>
        <w:ind w:right="13" w:rightChars="6"/>
        <w:jc w:val="center"/>
        <w:rPr>
          <w:rFonts w:ascii="宋体" w:hAnsi="宋体"/>
          <w:spacing w:val="2"/>
          <w:w w:val="99"/>
          <w:kern w:val="0"/>
          <w:sz w:val="32"/>
          <w:szCs w:val="32"/>
        </w:rPr>
      </w:pPr>
    </w:p>
    <w:p>
      <w:pPr>
        <w:autoSpaceDE w:val="0"/>
        <w:autoSpaceDN w:val="0"/>
        <w:adjustRightInd w:val="0"/>
        <w:snapToGrid w:val="0"/>
        <w:spacing w:line="360" w:lineRule="auto"/>
        <w:ind w:right="13" w:rightChars="6"/>
        <w:jc w:val="center"/>
        <w:rPr>
          <w:rFonts w:ascii="宋体" w:hAnsi="宋体"/>
          <w:spacing w:val="2"/>
          <w:w w:val="99"/>
          <w:kern w:val="0"/>
          <w:sz w:val="32"/>
          <w:szCs w:val="32"/>
        </w:rPr>
      </w:pPr>
    </w:p>
    <w:p>
      <w:pPr>
        <w:autoSpaceDE w:val="0"/>
        <w:autoSpaceDN w:val="0"/>
        <w:adjustRightInd w:val="0"/>
        <w:snapToGrid w:val="0"/>
        <w:spacing w:line="360" w:lineRule="auto"/>
        <w:ind w:right="13" w:rightChars="6"/>
        <w:jc w:val="center"/>
        <w:rPr>
          <w:rFonts w:ascii="宋体" w:hAnsi="宋体"/>
          <w:spacing w:val="2"/>
          <w:w w:val="99"/>
          <w:kern w:val="0"/>
          <w:sz w:val="32"/>
          <w:szCs w:val="32"/>
        </w:rPr>
      </w:pPr>
    </w:p>
    <w:p>
      <w:pPr>
        <w:autoSpaceDE w:val="0"/>
        <w:autoSpaceDN w:val="0"/>
        <w:adjustRightInd w:val="0"/>
        <w:snapToGrid w:val="0"/>
        <w:spacing w:line="360" w:lineRule="auto"/>
        <w:ind w:firstLine="1410" w:firstLineChars="500"/>
        <w:rPr>
          <w:rFonts w:ascii="宋体" w:hAnsi="宋体"/>
          <w:b/>
          <w:w w:val="99"/>
          <w:kern w:val="0"/>
          <w:sz w:val="28"/>
          <w:szCs w:val="32"/>
        </w:rPr>
      </w:pPr>
      <w:r>
        <w:rPr>
          <w:rFonts w:ascii="宋体" w:hAnsi="宋体"/>
          <w:b/>
          <w:spacing w:val="2"/>
          <w:w w:val="99"/>
          <w:kern w:val="0"/>
          <w:sz w:val="28"/>
          <w:szCs w:val="32"/>
        </w:rPr>
        <w:t>基金管理人：交银施罗德基金管理有限公司</w:t>
      </w:r>
    </w:p>
    <w:p>
      <w:pPr>
        <w:autoSpaceDE w:val="0"/>
        <w:autoSpaceDN w:val="0"/>
        <w:adjustRightInd w:val="0"/>
        <w:snapToGrid w:val="0"/>
        <w:spacing w:line="360" w:lineRule="auto"/>
        <w:ind w:firstLine="1410" w:firstLineChars="500"/>
        <w:rPr>
          <w:rFonts w:ascii="宋体" w:hAnsi="宋体"/>
          <w:b/>
          <w:w w:val="99"/>
          <w:kern w:val="0"/>
          <w:sz w:val="28"/>
          <w:szCs w:val="32"/>
        </w:rPr>
      </w:pPr>
      <w:r>
        <w:rPr>
          <w:rFonts w:ascii="宋体" w:hAnsi="宋体"/>
          <w:b/>
          <w:spacing w:val="2"/>
          <w:w w:val="99"/>
          <w:kern w:val="0"/>
          <w:sz w:val="28"/>
          <w:szCs w:val="32"/>
        </w:rPr>
        <w:t>基金托管人：中信银行股份有限公司</w:t>
      </w:r>
    </w:p>
    <w:p>
      <w:pPr>
        <w:autoSpaceDE w:val="0"/>
        <w:autoSpaceDN w:val="0"/>
        <w:adjustRightInd w:val="0"/>
        <w:snapToGrid w:val="0"/>
        <w:spacing w:line="360" w:lineRule="auto"/>
        <w:ind w:right="13" w:rightChars="6"/>
        <w:jc w:val="center"/>
        <w:rPr>
          <w:rFonts w:ascii="宋体" w:hAnsi="宋体"/>
          <w:spacing w:val="2"/>
          <w:w w:val="99"/>
          <w:kern w:val="0"/>
          <w:sz w:val="32"/>
          <w:szCs w:val="32"/>
        </w:rPr>
      </w:pPr>
    </w:p>
    <w:p>
      <w:pPr>
        <w:autoSpaceDE w:val="0"/>
        <w:autoSpaceDN w:val="0"/>
        <w:adjustRightInd w:val="0"/>
        <w:snapToGrid w:val="0"/>
        <w:spacing w:line="360" w:lineRule="auto"/>
        <w:ind w:right="13" w:rightChars="6"/>
        <w:jc w:val="center"/>
        <w:rPr>
          <w:rFonts w:ascii="宋体" w:hAnsi="宋体"/>
          <w:spacing w:val="2"/>
          <w:w w:val="99"/>
          <w:kern w:val="0"/>
          <w:sz w:val="32"/>
          <w:szCs w:val="32"/>
        </w:rPr>
      </w:pPr>
    </w:p>
    <w:p>
      <w:pPr>
        <w:autoSpaceDE w:val="0"/>
        <w:autoSpaceDN w:val="0"/>
        <w:adjustRightInd w:val="0"/>
        <w:snapToGrid w:val="0"/>
        <w:spacing w:line="360" w:lineRule="auto"/>
        <w:ind w:right="13" w:rightChars="6"/>
        <w:jc w:val="center"/>
        <w:rPr>
          <w:rFonts w:ascii="宋体" w:hAnsi="宋体"/>
          <w:b/>
          <w:kern w:val="0"/>
          <w:sz w:val="28"/>
          <w:szCs w:val="32"/>
        </w:rPr>
      </w:pPr>
      <w:r>
        <w:rPr>
          <w:rFonts w:ascii="Times New Roman" w:hAnsi="Times New Roman"/>
          <w:b/>
          <w:spacing w:val="2"/>
          <w:w w:val="99"/>
          <w:kern w:val="0"/>
          <w:sz w:val="28"/>
          <w:szCs w:val="32"/>
        </w:rPr>
        <w:t>二〇二五年</w:t>
      </w:r>
      <w:bookmarkStart w:id="29" w:name="_GoBack"/>
      <w:bookmarkEnd w:id="29"/>
      <w:r>
        <w:rPr>
          <w:rFonts w:hint="eastAsia" w:ascii="Times New Roman" w:hAnsi="Times New Roman"/>
          <w:b/>
          <w:spacing w:val="2"/>
          <w:w w:val="99"/>
          <w:kern w:val="0"/>
          <w:sz w:val="28"/>
          <w:szCs w:val="32"/>
        </w:rPr>
        <w:t>十</w:t>
      </w:r>
      <w:r>
        <w:rPr>
          <w:rFonts w:ascii="Times New Roman" w:hAnsi="Times New Roman"/>
          <w:b/>
          <w:spacing w:val="2"/>
          <w:w w:val="99"/>
          <w:kern w:val="0"/>
          <w:sz w:val="28"/>
          <w:szCs w:val="32"/>
        </w:rPr>
        <w:t>月</w:t>
      </w:r>
    </w:p>
    <w:p>
      <w:pPr>
        <w:autoSpaceDE w:val="0"/>
        <w:autoSpaceDN w:val="0"/>
        <w:adjustRightInd w:val="0"/>
        <w:snapToGrid w:val="0"/>
        <w:spacing w:line="360" w:lineRule="auto"/>
        <w:ind w:left="1347" w:right="13" w:rightChars="6"/>
        <w:rPr>
          <w:rFonts w:ascii="宋体" w:hAnsi="宋体"/>
          <w:kern w:val="0"/>
          <w:sz w:val="32"/>
          <w:szCs w:val="32"/>
        </w:rPr>
        <w:sectPr>
          <w:headerReference r:id="rId5" w:type="first"/>
          <w:footerReference r:id="rId8" w:type="first"/>
          <w:headerReference r:id="rId3" w:type="default"/>
          <w:footerReference r:id="rId6" w:type="default"/>
          <w:headerReference r:id="rId4" w:type="even"/>
          <w:footerReference r:id="rId7" w:type="even"/>
          <w:pgSz w:w="11920" w:h="16840"/>
          <w:pgMar w:top="1560" w:right="1680" w:bottom="280" w:left="1680" w:header="0" w:footer="1073" w:gutter="0"/>
          <w:pgNumType w:start="1"/>
          <w:cols w:space="720" w:num="1"/>
          <w:titlePg/>
          <w:docGrid w:linePitch="286" w:charSpace="0"/>
        </w:sectPr>
      </w:pPr>
    </w:p>
    <w:p>
      <w:pPr>
        <w:pStyle w:val="2"/>
        <w:snapToGrid w:val="0"/>
        <w:spacing w:before="240" w:beforeLines="0" w:after="240"/>
        <w:rPr>
          <w:rFonts w:ascii="宋体" w:hAnsi="宋体"/>
          <w:kern w:val="0"/>
        </w:rPr>
      </w:pPr>
      <w:bookmarkStart w:id="0" w:name="_Toc324920538"/>
      <w:bookmarkStart w:id="1" w:name="_Toc193101074"/>
      <w:bookmarkStart w:id="2" w:name="_Toc496884613"/>
      <w:r>
        <w:rPr>
          <w:rFonts w:ascii="Times New Roman" w:hAnsi="Times New Roman"/>
          <w:kern w:val="0"/>
        </w:rPr>
        <w:t>重要提示</w:t>
      </w:r>
      <w:bookmarkEnd w:id="0"/>
      <w:bookmarkEnd w:id="1"/>
      <w:bookmarkEnd w:id="2"/>
    </w:p>
    <w:p>
      <w:pPr>
        <w:autoSpaceDE w:val="0"/>
        <w:autoSpaceDN w:val="0"/>
        <w:adjustRightInd w:val="0"/>
        <w:snapToGrid w:val="0"/>
        <w:spacing w:line="360" w:lineRule="auto"/>
        <w:ind w:left="105" w:leftChars="50" w:firstLine="480" w:firstLineChars="200"/>
        <w:rPr>
          <w:rFonts w:ascii="宋体" w:hAnsi="宋体"/>
          <w:kern w:val="0"/>
          <w:sz w:val="24"/>
        </w:rPr>
      </w:pPr>
      <w:r>
        <w:rPr>
          <w:rFonts w:ascii="Times New Roman" w:hAnsi="Times New Roman"/>
          <w:kern w:val="0"/>
          <w:sz w:val="24"/>
        </w:rPr>
        <w:t>交银施罗德丰润收益债券型证券投资基金（以下简称“本基金”）经2014年10月24日中国证券监督管理委员会（以下简称“中国证监会”）证监许可【2014】1116号文准予募集注册。本基金基金合同于2014年12月15日正式生效。</w:t>
      </w:r>
    </w:p>
    <w:p>
      <w:pPr>
        <w:autoSpaceDE w:val="0"/>
        <w:autoSpaceDN w:val="0"/>
        <w:adjustRightInd w:val="0"/>
        <w:snapToGrid w:val="0"/>
        <w:spacing w:line="360" w:lineRule="auto"/>
        <w:ind w:left="105" w:leftChars="50" w:firstLine="480" w:firstLineChars="200"/>
        <w:rPr>
          <w:rFonts w:ascii="宋体" w:hAnsi="宋体"/>
          <w:kern w:val="0"/>
          <w:sz w:val="24"/>
        </w:rPr>
      </w:pPr>
      <w:r>
        <w:rPr>
          <w:rFonts w:ascii="Times New Roman" w:hAnsi="Times New Roman"/>
          <w:kern w:val="0"/>
          <w:sz w:val="24"/>
        </w:rPr>
        <w:t>基金管理人保证招募说明书的内容真实、准确、完整。本招募说明书经中国证监会注册，但中国证监会对本基金募集的注册，并不表明其对本基金的价值和收益作出实质性判断或保证，也不表明投资于本基金没有风险。中国证监会不对基金的投资价值及市场前景等作出实质性判断或者保证。</w:t>
      </w:r>
    </w:p>
    <w:p>
      <w:pPr>
        <w:autoSpaceDE w:val="0"/>
        <w:autoSpaceDN w:val="0"/>
        <w:adjustRightInd w:val="0"/>
        <w:snapToGrid w:val="0"/>
        <w:spacing w:line="360" w:lineRule="auto"/>
        <w:ind w:left="105" w:leftChars="50" w:firstLine="480" w:firstLineChars="200"/>
        <w:rPr>
          <w:rFonts w:ascii="宋体" w:hAnsi="宋体"/>
          <w:kern w:val="0"/>
          <w:sz w:val="24"/>
        </w:rPr>
      </w:pPr>
      <w:r>
        <w:rPr>
          <w:rFonts w:ascii="Times New Roman" w:hAnsi="Times New Roman"/>
          <w:kern w:val="0"/>
          <w:sz w:val="24"/>
        </w:rPr>
        <w:t>基金管理人依照恪尽职守、诚实信用、勤勉尽责的原则管理和运用基金财产，但不保证投资本基金一定盈利，也不保证基金份额持有人的最低收益；因基金价格可升可跌，亦不保证基金份额持有人能全数取回其原本投资。</w:t>
      </w:r>
    </w:p>
    <w:p>
      <w:pPr>
        <w:autoSpaceDE w:val="0"/>
        <w:autoSpaceDN w:val="0"/>
        <w:adjustRightInd w:val="0"/>
        <w:snapToGrid w:val="0"/>
        <w:spacing w:line="360" w:lineRule="auto"/>
        <w:ind w:left="105" w:leftChars="50" w:firstLine="480" w:firstLineChars="200"/>
        <w:rPr>
          <w:rFonts w:ascii="宋体" w:hAnsi="宋体"/>
          <w:kern w:val="0"/>
          <w:sz w:val="24"/>
        </w:rPr>
      </w:pPr>
      <w:r>
        <w:rPr>
          <w:rFonts w:ascii="Times New Roman" w:hAnsi="Times New Roman"/>
          <w:kern w:val="0"/>
          <w:sz w:val="24"/>
        </w:rPr>
        <w:t>本基金在基金合同生效之日起两年(含两年)的期间内采取封闭式运作，按照基金合同的约定提前转换基金运作方式的情形除外。封闭期内，基金投资者不能申购、赎回本基金基金份额。本基金转入开放期后基金投资者方可申购、赎回本基金基金份额。</w:t>
      </w:r>
    </w:p>
    <w:p>
      <w:pPr>
        <w:autoSpaceDE w:val="0"/>
        <w:autoSpaceDN w:val="0"/>
        <w:adjustRightInd w:val="0"/>
        <w:snapToGrid w:val="0"/>
        <w:spacing w:line="360" w:lineRule="auto"/>
        <w:ind w:left="105" w:leftChars="50" w:firstLine="480" w:firstLineChars="200"/>
        <w:rPr>
          <w:rFonts w:ascii="宋体" w:hAnsi="宋体"/>
          <w:kern w:val="0"/>
          <w:sz w:val="24"/>
        </w:rPr>
      </w:pPr>
      <w:r>
        <w:rPr>
          <w:rFonts w:ascii="Times New Roman" w:hAnsi="Times New Roman"/>
          <w:kern w:val="0"/>
          <w:sz w:val="24"/>
        </w:rPr>
        <w:t>本基金投资于证券市场，基金净值会因为证券市场波动等因素产生波动。投资人在投资本基金前，需全面认识本基金产品的风险收益特征和产品特性，充分考虑自身的风险承受能力，自主判断基金的投资价值，理性判断市场，对投资本基金的意愿、时机、数量等投资行为作出独立决策。投资人根据所持有份额享受基金的收益，但同时也需承担相应的投资风险。投资本基金可能遇到的风险包括：因受到经济因素、政治因素、投资心理和交易制度等各种因素的影响而引起的市场风险；基金管理人在基金管理实施过程中产生的基金管理风险；流动性风险（包括实施侧袋机制时的特定风险）；交易对手违约风险；基金资产净值连续二十个工作日低于1亿元时基金管理人可依基金合同约定提前终止基金合同的风险；投资本基金特有的其他风险等等。本基金是一只债券型基金，其风险与预期收益高于货币市场基金，低于混合型基金和股票型基金，属于证券投资基金中中等风险的品种。</w:t>
      </w:r>
    </w:p>
    <w:p>
      <w:pPr>
        <w:autoSpaceDE w:val="0"/>
        <w:autoSpaceDN w:val="0"/>
        <w:adjustRightInd w:val="0"/>
        <w:snapToGrid w:val="0"/>
        <w:spacing w:line="360" w:lineRule="auto"/>
        <w:ind w:left="105" w:leftChars="50" w:firstLine="480" w:firstLineChars="200"/>
        <w:rPr>
          <w:rFonts w:ascii="宋体" w:hAnsi="宋体"/>
          <w:kern w:val="0"/>
          <w:sz w:val="24"/>
        </w:rPr>
      </w:pPr>
      <w:r>
        <w:rPr>
          <w:rFonts w:ascii="Times New Roman" w:hAnsi="Times New Roman"/>
          <w:kern w:val="0"/>
          <w:sz w:val="24"/>
        </w:rPr>
        <w:t>投资有风险，投资人在投资本基金前应认真阅读本基金的招募说明书和基金合同、基金产品资料概要等信息披露文件。基金的过往业绩并不代表未来表现。基金管理人管理的其他基金的业绩并不构成对本基金业绩表现的保证。基金管理人提醒投资者基金投资的“买者自负”原则，在投资者作出投资决策后，基金运营状况与基金净值变化引致的投资风险，由投资者自行负责。</w:t>
      </w:r>
    </w:p>
    <w:p>
      <w:pPr>
        <w:autoSpaceDE w:val="0"/>
        <w:autoSpaceDN w:val="0"/>
        <w:adjustRightInd w:val="0"/>
        <w:snapToGrid w:val="0"/>
        <w:spacing w:line="360" w:lineRule="auto"/>
        <w:ind w:left="105" w:leftChars="50" w:firstLine="480" w:firstLineChars="200"/>
        <w:rPr>
          <w:rFonts w:ascii="宋体" w:hAnsi="宋体"/>
          <w:kern w:val="0"/>
          <w:sz w:val="24"/>
        </w:rPr>
      </w:pPr>
      <w:r>
        <w:rPr>
          <w:rFonts w:hint="eastAsia" w:ascii="Times New Roman" w:hAnsi="Times New Roman"/>
          <w:kern w:val="0"/>
          <w:sz w:val="24"/>
        </w:rPr>
        <w:t>本次更新招募说明书主要对本基金开通同一基金不同类别基金份额转换业务的有关内容进行更新，前述内容更新截止日为2025年10月23日。</w:t>
      </w:r>
      <w:r>
        <w:rPr>
          <w:rFonts w:ascii="Times New Roman" w:hAnsi="Times New Roman"/>
          <w:kern w:val="0"/>
          <w:sz w:val="24"/>
        </w:rPr>
        <w:t>基金经理变更相关事项更新截止日为2025年03月15日，除非另有说明，本招募说明书其他所载内容截止日为2024年12月03日，有关财务和业绩表现数据截止日为2024年09月30日，财务和业绩表现数据未经审计。</w:t>
      </w:r>
    </w:p>
    <w:p>
      <w:pPr>
        <w:autoSpaceDE w:val="0"/>
        <w:autoSpaceDN w:val="0"/>
        <w:adjustRightInd w:val="0"/>
        <w:snapToGrid w:val="0"/>
        <w:spacing w:before="51" w:line="360" w:lineRule="auto"/>
        <w:ind w:left="120" w:right="13" w:rightChars="6" w:firstLine="480"/>
        <w:rPr>
          <w:rFonts w:ascii="宋体" w:hAnsi="宋体"/>
          <w:kern w:val="0"/>
          <w:szCs w:val="24"/>
        </w:rPr>
        <w:sectPr>
          <w:headerReference r:id="rId9" w:type="default"/>
          <w:pgSz w:w="11920" w:h="16840"/>
          <w:pgMar w:top="1440" w:right="1680" w:bottom="280" w:left="1680" w:header="0" w:footer="1073" w:gutter="0"/>
          <w:pgNumType w:start="1"/>
          <w:cols w:space="720" w:num="1"/>
        </w:sectPr>
      </w:pPr>
    </w:p>
    <w:p>
      <w:pPr>
        <w:pStyle w:val="20"/>
        <w:snapToGrid w:val="0"/>
        <w:spacing w:after="240" w:line="360" w:lineRule="auto"/>
        <w:jc w:val="center"/>
        <w:rPr>
          <w:rFonts w:ascii="宋体" w:hAnsi="宋体"/>
          <w:sz w:val="24"/>
        </w:rPr>
      </w:pPr>
      <w:r>
        <w:rPr>
          <w:rFonts w:ascii="宋体" w:hAnsi="宋体"/>
          <w:color w:val="000000"/>
          <w:position w:val="-4"/>
          <w:sz w:val="24"/>
          <w:szCs w:val="30"/>
        </w:rPr>
        <w:t>目</w:t>
      </w:r>
      <w:r>
        <w:rPr>
          <w:rFonts w:ascii="宋体" w:hAnsi="宋体"/>
          <w:color w:val="000000"/>
          <w:position w:val="-4"/>
          <w:sz w:val="24"/>
          <w:szCs w:val="30"/>
        </w:rPr>
        <w:tab/>
      </w:r>
      <w:r>
        <w:rPr>
          <w:rFonts w:ascii="宋体" w:hAnsi="宋体"/>
          <w:color w:val="000000"/>
          <w:position w:val="-4"/>
          <w:sz w:val="24"/>
          <w:szCs w:val="30"/>
        </w:rPr>
        <w:t>录</w:t>
      </w:r>
      <w:r>
        <w:rPr>
          <w:rFonts w:ascii="宋体" w:hAnsi="宋体"/>
          <w:color w:val="000000"/>
          <w:position w:val="-4"/>
          <w:sz w:val="24"/>
          <w:szCs w:val="30"/>
        </w:rPr>
        <w:fldChar w:fldCharType="begin"/>
      </w:r>
      <w:r>
        <w:rPr>
          <w:rFonts w:ascii="宋体" w:hAnsi="宋体"/>
          <w:color w:val="000000"/>
          <w:position w:val="-4"/>
          <w:sz w:val="24"/>
          <w:szCs w:val="30"/>
        </w:rPr>
        <w:instrText xml:space="preserve"> TOC \o "1-3" \f - \h \t "-1" </w:instrText>
      </w:r>
      <w:r>
        <w:rPr>
          <w:rFonts w:ascii="宋体" w:hAnsi="宋体"/>
          <w:color w:val="000000"/>
          <w:position w:val="-4"/>
          <w:sz w:val="24"/>
          <w:szCs w:val="30"/>
        </w:rPr>
        <w:fldChar w:fldCharType="separate"/>
      </w:r>
    </w:p>
    <w:p>
      <w:pPr>
        <w:pStyle w:val="10"/>
        <w:tabs>
          <w:tab w:val="right" w:leader="dot" w:pos="8550"/>
        </w:tabs>
        <w:spacing w:line="360" w:lineRule="auto"/>
        <w:rPr>
          <w:rFonts w:ascii="宋体" w:hAnsi="宋体"/>
          <w:sz w:val="24"/>
        </w:rPr>
      </w:pPr>
      <w:r>
        <w:fldChar w:fldCharType="begin"/>
      </w:r>
      <w:r>
        <w:instrText xml:space="preserve"> HYPERLINK \l "_Toc193101074" </w:instrText>
      </w:r>
      <w:r>
        <w:fldChar w:fldCharType="separate"/>
      </w:r>
      <w:r>
        <w:rPr>
          <w:rStyle w:val="18"/>
          <w:rFonts w:hint="eastAsia" w:ascii="宋体" w:hAnsi="宋体"/>
          <w:kern w:val="0"/>
          <w:sz w:val="24"/>
        </w:rPr>
        <w:t>重要提示</w:t>
      </w:r>
      <w:r>
        <w:rPr>
          <w:rFonts w:ascii="宋体" w:hAnsi="宋体"/>
          <w:sz w:val="24"/>
        </w:rPr>
        <w:tab/>
      </w:r>
      <w:r>
        <w:rPr>
          <w:rFonts w:ascii="宋体" w:hAnsi="宋体"/>
          <w:sz w:val="24"/>
        </w:rPr>
        <w:fldChar w:fldCharType="begin"/>
      </w:r>
      <w:r>
        <w:rPr>
          <w:rFonts w:ascii="宋体" w:hAnsi="宋体"/>
          <w:sz w:val="24"/>
        </w:rPr>
        <w:instrText xml:space="preserve"> PAGEREF _Toc193101074 \h </w:instrText>
      </w:r>
      <w:r>
        <w:rPr>
          <w:rFonts w:ascii="宋体" w:hAnsi="宋体"/>
          <w:sz w:val="24"/>
        </w:rPr>
        <w:fldChar w:fldCharType="separate"/>
      </w:r>
      <w:r>
        <w:rPr>
          <w:rFonts w:ascii="宋体" w:hAnsi="宋体"/>
          <w:sz w:val="24"/>
        </w:rPr>
        <w:t>1</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sz w:val="24"/>
        </w:rPr>
      </w:pPr>
      <w:r>
        <w:fldChar w:fldCharType="begin"/>
      </w:r>
      <w:r>
        <w:instrText xml:space="preserve"> HYPERLINK \l "_Toc193101075" </w:instrText>
      </w:r>
      <w:r>
        <w:fldChar w:fldCharType="separate"/>
      </w:r>
      <w:r>
        <w:rPr>
          <w:rStyle w:val="18"/>
          <w:rFonts w:hint="eastAsia" w:ascii="宋体" w:hAnsi="宋体"/>
          <w:sz w:val="24"/>
        </w:rPr>
        <w:t>一、绪言</w:t>
      </w:r>
      <w:r>
        <w:rPr>
          <w:rFonts w:ascii="宋体" w:hAnsi="宋体"/>
          <w:sz w:val="24"/>
        </w:rPr>
        <w:tab/>
      </w:r>
      <w:r>
        <w:rPr>
          <w:rFonts w:ascii="宋体" w:hAnsi="宋体"/>
          <w:sz w:val="24"/>
        </w:rPr>
        <w:fldChar w:fldCharType="begin"/>
      </w:r>
      <w:r>
        <w:rPr>
          <w:rFonts w:ascii="宋体" w:hAnsi="宋体"/>
          <w:sz w:val="24"/>
        </w:rPr>
        <w:instrText xml:space="preserve"> PAGEREF _Toc193101075 \h </w:instrText>
      </w:r>
      <w:r>
        <w:rPr>
          <w:rFonts w:ascii="宋体" w:hAnsi="宋体"/>
          <w:sz w:val="24"/>
        </w:rPr>
        <w:fldChar w:fldCharType="separate"/>
      </w:r>
      <w:r>
        <w:rPr>
          <w:rFonts w:ascii="宋体" w:hAnsi="宋体"/>
          <w:sz w:val="24"/>
        </w:rPr>
        <w:t>4</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sz w:val="24"/>
        </w:rPr>
      </w:pPr>
      <w:r>
        <w:fldChar w:fldCharType="begin"/>
      </w:r>
      <w:r>
        <w:instrText xml:space="preserve"> HYPERLINK \l "_Toc193101076" </w:instrText>
      </w:r>
      <w:r>
        <w:fldChar w:fldCharType="separate"/>
      </w:r>
      <w:r>
        <w:rPr>
          <w:rStyle w:val="18"/>
          <w:rFonts w:hint="eastAsia" w:ascii="宋体" w:hAnsi="宋体"/>
          <w:sz w:val="24"/>
        </w:rPr>
        <w:t>二、释义</w:t>
      </w:r>
      <w:r>
        <w:rPr>
          <w:rFonts w:ascii="宋体" w:hAnsi="宋体"/>
          <w:sz w:val="24"/>
        </w:rPr>
        <w:tab/>
      </w:r>
      <w:r>
        <w:rPr>
          <w:rFonts w:ascii="宋体" w:hAnsi="宋体"/>
          <w:sz w:val="24"/>
        </w:rPr>
        <w:fldChar w:fldCharType="begin"/>
      </w:r>
      <w:r>
        <w:rPr>
          <w:rFonts w:ascii="宋体" w:hAnsi="宋体"/>
          <w:sz w:val="24"/>
        </w:rPr>
        <w:instrText xml:space="preserve"> PAGEREF _Toc193101076 \h </w:instrText>
      </w:r>
      <w:r>
        <w:rPr>
          <w:rFonts w:ascii="宋体" w:hAnsi="宋体"/>
          <w:sz w:val="24"/>
        </w:rPr>
        <w:fldChar w:fldCharType="separate"/>
      </w:r>
      <w:r>
        <w:rPr>
          <w:rFonts w:ascii="宋体" w:hAnsi="宋体"/>
          <w:sz w:val="24"/>
        </w:rPr>
        <w:t>5</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sz w:val="24"/>
        </w:rPr>
      </w:pPr>
      <w:r>
        <w:fldChar w:fldCharType="begin"/>
      </w:r>
      <w:r>
        <w:instrText xml:space="preserve"> HYPERLINK \l "_Toc193101077" </w:instrText>
      </w:r>
      <w:r>
        <w:fldChar w:fldCharType="separate"/>
      </w:r>
      <w:r>
        <w:rPr>
          <w:rStyle w:val="18"/>
          <w:rFonts w:hint="eastAsia" w:ascii="宋体" w:hAnsi="宋体"/>
          <w:sz w:val="24"/>
        </w:rPr>
        <w:t>三、基金管理人</w:t>
      </w:r>
      <w:r>
        <w:rPr>
          <w:rFonts w:ascii="宋体" w:hAnsi="宋体"/>
          <w:sz w:val="24"/>
        </w:rPr>
        <w:tab/>
      </w:r>
      <w:r>
        <w:rPr>
          <w:rFonts w:ascii="宋体" w:hAnsi="宋体"/>
          <w:sz w:val="24"/>
        </w:rPr>
        <w:fldChar w:fldCharType="begin"/>
      </w:r>
      <w:r>
        <w:rPr>
          <w:rFonts w:ascii="宋体" w:hAnsi="宋体"/>
          <w:sz w:val="24"/>
        </w:rPr>
        <w:instrText xml:space="preserve"> PAGEREF _Toc193101077 \h </w:instrText>
      </w:r>
      <w:r>
        <w:rPr>
          <w:rFonts w:ascii="宋体" w:hAnsi="宋体"/>
          <w:sz w:val="24"/>
        </w:rPr>
        <w:fldChar w:fldCharType="separate"/>
      </w:r>
      <w:r>
        <w:rPr>
          <w:rFonts w:ascii="宋体" w:hAnsi="宋体"/>
          <w:sz w:val="24"/>
        </w:rPr>
        <w:t>10</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sz w:val="24"/>
        </w:rPr>
      </w:pPr>
      <w:r>
        <w:fldChar w:fldCharType="begin"/>
      </w:r>
      <w:r>
        <w:instrText xml:space="preserve"> HYPERLINK \l "_Toc193101078" </w:instrText>
      </w:r>
      <w:r>
        <w:fldChar w:fldCharType="separate"/>
      </w:r>
      <w:r>
        <w:rPr>
          <w:rStyle w:val="18"/>
          <w:rFonts w:hint="eastAsia" w:ascii="宋体" w:hAnsi="宋体"/>
          <w:sz w:val="24"/>
        </w:rPr>
        <w:t>四、基金托管人</w:t>
      </w:r>
      <w:r>
        <w:rPr>
          <w:rFonts w:ascii="宋体" w:hAnsi="宋体"/>
          <w:sz w:val="24"/>
        </w:rPr>
        <w:tab/>
      </w:r>
      <w:r>
        <w:rPr>
          <w:rFonts w:ascii="宋体" w:hAnsi="宋体"/>
          <w:sz w:val="24"/>
        </w:rPr>
        <w:fldChar w:fldCharType="begin"/>
      </w:r>
      <w:r>
        <w:rPr>
          <w:rFonts w:ascii="宋体" w:hAnsi="宋体"/>
          <w:sz w:val="24"/>
        </w:rPr>
        <w:instrText xml:space="preserve"> PAGEREF _Toc193101078 \h </w:instrText>
      </w:r>
      <w:r>
        <w:rPr>
          <w:rFonts w:ascii="宋体" w:hAnsi="宋体"/>
          <w:sz w:val="24"/>
        </w:rPr>
        <w:fldChar w:fldCharType="separate"/>
      </w:r>
      <w:r>
        <w:rPr>
          <w:rFonts w:ascii="宋体" w:hAnsi="宋体"/>
          <w:sz w:val="24"/>
        </w:rPr>
        <w:t>19</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sz w:val="24"/>
        </w:rPr>
      </w:pPr>
      <w:r>
        <w:fldChar w:fldCharType="begin"/>
      </w:r>
      <w:r>
        <w:instrText xml:space="preserve"> HYPERLINK \l "_Toc193101079" </w:instrText>
      </w:r>
      <w:r>
        <w:fldChar w:fldCharType="separate"/>
      </w:r>
      <w:r>
        <w:rPr>
          <w:rStyle w:val="18"/>
          <w:rFonts w:hint="eastAsia" w:ascii="宋体" w:hAnsi="宋体"/>
          <w:sz w:val="24"/>
        </w:rPr>
        <w:t>五、相关服务机构</w:t>
      </w:r>
      <w:r>
        <w:rPr>
          <w:rFonts w:ascii="宋体" w:hAnsi="宋体"/>
          <w:sz w:val="24"/>
        </w:rPr>
        <w:tab/>
      </w:r>
      <w:r>
        <w:rPr>
          <w:rFonts w:ascii="宋体" w:hAnsi="宋体"/>
          <w:sz w:val="24"/>
        </w:rPr>
        <w:fldChar w:fldCharType="begin"/>
      </w:r>
      <w:r>
        <w:rPr>
          <w:rFonts w:ascii="宋体" w:hAnsi="宋体"/>
          <w:sz w:val="24"/>
        </w:rPr>
        <w:instrText xml:space="preserve"> PAGEREF _Toc193101079 \h </w:instrText>
      </w:r>
      <w:r>
        <w:rPr>
          <w:rFonts w:ascii="宋体" w:hAnsi="宋体"/>
          <w:sz w:val="24"/>
        </w:rPr>
        <w:fldChar w:fldCharType="separate"/>
      </w:r>
      <w:r>
        <w:rPr>
          <w:rFonts w:ascii="宋体" w:hAnsi="宋体"/>
          <w:sz w:val="24"/>
        </w:rPr>
        <w:t>23</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sz w:val="24"/>
        </w:rPr>
      </w:pPr>
      <w:r>
        <w:fldChar w:fldCharType="begin"/>
      </w:r>
      <w:r>
        <w:instrText xml:space="preserve"> HYPERLINK \l "_Toc193101080" </w:instrText>
      </w:r>
      <w:r>
        <w:fldChar w:fldCharType="separate"/>
      </w:r>
      <w:r>
        <w:rPr>
          <w:rStyle w:val="18"/>
          <w:rFonts w:hint="eastAsia" w:ascii="宋体" w:hAnsi="宋体"/>
          <w:sz w:val="24"/>
        </w:rPr>
        <w:t>六、基金的募集</w:t>
      </w:r>
      <w:r>
        <w:rPr>
          <w:rFonts w:ascii="宋体" w:hAnsi="宋体"/>
          <w:sz w:val="24"/>
        </w:rPr>
        <w:tab/>
      </w:r>
      <w:r>
        <w:rPr>
          <w:rFonts w:ascii="宋体" w:hAnsi="宋体"/>
          <w:sz w:val="24"/>
        </w:rPr>
        <w:fldChar w:fldCharType="begin"/>
      </w:r>
      <w:r>
        <w:rPr>
          <w:rFonts w:ascii="宋体" w:hAnsi="宋体"/>
          <w:sz w:val="24"/>
        </w:rPr>
        <w:instrText xml:space="preserve"> PAGEREF _Toc193101080 \h </w:instrText>
      </w:r>
      <w:r>
        <w:rPr>
          <w:rFonts w:ascii="宋体" w:hAnsi="宋体"/>
          <w:sz w:val="24"/>
        </w:rPr>
        <w:fldChar w:fldCharType="separate"/>
      </w:r>
      <w:r>
        <w:rPr>
          <w:rFonts w:ascii="宋体" w:hAnsi="宋体"/>
          <w:sz w:val="24"/>
        </w:rPr>
        <w:t>48</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sz w:val="24"/>
        </w:rPr>
      </w:pPr>
      <w:r>
        <w:fldChar w:fldCharType="begin"/>
      </w:r>
      <w:r>
        <w:instrText xml:space="preserve"> HYPERLINK \l "_Toc193101081" </w:instrText>
      </w:r>
      <w:r>
        <w:fldChar w:fldCharType="separate"/>
      </w:r>
      <w:r>
        <w:rPr>
          <w:rStyle w:val="18"/>
          <w:rFonts w:hint="eastAsia" w:ascii="宋体" w:hAnsi="宋体"/>
          <w:sz w:val="24"/>
        </w:rPr>
        <w:t>七、基金合同的生效</w:t>
      </w:r>
      <w:r>
        <w:rPr>
          <w:rFonts w:ascii="宋体" w:hAnsi="宋体"/>
          <w:sz w:val="24"/>
        </w:rPr>
        <w:tab/>
      </w:r>
      <w:r>
        <w:rPr>
          <w:rFonts w:ascii="宋体" w:hAnsi="宋体"/>
          <w:sz w:val="24"/>
        </w:rPr>
        <w:fldChar w:fldCharType="begin"/>
      </w:r>
      <w:r>
        <w:rPr>
          <w:rFonts w:ascii="宋体" w:hAnsi="宋体"/>
          <w:sz w:val="24"/>
        </w:rPr>
        <w:instrText xml:space="preserve"> PAGEREF _Toc193101081 \h </w:instrText>
      </w:r>
      <w:r>
        <w:rPr>
          <w:rFonts w:ascii="宋体" w:hAnsi="宋体"/>
          <w:sz w:val="24"/>
        </w:rPr>
        <w:fldChar w:fldCharType="separate"/>
      </w:r>
      <w:r>
        <w:rPr>
          <w:rFonts w:ascii="宋体" w:hAnsi="宋体"/>
          <w:sz w:val="24"/>
        </w:rPr>
        <w:t>49</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sz w:val="24"/>
        </w:rPr>
      </w:pPr>
      <w:r>
        <w:fldChar w:fldCharType="begin"/>
      </w:r>
      <w:r>
        <w:instrText xml:space="preserve"> HYPERLINK \l "_Toc193101082" </w:instrText>
      </w:r>
      <w:r>
        <w:fldChar w:fldCharType="separate"/>
      </w:r>
      <w:r>
        <w:rPr>
          <w:rStyle w:val="18"/>
          <w:rFonts w:hint="eastAsia" w:ascii="宋体" w:hAnsi="宋体"/>
          <w:sz w:val="24"/>
        </w:rPr>
        <w:t>八、基金份额的申购与赎回</w:t>
      </w:r>
      <w:r>
        <w:rPr>
          <w:rFonts w:ascii="宋体" w:hAnsi="宋体"/>
          <w:sz w:val="24"/>
        </w:rPr>
        <w:tab/>
      </w:r>
      <w:r>
        <w:rPr>
          <w:rFonts w:ascii="宋体" w:hAnsi="宋体"/>
          <w:sz w:val="24"/>
        </w:rPr>
        <w:fldChar w:fldCharType="begin"/>
      </w:r>
      <w:r>
        <w:rPr>
          <w:rFonts w:ascii="宋体" w:hAnsi="宋体"/>
          <w:sz w:val="24"/>
        </w:rPr>
        <w:instrText xml:space="preserve"> PAGEREF _Toc193101082 \h </w:instrText>
      </w:r>
      <w:r>
        <w:rPr>
          <w:rFonts w:ascii="宋体" w:hAnsi="宋体"/>
          <w:sz w:val="24"/>
        </w:rPr>
        <w:fldChar w:fldCharType="separate"/>
      </w:r>
      <w:r>
        <w:rPr>
          <w:rFonts w:ascii="宋体" w:hAnsi="宋体"/>
          <w:sz w:val="24"/>
        </w:rPr>
        <w:t>50</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sz w:val="24"/>
        </w:rPr>
      </w:pPr>
      <w:r>
        <w:fldChar w:fldCharType="begin"/>
      </w:r>
      <w:r>
        <w:instrText xml:space="preserve"> HYPERLINK \l "_Toc193101083" </w:instrText>
      </w:r>
      <w:r>
        <w:fldChar w:fldCharType="separate"/>
      </w:r>
      <w:r>
        <w:rPr>
          <w:rStyle w:val="18"/>
          <w:rFonts w:hint="eastAsia" w:ascii="宋体" w:hAnsi="宋体"/>
          <w:sz w:val="24"/>
        </w:rPr>
        <w:t>九、</w:t>
      </w:r>
      <w:r>
        <w:rPr>
          <w:rStyle w:val="18"/>
          <w:rFonts w:ascii="宋体" w:hAnsi="宋体"/>
          <w:sz w:val="24"/>
        </w:rPr>
        <w:t xml:space="preserve"> </w:t>
      </w:r>
      <w:r>
        <w:rPr>
          <w:rStyle w:val="18"/>
          <w:rFonts w:hint="eastAsia" w:ascii="宋体" w:hAnsi="宋体"/>
          <w:sz w:val="24"/>
        </w:rPr>
        <w:t>基金的转换</w:t>
      </w:r>
      <w:r>
        <w:rPr>
          <w:rFonts w:ascii="宋体" w:hAnsi="宋体"/>
          <w:sz w:val="24"/>
        </w:rPr>
        <w:tab/>
      </w:r>
      <w:r>
        <w:rPr>
          <w:rFonts w:ascii="宋体" w:hAnsi="宋体"/>
          <w:sz w:val="24"/>
        </w:rPr>
        <w:fldChar w:fldCharType="begin"/>
      </w:r>
      <w:r>
        <w:rPr>
          <w:rFonts w:ascii="宋体" w:hAnsi="宋体"/>
          <w:sz w:val="24"/>
        </w:rPr>
        <w:instrText xml:space="preserve"> PAGEREF _Toc193101083 \h </w:instrText>
      </w:r>
      <w:r>
        <w:rPr>
          <w:rFonts w:ascii="宋体" w:hAnsi="宋体"/>
          <w:sz w:val="24"/>
        </w:rPr>
        <w:fldChar w:fldCharType="separate"/>
      </w:r>
      <w:r>
        <w:rPr>
          <w:rFonts w:ascii="宋体" w:hAnsi="宋体"/>
          <w:sz w:val="24"/>
        </w:rPr>
        <w:t>64</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sz w:val="24"/>
        </w:rPr>
      </w:pPr>
      <w:r>
        <w:fldChar w:fldCharType="begin"/>
      </w:r>
      <w:r>
        <w:instrText xml:space="preserve"> HYPERLINK \l "_Toc193101084" </w:instrText>
      </w:r>
      <w:r>
        <w:fldChar w:fldCharType="separate"/>
      </w:r>
      <w:r>
        <w:rPr>
          <w:rStyle w:val="18"/>
          <w:rFonts w:hint="eastAsia" w:ascii="宋体" w:hAnsi="宋体"/>
          <w:sz w:val="24"/>
        </w:rPr>
        <w:t>十、基金的投资</w:t>
      </w:r>
      <w:r>
        <w:rPr>
          <w:rFonts w:ascii="宋体" w:hAnsi="宋体"/>
          <w:sz w:val="24"/>
        </w:rPr>
        <w:tab/>
      </w:r>
      <w:r>
        <w:rPr>
          <w:rFonts w:ascii="宋体" w:hAnsi="宋体"/>
          <w:sz w:val="24"/>
        </w:rPr>
        <w:fldChar w:fldCharType="begin"/>
      </w:r>
      <w:r>
        <w:rPr>
          <w:rFonts w:ascii="宋体" w:hAnsi="宋体"/>
          <w:sz w:val="24"/>
        </w:rPr>
        <w:instrText xml:space="preserve"> PAGEREF _Toc193101084 \h </w:instrText>
      </w:r>
      <w:r>
        <w:rPr>
          <w:rFonts w:ascii="宋体" w:hAnsi="宋体"/>
          <w:sz w:val="24"/>
        </w:rPr>
        <w:fldChar w:fldCharType="separate"/>
      </w:r>
      <w:r>
        <w:rPr>
          <w:rFonts w:ascii="宋体" w:hAnsi="宋体"/>
          <w:sz w:val="24"/>
        </w:rPr>
        <w:t>71</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sz w:val="24"/>
        </w:rPr>
      </w:pPr>
      <w:r>
        <w:fldChar w:fldCharType="begin"/>
      </w:r>
      <w:r>
        <w:instrText xml:space="preserve"> HYPERLINK \l "_Toc193101085" </w:instrText>
      </w:r>
      <w:r>
        <w:fldChar w:fldCharType="separate"/>
      </w:r>
      <w:r>
        <w:rPr>
          <w:rStyle w:val="18"/>
          <w:rFonts w:hint="eastAsia" w:ascii="宋体" w:hAnsi="宋体"/>
          <w:sz w:val="24"/>
        </w:rPr>
        <w:t>十一、基金的业绩</w:t>
      </w:r>
      <w:r>
        <w:rPr>
          <w:rFonts w:ascii="宋体" w:hAnsi="宋体"/>
          <w:sz w:val="24"/>
        </w:rPr>
        <w:tab/>
      </w:r>
      <w:r>
        <w:rPr>
          <w:rFonts w:ascii="宋体" w:hAnsi="宋体"/>
          <w:sz w:val="24"/>
        </w:rPr>
        <w:fldChar w:fldCharType="begin"/>
      </w:r>
      <w:r>
        <w:rPr>
          <w:rFonts w:ascii="宋体" w:hAnsi="宋体"/>
          <w:sz w:val="24"/>
        </w:rPr>
        <w:instrText xml:space="preserve"> PAGEREF _Toc193101085 \h </w:instrText>
      </w:r>
      <w:r>
        <w:rPr>
          <w:rFonts w:ascii="宋体" w:hAnsi="宋体"/>
          <w:sz w:val="24"/>
        </w:rPr>
        <w:fldChar w:fldCharType="separate"/>
      </w:r>
      <w:r>
        <w:rPr>
          <w:rFonts w:ascii="宋体" w:hAnsi="宋体"/>
          <w:sz w:val="24"/>
        </w:rPr>
        <w:t>81</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sz w:val="24"/>
        </w:rPr>
      </w:pPr>
      <w:r>
        <w:fldChar w:fldCharType="begin"/>
      </w:r>
      <w:r>
        <w:instrText xml:space="preserve"> HYPERLINK \l "_Toc193101086" </w:instrText>
      </w:r>
      <w:r>
        <w:fldChar w:fldCharType="separate"/>
      </w:r>
      <w:r>
        <w:rPr>
          <w:rStyle w:val="18"/>
          <w:rFonts w:hint="eastAsia" w:ascii="宋体" w:hAnsi="宋体"/>
          <w:sz w:val="24"/>
        </w:rPr>
        <w:t>十二、基金的财产</w:t>
      </w:r>
      <w:r>
        <w:rPr>
          <w:rFonts w:ascii="宋体" w:hAnsi="宋体"/>
          <w:sz w:val="24"/>
        </w:rPr>
        <w:tab/>
      </w:r>
      <w:r>
        <w:rPr>
          <w:rFonts w:ascii="宋体" w:hAnsi="宋体"/>
          <w:sz w:val="24"/>
        </w:rPr>
        <w:fldChar w:fldCharType="begin"/>
      </w:r>
      <w:r>
        <w:rPr>
          <w:rFonts w:ascii="宋体" w:hAnsi="宋体"/>
          <w:sz w:val="24"/>
        </w:rPr>
        <w:instrText xml:space="preserve"> PAGEREF _Toc193101086 \h </w:instrText>
      </w:r>
      <w:r>
        <w:rPr>
          <w:rFonts w:ascii="宋体" w:hAnsi="宋体"/>
          <w:sz w:val="24"/>
        </w:rPr>
        <w:fldChar w:fldCharType="separate"/>
      </w:r>
      <w:r>
        <w:rPr>
          <w:rFonts w:ascii="宋体" w:hAnsi="宋体"/>
          <w:sz w:val="24"/>
        </w:rPr>
        <w:t>85</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sz w:val="24"/>
        </w:rPr>
      </w:pPr>
      <w:r>
        <w:fldChar w:fldCharType="begin"/>
      </w:r>
      <w:r>
        <w:instrText xml:space="preserve"> HYPERLINK \l "_Toc193101087" </w:instrText>
      </w:r>
      <w:r>
        <w:fldChar w:fldCharType="separate"/>
      </w:r>
      <w:r>
        <w:rPr>
          <w:rStyle w:val="18"/>
          <w:rFonts w:hint="eastAsia" w:ascii="宋体" w:hAnsi="宋体"/>
          <w:sz w:val="24"/>
        </w:rPr>
        <w:t>十三、基金资产的估值</w:t>
      </w:r>
      <w:r>
        <w:rPr>
          <w:rFonts w:ascii="宋体" w:hAnsi="宋体"/>
          <w:sz w:val="24"/>
        </w:rPr>
        <w:tab/>
      </w:r>
      <w:r>
        <w:rPr>
          <w:rFonts w:ascii="宋体" w:hAnsi="宋体"/>
          <w:sz w:val="24"/>
        </w:rPr>
        <w:fldChar w:fldCharType="begin"/>
      </w:r>
      <w:r>
        <w:rPr>
          <w:rFonts w:ascii="宋体" w:hAnsi="宋体"/>
          <w:sz w:val="24"/>
        </w:rPr>
        <w:instrText xml:space="preserve"> PAGEREF _Toc193101087 \h </w:instrText>
      </w:r>
      <w:r>
        <w:rPr>
          <w:rFonts w:ascii="宋体" w:hAnsi="宋体"/>
          <w:sz w:val="24"/>
        </w:rPr>
        <w:fldChar w:fldCharType="separate"/>
      </w:r>
      <w:r>
        <w:rPr>
          <w:rFonts w:ascii="宋体" w:hAnsi="宋体"/>
          <w:sz w:val="24"/>
        </w:rPr>
        <w:t>86</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sz w:val="24"/>
        </w:rPr>
      </w:pPr>
      <w:r>
        <w:fldChar w:fldCharType="begin"/>
      </w:r>
      <w:r>
        <w:instrText xml:space="preserve"> HYPERLINK \l "_Toc193101088" </w:instrText>
      </w:r>
      <w:r>
        <w:fldChar w:fldCharType="separate"/>
      </w:r>
      <w:r>
        <w:rPr>
          <w:rStyle w:val="18"/>
          <w:rFonts w:hint="eastAsia" w:ascii="宋体" w:hAnsi="宋体"/>
          <w:sz w:val="24"/>
        </w:rPr>
        <w:t>十四、基金收益与分配</w:t>
      </w:r>
      <w:r>
        <w:rPr>
          <w:rFonts w:ascii="宋体" w:hAnsi="宋体"/>
          <w:sz w:val="24"/>
        </w:rPr>
        <w:tab/>
      </w:r>
      <w:r>
        <w:rPr>
          <w:rFonts w:ascii="宋体" w:hAnsi="宋体"/>
          <w:sz w:val="24"/>
        </w:rPr>
        <w:fldChar w:fldCharType="begin"/>
      </w:r>
      <w:r>
        <w:rPr>
          <w:rFonts w:ascii="宋体" w:hAnsi="宋体"/>
          <w:sz w:val="24"/>
        </w:rPr>
        <w:instrText xml:space="preserve"> PAGEREF _Toc193101088 \h </w:instrText>
      </w:r>
      <w:r>
        <w:rPr>
          <w:rFonts w:ascii="宋体" w:hAnsi="宋体"/>
          <w:sz w:val="24"/>
        </w:rPr>
        <w:fldChar w:fldCharType="separate"/>
      </w:r>
      <w:r>
        <w:rPr>
          <w:rFonts w:ascii="宋体" w:hAnsi="宋体"/>
          <w:sz w:val="24"/>
        </w:rPr>
        <w:t>91</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sz w:val="24"/>
        </w:rPr>
      </w:pPr>
      <w:r>
        <w:fldChar w:fldCharType="begin"/>
      </w:r>
      <w:r>
        <w:instrText xml:space="preserve"> HYPERLINK \l "_Toc193101089" </w:instrText>
      </w:r>
      <w:r>
        <w:fldChar w:fldCharType="separate"/>
      </w:r>
      <w:r>
        <w:rPr>
          <w:rStyle w:val="18"/>
          <w:rFonts w:hint="eastAsia" w:ascii="宋体" w:hAnsi="宋体"/>
          <w:sz w:val="24"/>
        </w:rPr>
        <w:t>十五、基金的费用与税收</w:t>
      </w:r>
      <w:r>
        <w:rPr>
          <w:rFonts w:ascii="宋体" w:hAnsi="宋体"/>
          <w:sz w:val="24"/>
        </w:rPr>
        <w:tab/>
      </w:r>
      <w:r>
        <w:rPr>
          <w:rFonts w:ascii="宋体" w:hAnsi="宋体"/>
          <w:sz w:val="24"/>
        </w:rPr>
        <w:fldChar w:fldCharType="begin"/>
      </w:r>
      <w:r>
        <w:rPr>
          <w:rFonts w:ascii="宋体" w:hAnsi="宋体"/>
          <w:sz w:val="24"/>
        </w:rPr>
        <w:instrText xml:space="preserve"> PAGEREF _Toc193101089 \h </w:instrText>
      </w:r>
      <w:r>
        <w:rPr>
          <w:rFonts w:ascii="宋体" w:hAnsi="宋体"/>
          <w:sz w:val="24"/>
        </w:rPr>
        <w:fldChar w:fldCharType="separate"/>
      </w:r>
      <w:r>
        <w:rPr>
          <w:rFonts w:ascii="宋体" w:hAnsi="宋体"/>
          <w:sz w:val="24"/>
        </w:rPr>
        <w:t>93</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sz w:val="24"/>
        </w:rPr>
      </w:pPr>
      <w:r>
        <w:fldChar w:fldCharType="begin"/>
      </w:r>
      <w:r>
        <w:instrText xml:space="preserve"> HYPERLINK \l "_Toc193101090" </w:instrText>
      </w:r>
      <w:r>
        <w:fldChar w:fldCharType="separate"/>
      </w:r>
      <w:r>
        <w:rPr>
          <w:rStyle w:val="18"/>
          <w:rFonts w:hint="eastAsia" w:ascii="宋体" w:hAnsi="宋体"/>
          <w:sz w:val="24"/>
        </w:rPr>
        <w:t>十六、基金的会计与审计</w:t>
      </w:r>
      <w:r>
        <w:rPr>
          <w:rFonts w:ascii="宋体" w:hAnsi="宋体"/>
          <w:sz w:val="24"/>
        </w:rPr>
        <w:tab/>
      </w:r>
      <w:r>
        <w:rPr>
          <w:rFonts w:ascii="宋体" w:hAnsi="宋体"/>
          <w:sz w:val="24"/>
        </w:rPr>
        <w:fldChar w:fldCharType="begin"/>
      </w:r>
      <w:r>
        <w:rPr>
          <w:rFonts w:ascii="宋体" w:hAnsi="宋体"/>
          <w:sz w:val="24"/>
        </w:rPr>
        <w:instrText xml:space="preserve"> PAGEREF _Toc193101090 \h </w:instrText>
      </w:r>
      <w:r>
        <w:rPr>
          <w:rFonts w:ascii="宋体" w:hAnsi="宋体"/>
          <w:sz w:val="24"/>
        </w:rPr>
        <w:fldChar w:fldCharType="separate"/>
      </w:r>
      <w:r>
        <w:rPr>
          <w:rFonts w:ascii="宋体" w:hAnsi="宋体"/>
          <w:sz w:val="24"/>
        </w:rPr>
        <w:t>96</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sz w:val="24"/>
        </w:rPr>
      </w:pPr>
      <w:r>
        <w:fldChar w:fldCharType="begin"/>
      </w:r>
      <w:r>
        <w:instrText xml:space="preserve"> HYPERLINK \l "_Toc193101091" </w:instrText>
      </w:r>
      <w:r>
        <w:fldChar w:fldCharType="separate"/>
      </w:r>
      <w:r>
        <w:rPr>
          <w:rStyle w:val="18"/>
          <w:rFonts w:hint="eastAsia" w:ascii="宋体" w:hAnsi="宋体"/>
          <w:sz w:val="24"/>
        </w:rPr>
        <w:t>十七、基金的信息披露</w:t>
      </w:r>
      <w:r>
        <w:rPr>
          <w:rFonts w:ascii="宋体" w:hAnsi="宋体"/>
          <w:sz w:val="24"/>
        </w:rPr>
        <w:tab/>
      </w:r>
      <w:r>
        <w:rPr>
          <w:rFonts w:ascii="宋体" w:hAnsi="宋体"/>
          <w:sz w:val="24"/>
        </w:rPr>
        <w:fldChar w:fldCharType="begin"/>
      </w:r>
      <w:r>
        <w:rPr>
          <w:rFonts w:ascii="宋体" w:hAnsi="宋体"/>
          <w:sz w:val="24"/>
        </w:rPr>
        <w:instrText xml:space="preserve"> PAGEREF _Toc193101091 \h </w:instrText>
      </w:r>
      <w:r>
        <w:rPr>
          <w:rFonts w:ascii="宋体" w:hAnsi="宋体"/>
          <w:sz w:val="24"/>
        </w:rPr>
        <w:fldChar w:fldCharType="separate"/>
      </w:r>
      <w:r>
        <w:rPr>
          <w:rFonts w:ascii="宋体" w:hAnsi="宋体"/>
          <w:sz w:val="24"/>
        </w:rPr>
        <w:t>97</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sz w:val="24"/>
        </w:rPr>
      </w:pPr>
      <w:r>
        <w:fldChar w:fldCharType="begin"/>
      </w:r>
      <w:r>
        <w:instrText xml:space="preserve"> HYPERLINK \l "_Toc193101092" </w:instrText>
      </w:r>
      <w:r>
        <w:fldChar w:fldCharType="separate"/>
      </w:r>
      <w:r>
        <w:rPr>
          <w:rStyle w:val="18"/>
          <w:rFonts w:hint="eastAsia" w:ascii="宋体" w:hAnsi="宋体"/>
          <w:sz w:val="24"/>
        </w:rPr>
        <w:t>十八、侧袋机制</w:t>
      </w:r>
      <w:r>
        <w:rPr>
          <w:rFonts w:ascii="宋体" w:hAnsi="宋体"/>
          <w:sz w:val="24"/>
        </w:rPr>
        <w:tab/>
      </w:r>
      <w:r>
        <w:rPr>
          <w:rFonts w:ascii="宋体" w:hAnsi="宋体"/>
          <w:sz w:val="24"/>
        </w:rPr>
        <w:fldChar w:fldCharType="begin"/>
      </w:r>
      <w:r>
        <w:rPr>
          <w:rFonts w:ascii="宋体" w:hAnsi="宋体"/>
          <w:sz w:val="24"/>
        </w:rPr>
        <w:instrText xml:space="preserve"> PAGEREF _Toc193101092 \h </w:instrText>
      </w:r>
      <w:r>
        <w:rPr>
          <w:rFonts w:ascii="宋体" w:hAnsi="宋体"/>
          <w:sz w:val="24"/>
        </w:rPr>
        <w:fldChar w:fldCharType="separate"/>
      </w:r>
      <w:r>
        <w:rPr>
          <w:rFonts w:ascii="宋体" w:hAnsi="宋体"/>
          <w:sz w:val="24"/>
        </w:rPr>
        <w:t>103</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sz w:val="24"/>
        </w:rPr>
      </w:pPr>
      <w:r>
        <w:fldChar w:fldCharType="begin"/>
      </w:r>
      <w:r>
        <w:instrText xml:space="preserve"> HYPERLINK \l "_Toc193101093" </w:instrText>
      </w:r>
      <w:r>
        <w:fldChar w:fldCharType="separate"/>
      </w:r>
      <w:r>
        <w:rPr>
          <w:rStyle w:val="18"/>
          <w:rFonts w:hint="eastAsia" w:ascii="宋体" w:hAnsi="宋体"/>
          <w:sz w:val="24"/>
        </w:rPr>
        <w:t>十九、风险揭示</w:t>
      </w:r>
      <w:r>
        <w:rPr>
          <w:rFonts w:ascii="宋体" w:hAnsi="宋体"/>
          <w:sz w:val="24"/>
        </w:rPr>
        <w:tab/>
      </w:r>
      <w:r>
        <w:rPr>
          <w:rFonts w:ascii="宋体" w:hAnsi="宋体"/>
          <w:sz w:val="24"/>
        </w:rPr>
        <w:fldChar w:fldCharType="begin"/>
      </w:r>
      <w:r>
        <w:rPr>
          <w:rFonts w:ascii="宋体" w:hAnsi="宋体"/>
          <w:sz w:val="24"/>
        </w:rPr>
        <w:instrText xml:space="preserve"> PAGEREF _Toc193101093 \h </w:instrText>
      </w:r>
      <w:r>
        <w:rPr>
          <w:rFonts w:ascii="宋体" w:hAnsi="宋体"/>
          <w:sz w:val="24"/>
        </w:rPr>
        <w:fldChar w:fldCharType="separate"/>
      </w:r>
      <w:r>
        <w:rPr>
          <w:rFonts w:ascii="宋体" w:hAnsi="宋体"/>
          <w:sz w:val="24"/>
        </w:rPr>
        <w:t>106</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sz w:val="24"/>
        </w:rPr>
      </w:pPr>
      <w:r>
        <w:fldChar w:fldCharType="begin"/>
      </w:r>
      <w:r>
        <w:instrText xml:space="preserve"> HYPERLINK \l "_Toc193101094" </w:instrText>
      </w:r>
      <w:r>
        <w:fldChar w:fldCharType="separate"/>
      </w:r>
      <w:r>
        <w:rPr>
          <w:rStyle w:val="18"/>
          <w:rFonts w:hint="eastAsia" w:ascii="宋体" w:hAnsi="宋体"/>
          <w:sz w:val="24"/>
        </w:rPr>
        <w:t>二十、基金合同的变更、终止与基金财产的清算</w:t>
      </w:r>
      <w:r>
        <w:rPr>
          <w:rFonts w:ascii="宋体" w:hAnsi="宋体"/>
          <w:sz w:val="24"/>
        </w:rPr>
        <w:tab/>
      </w:r>
      <w:r>
        <w:rPr>
          <w:rFonts w:ascii="宋体" w:hAnsi="宋体"/>
          <w:sz w:val="24"/>
        </w:rPr>
        <w:fldChar w:fldCharType="begin"/>
      </w:r>
      <w:r>
        <w:rPr>
          <w:rFonts w:ascii="宋体" w:hAnsi="宋体"/>
          <w:sz w:val="24"/>
        </w:rPr>
        <w:instrText xml:space="preserve"> PAGEREF _Toc193101094 \h </w:instrText>
      </w:r>
      <w:r>
        <w:rPr>
          <w:rFonts w:ascii="宋体" w:hAnsi="宋体"/>
          <w:sz w:val="24"/>
        </w:rPr>
        <w:fldChar w:fldCharType="separate"/>
      </w:r>
      <w:r>
        <w:rPr>
          <w:rFonts w:ascii="宋体" w:hAnsi="宋体"/>
          <w:sz w:val="24"/>
        </w:rPr>
        <w:t>112</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sz w:val="24"/>
        </w:rPr>
      </w:pPr>
      <w:r>
        <w:fldChar w:fldCharType="begin"/>
      </w:r>
      <w:r>
        <w:instrText xml:space="preserve"> HYPERLINK \l "_Toc193101095" </w:instrText>
      </w:r>
      <w:r>
        <w:fldChar w:fldCharType="separate"/>
      </w:r>
      <w:r>
        <w:rPr>
          <w:rStyle w:val="18"/>
          <w:rFonts w:hint="eastAsia" w:ascii="宋体" w:hAnsi="宋体"/>
          <w:sz w:val="24"/>
        </w:rPr>
        <w:t>二十一、基金合同内容摘要</w:t>
      </w:r>
      <w:r>
        <w:rPr>
          <w:rFonts w:ascii="宋体" w:hAnsi="宋体"/>
          <w:sz w:val="24"/>
        </w:rPr>
        <w:tab/>
      </w:r>
      <w:r>
        <w:rPr>
          <w:rFonts w:ascii="宋体" w:hAnsi="宋体"/>
          <w:sz w:val="24"/>
        </w:rPr>
        <w:fldChar w:fldCharType="begin"/>
      </w:r>
      <w:r>
        <w:rPr>
          <w:rFonts w:ascii="宋体" w:hAnsi="宋体"/>
          <w:sz w:val="24"/>
        </w:rPr>
        <w:instrText xml:space="preserve"> PAGEREF _Toc193101095 \h </w:instrText>
      </w:r>
      <w:r>
        <w:rPr>
          <w:rFonts w:ascii="宋体" w:hAnsi="宋体"/>
          <w:sz w:val="24"/>
        </w:rPr>
        <w:fldChar w:fldCharType="separate"/>
      </w:r>
      <w:r>
        <w:rPr>
          <w:rFonts w:ascii="宋体" w:hAnsi="宋体"/>
          <w:sz w:val="24"/>
        </w:rPr>
        <w:t>114</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sz w:val="24"/>
        </w:rPr>
      </w:pPr>
      <w:r>
        <w:fldChar w:fldCharType="begin"/>
      </w:r>
      <w:r>
        <w:instrText xml:space="preserve"> HYPERLINK \l "_Toc193101096" </w:instrText>
      </w:r>
      <w:r>
        <w:fldChar w:fldCharType="separate"/>
      </w:r>
      <w:r>
        <w:rPr>
          <w:rStyle w:val="18"/>
          <w:rFonts w:hint="eastAsia" w:ascii="宋体" w:hAnsi="宋体"/>
          <w:sz w:val="24"/>
        </w:rPr>
        <w:t>二十二、托管协议的内容摘要</w:t>
      </w:r>
      <w:r>
        <w:rPr>
          <w:rFonts w:ascii="宋体" w:hAnsi="宋体"/>
          <w:sz w:val="24"/>
        </w:rPr>
        <w:tab/>
      </w:r>
      <w:r>
        <w:rPr>
          <w:rFonts w:ascii="宋体" w:hAnsi="宋体"/>
          <w:sz w:val="24"/>
        </w:rPr>
        <w:fldChar w:fldCharType="begin"/>
      </w:r>
      <w:r>
        <w:rPr>
          <w:rFonts w:ascii="宋体" w:hAnsi="宋体"/>
          <w:sz w:val="24"/>
        </w:rPr>
        <w:instrText xml:space="preserve"> PAGEREF _Toc193101096 \h </w:instrText>
      </w:r>
      <w:r>
        <w:rPr>
          <w:rFonts w:ascii="宋体" w:hAnsi="宋体"/>
          <w:sz w:val="24"/>
        </w:rPr>
        <w:fldChar w:fldCharType="separate"/>
      </w:r>
      <w:r>
        <w:rPr>
          <w:rFonts w:ascii="宋体" w:hAnsi="宋体"/>
          <w:sz w:val="24"/>
        </w:rPr>
        <w:t>131</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sz w:val="24"/>
        </w:rPr>
      </w:pPr>
      <w:r>
        <w:fldChar w:fldCharType="begin"/>
      </w:r>
      <w:r>
        <w:instrText xml:space="preserve"> HYPERLINK \l "_Toc193101097" </w:instrText>
      </w:r>
      <w:r>
        <w:fldChar w:fldCharType="separate"/>
      </w:r>
      <w:r>
        <w:rPr>
          <w:rStyle w:val="18"/>
          <w:rFonts w:hint="eastAsia" w:ascii="宋体" w:hAnsi="宋体"/>
          <w:sz w:val="24"/>
        </w:rPr>
        <w:t>二十三、对基金份额持有人的服务</w:t>
      </w:r>
      <w:r>
        <w:rPr>
          <w:rFonts w:ascii="宋体" w:hAnsi="宋体"/>
          <w:sz w:val="24"/>
        </w:rPr>
        <w:tab/>
      </w:r>
      <w:r>
        <w:rPr>
          <w:rFonts w:ascii="宋体" w:hAnsi="宋体"/>
          <w:sz w:val="24"/>
        </w:rPr>
        <w:fldChar w:fldCharType="begin"/>
      </w:r>
      <w:r>
        <w:rPr>
          <w:rFonts w:ascii="宋体" w:hAnsi="宋体"/>
          <w:sz w:val="24"/>
        </w:rPr>
        <w:instrText xml:space="preserve"> PAGEREF _Toc193101097 \h </w:instrText>
      </w:r>
      <w:r>
        <w:rPr>
          <w:rFonts w:ascii="宋体" w:hAnsi="宋体"/>
          <w:sz w:val="24"/>
        </w:rPr>
        <w:fldChar w:fldCharType="separate"/>
      </w:r>
      <w:r>
        <w:rPr>
          <w:rFonts w:ascii="宋体" w:hAnsi="宋体"/>
          <w:sz w:val="24"/>
        </w:rPr>
        <w:t>144</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sz w:val="24"/>
        </w:rPr>
      </w:pPr>
      <w:r>
        <w:fldChar w:fldCharType="begin"/>
      </w:r>
      <w:r>
        <w:instrText xml:space="preserve"> HYPERLINK \l "_Toc193101098" </w:instrText>
      </w:r>
      <w:r>
        <w:fldChar w:fldCharType="separate"/>
      </w:r>
      <w:r>
        <w:rPr>
          <w:rStyle w:val="18"/>
          <w:rFonts w:hint="eastAsia" w:ascii="宋体" w:hAnsi="宋体"/>
          <w:sz w:val="24"/>
        </w:rPr>
        <w:t>二十四、其他应披露事项</w:t>
      </w:r>
      <w:r>
        <w:rPr>
          <w:rFonts w:ascii="宋体" w:hAnsi="宋体"/>
          <w:sz w:val="24"/>
        </w:rPr>
        <w:tab/>
      </w:r>
      <w:r>
        <w:rPr>
          <w:rFonts w:ascii="宋体" w:hAnsi="宋体"/>
          <w:sz w:val="24"/>
        </w:rPr>
        <w:fldChar w:fldCharType="begin"/>
      </w:r>
      <w:r>
        <w:rPr>
          <w:rFonts w:ascii="宋体" w:hAnsi="宋体"/>
          <w:sz w:val="24"/>
        </w:rPr>
        <w:instrText xml:space="preserve"> PAGEREF _Toc193101098 \h </w:instrText>
      </w:r>
      <w:r>
        <w:rPr>
          <w:rFonts w:ascii="宋体" w:hAnsi="宋体"/>
          <w:sz w:val="24"/>
        </w:rPr>
        <w:fldChar w:fldCharType="separate"/>
      </w:r>
      <w:r>
        <w:rPr>
          <w:rFonts w:ascii="宋体" w:hAnsi="宋体"/>
          <w:sz w:val="24"/>
        </w:rPr>
        <w:t>146</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sz w:val="24"/>
        </w:rPr>
      </w:pPr>
      <w:r>
        <w:fldChar w:fldCharType="begin"/>
      </w:r>
      <w:r>
        <w:instrText xml:space="preserve"> HYPERLINK \l "_Toc193101099" </w:instrText>
      </w:r>
      <w:r>
        <w:fldChar w:fldCharType="separate"/>
      </w:r>
      <w:r>
        <w:rPr>
          <w:rStyle w:val="18"/>
          <w:rFonts w:hint="eastAsia" w:ascii="宋体" w:hAnsi="宋体"/>
          <w:sz w:val="24"/>
        </w:rPr>
        <w:t>二十五、招募说明书的存放及查阅方式</w:t>
      </w:r>
      <w:r>
        <w:rPr>
          <w:rFonts w:ascii="宋体" w:hAnsi="宋体"/>
          <w:sz w:val="24"/>
        </w:rPr>
        <w:tab/>
      </w:r>
      <w:r>
        <w:rPr>
          <w:rFonts w:ascii="宋体" w:hAnsi="宋体"/>
          <w:sz w:val="24"/>
        </w:rPr>
        <w:fldChar w:fldCharType="begin"/>
      </w:r>
      <w:r>
        <w:rPr>
          <w:rFonts w:ascii="宋体" w:hAnsi="宋体"/>
          <w:sz w:val="24"/>
        </w:rPr>
        <w:instrText xml:space="preserve"> PAGEREF _Toc193101099 \h </w:instrText>
      </w:r>
      <w:r>
        <w:rPr>
          <w:rFonts w:ascii="宋体" w:hAnsi="宋体"/>
          <w:sz w:val="24"/>
        </w:rPr>
        <w:fldChar w:fldCharType="separate"/>
      </w:r>
      <w:r>
        <w:rPr>
          <w:rFonts w:ascii="宋体" w:hAnsi="宋体"/>
          <w:sz w:val="24"/>
        </w:rPr>
        <w:t>148</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sz w:val="24"/>
        </w:rPr>
      </w:pPr>
      <w:r>
        <w:fldChar w:fldCharType="begin"/>
      </w:r>
      <w:r>
        <w:instrText xml:space="preserve"> HYPERLINK \l "_Toc193101100" </w:instrText>
      </w:r>
      <w:r>
        <w:fldChar w:fldCharType="separate"/>
      </w:r>
      <w:r>
        <w:rPr>
          <w:rStyle w:val="18"/>
          <w:rFonts w:hint="eastAsia" w:ascii="宋体" w:hAnsi="宋体"/>
          <w:sz w:val="24"/>
        </w:rPr>
        <w:t>二十六、备查文件</w:t>
      </w:r>
      <w:r>
        <w:rPr>
          <w:rFonts w:ascii="宋体" w:hAnsi="宋体"/>
          <w:sz w:val="24"/>
        </w:rPr>
        <w:tab/>
      </w:r>
      <w:r>
        <w:rPr>
          <w:rFonts w:ascii="宋体" w:hAnsi="宋体"/>
          <w:sz w:val="24"/>
        </w:rPr>
        <w:fldChar w:fldCharType="begin"/>
      </w:r>
      <w:r>
        <w:rPr>
          <w:rFonts w:ascii="宋体" w:hAnsi="宋体"/>
          <w:sz w:val="24"/>
        </w:rPr>
        <w:instrText xml:space="preserve"> PAGEREF _Toc193101100 \h </w:instrText>
      </w:r>
      <w:r>
        <w:rPr>
          <w:rFonts w:ascii="宋体" w:hAnsi="宋体"/>
          <w:sz w:val="24"/>
        </w:rPr>
        <w:fldChar w:fldCharType="separate"/>
      </w:r>
      <w:r>
        <w:rPr>
          <w:rFonts w:ascii="宋体" w:hAnsi="宋体"/>
          <w:sz w:val="24"/>
        </w:rPr>
        <w:t>149</w:t>
      </w:r>
      <w:r>
        <w:rPr>
          <w:rFonts w:ascii="宋体" w:hAnsi="宋体"/>
          <w:sz w:val="24"/>
        </w:rPr>
        <w:fldChar w:fldCharType="end"/>
      </w:r>
      <w:r>
        <w:rPr>
          <w:rFonts w:ascii="宋体" w:hAnsi="宋体"/>
          <w:sz w:val="24"/>
        </w:rPr>
        <w:fldChar w:fldCharType="end"/>
      </w:r>
    </w:p>
    <w:p>
      <w:pPr>
        <w:pStyle w:val="20"/>
        <w:snapToGrid w:val="0"/>
        <w:spacing w:after="240" w:line="360" w:lineRule="auto"/>
        <w:jc w:val="center"/>
        <w:rPr>
          <w:rFonts w:ascii="宋体" w:hAnsi="宋体"/>
          <w:color w:val="000000"/>
          <w:sz w:val="24"/>
        </w:rPr>
      </w:pPr>
      <w:r>
        <w:rPr>
          <w:rFonts w:ascii="宋体" w:hAnsi="宋体"/>
          <w:color w:val="000000"/>
          <w:position w:val="-4"/>
          <w:sz w:val="24"/>
          <w:szCs w:val="30"/>
        </w:rPr>
        <w:fldChar w:fldCharType="end"/>
      </w:r>
    </w:p>
    <w:p>
      <w:pPr>
        <w:autoSpaceDE w:val="0"/>
        <w:autoSpaceDN w:val="0"/>
        <w:adjustRightInd w:val="0"/>
        <w:snapToGrid w:val="0"/>
        <w:spacing w:line="360" w:lineRule="auto"/>
        <w:ind w:left="120" w:right="13" w:rightChars="6"/>
        <w:rPr>
          <w:rFonts w:ascii="宋体" w:hAnsi="宋体"/>
          <w:kern w:val="0"/>
          <w:szCs w:val="24"/>
        </w:rPr>
        <w:sectPr>
          <w:pgSz w:w="11920" w:h="16840"/>
          <w:pgMar w:top="1480" w:right="1680" w:bottom="280" w:left="1680" w:header="0" w:footer="1073" w:gutter="0"/>
          <w:cols w:space="720" w:num="1"/>
        </w:sectPr>
      </w:pPr>
    </w:p>
    <w:p>
      <w:pPr>
        <w:pStyle w:val="2"/>
        <w:snapToGrid w:val="0"/>
        <w:spacing w:before="240" w:beforeLines="0" w:after="240"/>
        <w:rPr>
          <w:rFonts w:ascii="宋体" w:hAnsi="宋体"/>
          <w:szCs w:val="30"/>
        </w:rPr>
      </w:pPr>
      <w:bookmarkStart w:id="3" w:name="_Toc193101075"/>
      <w:r>
        <w:rPr>
          <w:rFonts w:ascii="Times New Roman" w:hAnsi="Times New Roman"/>
          <w:sz w:val="30"/>
        </w:rPr>
        <w:t>一、绪言</w:t>
      </w:r>
      <w:bookmarkEnd w:id="3"/>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交银施罗德丰润收益债券型证券投资基金招募说明书》（以下简称“本招募说明书”）依据《中华人民共和国证券投资基金法》（以下简称“《基金法》”）、《公开募集证券投资基金运作管理办法》（以下简称“《运作办法》”）、《证券投资基金销售管理办法》（以下简称“《销售办法》”）、《公开募集证券投资基金信息披露管理办法》（以下简称“《信息披露办法》”）、《公开募集开放式证券投资基金流动性风险管理规定》(以下简称“《流动性规定》”)和其他相关法律法规的规定以及《交银施罗德丰润收益债券型证券投资基金基金合同》（以下简称“基金合同”）编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招募说明书根据本基金的基金合同编写，并经中国证监会注册。基金合同是约定基金合同当事人之间权利、义务的法律文件。基金投资人自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4" w:name="_Toc193101076"/>
      <w:r>
        <w:rPr>
          <w:rFonts w:ascii="Times New Roman" w:hAnsi="Times New Roman"/>
          <w:sz w:val="30"/>
        </w:rPr>
        <w:t>二、释义</w:t>
      </w:r>
      <w:bookmarkEnd w:id="4"/>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在本招募说明书中，除非文意另有所指，下列词语或简称具有如下含义：</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1、基金或本基金：指交银施罗德丰润收益债券型证券投资基金</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2、基金管理人或本基金管理人：指交银施罗德基金管理有限公司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3、基金托管人或本基金托管人：指中信银行股份有限公司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4、基金合同或《基金合同》：指《交银施罗德丰润收益债券型证券投资基金基金合同》及对基金合同的任何有效修订和补充</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5、托管协议：指基金管理人与基金托管人就本基金签订之《交银施罗德丰润收益债券型证券投资基金托管协议》及对该托管协议的任何有效修订和补充</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6、招募说明书、本招募说明书或《招募说明书》：指《交银施罗德丰润收益债券型证券投资基金招募说明书》及其更新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7、基金份额发售公告：指《交银施罗德丰润收益债券型证券投资基金基金份额发售公告》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8、基金产品资料概要：指《交银施罗德丰润收益债券型证券投资基金基金产品资料概要》及其更新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9、法律法规：指中国现行有效并公布实施的法律、行政法规、规范性文件、司法解释、行政规章以及其他对基金合同当事人有约束力的决定、决议、通知等</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基金法》：指2003年10月28日经第十届全国人民代表大会常务委员会第五次会议通过，并经2012年12月28日第十一届全国人民代表大会常务委员会第三十次会议修订，自2013年6月1日起实施的《中华人民共和国证券投资基金法》及其后颁布机关对其不时做出的修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11、《销售办法》：指中国证监会2013年3月15日颁布、同年6月1日实施的《证券投资基金销售管理办法》及颁布机关对其不时做出的修订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12、《信息披露办法》：指中国证监会2019年7月26日颁布、同年9月1日实施的《公开募集证券投资基金信息披露管理办法》及颁布机关对其不时做出的修订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13、《运作办法》：指中国证监会2014年7月7日颁布、同年8月8日实施的《公开募集证券投资基金运作管理办法》及颁布机关对其不时做出的修订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14、《流动性规定》：指中国证监会2017年8月31日颁布、同年10月1日实施的《公开募集开放式证券投资基金流动性风险管理规定》及颁布机关对其不时做出的修订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15、中国证监会：指中国证券监督管理委员会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16、银行业监督管理机构：指中国人民银行和/或中国银行业监督管理委员会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17、基金合同当事人：指受基金合同约束，根据基金合同享有权利并承担义务的法律主体，包括基金管理人、基金托管人和基金份额持有人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18、个人投资者：指依据有关法律法规规定可投资于证券投资基金的自然人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19、机构投资者：指依法可以投资证券投资基金的、在中华人民共和国境内合法登记并存续或经有关政府部门批准设立并存续的企业法人、事业法人、社会团体或其他组织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20、合格境外机构投资者：指符合《合格境外机构投资者境内证券投资管理办法》及相关法律法规规定可以投资于在中国境内依法募集的证券投资基金的中国境外的机构投资者</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21、投资人或投资者：指个人投资者、机构投资者和合格境外机构投资者以及法律法规或中国证监会允许购买证券投资基金的其他投资人的合称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22、基金份额持有人：指依基金合同和招募说明书合法取得基金份额的投资人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23、基金销售业务：指基金管理人或销售机构宣传推介基金，发售基金份额，办理基金份额的申购、赎回、转换、转托管及定期定额投资等业务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24、销售机构：指交银施罗德基金管理有限公司以及符合《销售办法》和中国证监会规定的其他条件，取得基金销售业务资格并与基金管理人签订了基金销售服务协议，办理基金销售业务的机构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25、登记业务：指基金登记、存管、过户、清算和结算业务，具体内容包括投资人基金账户的建立和管理、基金份额登记、基金销售业务的确认、清算和结算、代理发放红利、建立并保管基金份额持有人名册和办理非交易过户等</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26、登记机构：指办理登记业务的机构。基金的登记机构为交银施罗德基金管理有限公司或接受交银施罗德基金管理有限公司委托代为办理登记业务的机构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27、基金账户：指登记机构为投资人开立的、记录其持有的、基金管理人所管理的基金份额余额及其变动情况的账户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28、基金交易账户：指销售机构为投资人开立的、记录投资人通过该销售机构办理认购、申购、赎回、转换及转托管等业务而引起的基金份额变动及结余情况的账户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29、基金合同生效日：指基金募集达到法律法规规定及基金合同规定的条件，基金管理人向中国证监会办理基金备案手续完毕，并获得中国证监会书面确认的日期</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30、基金合同终止日：指基金合同规定的基金合同终止事由出现后，基金财产清算完毕，清算结果报中国证监会备案并予以公告的日期</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31、基金募集期：指自基金份额发售之日起至发售结束之日止的期间，最长不得超过3个月</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32、存续期：指基金合同生效至终止之间的不定期期限</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33、工作日：指上海证券交易所、深圳证券交易所的正常交易日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34、T日：指销售机构在规定时间受理投资人申购、赎回或其他业务申请的开放日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35、T+n日：指自T日起第n个工作日(不包含T日)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36、封闭期：指基金合同生效之日起两年(含两年)的期间内，本基金采取封闭式运作的存续期间，按照基金合同的约定提前转换基金运作方式的除外。在基金合同中如无特别指明即为自基金合同生效之日起至两个公历年后对应日止，若两年后对应日为非工作日的，相应顺延。期间基金份额保持不变，基金份额持有人不得申请申购或赎回本基金</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37、开放日：指本基金封闭期结束后转为开放式运作期间，为投资人办理基金份额申购、赎回或其他业务的工作日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38、开放时间：指开放日基金接受申购、赎回或其他交易的时间段</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39、《业务规则》：指《中国证券登记结算有限责任公司开放式证券投资基金及证券公司集合资产管理计划份额登记及资金结算业务指南》及其后修订，是规范基金管理人所管理的开放式证券投资基金登记方面的业务规则，由基金管理人和投资人共同遵守</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40、认购：指在基金募集期内，投资人根据基金合同和招募说明书的规定申请购买基金份额的行为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41、申购：指基金合同生效后，投资人根据基金合同和招募说明书的规定申请购买基金份额的行为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42、赎回：指基金合同生效后，基金份额持有人按基金合同和招募说明书规定的条件要求将基金份额兑换为现金的行为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43、销售服务费：指从基金资产中计提的，用于本基金市场推广、销售以及基金份额持有人服务的费用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44、基金份额类别：指本基金根据认购/申购费用、赎回费用、销售服务费收取方式的不同，将基金份额分为不同的类别。在投资人认购/申购时收取前端认购/申购费用、赎回时收取赎回费用的，称为A类基金份额，在投资人申购时不收取申购费用、赎回时收取后端申购费用和赎回费用的，称为B类基金份额，在投资人认购/申购时不收取认购/申购费用、赎回时收取赎回费用，且从本类别基金资产中计提销售服务费的，称为C类基金份额；本基金募集期内开通A类基金份额和C类基金份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45、基金转换：指基金份额持有人按照基金合同和基金管理人届时有效公告规定的条件，申请将其持有基金管理人管理的、某一基金的基金份额转换为</w:t>
      </w:r>
      <w:r>
        <w:rPr>
          <w:rFonts w:hint="eastAsia" w:ascii="宋体" w:hAnsi="宋体"/>
          <w:sz w:val="24"/>
        </w:rPr>
        <w:t>该基金其他份额（如有）或</w:t>
      </w:r>
      <w:r>
        <w:rPr>
          <w:rFonts w:ascii="宋体" w:hAnsi="宋体"/>
          <w:sz w:val="24"/>
        </w:rPr>
        <w:t>基金管理人管理的其他基金基金份额的行为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46、转托管：指基金份额持有人在本基金的不同销售机构之间实施的变更所持基金份额销售机构的操作</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47、定期定额投资计划：指投资人通过有关销售机构提出申请，约定每期申购日、扣款金额及扣款方式，由指定的销售机构在投资人指定银行账户内自动完成扣款并于每期约定的申购日受理基金申购申请的一种投资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48、巨额赎回：指本基金单个开放日，基金净赎回申请（赎回申请份额总数加上基金转换中转出申请份额总数后扣除申购申请份额总数及基金转换中转入申请份额总数后的余额）超过上一开放日基金总份额的10%的情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49、元：指人民币元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50、基金收益：指基金投资所得债券利息、买卖证券价差、银行存款利息、已实现的其他合法收入及因运用基金财产带来的成本和费用的节约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51、基金资产总值：指基金拥有的各类有价证券、银行存款本息、基金应收申购款及其他资产的价值总和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52、基金资产净值：指基金资产总值减去基金负债后的价值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53、基金份额净值：指计算日基金资产净值除以计算日基金份额总数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54、基金资产估值：指计算评估基金资产和负债的价值，以确定基金资产净值和基金份额净值的过程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55、流动性受限资产：指由于法律法规、监管、合同或操作障碍等原因无法以合理价格予以变现的资产，包括但不限于到期日在10个交易日以上的逆回购与银行定期存款（含协议约定有条件提前支取的银行存款）、资产支持证券、因发行人债务违约无法进行转让或交易的债券等</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56、指定媒介：指中国证监会指定的用以进行信息披露的全国性报刊及指定互联网网站（包括基金管理人网站、基金托管人网站、中国证监会基金电子披露网站）等媒介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57、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58、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59、不可抗力：指基金合同当事人不能预见、不能避免且不能克服的客观事件</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5" w:name="_Toc193101077"/>
      <w:r>
        <w:rPr>
          <w:rFonts w:ascii="Times New Roman" w:hAnsi="Times New Roman"/>
          <w:sz w:val="30"/>
        </w:rPr>
        <w:t>三、基金管理人</w:t>
      </w:r>
      <w:bookmarkEnd w:id="5"/>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（一）基金管理人概况</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名称：交银施罗德基金管理有限公司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住所：中国(上海)自由贸易试验区银城中路188号交通银行大楼二层（裙）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办公地址：上海市浦东新区世纪大道8号国金中心二期21-22楼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邮政编码：200120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法定代表人：张宏良</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成立时间：2005年8月4日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注册资本：2亿元人民币</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存续期间：持续经营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联系人：何佳妮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电话：（021）61055050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传真：（021）61055034</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交银施罗德基金管理有限公司（以下简称“公司”）经中国证监会证监基金字[2005]128号文批准设立。公司股权结构如下：</w:t>
      </w:r>
    </w:p>
    <w:tbl>
      <w:tblPr>
        <w:tblStyle w:val="14"/>
        <w:tblW w:w="5000" w:type="pct"/>
        <w:tblInd w:w="0" w:type="dxa"/>
        <w:tblLayout w:type="autofit"/>
        <w:tblCellMar>
          <w:top w:w="0" w:type="dxa"/>
          <w:left w:w="0" w:type="dxa"/>
          <w:bottom w:w="0" w:type="dxa"/>
          <w:right w:w="0" w:type="dxa"/>
        </w:tblCellMar>
      </w:tblPr>
      <w:tblGrid>
        <w:gridCol w:w="2167"/>
        <w:gridCol w:w="6503"/>
      </w:tblGrid>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股东名称</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股权比例</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交通银行股份有限公司（以下使用全称或其简称“交通银行”）</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65%</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施罗德投资管理有限公司</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30%</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中国国际海运集装箱（集团）股份有限公司</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5%</w:t>
            </w:r>
          </w:p>
        </w:tc>
      </w:tr>
    </w:tbl>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（二）主要成员情况</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1、基金管理人董事会成员</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张宏良先生，董事长，硕士，高级经济师。历任中国太平洋人寿保险公司乌鲁木齐分公司、河南（郑州）分公司、上海分公司党委书记、总经理，交银人寿保险有限公司党委书记、董事长、总裁，兼任交银康联资产管理有限公司董事长，交银理财有限责任公司党委书记、董事长。</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袁庆伟女士，董事，总经理，硕士。历任交通银行乌鲁木齐分行财务会计处副处长、会计结算部高级经理，交通银行总行资产托管业务中心（资产托管部）副总裁、总裁，交通银行总行金融机构部总经理、资产管理业务中心总裁等职务。</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夏华龙先生，董事，博士，现任交通银行选派子公司股权董事，历任交通银行总行托管部基金业务部内控综合处副处长、资产委托高级经理、保险及养老金高级经理、资产托管部副总经理，交银施罗德基金管理有限公司党委委员、副总经理、首席信息官，交通银行总行养老金融部总经理。</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胡晓晖女士，董事，学士，现任交通银行总行董事会办公室资深专家，历任交通银行总行授信管理部副处长、处长，苏州分行副行长、高级信贷执行官，总行授信管理部副总经理，监事会办公室副主任、资深专家。</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杜伟麒（Chris Durack）先生，董事，硕士。现任施罗德投资亚太区行政总裁。历任施罗德投资澳大利亚董事兼产品及分销主管、香港行政总裁兼亚太区机构业务主管、澳大利亚行政总裁兼亚太区联席主管等职。</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章骏翔先生，副董事长，硕士，美国特许金融分析师(CFA)持证人。现任施罗德投资管理(香港)有限公司亚洲投资风险主管。历任渣打银行（香港）交易风险监控，华宝兴业基金管理有限公司风险管理部总经理，法国安盛投资管理（香港）有限公司亚洲风险经理等职。</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郝爱群女士，独立董事，学士。历任人民银行稽核司副处长、处长，合作司调研员，非银司副巡视员、副司长，银监会非银部副主任，银行监管一部副主任、巡视员，汇金公司派出董事。</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张子学先生，独立董事，博士。现任中国政法大学民商经济法学院教授，兼任基金业协会自律监察委员会委员。历任证监会办公厅副处长、上市公司监管部处长、行政处罚委员会专职委员、副主任审理员，兼任证监会上市公司并购重组审核委员会委员、行政复议委员会委员。</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黎建强先生，独立董事，博士，教育部长江学者讲座教授。现任香港大学工业工程系荣誉教授，亚洲风险及危机管理协会主席，兼任深交所上市的中联重科集团独立非执行董事。历任香港城市大学管理科学讲座教授，湖南省政协委员并兼任湖南大学工商管理学院院长。</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2、基金管理人高级管理人员</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袁庆伟女士，总经理。简历同上。</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佘川女士，督察长，硕士，兼任交银施罗德资产管理有限公司董事。历任华泰证券有限责任公司综合发展部高级经理、投资银行部项目经理，银河基金管理有限公司监察部总监，交银施罗德基金管理有限公司监察稽核部总经理、监察风控副总监、投资运营总监。</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马俊先生，副总经理，硕士。历任交通银行总行投资管理部高级投资分析、副高级经理，交银施罗德基金管理有限公司总裁办公室总经理、研究部副总经理、研究总监、综合管理部总经理。</w:t>
      </w:r>
    </w:p>
    <w:p>
      <w:pPr>
        <w:autoSpaceDE w:val="0"/>
        <w:autoSpaceDN w:val="0"/>
        <w:adjustRightInd w:val="0"/>
        <w:snapToGrid w:val="0"/>
        <w:spacing w:line="360" w:lineRule="auto"/>
        <w:ind w:firstLine="480" w:firstLineChars="200"/>
        <w:jc w:val="left"/>
        <w:rPr>
          <w:rFonts w:ascii="宋体" w:hAnsi="宋体"/>
          <w:szCs w:val="24"/>
        </w:rPr>
      </w:pPr>
      <w:r>
        <w:rPr>
          <w:rFonts w:hint="eastAsia" w:ascii="宋体" w:hAnsi="宋体"/>
          <w:sz w:val="24"/>
        </w:rPr>
        <w:t>周云康先生，首席信息官，硕士。历任交通银行柳州分行电脑中心科员、软件开发科长、副经理、经理；交通银行总行信息技术部（电脑部）主管、副处长；交通银行总行软件开发中心副高级经理、高级经理；交通银行总行金融科技部高级经理；交通银行总行营运与渠道部副总经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3、本基金基金经理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唐赟先生:基金经理。香港城市大学电子工程硕士，15年证券投资行业从业经验。2008年至2010年担任渣打银行环球企业部助理客户经理，2010年至2012年担任平安资产管理公司信用分析员。2012年加入交银施罗德基金管理有限公司，曾任固定收益研究员、固定收益部基金经理，现任混合资产投资部基金经理。曾任交银施罗德安心收益债券型证券投资基金(2015年11月07日至2019年12月14日)、交银施罗德双利债券证券投资基金(2015年11月07日至2023年05月06日)、交银施罗德裕通纯债债券型证券投资基金(2017年03月31日至2019年10月24日)、交银施罗德荣鑫灵活配置混合型证券投资基金(2019年02月28日至2022年03月11日)、交银施罗德强化回报债券型证券投资基金(2020年07月14日至2023年05月06日)、交银施罗德增强收益债券型证券投资基金(2020年07月14日至2022年01月18日)、交银施罗德定期支付月月丰债券型证券投资基金(2020年07月14日至2024年12月27日)、交银施罗德稳固收益债券型证券投资基金(2020年07月14日至2022年07月08日)的基金经理。现任交银施罗德双轮动债券型证券投资基金(2015年08月04日至今)、交银施罗德信用添利债券证券投资基金（LOF）(2015年08月04日至今)、交银施罗德丰润收益债券型证券投资基金(2025年03月15日至今)的基金经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张顺晨女士:基金经理。上海财经大学金融学博士，9年证券投资行业从业经验。2016年至2017年任国金证券研究所研究员。2017年加入交银施罗德基金管理有限公司，历任固定收益部研究员，基金经理助理。曾任交银施罗德增利债券证券投资基金(2023年06月09日至2024年11月23日)、交银施罗德鑫选回报混合型证券投资基金(2023年06月09日至2024年05月22日)的基金经理。现任交银施罗德裕坤纯债一年定期开放债券型发起式证券投资基金(2023年06月09日至今)、交银施罗德裕如纯债债券型证券投资基金(2023年06月09日至今)、交银施罗德中债1-3年农发行债券指数证券投资基金(2023年06月09日至今)、交银施罗德裕景纯债一年定期开放债券型证券投资基金(2023年06月09日至今)、交银施罗德裕泰两年定期开放债券型证券投资基金(2023年06月09日至今)、交银施罗德中债1-3年政策性金融债指数证券投资基金(2023年08月23日至今)、交银施罗德裕祥纯债债券型证券投资基金(2024年02月08日至今)、交银施罗德中债0-3年政策性金融债指数证券投资基金(2024年12月19日至今)、交银施罗德丰润收益债券型证券投资基金(2025年01月09日至今)、交银施罗德裕盈纯债债券型证券投资基金(2025年01月17日至今)的基金经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苏建文女士: 基金经理。上海交通大学金融学硕士、北京大学国际政治经济学学士。6年证券投资行业从业经验。2019年加入交银施罗德基金管理有限公司，曾任固定收益部研究员、基金经理助理、混合资产投资部基金经理助理，现任混合资产投资部基金经理。现任交银施罗德中债1-3年政策性金融债指数证券投资基金(2025年01月23日至今)、交银施罗德裕泰两年定期开放债券型证券投资基金(2025年01月23日至今)、交银施罗德中债1-3年农发行债券指数证券投资基金(2025年01月23日至今)、交银施罗德丰润收益债券型证券投资基金(2025年01月23日至今)、交银施罗德裕盈纯债债券型证券投资基金(2025年01月23日至今)、交银施罗德中债0-3年政策性金融债指数证券投资基金(2025年01月23日至今)、交银施罗德裕道纯债一年定期开放债券型发起式证券投资基金(2025年03月15日至今)的基金经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本基金历任基金经理：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孙超先生(2014年12月15日至2017年02月17日)；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连端清先生(2015年08月04日至2020年08月21日)；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魏玉敏女士(2018年11月02日至2021年12月16日)；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季参平先生(2021年08月19日至2025年01月09日)。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4、投资决策委员会成员</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委员：袁庆伟（总经理）</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马俊（副总经理）</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于海颖（混合资产投资总监兼多元资产管理总监、基金经理）</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王崇（权益投资副总监、权益部一级专家、基金经理）</w:t>
      </w:r>
    </w:p>
    <w:p>
      <w:pPr>
        <w:autoSpaceDE w:val="0"/>
        <w:autoSpaceDN w:val="0"/>
        <w:adjustRightInd w:val="0"/>
        <w:snapToGrid w:val="0"/>
        <w:spacing w:line="360" w:lineRule="auto"/>
        <w:ind w:firstLine="480" w:firstLineChars="200"/>
        <w:jc w:val="left"/>
        <w:rPr>
          <w:rFonts w:ascii="宋体" w:hAnsi="宋体"/>
          <w:szCs w:val="24"/>
        </w:rPr>
      </w:pPr>
      <w:r>
        <w:rPr>
          <w:rFonts w:hint="eastAsia" w:ascii="宋体" w:hAnsi="宋体"/>
          <w:sz w:val="24"/>
        </w:rPr>
        <w:t>马韬（研究总监）</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上述人员之间不存在近亲属关系，上述各项人员信息更新截止日为2025年10月22日，期后变动（如有）敬请关注基金管理人发布的相关公告。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（三）基金管理人的职责</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1、依法募集资金，办理或者委托经中国证监会认定的其他机构代为办理基金份额的发售、申购、赎回和登记事宜；</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2、办理基金备案手续；</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3、对所管理的不同基金财产分别管理、分别记账，进行证券投资；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4、按照基金合同的约定确定基金收益分配方案，及时向基金份额持有人分配收益；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5、进行基金会计核算并编制基金财务会计报告；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6、编制季度报告、中期报告和年度报告；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7、计算并公告基金净值信息，确定基金份额申购、赎回价格；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8、办理与基金财产管理业务活动有关的信息披露事项；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9、按照规定召集基金份额持有人大会；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10、保存基金财产管理业务活动的记录、账册、报表和其他相关资料；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11、以基金管理人名义，代表基金份额持有人利益行使诉讼权利或者实施其他法律行为；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12、有关法律法规和中国证监会规定的其他职责。</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（四）基金管理人的承诺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1、基金管理人承诺不从事违反《中华人民共和国证券法》的行为，并承诺建立健全内部控制制度，采取有效措施，防止违反《中华人民共和国证券法》行为的发生；</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2、基金管理人承诺不从事违反《基金法》的行为，并承诺建立健全内部风险控制制度，采取有效措施，防止下列行为的发生：</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（1）将基金管理人固有财产或者他人财产混同于基金财产从事证券投资；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（2）不公平地对待管理的不同基金财产；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（3）利用基金财产或职务之便为基金份额持有人以外的第三人牟取利益；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（4）向基金份额持有人违规承诺收益或者承担损失；</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（5）侵占、挪用基金财产；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（6）泄露因职务便利获取的未公开信息、利用该信息从事或者明示、暗示他人从事相关的交易活动；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（7）玩忽职守，不按照规定履行职责；</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（8）法律、行政法规和中国证监会规定禁止的其他行为。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3、基金管理人承诺严格遵守基金合同，并承诺建立健全内部控制制度，采取有效措施，防止违反基金合同行为的发生；</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4、基金管理人承诺加强人员管理，强化职业操守，督促和约束员工遵守国家有关法律法规及行业规范，诚实信用、勤勉尽责；</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5、基金管理人承诺不从事其他法律法规规定禁止从事的行为。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（五）基金经理承诺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1、依照有关法律法规和基金合同的规定，本着谨慎的原则为基金份额持有人谋取最大利益；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2、不利用职务之便为自己、受雇人或任何第三者谋取利益；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3、不泄露在任职期间知悉的有关证券、基金的商业秘密，尚未依法公开的基金投资内容、基金投资计划等信息，或利用该信息从事或者明示、暗示他人从事相关的交易活动；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4、不以任何形式为其他组织或个人进行证券交易；</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5、不从事其他法律法规规定禁止从事的行为。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（六）基金管理人的内部控制制度</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1、内部控制的原则</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（1）健全性原则</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内部控制应当包括公司的各项业务、各个部门或机构和各级人员, 并涵盖到决策、执行、监督、反馈等各个环节。</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（2）有效性原则</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通过科学的内控手段和方法，建立合理的内控程序，维护内控制度的有效执行。</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（3）独立性原则</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公司各机构、部门和岗位职责应当保持相对独立，除非法律法规另有规定，公司基金资产、自有资产、其他资产的运作应当分离。</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（4）相互制约原则</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公司内部部门和岗位的设置应当体现权责分明、相互制衡。</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（5）成本效益原则</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公司运用科学化的经营管理方法降低运作成本，提高经济效益，力争以合理的控制成本达到最佳的内部控制效果。</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2、风险管理和内部风险控制体系结构</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公司的风险管理体系结构是一个分工明确、相互牵制的组织结构，由董事会对风险管理负最终责任，各个业务部门负责本部门的风险评估和监控，风险管理部负责监察公司的风险管理措施的执行。具体而言，包括如下组成部分：</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（1）董事会</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负责制定公司风险偏好（含风险容忍度）、风险管理和内部控制政策，审议并通过与公司内部风险管理和合规有关的重大事项。</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（2）合规风险及审计委员会</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作为董事会下的专业委员会之一，负责对公司在经营管理和基金业务运作的合法性、合规性和风险状况进行检查和评估，对公司监察稽核制度的有效性进行评价，监督检查公司财务状况，审计公司的财务报表，评估公司的财务表现，保证公司的财务运作符合法律的要求和通行的会计标准。</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（3）风险控制委员会</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作为总经理下设的专业委员会之一，风险控制委员会负责评估与公司战略发展和经营运作相关的主要风险；评估公司各方面运行状况是否合规有序，审查有无存在与公司业务有关的重大风险；审议或听取由公司制度规定的需要向风险控制委员会报告的其他情形等。</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（4）督察长</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独立行使督察权利；直接对董事会负责；就内部控制制度和执行情况独立地履行检查、评价、报告、建议职能；定期和不定期地向董事会报告公司内部控制执行情况。</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（5）风险管理部</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风险管理部负责制定公司风险管理政策和防范及控制措施，汇总公司业务所有的风险信息，独立识别、评估各类风险，提出风险控制建议，使公司在一种风险管理和控制的环境中实现业务目标。</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（6）审计部</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审计部负责按照公司要求，根据国家法律法规及行业规范，结合公司战略发展及管理目标，对公司内部控制体系的适当性及运行的效果和效率进行独立评价，协助促进公司风险管理、控制和治理过程的完善，实现合规经营目标。</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（7）内控合规及法律事务部</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内控合规及法律事务部负责公司的法律、内控合规事务及协调实施信息披露事务，依法维护公司合法权益，评估并处理公司运营中发生的法律、内控合规及信息披露相关问题，及时向公司管理层及全体员工传达法规及监管要求。</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（8）业务部门</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风险管理是每一个业务部门首要的责任。部门负责人对本部门的风险负全部责任，负责履行公司的风险管理程序，负责本部门的风险管理系统的开发、执行和维护，用于识别、监控和降低风险。</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3、风险管理和内部风险控制的措施</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（1）建立内控体系，完善内控制度</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公司建立、健全了内控体系，通过高管人员关于内控的明确分工，确保各项业务活动有恰当的组织和授权，确保监察活动独立，并得到高管人员的支持，同时置备操作手册，并定期更新。</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（2）建立相互分离、相互制衡的内控机制</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建立、健全了各项制度，做到基金经理分开，投资决策分开，基金交易集中，形成不同部门、不同岗位之间的制衡机制，从制度上减少和防范风险。</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（3）建立、健全岗位责任制</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建立、健全了岗位责任制，使每个员工都明确自己的任务、职责，并及时将各自工作领域中的风险隐患上报，以防范和减少风险。</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（4）建立风险分类、识别、评估、报告、提示程序</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建立了风险评估机制，通过适合的程序，确认和评估与公司运作有关的风险；公司建立了自下而上的风险报告程序，对风险隐患进行层层汇报，使各个层次的人员及时掌握风险状况，从而以最快速度作出决策。</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（5）建立有效的内部监控系统</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建立了足够、有效的内部监控系统，对可能出现的各种风险进行全面和实时的监控。</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（6）使用数量化的风险管理手段</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采取数量化、技术化的风险控制手段，建立数量化的风险管理模型，用以提示指数趋势、行业及个</w:t>
      </w:r>
      <w:r>
        <w:rPr>
          <w:rFonts w:hint="eastAsia" w:ascii="宋体" w:hAnsi="宋体"/>
          <w:sz w:val="24"/>
          <w:lang w:val="en-US" w:eastAsia="zh-CN"/>
        </w:rPr>
        <w:t>券</w:t>
      </w:r>
      <w:r>
        <w:rPr>
          <w:rFonts w:hint="eastAsia" w:ascii="宋体" w:hAnsi="宋体"/>
          <w:sz w:val="24"/>
        </w:rPr>
        <w:t>的风险，以便公司及时采取有效的措施，对风险进行分散、控制和规避，尽可能地减少损失。</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（7）提供足够的培训</w:t>
      </w:r>
    </w:p>
    <w:p>
      <w:pPr>
        <w:autoSpaceDE w:val="0"/>
        <w:autoSpaceDN w:val="0"/>
        <w:adjustRightInd w:val="0"/>
        <w:snapToGrid w:val="0"/>
        <w:spacing w:line="360" w:lineRule="auto"/>
        <w:ind w:firstLine="480" w:firstLineChars="200"/>
        <w:jc w:val="left"/>
        <w:rPr>
          <w:rFonts w:ascii="宋体" w:hAnsi="宋体"/>
          <w:szCs w:val="24"/>
        </w:rPr>
      </w:pPr>
      <w:r>
        <w:rPr>
          <w:rFonts w:hint="eastAsia" w:ascii="宋体" w:hAnsi="宋体"/>
          <w:sz w:val="24"/>
        </w:rPr>
        <w:t>制定了完整的培训计划，为所有员工提供足够和适当的培训，使员工明确其职责所在，控制风险。</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6" w:name="_Toc193101078"/>
      <w:r>
        <w:rPr>
          <w:rFonts w:ascii="Times New Roman" w:hAnsi="Times New Roman"/>
          <w:sz w:val="30"/>
        </w:rPr>
        <w:t>四、基金托管人</w:t>
      </w:r>
      <w:bookmarkEnd w:id="6"/>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（一）基金托管人基本情况</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名称：中信银行股份有限公司（简称“中信银行”）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住所：北京市朝阳区光华路10号院1号楼6-30层、32-42层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办公地址：北京市朝阳区光华路10号院1号楼6-30层、32-42层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法定代表人：方合英</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成立时间：1987年4月20日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组织形式：股份有限公司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注册资本：489.35亿元人民币</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存续期间：持续经营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批准设立文号：中华人民共和国国务院办公厅国办函[1987]14号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基金托管业务批准文号：中国证监会证监基金字[2004]125号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联系人：中信银行资产托管部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联系电话：4006800000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传真：010-85230024</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客服电话：95558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网址：www.citicbank.com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经营范围：保险兼业代理业务；吸收公众存款；发放短期、中期和长期贷款；办理国内外结算；办理票据承兑与贴现；发行金融债券；代理发行、代理兑付、承销政府债券；买卖政府债券、金融债券；从事同业拆借；买卖、代理买卖外汇；从事银行卡业务；提供信用证服务及担保；代理收付款项；提供保管箱服务；结汇、售汇业务；代理开放式基金业务；办理黄金业务；黄金进出口；开展证券投资基金、企业年金基金、保险资金、合格境外机构投资者托管业务；经国务院银行业监督管理机构批准的其他业务。（企业依法自主选择经营项目，开展经营活动；依法须经批准的项目，经相关部门批准后依批准的内容开展经营活动；不得从事本市产业政策禁止和限制类项目的经营活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本行成立于 1987 年，是中国改革开放中最早成立的新兴商业银行之一，是中国最早参与国内外金融市场融资的商业银行，并以屡创中国现代金融史上多个第一而蜚声海内外，为中国经济建设做出了积极贡献。2007 年 4 月，本行实现在上海证券交易所和香港联合交易所 A+H 股同步上市。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行依托中信集团“金融+实业”综合禀赋优势，以全面建设“四有”银行、跨入世界一流银行竞争前列为发展愿景，坚持“诚实守信、以义取利、稳健审慎、守正创新、依法合规”，以客户为中心，通过实施“五个领先”银行战略，打造有特色、差异化的中信金融服务模式，向企业客户、机构客户和同业客户提供公司银行业务、国际业务、金融市场业务、机构业务、投资银行业务、交易银行业务、托管业务等综合金融解决方案；向个人客户提供财富管理业务、私人银行业务、个人信贷业务、信用卡业务、养老金融业务、出国金融业务等多元化金融产品及服务，全方位满足企业、机构、同业及个人客户的综合金融服务需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截至2023年末，本行在国内 153 个大中城市设有 1,451 家营业网点，在境内外下设中信国际金融控股有限公司、信银（香港）投资有限公司、中信金融租赁有限公司、信银理财有限责任公司、中信百信银行股份有限公司、阿尔金银行和浙江临安中信村镇银行股份有限公司 7 家附属机构。其中，中信国际金融控股有限公司子公司中信银行（国际）在香港、澳门、纽约、洛杉矶、新加坡和中国内地设有 31 家营业网点和 2 家商务理财中心。信银（香港）投资有限公司在香港和境内设有 3 家子公司。信银理财有限责任公司为本行全资理财子公司。中信百信银行股份有限公司为本行与百度公司联合发起设立的国内首家独立法人直销银行。阿尔金银行在哈萨克斯坦设有 7 家营业网点和 1 家私人银行中心。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本行深刻把握金融工作政治性、人民性，始终在党和国家战略大局中找准金融定位、履行金融职责，坚持做国家战略的忠实践行者、实体经济的有力服务者、金融强国的积极建设者。经过 30 余年的发展，本行已成为一家总资产规模超 9 万亿元、员工人数超 6.5 万名，具有强大综合实力和品牌竞争力的金融集团。2023年，本行在英国《银行家》杂志“全球银行品牌 500 强排行榜”中排名第 20 位；本行一级资本在英国《银行家》杂志“世界 1000 家银行排名”中排名第 19 位。</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（二）主要人员情况</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刘成先生，中信银行党委副书记，行长。刘先生现同时担任亚洲金融合作协会理事。刘先生曾在中央财政金融学院（现中央财经大学）任教，并长期供职于国家发展和改革委员会、国务院办公厅，2018年4月至2021年11月任中信银行监事长。刘先生具有丰富的发展改革、财政金融相关工作经验，先后就读于中央财政金融学院金融系、中国人民大学金融学院，获经济学学士、硕士和博士学位，研究员。</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谢志斌先生，中信银行副行长，分管托管业务。谢先生现兼任中国银联股份有限公司董事。谢先生曾任中国出口信用保险公司党委委员、总经理助理（期间挂职任内蒙古自治区呼和浩特市委常委、副市长），中国光大集团股份公司纪委书记、党委委员。此前，谢先生在中国出口信用保险公司历任人力资源部总经理助理、副总经理、总经理（党委组织部部长助理、副部长、部长），深圳分公司党委书记，河北省分公司负责人、党委书记、总经理。谢先生毕业于中国人民大学，获经济学博士学位，高级经济师。</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杨璋琪先生，中信银行资产托管部总经理，硕士研究生学历。杨先生2018年1月至2019年3月，任中信银行金融同业部副总经理；2015年5月至2018年1月，任中信银行长春分行副行长；2013年4月至2015年5月，任中信银行机构业务部总经理助理；1996年7月至2013年4月，就职于中信银行北京分行（原总行营业部），历任支行行长、投资银行部总经理、贸易金融部总经理。</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（三）基金托管业务经营情况</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2004 年8 月18 日，中信银行经中国证券监督管理委员会和中国银行业监督管理委员会批准，取得基金托管人资格。中信银行本着“诚实信用、勤勉尽责”的原则，切实履行托管人职责。</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截至2024年第三季度末，中信银行托管379只公开募集证券投资基金，以及基金公司、证券公司资产管理产品、信托产品、企业年金、股权基金、QDII等其他托管资产，托管总规模达到15.89万亿元人民币。</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（四）基金托管人的内部控制制度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内部控制目标。强化内部管理，确保有关法律法规及规章在基金托管业务中得到全面严格的贯彻执行；建立完善的规章制度和操作规程，保证基金托管业务持续、稳健发展；加强稽核监察，建立高效的风险监控体系，及时有效地发现、分析、控制和避免风险，确保基金财产安全，维护基金份额持有人利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 内部控制组织结构。中信银行总行建立了风险管理委员会，负责全行的风险控制和风险防范工作；托管部内设内控合规岗，专门负责托管部内部风险控制，对基金托管业务的各个工作环节和业务流程进行独立、客观、公正的稽核监察。</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内部控制制度。中信银行严格按照《基金法》以及其他法律法规及规章的规定，以控制和防范基金托管业务风险为主线，制定了《中信银行基金托管业务管理办法》、《中信银行基金托管业务内部控制管理办法》和《中信银行托管业务内控检查实施细则》等一整套规章制度，涵盖证券投资基金托管业务的各个环节，保证证券投资基金托管业务合法、合规、持续、稳健发展。</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内部控制措施。建立了各项规章制度、操作流程、岗位职责、行为规范等，从制度上、人员上保证基金托管业务稳健发展；建立了安全保管基金财产的物质条件，对业务运行场所实行封闭管理，在要害部门和岗位设立了安全保密区，安装了录像、录音监控系统，保证基金信息的安全；建立严密的内部控制防线和业务授权管理等制度，确保所托管的基金财产独立运行；营造良好的内部控制环境，开展多种形式的持续培训，加强职业道德教育。</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（五）基金托管人对基金管理人运作基金进行监督的方法和程序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托管人根据《基金法》、《运作办法》、《信息披露办法》、基金合同、托管协议和有关法律法规及规章的规定，对基金的投资运作、基金资产净值计算、基金份额净值计算、应收资金到账、基金费用开支及收入确定、基金收益分配、相关信息披露、基金宣传推介材料中登载的基金业绩表现数据等进行监督和核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如基金托管人发现基金管理人违反《基金法》、《运作办法》、《信息披露办法》、基金合同和有关法律法规及规章的行为，将及时以书面形式通知基金管理人限期纠正。在限期内，基金托管人有权随时对通知事项进行复查，督促基金管理人改正。基金托管人发现基金管理人有重大违规行为或违规事项未能在限期内纠正的，基金托管人将以书面形式报告中国证监会。</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7" w:name="_Toc193101079"/>
      <w:r>
        <w:rPr>
          <w:rFonts w:ascii="Times New Roman" w:hAnsi="Times New Roman"/>
          <w:sz w:val="30"/>
        </w:rPr>
        <w:t>五、相关服务机构</w:t>
      </w:r>
      <w:bookmarkEnd w:id="7"/>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（一）基金份额销售机构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1、直销机构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本基金直销机构为本基金管理人以及本基金管理人的网上直销交易平台（网站及APP，下同）。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机构名称：交银施罗德基金管理有限公司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住所：中国(上海)自由贸易试验区银城中路188号交通银行大楼二层（裙）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办公地址：上海市浦东新区世纪大道8号国金中心二期21-22楼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法定代表人：张宏良</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成立时间：2005年8月4日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电话：（021）61055724</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传真：（021）61055054</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联系人：傅鲸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客户服务电话：400-700-5000（免长途话费），（021）61055000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网址：www.fund001.com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个人投资者可以通过本公司网上直销交易平台办理开户、本基金A类基金份额和C类基金份额的申购、赎回、转换及定期定额投资等业务，具体交易细则请参阅基金管理人网站。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网上直销交易平台网址：www.fund001.com。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2、代销机构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（1）名称：交通银行股份有限公司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住所：上海市浦东新区银城中路188号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办公地址：上海市浦东新区银城中路188号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法定代表人：任德奇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电话：（021）58781234</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传真：（021）58408483</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联系人：范瑞波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客户服务电话：95559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网址：www.bankcomm.com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（2）名称：平安银行股份有限公司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注册地址：深圳市罗湖区深南东路5047号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办公地址：深圳市深南东路5047号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法定代表人：谢永林</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电话：0755-22166574</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传真：0755-82080406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联系人：赵杨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客服电话：95511-3或95501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网址：bank.pingan.com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（3）名称：中国光大银行股份有限公司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住所：北京市西城区太平桥大街25号、甲25号中国光大中心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办公地址：北京市西城区太平桥大街25号、甲25号中国光大中心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法定代表人：李晓鹏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电话：（010）63639681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传真：（010）63639709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联系人：刘昭宇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客户服务电话：95595</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网址：www.cebbank.com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（4）名称：中信银行股份有限公司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w:t>
      </w:r>
      <w:r>
        <w:rPr>
          <w:rFonts w:hint="eastAsia" w:ascii="宋体" w:hAnsi="宋体"/>
          <w:sz w:val="24"/>
        </w:rPr>
        <w:t>北京市朝阳区光华路10号院1号楼6-30层、32-42层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w:t>
      </w:r>
      <w:r>
        <w:rPr>
          <w:rFonts w:hint="eastAsia" w:ascii="宋体" w:hAnsi="宋体"/>
          <w:sz w:val="24"/>
        </w:rPr>
        <w:t>北京市朝阳区光华路10号院1号楼6-30层、32-42层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w:t>
      </w:r>
      <w:r>
        <w:rPr>
          <w:rFonts w:hint="eastAsia" w:ascii="宋体" w:hAnsi="宋体"/>
          <w:sz w:val="24"/>
        </w:rPr>
        <w:t>方合英</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电话：（010）89936330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传真：（010）85230024</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联系人：丰靖</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客户服务电话：95558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网址：bank.ecitic.com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（5）名称：宁波银行股份有限公司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住所：宁波市江东区中山东路294号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法定代表人：陆华裕</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电话：（021）63586210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传真：（021）63586215</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联系人：胡技勋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客户服务电话：96528（上海地区962528）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网址：www.nbcb.com.cn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（6）名称：招商银行股份有限公司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住所：深圳市福田区深南大道7088号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办公地址：深圳市福田区深南大道7088号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法定代表人：缪建民</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电话：（0755）83198888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传真：（0755）83195109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联系人：季平伟</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客户服务电话：95555</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网址：www.cmbchina.com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（7）名称：兴业银行股份有限公司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注册地址：福建省福州市湖东路154号中山大厦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办公地址：上海市浦东新区银城路 167 号兴业银行大厦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法定代表人：吕家进</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联系人：蔡宣铭</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联系电话：021-52629999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客服热线：95561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网址：www.cib.com.cn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（8）名称：中国邮政储蓄银行股份有限公司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住所：北京市西城区金融大街3号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办公地址：北京市西城区金融大街3号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法定代表人：李国华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传真：（010）68858117</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联系人：陈春林</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客户服务电话：95580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网址：www.psbc.com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（9）名称：中国银河证券股份有限公司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住所：北京市西城区金融大街35号国际企业大厦C座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办公地址：北京市西城区金融大街35号国际企业大厦C座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法定代表人：陈共炎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电话：010-83574507</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联系人：辛国政</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客户服务电话：400-888-8888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网址：www.chinastock.com.cn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（10）名称：中信证券股份有限公司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住所：广东省深圳市福田区中心三路8号卓越时代广场（二期）北座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办公地址：北京市朝阳区亮马桥路48号中信证券大厦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法定代表人：张佑君</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电话：010-60838888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客服电话：95548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网址：www.cs.ecitic.com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（11）名称：中信建投证券股份有限公司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住所：北京市朝阳区安立路66号4号楼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办公地址：北京市朝阳门内大街188号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法定代表人：王常青</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电话：（010）85130588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传真：（010）65182261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联系人：魏明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客户服务电话：95587</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网址：www.csc108.com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（12）名称：华龙证券股份有限公司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住所：兰州市城关区东岗西路638号财富中心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办公地址：兰州市城关区东岗西路638号财富中心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法定代表人：李晓安</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电话：（0931）4890208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传真：（0931）4890628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联系人：李昕田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客户服务电话：4006898888、（0931）4890208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网址：www.hlzqgs.com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（13）名称：长城国瑞证券有限公司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住所：厦门市莲前西路2号莲富大厦17楼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办公地址：厦门市莲前西路2号莲富大厦17楼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法定代表人：王勇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电话：（0592）5161642</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传真：（0592）5161640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联系人：赵钦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客户服务电话：（0592）5163588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网址：www.xmzq.cn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（14）名称：中信证券华南股份有限公司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住所：广州市天河区珠江西路5号广州国际金融中心主塔19层、20层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办公地址：广州市天河区珠江西路5号广州国际金融中心主塔19层、20层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法定代表人：胡伏云</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电话：020-88836999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传真：020-88836984</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联系人：陈靖</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客服电话：（020）95396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网址：www.gzs.com.cn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（15）名称：国都证券股份有限公司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住所：北京市东城区东直门南大街3号国华投资大厦9层10层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办公地址：北京市东城区东直门南大街3号国华投资大厦9层10层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法定代表人：王少华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客户服务电话：400-818-8118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网址：www.guodu.com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（16）名称：中信证券（山东）有限责任公司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住所：青岛市崂山区深圳路222号1号楼2001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办公地址：青岛市市南区东海西路28号龙翔广场东座5层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法定代表人：姜晓林</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电话：0531-89606166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传真：0532-85022605</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联系人：焦刚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客户服务电话：95548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网址：sd.citics.com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（17）名称：中泰证券股份有限公司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住所：山东省济南市市中区经七路86号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办公地址：山东省济南市市中区经七路86号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法定代表人：李玮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电话：（0531）68889155</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传真：（0531）68889752</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联系人：许曼华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客户服务电话：95538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网址：www.zts.com.cn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（18）名称：江海证券有限公司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住所：黑龙江省哈尔滨市香坊区赣水路56号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法定代表人：孙名扬</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电话：（0451）85863719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传真：（0451）82287211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联系人：刘爽</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客户服务电话：956007</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网址：www.jhzq.com.cn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（19）名称：中国国际金融股份有限公司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住所：北京建国门外大街1号国贸大厦2座27层及28层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办公地址：北京建国门外大街1号国贸大厦2座27层及28层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法定代表人：毕明建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电话：（010）65051166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传真：（010）85679203</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联系人：杨涵宇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网址：www.cicc.com.cn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（20）名称：国金证券股份有限公司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住所：四川省成都市东城根上街95号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办公地址：成都市东城根上街95号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法定代表人：冉云</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电话：（028）86690057，（028）86690058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传真：（028）86690126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联系人：刘婧漪 贾鹏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客户服务电话：95310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网址：www.gjzq.com.cn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（21）名称：渤海证券股份有限公司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住所：天津经济技术开发区第二大街42号写字楼101室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办公地址：天津市南开区宾水西道8号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法定代表人：安志勇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电话：（022）28451991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传真：（022）28451892</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联系人：蔡霆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 956066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网址：www.ewww.com.cn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（22）名称：信达证券股份有限公司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住所：北京市西城区闹市口大街9号院1号楼信达金融中心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办公地址：北京市西城区闹市口大街9号院1号楼信达金融中心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法定代表人：张志刚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电话：（010）63081000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传真：（010）63081344</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联系人：尹旭航</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客户服务电话：95321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网址：www.cindasc.com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（23）名称：西南证券股份有限公司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住所：重庆市江北区桥北苑8号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办公地址：重庆市江北区桥北苑8号西南证券大厦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法定代表人：吴坚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电话：（023）63786141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传真：（023）63786212</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联系人：张煜</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客户服务电话：95355、400-809-6096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网址：www.swsc.com.cn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（24）名称：中国中金财富证券有限公司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住所：深圳市福田区益田路与福中路交界处荣超商务中心A栋第18层-21层及第04层01.02.03.05.11.12.13.15.16.18.19.20.21.22.23单元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办公地址：深圳市福田区益田路6003号荣超商务中心A栋第04、18层至21层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法定代表人：高涛</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电话：（0755）88320851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联系人：胡芷境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客户服务电话：95532/400-600-8008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网址：www.ciccwm.com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（25）名称：方正中期期货有限公司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住所：北京市石景山区金府路32号院3号楼5层512室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办公地址：北京市朝阳区东三环北路38号院1号泰康金融大厦22层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法定代表人：姜志军</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联系电话：010-85881211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传真：010-85881394</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联系人：罗雯</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客户服务电话：4008802277</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网址：www.founderfu.com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（26）名称：华泰证券股份有限公司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住所：江苏省南京市江东中路228号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办公地址：江苏省南京市建邺区江东中路228号华泰证券广场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法定代表人：张伟</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电话：（0755）82492193</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传真：（0755）82492962</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联系人：胡子豪</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客户服务电话：95597</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网址：www.htsc.com.cn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（27）名称：华西证券股份有限公司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住所：四川省成都市高新区天府二街198号华西证券大厦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办公地址：四川省成都市高新区天府二街198号华西证券大厦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法定代表人：杨炯洋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电话：（028）86135991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传真：（028）86150400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联系人：周志茹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客户服务电话：95584</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网址：www.hx168.com.cn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（28）名称：国信证券股份有限公司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住所：深圳市罗湖区红岭中路1012号国信证券大厦16-26楼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办公地址：深圳市罗湖区红岭中路1012号国信证券大厦16-26楼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法定代表人：张纳沙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电话：（0755）82130833</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传真：（0755）82133952</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联系人：于智勇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客户服务电话：95536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网址：www.guosen.com.cn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（29）名称：海通证券股份有限公司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住所：上海市淮海中路98号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办公地址：上海市广东路689号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法定代表人：王开国</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电话：（021）23219000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传真：（021）23219100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联系人：李笑鸣</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客户服务电话：95553或拨打各城市营业网点咨询电话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网址：www.htsec.com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（30）名称：招商证券股份有限公司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住所：深圳市福田区福田街道福华一路111号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办公地址：深圳市福田区益田路江苏大厦A座38-45层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法定代表人：霍达</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电话：（0755）82943666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传真：（0755）82943636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联系人：黄婵君</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客户服务电话：400-8888-111，95565</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网址：www.newone.com.cn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（31）名称：深圳市新兰德证券投资咨询有限公司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住所：深圳市福田区华强北路赛格科技园4栋10层1006#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办公地址：北京市西城区金融大街35号国际企业大厦C座9层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法定代表人：陈操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电话：（010）58325395</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传真：（010）58325282</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联系人：刘宝文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客户服务电话：400-850-7771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网址：http://8.jrj.com.cn/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（32）名称：大连网金基金销售有限公司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 辽宁省大连市沙河口区体坛路22号诺德大厦2层202室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 辽宁省大连市沙河口区体坛路22号诺德大厦2层202室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 樊怀东</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电话：（0411-39027810）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传真：（0411-39027835）</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 于秀</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 4000-899-100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网址：http://www.yibaijin.com/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（33）名称：阳光人寿保险股份有限公司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住所：海南省三亚市迎宾路360-1号三亚阳光金融广场16层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办公地址：北京市朝阳区朝阳门外大街乙12号院1号昆泰国际大厦12层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法定代表人：李科</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电话：（010）85632771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传真：（010）85632773</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联系人：王超</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客户服务电话：95510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网址：http://fund.sinosig.com/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（34）名称：玄元保险代理有限公司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住所：中国(上海)自由贸易试验区张杨路707号1105室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办公地址：中国(上海)自由贸易试验区张杨路707号1105室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法定代表人：马永谙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电话：（021）50701053</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传真：（021）50701053</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客户服务电话：400-080-8208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网址：www.licaimofang.cn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（35）名称：京东肯特瑞基金销售有限公司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 北京市海淀区西三旗建材城中路12号17号平房157</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办公地址：北京市通州区亦庄经济技术开发区科创十一街18号院京东集团总部A座17层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法定代表人：王苏宁</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电话：95118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传真：010-89189566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联系人：李丹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客服热线：95118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网址：kenterui.jd.com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（36）名称：上海大智慧基金销售有限公司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住所：上海市浦东新区杨高南路428号1号楼10-11层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办公地址：上海市浦东新区杨高南路428号1号楼10-11层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法定代表人：申健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电话：021-0219988-35374</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传真：021-20219923</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联系人：张蜓</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客户服务电话：021-20292031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网址：https://www.wg.com.cn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（37）名称：腾安基金销售（深圳）有限公司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住所：深圳市前海深港合作区前湾一路1号A栋201室（入驻深圳市前海商务秘书有限公司）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办公地址：深圳市南山区海天二路33号腾讯滨海大厦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法定代表人：刘明军</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电话：95017（拨通后转1转8）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联系人：谭广峰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客户服务电话：95017（拨通后转1转8）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网址：http://www.tenganxinxi.com/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（38）名称：珠海盈米基金销售有限公司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住所：珠海市横琴新区宝华路6号105室-3491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办公地址：广州市海珠区琶洲大道东1号保利国际广场南塔12楼B1201-1203</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法定代表人：肖雯</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电话：（020）89629099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传真：（020）89629011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联系人：黄敏嫦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客户服务电话：（020）89629066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网址：www.yingmi.com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（39）名称：上海华夏财富投资管理有限公司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住所：上海市虹口区东大名路687号1幢2楼268室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 北京市西城区金融大街33号通泰大厦B座8层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 毛淮平</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电话：010-88066632</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传真：010-63136184</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 张静怡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客户服务电话：400-817-5666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 www.amcfortune.com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（40）名称：北京度小满基金销售有限公司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注册地址：北京市海淀区西北旺东路10号院西区4号楼1层103室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法定代表人：葛新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办公地址：北京市海淀区西北旺东路10号院西区4号楼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机构联系人：王笑宇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联系人电话：010-59403028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联系人传真：010-59403027</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客户服务电话：95055-4</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公司网址：www.baiyingfund.com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（41）名称：南京苏宁基金销售有限公司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住所：南京市玄武区苏宁大道1-5号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办公地址：南京市玄武区苏宁大道1-5号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法定代表人：王锋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电话：025-66996699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传真：025-66996699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联系人：冯鹏鹏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客户服务电话：95177</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网址：www.snjijin.com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（42）名称：嘉实财富管理有限公司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住所：海南省三亚市天涯区三亚湾路国际客运港区国际养生度假中心酒店B座(2＃楼)27楼2714室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办公地址及其联系方式：北京市朝阳区建国门外大街21号北京国际俱乐部C座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 张峰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 010-85097302</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联系人：闫欢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客户服务电话：400-021-8850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公司网址：http://www.harvestwm.cn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（43）名称：北京汇成基金销售有限公司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住所：北京市西城区宣武门外大街甲1号4层401-2</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办公地址：北京市西城区宣武门外大街甲1号环球财讯中心D座4层401-2</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法定代表人：王伟刚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电话：（010）56282140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传真：（010）62680827</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联系人：张林</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客户服务电话：400-619-9059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网址：www.hcfunds.co</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（44）名称：上海利得基金销售有限公司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 上海浦东新区峨山路91弄61号陆家嘴软件园10号楼12楼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办公地址：上海市虹口区东大名路1098号浦江国际金融广场53层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法定代表人：李兴春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电话：021-50583533</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传真：021-50583633</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 伍豪</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客服电话：400-032-5885</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网址：www.leadfund.com.cn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（45）名称：北京虹点基金销售有限公司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住所：北京市朝阳区工人体育场北路甲2号裙房2层222单元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办公地址：北京市朝阳区工人体育场北路甲2号裙房2层222单元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法定代表人：胡伟</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电话：（010）65951887</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传真：（010）65951887</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联系人：姜颖</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客户服务电话：400-618-0707</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网址：www.hongdianfund.com/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（46）名称：上海陆金所基金销售有限公司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住所：上海市浦东新区陆家嘴环路1333号14楼09单元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办公地址：上海市浦东新区陆家嘴环路1333号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法定代表人：王之光</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电话：（021）20665952</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传真：（021）22066653</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联系人：宁博宇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客户服务电话：4008219031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网址：www.lufunds.com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（47）名称：上海挖财基金销售有限公司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注册地址：中国(上海)自由贸易试验区杨高南路759号18层03单元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办公地址：中国(上海)自由贸易试验区杨高南路759号18层03单元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法定代表人：吕柳霞</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电话：021-50810673</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传真：021-50810687</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邮编：200120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联系人：毛善波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客服电话：400-711-8718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网址：www.wacaijijin.com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（48）名称：万家财富基金销售（天津）有限公司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住所：天津自贸区（中心商务区）迎宾大道1988号滨海浙商大厦公寓2-2413室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办公地址：北京市西城区丰盛胡同28号太平洋保险大厦A座5层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法定代表人：张军</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电话：（010）59013825</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传真：（010）59013828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联系人：王茜蕊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客户服务电话：010-59013895</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网址：http://www.wanjiawealth.com/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（49）名称：上海万得基金销售有限公司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住所：中国（上海）自由贸易试验区福山路33号11楼B座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办公地址：上海市浦东新区浦明路1500号万得大厦11楼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 宋晓言</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电话：021-50712782</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传真：021-50710161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 马烨莹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客户服务电话：400-799-1888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 www.520fund.com.cn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（50）名称：格上富信投资顾问有限公司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住所：北京市朝阳区东三环北路19号楼701内09室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办公地址：北京市朝阳区东三环北路19号楼701内09室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法定代表人：李悦章</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电话：（010）85594745</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传真：（010）65983333</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联系人：张林</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客户服务电话：400-066-8586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网址：www.igesafe.com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（51）名称：深圳市金斧子基金销售有限公司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住所：深圳市南山区粤海街道科苑路16号东方科技大厦18楼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办公地址：深圳市南山区粤海街道科苑路科兴科学园B3单元7楼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法定代表人：赖任军</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电话：（0755）66892301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传真：（0755）66892399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联系人：张烨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客户服务电话：400-9500-888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网址：www.jfzinv.com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（52）名称：北京雪球基金销售有限公司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住所：北京市朝阳区创远路 34 号院6号楼15层1501室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办公地址：北京市朝阳区创远路 34 号院融新科技中心 C 座 17 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法定代表人：李楠</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电话：（010）61840688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传真：（010）84997571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联系人：武安广</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客户服务电话：400-1599-288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网址：danjuanfunds.com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（53）名称：北京新浪仓石基金销售有限公司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注册地址：北京市海淀区东北旺西路中关村软件园二期（西扩）N-1、N-2地块新浪总部科研楼5层518室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办公地址：北京市海淀区东北旺西路中关村软件园二期（西扩）N-1、N-2地块新浪总部科研楼5层518室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法定代表人：穆飞虎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电话：010-58982465</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联系人：穆飞虎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客服电话：010-6267 5369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网址：www.xincai.com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（54）名称：中证金牛（北京）基金销售有限公司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 北京市丰台区东管头1号2号楼2-45室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 北京市西城区宣武门外大街甲一号环球财讯中心A座5层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 钱昊旻</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电话：（010）59336512</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传真：（010）59336586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 沈晨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客户服务电话：4008-909-998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 www.jnlc.com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（55）名称：上海云湾基金销售有限公司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 中国（上海）自由贸易试验区新金桥路27号1号1层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 上海市浦东新区新金桥路27号1号楼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 冯轶明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电话：（021）20530186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传真：（021）20538999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 范泽杰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客户服务电话：400-820-1515</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网址：www.zhengtongfunds.com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（56）名称：北京创金启富基金销售有限公司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 北京市西城区白纸坊东街2号院6号楼712室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 北京市西城区白纸坊东街2号院6号楼712室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 梁蓉</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电话：010-66154828-8047</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传真：010-63583991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 魏素清</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客户服务电话：010-66154828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 https://www.5irich.com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（57）名称：奕丰基金销售有限公司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住所：深圳市前海深港合作区前湾一路1号A栋201室（入住深圳市前海商务秘书有限公司）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办公地址：深圳市南山区海德三道航天科技广场A座17楼1704室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法定代表人：TEO WEE HOWE</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电话：（0755）89460500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传真：（0755）21674453</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联系人：叶健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客户服务电话：400-684-0500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网址：www.ifastps.com.cn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（58）名称：上海天天基金销售有限公司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住所：上海市徐汇区龙田路190号2号楼2层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办公地址：上海市徐汇区宛平南路88号金座东方财富大厦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法定代表人：其实</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电话：（021）54509998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传真：（021）64385308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联系人：屠彦洋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客户服务电话：400-1818-188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网址：www.1234567.com.cn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（59）名称：和讯信息科技有限公司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住所：北京市朝阳区朝外大街22号泛利大厦10层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办公地址：北京市朝阳区朝外大街22号泛利大厦10层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法定代表人：王莉</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电话：（021）20835789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传真：（021）20835879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联系人：周轶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客户服务电话：4009200022</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网址：http://licaike.hexun.com/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（60）名称：诺亚正行基金销售有限公司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住所:上海市虹口区飞虹路360弄9号3724室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办公地址:上海市杨浦区长阳路1687号长阳谷2号楼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法定代表：汪静波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电话：（021）80358523</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传真：（021）80358749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联系人：李娟</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客户服务电话：4008215399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网址：www.noah-fund.com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（61）名称：上海好买基金销售有限公司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住所：上海市虹口区场中路685弄37号4号楼449室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办公地址：上海市浦东新区浦东南路1118号鄂尔多斯国际大厦903-906室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法定代表人：杨文斌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传真：（021）68596916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联系人：薛年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客户服务电话：400-700-9665</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网址：www.howbuy.com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（62）名称：上海长量基金销售有限公司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住所：上海市浦东新区高翔路526号2幢220室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办公地址：上海市浦东新区浦东大道555号裕景国际B座16层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法定代表人：张跃伟</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电话：（021）20691832</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传真：（021）20691861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联系人：单丙烨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客户服务电话：400-820-2899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网址：www.erichfund.com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（63）名称：深圳众禄基金销售股份有限公司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住所：深圳市罗湖区梨园路物资控股置地大厦8楼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办公地址：深圳市罗湖区梨园路物资控股置地大厦8楼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法定代表人：薛峰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电话：（0755）33227953</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传真：（0755）33227951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联系人：汤素娅</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客户服务电话：4006-788-887</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网址：www.zlfund.cn，www.jjmmw.com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（64）名称：蚂蚁（杭州）基金销售有限公司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住所：浙江省杭州市余杭区五常街道文一西路969号3幢5层599室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办公地址：浙江省杭州市西湖区西溪路556号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法定代表人：王珺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电话：（0571）28829790，（021）60897869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传真：（0571）26698533</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联系人：韩爱彬</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客户服务电话：95188-8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网址：www.fund123.cn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（65）名称：中信期货有限公司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住所：深圳市福田区中心三路8号卓越时代广场（二期）北座13层1301-1305室、14层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办公地址：深圳市福田区中心三路8号卓越时代广场（二期）北座13层1301-1305室、14层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法定代表人：张皓</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电话：010-60833754</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传真：021-60819988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联系人：刘宏莹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客服电话：400-990-8826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网站：www.citicsf.com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（66）名称：天相投资顾问有限公司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住所：北京市西城区金融街19号富凯大厦B座701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办公地址：北京市西城区新街口外大街28号C座5层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法定代表人：林义相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电话：（010）66045529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传真：（010）66045518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联系人：尹伶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客户服务电话：（010）66045678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网址：http://www.txsec.com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（67）名称：上海基煜基金销售有限公司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住所：上海市崇明县长兴镇路潘园公路1800号2号楼6153室（上海泰和经济发展区）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办公地址：上海市杨浦区昆明路518号A1002室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法定代表人：王翔</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电话：（021）65370077</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传真：（021）55085991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联系人：俞申莉</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客户服务电话：（021）65370077</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网址：www.fofund.com.cn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（68）名称：浙江同花顺基金销售有限公司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住所：浙江省杭州市文二西路1号元茂大厦903</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办公地址：浙江杭州余杭区五常街道同顺街18号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法定代表人：吴强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电话：（0571）88911818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传真：（0571）86800423</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联系人：吴强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客户服务电话：952555</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网址：https://fund.10jqka.com.cn/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（69）名称：宜信普泽投资顾问（北京）有限公司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住所：北京市朝阳区建国路88号9号楼15层1809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办公地址：北京市朝阳区建国路88号SOHO现代城C座1809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法定代表人：沈伟桦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电话：010-52855713</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传真：010-85894285</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联系人：程刚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客户服务电话：400-6099-200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网址：www.yixinfund.com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（70）名称：上海联泰基金销售有限公司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住所：上海市普陀区兰溪路900弄15号526室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办公地址：上海市虹口区临潼路188号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法定代表人：尹彬彬</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电话：021-52822063</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传真：021-52975270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联系人：兰敏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客户服务电话：400-118-1188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网址：www.66liantai.com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（71）名称：泛华普益基金销售有限公司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住所：成都市成华区建设路9号高地中心1101室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办公地址：成都市金牛区花照壁西顺街399号1栋1单元龙湖西宸天街B座1201号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法定代表人：于海锋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电话：028-8661-6229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传真：无</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联系人：隋亚方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客户服务电话：400-080-3388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网址：https://www.puyifund.com/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（72）名称：北京展恒基金销售股份有限公司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住所：北京市顺义区后沙峪镇安富街6号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办公地址：北京市朝阳区安苑路15-1号邮电新闻大厦2层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法定代表人：闫振杰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电话：（010）59601366-7024</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传真：（010）62020355</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 马林</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客户服务电话：400-888-6661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网址：www.myfund.com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（73）名称：和耕传承基金销售有限公司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住所：河南自贸试验区郑州片区（郑东）东风南路东康宁街北6号楼5楼503</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办公地址：河南自贸试验区郑州片区（郑东）东风南路东康宁街北6号楼5楼503</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法定代表人：温丽燕</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电话：0371-85518395</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传真：0371-85518397</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联系人：胡静华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客户服务电话：4000555671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网址：www.hgccpb.com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（74）名称：济安财富（北京）基金销售有限公司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住所：北京市朝阳区太阳宫中路16号院1号楼10层1005</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办公地址：北京市朝阳区太阳宫中路16号院1号楼11层1105</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法定代表人：杨健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电话：010-65309516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传真：010-65330699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联系人：宋静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客户服务电话：400-673-7010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网址：www.jianfortune.com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（75）名称：中信百信银行股份有限公司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住所：北京市朝阳区安定路5号院3号楼8层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办公地址：北京市朝阳区安定路5号院3号楼10层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法定代表人：李如东</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电话：010-86496277</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传真：010-86496277</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联系人：韩晓彤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客户服务电话：956186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网址：www.aibank.com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（76）名称：博时财富基金销售有限公司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住所：深圳市福田区莲花街道福新社区益田路5999号基金大厦19层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办公地址：深圳市福田区莲花街道福新社区益田路5999号基金大厦19层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法定代表人：王德英</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电话：0755-83169999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传真：0755-83195220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联系人：崔丹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客户服务电话：400-610-5568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网址：www.boserawealth.com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（77）名称：上海中欧财富基金销售有限公司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住所：中国（上海）自由贸易试验区陆家嘴环路479号1008-1室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办公地址：上海市虹口区公平路18号嘉昱大厦6楼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法定代表人：许欣</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电话：021-68609600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传真：021-33830351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 刘弘义</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客户服务电话：400-700-9700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公司网址：https://www.zocaifu.com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基金管理人可根据有关法律法规的要求，选择其它符合要求的机构销售本基金，并及时公告。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（二）登记机构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名称：中国证券登记结算有限责任公司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住所：北京市西城区太平桥大街17号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办公地址：北京市西城区太平桥大街17号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法定代表人：于文强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电话：（010）50938782</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传真：（010）50938907</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联系人：赵亦清</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（三）出具法律意见书的律师事务所</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名称：上海市通力律师事务所</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住所：上海市银城中路68号时代金融中心19楼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办公地址：上海市银城中路68号时代金融中心19楼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负责人：韩炯</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电话：（021）31358666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传真：（021）31358600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联系人：孙睿</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经办律师：黎明、孙睿</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（四）审计基金财产的会计师事务所</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名称：容诚会计师事务所（特殊普通合伙）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注册地址：北京市西城区阜成门外大街22号1幢外经贸大厦901-22至901-26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办公地址：北京市西城区阜成门外大街22号1幢外经贸大厦901-22至901-26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执行事务合伙人：肖厚发、刘维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电话：010-66001391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传真：010-66001391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联系人：李隐煜</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经办会计师：沈兆杰、李隐煜</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8" w:name="_Toc193101080"/>
      <w:r>
        <w:rPr>
          <w:rFonts w:ascii="Times New Roman" w:hAnsi="Times New Roman"/>
          <w:sz w:val="30"/>
        </w:rPr>
        <w:t>六、基金的募集</w:t>
      </w:r>
      <w:bookmarkEnd w:id="8"/>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本基金由基金管理人依照《基金法》、《运作办法》、《销售办法》、基金合同及其他有关规定，并经中国证监会2014年10月24日证监许可[2014] 1116号文准予募集注册。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本基金为契约型债券型基金。本基金在基金合同生效之日起两年（含两年）的期间内封闭式运作（按照基金合同的约定提前转换基金运作方式的除外），封闭期结束后转为开放式运作。基金存续期间为不定期。</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本基金募集期间基金份额净值为人民币1.00元，按初始面值发售。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本基金自2014年11月24日至2014年12月10日进行发售。本基金设立募集期共募集425,488,278.42份基金份额，有效认购户数为2,765户。</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9" w:name="_Toc193101081"/>
      <w:r>
        <w:rPr>
          <w:rFonts w:ascii="Times New Roman" w:hAnsi="Times New Roman"/>
          <w:sz w:val="30"/>
        </w:rPr>
        <w:t>七、基金合同的生效</w:t>
      </w:r>
      <w:bookmarkEnd w:id="9"/>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根据有关规定，本基金满足基金合同生效条件，基金合同已于2014年12月15日正式生效。自基金合同生效之日起，本基金管理人正式开始管理本基金。</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合同》生效后，连续二十个工作日基金资产净值低于1亿元的，基金管理人可向中国证监会报告并提前终止基金合同，不需召开基金份额持有人大会。若基金管理人未依前款规定提前终止合同的，连续二十个工作日基金份额持有人数量不满200人或者基金资产净值低于5000万元的，基金管理人应当在定期报告中予以披露。连续六十个工作日出现基金份额持有人数量不满200人或者基金资产净值低于5000万元情形的，基金管理人应当向中国证监会报告并提前终止基金合同，不需召开基金份额持有人大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法律法规另有规定时，从其规定。</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10" w:name="_Toc193101082"/>
      <w:r>
        <w:rPr>
          <w:rFonts w:ascii="Times New Roman" w:hAnsi="Times New Roman"/>
          <w:sz w:val="30"/>
        </w:rPr>
        <w:t>八、基金份额的申购与赎回</w:t>
      </w:r>
      <w:bookmarkEnd w:id="10"/>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（一）申购和赎回的期间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在基金合同生效之日起两年(含两年)的期间内，采取封闭式运作（按照基金合同的约定提前转换基金运作方式的除外）。封闭期内，基金投资者不能申购、赎回本基金基金份额。基金封闭期结束，本基金转为开放式运作，基金投资者方可申购、赎回本基金基金份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（二）申购和赎回的场所</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投资人可通过下述场所按照规定的方式进行申购或赎回：</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1、直销机构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本基金直销机构为基金管理人以及基金管理人的网上直销交易平台。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名称：交银施罗德基金管理有限公司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住所：中国（上海）自由贸易试验区银城中路188号交通银行大楼二层（裙）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办公地址：上海市浦东新区世纪大道8号国金中心二期21-22楼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电话：（021）61055724</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传真：（021）61055054</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联系人：傅鲸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客户服务电话：400-700-5000（免长途话费），（021）61055000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网址：www.fund001.com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个人投资者可以通过基金管理人网上直销交易平台办理开户、本基金A类基金份额和C类基金份额的申购、赎回、转换及定期定额投资等业务，具体交易细则请参阅基金管理人网站。网上直销交易平台网址：www.fund001.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2、除基金管理人之外其他销售机构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本基金除基金管理人之外的其他销售机构参见本招募说明书“五、相关服务机构”章节或拨打基金管理人客户服务电话进行咨询。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（三）申购和赎回的开放日及时间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1、开放日及开放时间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投资人在开放日办理基金份额的申购和赎回，具体办理时间为上海证券交易所、深圳证券交易所的正常交易日的交易时间，但基金管理人根据法律法规、中国证监会的要求或基金合同的规定公告暂停申购、赎回时除外。</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若出现新的证券交易市场、证券交易所交易时间变更或其他特殊情况，基金管理人将视情况对前述开放日及开放时间进行相应的调整，但应在实施日前依照《信息披露办法》的有关规定在指定媒介上公告。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2、申购、赎回开始日及业务办理时间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本基金在基金合同生效之日起两年 (含两年)的期间内采取封闭式运作（按照基金合同的约定提前转换基金运作方式的除外）。封闭期内，基金投资者不能申购、赎回本基金基金份额。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基金封闭期结束，本基金转为开放式运作后，基金投资者方可申购、赎回本基金基金份额。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本基金已于2016年12月16日起开放申购、赎回业务。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基金份额申购、赎回的价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（四）申购与赎回的原则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1、“未知价”原则，即申购、赎回价格以申请当日收市后计算的基金份额净值为基准进行计算；</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2、“金额申购、份额赎回”原则，即申购以金额申请，赎回以份额申请；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3、当日的申购与赎回申请可以在基金管理人规定的时间以内撤销，但申请经登记机构受理的不得撤销；</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基金份额持有人赎回时，除指定赎回外，基金管理人按“先进先出”的原则，对该持有人账户在该销售机构托管的基金份额进行处理，即登记确认日期在先的基金份额先赎回，登记确认日期在后的基金份额后赎回，以确定被赎回基金份额的持有期限和所适用的赎回费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基金管理人可在法律法规允许的情况下，对上述原则进行调整。基金管理人必须在新规则开始实施前依照《信息披露办法》的有关规定在指定媒介上公告。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（五）申购和赎回的数额限定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1、申购金额的限制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直销机构首次申购的最低金额为单笔100万元，追加申购的最低金额为单笔10万元；已在直销机构有认购或申购过本基金管理人管理的任一基金（包括本基金）记录的投资人不受首次申购最低金额的限制。通过基金管理人网上直销交易平台办理基金申购业务的不受直销机构单笔申购最低金额的限制，申购最低金额为单笔1元。本基金直销机构单笔申购最低金额可由基金管理人酌情调整。其他销售机构接受申购申请的最低金额为单笔1元，如果销售机构业务规则规定的最低单笔申购金额高于1元，以该销售机构的规定为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2、赎回份额的限制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赎回的最低份额为1 份基金份额，如果销售机构业务规则规定的最低单笔赎回份额高于1份，以该销售机构的规定为准。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3、最低保留余额的限制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每个工作日投资人在单个交易账户保留的本基金份额余额少于1份时，若当日该账户同时有基金份额减少类业务（如赎回、转换出等）被确认，则基金管理人有权将投资人在该账户保留的本基金份额一次性全部赎回。</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招募说明书或相关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基金管理人可根据市场情况，在法律法规允许的情况下，调整申购的金额和赎回的份额以及最低保留余额的数量限制，基金管理人必须在调整实施前依照《信息披露办法》的有关规定在指定媒介上刊登公告并报中国证监会备案。</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（六）申购和赎回的程序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1、申购和赎回的申请方式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投资人必须根据销售机构规定的程序，在开放日的具体业务办理时间内提出申购或赎回的申请。投资人在提交申购申请时须按销售机构规定的方式备足申购资金，投资人在提交赎回申请时须持有足够的基金份额余额，否则所提交的申购、赎回申请不成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2、申购和赎回的款项支付</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投资人申购基金份额时，必须全额交付申购款项，若申购资金在规定时间内未全额到账则申购不成立。投资人全额交付申购款项，申购成立；登记机构确认基金份额时，申购生效。</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投资人递交赎回申请，赎回成立；登记机构确认赎回时，赎回生效。投资人赎回申请成功后，基金管理人将在T＋7日（包括该日）内支付赎回款项。在发生巨额赎回时，款项的支付办法参照基金合同有关条款处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3、申购和赎回申请的确认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或基金管理人委托的登记机构应以交易时间结束前受理有效申购和赎回申请的当天作为申购或赎回申请日（T日），在正常情况下，本基金登记机构在T+1日（包括该日）内对该交易的有效性进行确认。T日提交的有效申请，投资人应在T+2日后（包括该日）及时到销售网点柜台或以销售机构规定的其他方式查询申请的确认情况。若申购不成功，则申购款项退还给投资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基金管理人可在法律法规允许的范围内，依法对上述申购和赎回申请的确认时间进行调整，并必须在调整实施日前按照《信息披露办法》的有关规定在指定媒介上公告并报中国证监会备案。</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销售机构对申购、赎回申请的受理并不代表该申请一定成功，而仅代表销售机构确实接收到申购、赎回申请。申购、赎回申请的确认以登记机构的确认结果为准。对于申请的确认情况，投资者应及时查询。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4、申购和赎回的登记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（1）投资人T日申购基金成功后，正常情况下，登记机构在T＋1日为投资人增加权益并办理登记手续，投资人自T＋2日起（包括该日）有权赎回该部分基金份额。投资人应及时查询有关申请的确认情况。</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（2）投资人T日赎回基金成功后，正常情况下，登记机构在T＋1日为投资人扣除权益并办理相应的登记手续。</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（3）基金管理人可在法律法规允许的范围内，对上述登记办理时间进行调整，并于开始实施前按照《信息披露办法》的有关规定在指定媒介上公告并报中国证监会备案。</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（七）基金的申购费和赎回费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1、申购费用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基金份额分为A类、B类和C类基金份额。投资人申购A类基金份额在申购时支付申购费用，申购B类基金份额在赎回时才支付相应的申购费用，申购C类基金份额不支付申购费用，而是从该类别基金资产中计提销售服务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A/B类基金份额的申购费用由A/B类基金份额申购人承担，不列入基金财产，主要用于本基金的市场推广、销售、登记结算等各项费用。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投资人可以多次申购本基金，申购费用按每笔申购申请单独计算。</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本基金A类基金份额的申购费率如下：</w:t>
      </w:r>
    </w:p>
    <w:tbl>
      <w:tblPr>
        <w:tblStyle w:val="14"/>
        <w:tblW w:w="5000" w:type="pct"/>
        <w:tblInd w:w="0" w:type="dxa"/>
        <w:tblLayout w:type="autofit"/>
        <w:tblCellMar>
          <w:top w:w="0" w:type="dxa"/>
          <w:left w:w="0" w:type="dxa"/>
          <w:bottom w:w="0" w:type="dxa"/>
          <w:right w:w="0" w:type="dxa"/>
        </w:tblCellMar>
      </w:tblPr>
      <w:tblGrid>
        <w:gridCol w:w="2167"/>
        <w:gridCol w:w="6503"/>
      </w:tblGrid>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申购金额（含申购费）</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A类基金份额前端申购费率</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50万元以下</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0.8%</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50万元（含）至100万元</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0.6%</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100万元（含）至200万元</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0.5%</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200万元（含）至500万元</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0.3%</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500万元以上（含500万）</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每笔交易1000元</w:t>
            </w:r>
          </w:p>
        </w:tc>
      </w:tr>
    </w:tbl>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本基金转为开放式运作后视业务情况择时开通B类基金份额，详情可参见届时相关业务公告。开通后其申购费率如下：</w:t>
      </w:r>
    </w:p>
    <w:tbl>
      <w:tblPr>
        <w:tblStyle w:val="14"/>
        <w:tblW w:w="5000" w:type="pct"/>
        <w:tblInd w:w="0" w:type="dxa"/>
        <w:tblLayout w:type="autofit"/>
        <w:tblCellMar>
          <w:top w:w="0" w:type="dxa"/>
          <w:left w:w="0" w:type="dxa"/>
          <w:bottom w:w="0" w:type="dxa"/>
          <w:right w:w="0" w:type="dxa"/>
        </w:tblCellMar>
      </w:tblPr>
      <w:tblGrid>
        <w:gridCol w:w="2167"/>
        <w:gridCol w:w="6503"/>
      </w:tblGrid>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持有期限</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B类基金份额后端申购费率</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1年以内（含）</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1.0%</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1年—3年（含）</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0.6%</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3年—5年（含）</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0.4%</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5年以上</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0</w:t>
            </w:r>
          </w:p>
        </w:tc>
      </w:tr>
    </w:tbl>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上表中的“年”指的是365个自然日。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持有A/B类基金份额的投资人因红利自动再投资而产生的A/B类基金份额，不收取相应的申购费用。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本基金对通过基金管理人直销柜台申购A类基金份额的养老金客户实施特定申购费率。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养老金客户指基本养老基金与依法成立的养老计划筹集的资金及其投资运营收益形成的补充养老基金等，具体包括全国社会保障基金、可以投资基金的地方社会保障基金、企业年金单一计划以及集合计划。如将来出现经养老基金监管部门认可的新的养老基金类型，本公司将发布临时公告将其纳入养老金客户范围，并按规定向中国证监会备案。</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通过基金管理人直销柜台申购本基金A类基金份额的养老金客户特定申购费率如下表：</w:t>
      </w:r>
    </w:p>
    <w:tbl>
      <w:tblPr>
        <w:tblStyle w:val="14"/>
        <w:tblW w:w="5000" w:type="pct"/>
        <w:tblInd w:w="0" w:type="dxa"/>
        <w:tblLayout w:type="autofit"/>
        <w:tblCellMar>
          <w:top w:w="0" w:type="dxa"/>
          <w:left w:w="0" w:type="dxa"/>
          <w:bottom w:w="0" w:type="dxa"/>
          <w:right w:w="0" w:type="dxa"/>
        </w:tblCellMar>
      </w:tblPr>
      <w:tblGrid>
        <w:gridCol w:w="2167"/>
        <w:gridCol w:w="6503"/>
      </w:tblGrid>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申购金额（含申购费）</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A类基金份额前端特定申购费率</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50万元以下</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0.32%</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50万元（含）至100万元</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0.18%</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100万元（含）至200万元</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0.10%</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200万元（含）至500万元</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0.06%</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500万元以上（含500万）</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每笔交易1000元</w:t>
            </w:r>
          </w:p>
        </w:tc>
      </w:tr>
    </w:tbl>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投资者通过直销机构交易享有的交易费率优惠情况请见本基金管理人的有关公告或本基金管理人网站。本基金管理人基金网上直销业务已开通的银行卡及各银行卡交易金额限额请参阅本基金管理人网站。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2、赎回费用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投资者赎回基金份额收取赎回费用，该费用随基金份额的持有时间递减。本基金基金份额的赎回费用由基金份额赎回人承担，赎回费总额的25%应归基金财产，其余用于支付登记费和其他必要的手续费。其中，对持续持有期少于7日的投资者收取不低于1.5%的赎回费并全额计入基金财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本基金A类基金份额的赎回费率如下：</w:t>
      </w:r>
    </w:p>
    <w:tbl>
      <w:tblPr>
        <w:tblStyle w:val="14"/>
        <w:tblW w:w="5000" w:type="pct"/>
        <w:tblInd w:w="0" w:type="dxa"/>
        <w:tblLayout w:type="autofit"/>
        <w:tblCellMar>
          <w:top w:w="0" w:type="dxa"/>
          <w:left w:w="0" w:type="dxa"/>
          <w:bottom w:w="0" w:type="dxa"/>
          <w:right w:w="0" w:type="dxa"/>
        </w:tblCellMar>
      </w:tblPr>
      <w:tblGrid>
        <w:gridCol w:w="1238"/>
        <w:gridCol w:w="3716"/>
        <w:gridCol w:w="3716"/>
      </w:tblGrid>
      <w:tr>
        <w:tblPrEx>
          <w:tblCellMar>
            <w:top w:w="0" w:type="dxa"/>
            <w:left w:w="0" w:type="dxa"/>
            <w:bottom w:w="0" w:type="dxa"/>
            <w:right w:w="0" w:type="dxa"/>
          </w:tblCellMar>
        </w:tblPrEx>
        <w:trPr>
          <w:cantSplit/>
          <w:trHeight w:val="375" w:hRule="atLeast"/>
        </w:trPr>
        <w:tc>
          <w:tcPr>
            <w:tcW w:w="250" w:type="pct"/>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赎回费率</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持有期限</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赎回费率</w:t>
            </w:r>
          </w:p>
        </w:tc>
      </w:tr>
      <w:tr>
        <w:tblPrEx>
          <w:tblCellMar>
            <w:top w:w="0" w:type="dxa"/>
            <w:left w:w="0" w:type="dxa"/>
            <w:bottom w:w="0" w:type="dxa"/>
            <w:right w:w="0" w:type="dxa"/>
          </w:tblCellMar>
        </w:tblPrEx>
        <w:trPr>
          <w:cantSplit/>
          <w:trHeight w:val="375" w:hRule="atLeast"/>
        </w:trPr>
        <w:tc>
          <w:tcPr>
            <w:tcW w:w="750"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p>
        </w:tc>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7日以内</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1.5%</w:t>
            </w:r>
          </w:p>
        </w:tc>
      </w:tr>
      <w:tr>
        <w:tblPrEx>
          <w:tblCellMar>
            <w:top w:w="0" w:type="dxa"/>
            <w:left w:w="0" w:type="dxa"/>
            <w:bottom w:w="0" w:type="dxa"/>
            <w:right w:w="0" w:type="dxa"/>
          </w:tblCellMar>
        </w:tblPrEx>
        <w:trPr>
          <w:cantSplit/>
          <w:trHeight w:val="375" w:hRule="atLeast"/>
        </w:trPr>
        <w:tc>
          <w:tcPr>
            <w:tcW w:w="750"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p>
        </w:tc>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7日（含）—30日</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0.1%</w:t>
            </w:r>
          </w:p>
        </w:tc>
      </w:tr>
      <w:tr>
        <w:tblPrEx>
          <w:tblCellMar>
            <w:top w:w="0" w:type="dxa"/>
            <w:left w:w="0" w:type="dxa"/>
            <w:bottom w:w="0" w:type="dxa"/>
            <w:right w:w="0" w:type="dxa"/>
          </w:tblCellMar>
        </w:tblPrEx>
        <w:trPr>
          <w:cantSplit/>
          <w:trHeight w:val="375" w:hRule="atLeast"/>
        </w:trPr>
        <w:tc>
          <w:tcPr>
            <w:tcW w:w="750"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p>
        </w:tc>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30日以上（含）</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0</w:t>
            </w:r>
          </w:p>
        </w:tc>
      </w:tr>
    </w:tbl>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本基金B类基金份额的赎回费率如下：</w:t>
      </w:r>
    </w:p>
    <w:tbl>
      <w:tblPr>
        <w:tblStyle w:val="14"/>
        <w:tblW w:w="5000" w:type="pct"/>
        <w:tblInd w:w="0" w:type="dxa"/>
        <w:tblLayout w:type="autofit"/>
        <w:tblCellMar>
          <w:top w:w="0" w:type="dxa"/>
          <w:left w:w="0" w:type="dxa"/>
          <w:bottom w:w="0" w:type="dxa"/>
          <w:right w:w="0" w:type="dxa"/>
        </w:tblCellMar>
      </w:tblPr>
      <w:tblGrid>
        <w:gridCol w:w="1238"/>
        <w:gridCol w:w="3716"/>
        <w:gridCol w:w="3716"/>
      </w:tblGrid>
      <w:tr>
        <w:tblPrEx>
          <w:tblCellMar>
            <w:top w:w="0" w:type="dxa"/>
            <w:left w:w="0" w:type="dxa"/>
            <w:bottom w:w="0" w:type="dxa"/>
            <w:right w:w="0" w:type="dxa"/>
          </w:tblCellMar>
        </w:tblPrEx>
        <w:trPr>
          <w:cantSplit/>
          <w:trHeight w:val="375" w:hRule="atLeast"/>
        </w:trPr>
        <w:tc>
          <w:tcPr>
            <w:tcW w:w="250" w:type="pct"/>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赎回费率</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持有期限</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赎回费率</w:t>
            </w:r>
          </w:p>
        </w:tc>
      </w:tr>
      <w:tr>
        <w:tblPrEx>
          <w:tblCellMar>
            <w:top w:w="0" w:type="dxa"/>
            <w:left w:w="0" w:type="dxa"/>
            <w:bottom w:w="0" w:type="dxa"/>
            <w:right w:w="0" w:type="dxa"/>
          </w:tblCellMar>
        </w:tblPrEx>
        <w:trPr>
          <w:cantSplit/>
          <w:trHeight w:val="375" w:hRule="atLeast"/>
        </w:trPr>
        <w:tc>
          <w:tcPr>
            <w:tcW w:w="750"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p>
        </w:tc>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7日以内</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1.5%</w:t>
            </w:r>
          </w:p>
        </w:tc>
      </w:tr>
      <w:tr>
        <w:tblPrEx>
          <w:tblCellMar>
            <w:top w:w="0" w:type="dxa"/>
            <w:left w:w="0" w:type="dxa"/>
            <w:bottom w:w="0" w:type="dxa"/>
            <w:right w:w="0" w:type="dxa"/>
          </w:tblCellMar>
        </w:tblPrEx>
        <w:trPr>
          <w:cantSplit/>
          <w:trHeight w:val="375" w:hRule="atLeast"/>
        </w:trPr>
        <w:tc>
          <w:tcPr>
            <w:tcW w:w="750"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p>
        </w:tc>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7日（含）—1年（含）</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0.1%</w:t>
            </w:r>
          </w:p>
        </w:tc>
      </w:tr>
      <w:tr>
        <w:tblPrEx>
          <w:tblCellMar>
            <w:top w:w="0" w:type="dxa"/>
            <w:left w:w="0" w:type="dxa"/>
            <w:bottom w:w="0" w:type="dxa"/>
            <w:right w:w="0" w:type="dxa"/>
          </w:tblCellMar>
        </w:tblPrEx>
        <w:trPr>
          <w:cantSplit/>
          <w:trHeight w:val="375" w:hRule="atLeast"/>
        </w:trPr>
        <w:tc>
          <w:tcPr>
            <w:tcW w:w="750"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p>
        </w:tc>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1年—2年（含）</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0.05%</w:t>
            </w:r>
          </w:p>
        </w:tc>
      </w:tr>
      <w:tr>
        <w:tblPrEx>
          <w:tblCellMar>
            <w:top w:w="0" w:type="dxa"/>
            <w:left w:w="0" w:type="dxa"/>
            <w:bottom w:w="0" w:type="dxa"/>
            <w:right w:w="0" w:type="dxa"/>
          </w:tblCellMar>
        </w:tblPrEx>
        <w:trPr>
          <w:cantSplit/>
          <w:trHeight w:val="375" w:hRule="atLeast"/>
        </w:trPr>
        <w:tc>
          <w:tcPr>
            <w:tcW w:w="750"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p>
        </w:tc>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2年以上</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0</w:t>
            </w:r>
          </w:p>
        </w:tc>
      </w:tr>
    </w:tbl>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上表中的“年”指的是365个自然日。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本基金C类基金份额的赎回费率如下：</w:t>
      </w:r>
    </w:p>
    <w:tbl>
      <w:tblPr>
        <w:tblStyle w:val="14"/>
        <w:tblW w:w="5000" w:type="pct"/>
        <w:tblInd w:w="0" w:type="dxa"/>
        <w:tblLayout w:type="autofit"/>
        <w:tblCellMar>
          <w:top w:w="0" w:type="dxa"/>
          <w:left w:w="0" w:type="dxa"/>
          <w:bottom w:w="0" w:type="dxa"/>
          <w:right w:w="0" w:type="dxa"/>
        </w:tblCellMar>
      </w:tblPr>
      <w:tblGrid>
        <w:gridCol w:w="1238"/>
        <w:gridCol w:w="3716"/>
        <w:gridCol w:w="3716"/>
      </w:tblGrid>
      <w:tr>
        <w:tblPrEx>
          <w:tblCellMar>
            <w:top w:w="0" w:type="dxa"/>
            <w:left w:w="0" w:type="dxa"/>
            <w:bottom w:w="0" w:type="dxa"/>
            <w:right w:w="0" w:type="dxa"/>
          </w:tblCellMar>
        </w:tblPrEx>
        <w:trPr>
          <w:cantSplit/>
          <w:trHeight w:val="375" w:hRule="atLeast"/>
        </w:trPr>
        <w:tc>
          <w:tcPr>
            <w:tcW w:w="250" w:type="pct"/>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赎回费率</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持有期限</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赎回费率</w:t>
            </w:r>
          </w:p>
        </w:tc>
      </w:tr>
      <w:tr>
        <w:tblPrEx>
          <w:tblCellMar>
            <w:top w:w="0" w:type="dxa"/>
            <w:left w:w="0" w:type="dxa"/>
            <w:bottom w:w="0" w:type="dxa"/>
            <w:right w:w="0" w:type="dxa"/>
          </w:tblCellMar>
        </w:tblPrEx>
        <w:trPr>
          <w:cantSplit/>
          <w:trHeight w:val="375" w:hRule="atLeast"/>
        </w:trPr>
        <w:tc>
          <w:tcPr>
            <w:tcW w:w="750"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p>
        </w:tc>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7日以内</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1.5%</w:t>
            </w:r>
          </w:p>
        </w:tc>
      </w:tr>
      <w:tr>
        <w:tblPrEx>
          <w:tblCellMar>
            <w:top w:w="0" w:type="dxa"/>
            <w:left w:w="0" w:type="dxa"/>
            <w:bottom w:w="0" w:type="dxa"/>
            <w:right w:w="0" w:type="dxa"/>
          </w:tblCellMar>
        </w:tblPrEx>
        <w:trPr>
          <w:cantSplit/>
          <w:trHeight w:val="375" w:hRule="atLeast"/>
        </w:trPr>
        <w:tc>
          <w:tcPr>
            <w:tcW w:w="750"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p>
        </w:tc>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7日以上（含）</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0</w:t>
            </w:r>
          </w:p>
        </w:tc>
      </w:tr>
    </w:tbl>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管理人可以在不违背法律法规规定及基金合同约定的情况下根据市场情况制定基金促销计划，针对投资人定期和不定期地开展基金促销活动。在基金促销活动期间，基金管理人可以按中国证监会要求履行必要手续后，对投资人适当调低基金申购费率和赎回费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（八）申购和赎回的数额和价格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1、申购和赎回数额、余额的处理方式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（1）申购的有效份额为净申购金额除以当日的基金份额净值，有效份额单位为份，申购份额计算结果按四舍五入方法，保留到小数点后2位，由此产生的收益或损失由基金财产承担。</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赎回金额为按实际确认的有效赎回份额乘以当日基金份额净值并扣除相应的费用（如有），赎回金额单位为元。赎回金额计算结果按四舍五入方法，保留到小数点后2位，由此产生的收益或损失由基金财产承担。</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2、申购份额的计算</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（1）A类基金份额的申购</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申购总金额=申请总金额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净申购金额=申购总金额/（1+申购费率）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（注：对于适用固定金额申购费用的申购，净申购金额＝申购总金额－固定申购费用金额）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申购费用=申购总金额-净申购金额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（注：对于适用固定金额申购费用的申购，申购费用＝固定申购费用金额）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申购份额=</w:t>
      </w:r>
      <w:r>
        <w:rPr>
          <w:rFonts w:ascii="宋体" w:hAnsi="宋体"/>
          <w:kern w:val="0"/>
          <w:sz w:val="24"/>
        </w:rPr>
        <w:drawing>
          <wp:inline distT="0" distB="0" distL="0" distR="0">
            <wp:extent cx="2743200" cy="678180"/>
            <wp:effectExtent l="0" t="0" r="0" b="0"/>
            <wp:docPr id="6" name="图片 2" descr="1521256610242020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152125661024202082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743200" cy="678180"/>
                    </a:xfrm>
                    <a:prstGeom prst="rect">
                      <a:avLst/>
                    </a:prstGeom>
                    <a:noFill/>
                    <a:ln>
                      <a:noFill/>
                    </a:ln>
                  </pic:spPr>
                </pic:pic>
              </a:graphicData>
            </a:graphic>
          </wp:inline>
        </w:drawing>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例一：某投资者（非养老金客户）投资100,000元申购本基金的A类基金份额，假设申购当日A/B类基金份额净值为1.0400元，申购费率为0.8%，如果该投资者是场外申购，则其可得到的申购份额为：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申购总金额＝100,000元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净申购金额=100,000/（1+0.8%）=99,206.35元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申购费用=100,000-99,206.35=793.65元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申购份额=（100,000-793.65）/1.0400=95,390.72份</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即：某投资者（非养老金客户）投资100,000元申购本基金，假设申购当日A/B类基金份额净值为1.0400元，如果其选择申购A类基金份额，则其可得到95,390.72份基金份额。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例二：某养老金客户投资100,000元通过基金管理人的直销柜台申购本基金的A类基金份额，假设申购当日A/B类基金份额净值为1.0400元，申购费率为0.32%，则其可得到的申购份额为：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申购总金额＝100,000元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净申购金额=100,000/（1+0.32%）=99,681.02元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申购费用=100,000-99,681.02=318.98元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申购份额=（100,000-318.98）/1.0400=95,847.13份</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即：该养老金客户投资100,000元通过基金管理人的直销柜台申购本基金的A类基金份额，假设申购当日A/B类基金份额净值为1.0400元，则其可得到95,847.13份A类基金份额。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（2）B类基金份额的申购（择时开通）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申购总金额=申请总金额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申购份额＝</w:t>
      </w:r>
      <w:r>
        <w:rPr>
          <w:rFonts w:ascii="宋体" w:hAnsi="宋体"/>
          <w:kern w:val="0"/>
          <w:sz w:val="24"/>
        </w:rPr>
        <w:drawing>
          <wp:inline distT="0" distB="0" distL="0" distR="0">
            <wp:extent cx="2743200" cy="678180"/>
            <wp:effectExtent l="0" t="0" r="0" b="0"/>
            <wp:docPr id="3" name="图片 3" descr="1521256610242020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5212566102420208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743200" cy="678180"/>
                    </a:xfrm>
                    <a:prstGeom prst="rect">
                      <a:avLst/>
                    </a:prstGeom>
                    <a:noFill/>
                    <a:ln>
                      <a:noFill/>
                    </a:ln>
                  </pic:spPr>
                </pic:pic>
              </a:graphicData>
            </a:graphic>
          </wp:inline>
        </w:drawing>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当投资者提出赎回时，后端申购费用的计算方法为：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后端申购费用＝赎回份额×T日A/B类基金份额净值×后端申购费率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例三：某投资者投资100,000元申购本基金的B类基金份额，假设申购当日A/B类基金份额净值为1.0400元，则其可得到的申购份额为：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申购份额＝100,000/1.0400＝96,153.85份</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即：投资者投资100,000元申购本基金的B类基金份额，假设申购当日A/B类基金份额净值为1.0400元，则可得到96,153.85份基金份额，但其在赎回时需根据其持有时间按对应的后端申购费率交纳后端申购费用。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（3）C类基金份额的申购</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如果投资者选择申购C类基金份额，则申购份额的计算方法如下：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申购总金额=申请总金额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申购份额=申购总金额/T日C类基金份额净值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例四：某投资者投资100,000元申购本基金的C类基金份额，假设申购当日C类基金份额净值为1.0400元，则其可得到的申购份额为：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申购份额＝100,000/1.0400＝96,153.85份</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即：投资者投资100,000元申购本基金的C类基金份额，假设申购当日C类基金份额净值为1.0400元，则其可得到96,153.85份C类基金份额。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3、赎回金额的计算</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赎回金额为按实际确认的有效赎回份额乘以当日基金份额净值并扣除相应的费用，赎回金额单位为元，计算结果保留到小数点后两位，第三位四舍五入，由此产生的收益或损失由基金财产承担。</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（1）A类基金份额的赎回</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如果投资者赎回A类基金份额，则赎回金额的计算方法如下：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赎回费用=赎回份额×T日A/B类基金份额净值×赎回费率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赎回金额=赎回份额×T日A/B类基金份额净值-赎回费用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例五：某投资者赎回100,000份A类基金份额，对应的赎回费率为0.1%，假设赎回当日A/B类基金份额净值是1.0160元，则其可得到的赎回金额为：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赎回费用=100,000×1.0160×0.1%＝101.60元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赎回金额=100,000×1.0160-101.60＝101,498.40元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即：投资者赎回100,000份A类基金份额，对应的赎回费率为0.1%，假设赎回当日A/B类基金份额净值是1.0160元，则其可得到的赎回金额为101,498.40元。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（2）B类基金份额的赎回</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如果投资者赎回B类基金份额，则赎回金额的计算方法如下：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赎回总额＝赎回份额×T日A/B类基金份额净值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后端申购费用＝赎回份额×申购日基金份额净值×后端申购费率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赎回费用＝赎回总额×赎回费率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赎回金额＝赎回总额－后端申购费用－赎回费用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例六：某投资者赎回100,000份B类基金份额，对应的后端申购费率是1.0%，赎回费率为0.1%，假设赎回当日A/B类基金份额净值是1.0160元，申购时的A/B类基金份额净值为1.0100元，则其可得到的赎回金额为：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赎回总额=100,000×1.0160=101,600.00元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后端申购费用=100,000×1.0100×1.0%=1,010.00元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赎回费用=101,600×0.1%=101.60元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赎回金额=101,600-1,010.00-101.60=100,488.40元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即：投资者赎回100,000份B类基金份额，对应的赎回费率为0.1%，假设赎回当日A/B类基金份额净值是1.0160元，投资者对应的后端申购费率是1.0%，申购时的A/B类基金份额净值为1.0100元，则其可得到的赎回金额为100,488.40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（3）C类基金份额的赎回</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投资者赎回C类基金份额，赎回金额的计算方法如下：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赎回费用=赎回份额×T日C类基金份额净值×赎回费率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赎回金额=赎回份额×T日C类基金份额净值-赎回费用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例七：某投资者赎回100,000份C类基金份额，对应的赎回费率为0，假设赎回当日C类基金份额净值是1.2500 元，则其可得到的赎回金额为：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赎回费用=100,000×1.2500×0＝0元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赎回金额=100,000×1.2500-0=125,000.00 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即：投资者赎回100,000份C类基金份额，对应的赎回费率为0，假设赎回当日C类基金份额净值是1.2500元，则其可得到的赎回金额为125,000.00元。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4、基金份额净值的计算公式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A/B类基金份额净值＝A/B类基金份额的基金资产净值总额/发行在外的A/B类基金份额总数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C类基金份额净值＝C类基金份额的基金资产净值总额/发行在外的C类基金份额总数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T日的基金份额净值在当天收市后计算，并在T＋1日（包括该日）内公告。遇特殊情况，经中国证监会同意，可以适当延迟计算或公告。本基金A/B类基金份额和C类基金份额的基金份额净值的计算，保留到小数点后4位，小数点后第5位四舍五入，由此误差产生的收益或损失由基金财产承担。</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（九）拒绝或暂停申购的情形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发生下列情况时，基金管理人可拒绝或暂停接受投资人的申购申请：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1、因不可抗力导致基金无法正常运作。</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2、发生基金合同规定的暂停基金资产估值情况时，基金管理人可暂停接受投资人的申购申请。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3、证券交易所交易时间非正常停市，导致基金管理人无法计算当日基金资产净值。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4、基金管理人认为接受某笔或某些申购申请可能会影响或损害现有基金份额持有人利益时。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5、基金资产规模过大，使基金管理人无法找到合适的投资品种，或其他可能对基金业绩产生负面影响，或基金管理人认定的其他损害现有基金份额持有人利益的情形。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6、基金管理人、基金托管人、基金销售机构或登记机构的异常情况导致基金销售系统、基金注册登记系统或基金会计系统无法正常运行。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7、当前一估值日基金资产净值50%以上的资产出现无可参考的活跃市场价格且采用估值技术仍导致公允价值存在重大不确定性时，经与基金托管人协商确认后，基金管理人应当暂停接受基金申购申请。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8、基金管理人接受某笔或者某些申购申请有可能导致单一投资者持有基金份额的比例超过50%，或者变相规避50%集中度的情形时。出现上述情形时，基金管理人有权将上述申购申请全部或部分确认失败。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9、法律法规规定或中国证监会认定的其他情形。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发生上述第1、2、3、5、6、7、9项暂停申购情形之一且基金管理人决定暂停接受投资人的申购申请时，基金管理人应当根据有关规定在指定媒介上刊登暂停申购公告。如果投资人的申购申请被拒绝，被拒绝的申购款项将退还给投资人。在暂停申购的情况消除时，基金管理人应及时恢复申购业务的办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（十）暂停赎回或延缓支付赎回款项的情形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发生下列情形时，基金管理人可暂停接受投资人的赎回申请或延缓支付赎回款项：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1、因不可抗力导致基金管理人不能支付赎回款项。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2、发生基金合同规定的暂停基金资产估值情况时，基金管理人可暂停接受投资人的赎回申请或延缓支付赎回款项。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3、证券交易所交易时间非正常停市，导致基金管理人无法计算当日基金资产净值。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4、连续两个或两个以上开放日发生巨额赎回。</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5、基金管理人认为继续接受赎回申请将损害现有基金份额持有人利益的情形时，可暂停接受投资人的赎回申请。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当前一估值日基金资产净值50%以上的资产出现无可参考的活跃市场价格且采用估值技术仍导致公允价值存在重大不确定性时，经与基金托管人协商确认后，基金管理人应当暂停接受基金赎回申请或延缓支付赎回款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7、法律法规规定或中国证监会认定的其他情形。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发生上述情形之一且基金管理人决定暂停接受投资人的赎回申请或延缓支付赎回款项时，基金管理人应在当日报中国证监会备案，已确认的赎回申请，基金管理人应足额支付；如暂时不能足额支付，应将可支付部分按单个账户申请量占申请总量的比例分配给赎回申请人，未支付部分可延期确认并支付，并以后续开放日的基金份额净值为依据计算赎回金额。若出现上述第4项所述情形，按基金合同的相关条款处理。基金份额持有人在申请赎回时可事先选择将当日可能未获受理部分予以撤销。在暂停赎回的情况消除时，基金管理人应及时恢复赎回业务的办理并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（十一）巨额赎回的情形及处理方式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1、巨额赎回的认定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2、巨额赎回的处理方式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当基金出现巨额赎回时，基金管理人可以根据基金当时的资产组合状况决定全额赎回或部分延期赎回。</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（1）全额赎回：当基金管理人认为有能力支付投资人的全部赎回申请时，按正常赎回程序执行。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发生巨额赎回且单个基金份额持有人的赎回申请超过上一日基金总份额20%的情形下，基金管理人有权采取如下措施：对于该类基金份额持有人当日超过20%的赎回申请，可以对其赎回申请延期办理；对于该类基金份额持有人未超过上述比例的部分，基金管理人可以根据前段“（1）全额赎回”或“（2）部分延期赎回”的约定方式与其他基金份额持有人的赎回申请一并办理。但是，如该类基金份额持有人在当日选择取消赎回，则其当日未获受理的部分赎回申请将被撤销。</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暂停赎回：连续2日以上（含本数）发生巨额赎回，如基金管理人认为有必要，可暂停接受基金的赎回申请；已经接受的赎回申请可以延缓支付赎回款项，但不得超过20个工作日，并应当在指定媒介上进行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3、巨额赎回的公告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当发生上述延期赎回并延期办理时，基金管理人应当通过邮寄、传真、刊登公告或者通知销售机构代为告知等方式在3个交易日内通知基金份额持有人，说明有关处理方法，并在2日内在指定媒介上刊登公告。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（十二）暂停申购或赎回的公告和重新开放申购或赎回的公告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1、发生上述暂停申购或赎回情况的，基金管理人应在规定期限内在指定媒介上刊登暂停公告。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2、暂停结束，基金重新开放申购或赎回时，基金管理人应依照《信息披露办法》的有关规定，不迟于重新开放日，在指定媒介上刊登基金重新开放申购或赎回公告，并公布最近一个开放日的基金份额净值。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（十三）基金的非交易过户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（十四）基金的转托管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基金份额持有人可办理已持有基金份额在不同销售机构之间的转托管，基金销售机构可以按照规定的标准收取转托管费。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（十五）定期定额投资计划</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定期定额投资计划是基金申购业务的一种方式，投资人可通过向相关销售机构提交申请，约定每期申购日、扣款金额及扣款方式，由指定的销售机构在投资人指定资金账户内自动扣款并于每期约定的申购日提交基金的申购申请。定期定额投资计划并不构成对基金日常申购、赎回等业务的影响，投资人在办理相关基金定期定额投资计划的同时，仍然可以进行日常申购、赎回业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本基金2016年12月14日刊登公告自2016年12月16日起开通定期定额投资计划业务，具体开通销售机构名单和业务规则参见相关公告。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（十六）基金份额的冻结和解冻</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登记机构只受理国家有权机关依法要求的基金份额的冻结与解冻，以及登记机构认可、符合法律法规的其他情况下的冻结与解冻。</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（十七）基金上市交易和场内申购赎回业务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在未来系统条件允许的情况下，基金管理人可以根据相关证券交易所上市交易规则安排本基金上市交易和/或开通场内申购赎回业务事宜。具体上市交易和/或开通场内申购赎回的安排由基金管理人届时提前发布公告，并告知基金托管人与相关机构。场内申购赎回业务按照证券交易所及登记机构的相关业务规则办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（十八）其他业务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在不违反相关法律法规、对基金份额持有人无实质性不利影响的前提下，基金管理人可办理基金份额的质押业务、转让业务或其他基金业务，基金管理人可制定相应的业务规则，并依照《信息披露办法》的有关规定进行公告。</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（十九）实施侧袋机制期间本基金的申购与赎回</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本基金实施侧袋机制的，本基金的申购和赎回安排详见本招募说明书“侧袋机制”部分的规定或相关公告。</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11" w:name="_Toc193101083"/>
      <w:r>
        <w:rPr>
          <w:rFonts w:ascii="Times New Roman" w:hAnsi="Times New Roman"/>
          <w:sz w:val="30"/>
        </w:rPr>
        <w:t>九、 基金的转换</w:t>
      </w:r>
      <w:bookmarkEnd w:id="11"/>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（一）基金转换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基金转换是指开放式基金份额持有人将其持有某只基金的部分或全部份额转换为</w:t>
      </w:r>
      <w:r>
        <w:rPr>
          <w:rFonts w:hint="eastAsia" w:ascii="宋体" w:hAnsi="宋体"/>
          <w:sz w:val="24"/>
        </w:rPr>
        <w:t>该基金其他份额（如有）或</w:t>
      </w:r>
      <w:r>
        <w:rPr>
          <w:rFonts w:ascii="宋体" w:hAnsi="宋体"/>
          <w:sz w:val="24"/>
        </w:rPr>
        <w:t>同一基金管理人管理的另一只开放式基金份额。基金转换只能在同一销售机构进行。转换的两只基金必须都是该销售机构代理的同一基金管理人管理的、在同一注册登记机构处注册登记的、同一收费模式的开放式基金。</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（二）转换业务办理时间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本基金2020年5月11日刊登公告自2020年5月13日起开放日常转换业务。</w:t>
      </w:r>
      <w:r>
        <w:rPr>
          <w:rFonts w:hint="eastAsia" w:ascii="宋体" w:hAnsi="宋体"/>
          <w:sz w:val="24"/>
        </w:rPr>
        <w:t>本基金2025年10月23日刊登公告自2025年10月23日起开放开通同一基金不同类别基金份额转换业务。</w:t>
      </w:r>
      <w:r>
        <w:rPr>
          <w:rFonts w:ascii="宋体" w:hAnsi="宋体"/>
          <w:sz w:val="24"/>
        </w:rPr>
        <w:t>办理基金间转换的时间为上海证券交易所、深圳证券交易所交易日。若出现新的证券交易市场或交易所交易时间更改或其它原因，基金管理人将视情况进行相应的调整并公告。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投资人可在基金开放日申请办理基金转换业务，具体办理时间与基金申购、赎回业务办理时间相同。由于各销售机构的系统差异以及业务安排等原因，开展该业务的时间可能有所不同，投资人应以各销售机构公告的时间为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本基金转换业务具体开通销售机构名单参见相关公告。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（三）基金转换的程序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1、申请方式：书面申请或销售机构公布的其他方式。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2、基金转换申请的确认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正常情况下，T日规定时间受理的申请，注册登记机构在T＋1日内为投资人对该交易的有效性进行确认，在T＋2日后(包括该日)投资人可向销售机构查询转换的确认情况。</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3、基金转换的注册登记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注册登记机构以收到有效转换申请的当天作为转换申请日（T日）。投资人转换基金成功的，注册登记机构将在T＋1日对投资人T日的基金转换业务申请进行有效性确认，办理转出基金的权益扣除以及转入基金的权益登记，在T＋2日后（包括该日）投资人可向销售机构查询基金转换的成交情况，并有权转换或赎回该部分基金份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（四）基金转换的数额限制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基金转换以份额为单位进行申请，申请转换份额精确到小数点后两位，小数点后两位以后的部分四舍五入，误差部分归基金财产。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本基金遵循“份额转换”的原则，单笔转换份额不得低于1份。基金持有人可将其全部或部分基金份额转换成其它基金，单笔转换申请不受转入基金最低申购限额限制。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于各基金关于投资人在单个交易账户最低保留余额的规定，每个工作日投资人在单个交易账户保留的某基金基金份额余额少于该基金的最低保留余额时，若当日该账户同时有该基金的基金份额减少类业务（如赎回、转换出等）被确认，基金管理人有权将投资人在该账户保留的该基金基金份额一次性全部赎回。因此，如果某笔转换申请确认后转出基金的单个交易账户的基金份额余额少于转出基金的最低保留余额，则转出基金在该账户剩余的基金份额将被全部赎回。如果某笔转换申请确认后转入基金的单个交易账户的基金份额余额少于转入基金的最低保留余额且该账户当日有转入基金的基金份额减少类业务被确认，则转入基金在该账户剩余的基金份额（包括该部分转换入确认份额）将随即被强制赎回。</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（五）基金转换费用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1、每笔基金转换视为一笔赎回和一笔申购，基金转换费用相应由转出基金的赎回费用及转出、转入基金的申购补差费用构成。</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2、转出基金的赎回费用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出基金的赎回费用按照各基金最新的更新招募说明书及相关公告规定的赎回费率和计费方式收取，赎回费用按一定比例归入基金财产（收取标准遵循各基金最新的更新招募说明书相关规定），其余部分用于支付注册登记费等相关手续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3、前端收费模式下转出与转入基金的申购补差费用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从不收取申购费用的基金或前端申购费用低的基金向前端申购费用高的基金转换，收取前端申购补差费用；从前端申购费用高的基金向前端申购费用低的基金或不收取申购费用的基金转换，不收取前端申购补差费用。申购补差费用原则上按照转出确认金额对应的转入基金前端申购费率减去转出基金前端申购费率差额进行计算补差，若遇固定费用，则按实际产生补差费用收取。</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4、后端收费模式下转出与转入基金的申购补差费用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从不收取申购费用的基金或后端申购费用低的基金向后端申购费用高的基金转换，不收取后端申购补差费用，但转入的基金份额赎回的时候需全额收取转入基金的后端申购费；从后端申购费用高的基金向后端申购费用低的基金或不收取申购费用的基金转换，收取后端申购补差费用，且转入的基金份额赎回的时候需全额收取转入基金的后端申购费。后端申购补差费用按照转出份额持有时间对应分档的转出基金后端申购费率减去转入基金后端申购费率差额进行补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5、网上直销的申购补差费率优惠</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为更好服务投资者，本基金管理人已开通基金网上直销业务，个人投资者可以通过“网上直销交易平台”办理基金转换业务，其中部分转换业务可享受转换费率优惠，优惠费率只适用于转出与转入基金申购补差费用，转出基金的赎回费用无优惠。可通过网上直销交易平台办理的转换业务范围及转换费率优惠的具体情况请参阅本基金管理人网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6、本基金管理人可以根据法律法规及基金合同的规定对上述转换费用收费方式和费率进行调整，并应于调整后的收费方式和费率实施前依照《信息披露办法》的有关规定在中国证监会规定媒介上公告。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（六）基金转换份额的计算公式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1、前端收费模式下基金转换份额的计算公式及举例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转出确认金额=转出的基金份额×转换申请当日转出基金的基金份额净值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转出基金的赎回费=转出确认金额×对应的转出基金的赎回费率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转入确认金额=转出确认金额-转出基金的赎回费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转出与转入基金的申购补差费=转入确认金额×对应的转出与转入基金的申购补差费率/（1+对应的转出与转入基金的申购补差费率）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（注：若转出基金申购费率不低于转入基金申购费率，转出与转入基金的申购补差费为零）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对于涉及固定费用的，转出与转入基金的申购补差费＝MAX（0，转出基金和转入基金申购费用之差）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转入基金确认份额=（转入确认金额-转出与转入基金的申购补差费+A）/转换申请当日转入基金的基金份额净值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其中：</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A为货币市场基金转出的基金份额按比例结转的账户当前累计待支付收益（仅限转出基金为货币市场基金的情形，否则A为0）。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转入基金确认份额的计算精确到小数点后两位，小数点后两位以后的部分四舍五入，误差部分归基金财产。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例一：某投资者持有交银趋势前端收费模式的A类基金份额100,000份，持有期半年，转换申请当日交银趋势的A类基金份额净值为1.0100元，交银成长的基金份额净值为2.2700元。若该投资者将100,000份交银趋势前端A类基金份额转换为交银成长前端基金份额，则转入交银成长确认的基金份额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转出确认金额=100,000×1.0100=101,000元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转出基金的赎回费=101,000×0.5%=505元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转入确认金额=101,000-505=100,495元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转出与转入基金的申购补差费=100,495×0/（1+0）=0元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转入基金确认份额=（100,495-0）/2.2700=44,270.93份</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例二：某投资者持有交银增利A类基金份额1,000,000份，持有期一年半，转换申请当日交银增利A类基金份额的基金份额净值为1.0200元，交银趋势的A类基金份额净值为1.0100元。若该投资者将1,000,000份交银增利A类基金份额转换为交银趋势前端A类基金份额，则转入交银趋势确认的A类基金份额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转出确认金额=1,000,000×1.0200=1,020,000元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转出基金的赎回费=1,020,000×0.05%=510元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转入确认金额=1,020,000-510=1,019,490元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转出与转入基金的申购补差费=1,019,490×0.5%/（1+0.5%）=5,072.09元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转入基金确认份额=（1,019,490-5,072.09）/1.0100=1,004,374.17份</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例三：某投资者持有交银增利C类基金份额100,000份，持有期一年半，转换申请当日交银增利C类基金份额净值为1.2500元，交银精选的基金份额净值为2.2700元。若该投资者将100,000份交银增利C类基金份额转换为交银精选前端基金份额，则转入交银精选确认的基金份额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转出确认金额=100,000×1.2500=125,000元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转出基金的赎回费=0元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转入确认金额=125,000-0=125,000元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转出与转入基金的申购补差费=125,000×1.5%/（1+1.5%）=1,847.29元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转入基金确认份额=（125,000-1,847.29）/2.2700=54,252.30份</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例四：某投资者持有交银货币A级基金份额100,000份，该100,000份基金份额未结转的待支付收益为61.52元，转换申请当日交银增利A类基金份额净值为1.2700元，交银货币的基金份额净值为1.00元。若该投资者将100,000份交银货币A级基金份额转换为交银增利A类基金份额，则转入确认的交银增利A类基金份额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转出确认金额=100,000×1.00=100,000元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转出基金的赎回费=0元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转入确认金额=100,000-0=100,000元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转出与转入基金的申购补差费=100,000×0.8%/（1+0.8%）=793.65元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转入基金确认份额=（100,000-793.65+61.52）/1.2700=78,163.68份</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2、后端收费模式下基金转换份额的计算公式及举例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转出确认金额=转出的基金份额×转换申请当日转出基金的基金份额净值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转出基金的赎回费=转出确认金额×对应的转出基金的赎回费率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转入确认金额=转出确认金额-转出基金的赎回费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转出与转入基金的申购补差费=转入确认金额×对应的转出与转入基金的申购补差费率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转入基金确认份额=（转入确认金额-转出与转入基金的申购补差费+A）/转换申请当日转入基金的基金份额净值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其中：</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A为货币市场基金转出的基金份额按比例结转的账户当前累计待支付收益（仅限转出基金为货币市场基金的情形，否则A为0）。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转入基金确认份额的计算精确到小数点后两位，小数点后两位以后的部分四舍五入，误差部分归基金财产。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例五：某投资者持有交银主题后端收费模式的A类基金份额100,000份，持有期一年半，转换申请当日交银主题的A类基金份额净值为1.2500元，交银稳健的基金份额净值为2.2700元。若该投资者将100,000份交银主题后端A类基金份额转换为交银稳健后端基金份额，则转入交银稳健确认的基金份额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转出确认金额=100,000×1.2500=125,000元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转出基金的赎回费=125,000×0.2%=250元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转入确认金额=125,000-250=124,750元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转出与转入基金的申购补差费=124,750×0=0元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转入基金确认份额=（124,750-0）/2.2700=54,955.95份</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例六：某投资者持有交银先锋后端收费模式的A类基金份额100,000份，持有期一年半，转换申请当日交银先锋的A类基金份额净值为1.2500元，交银货币的基金份额净值为1.00元。若该投资者将100,000份交银先锋后端A类基金份额转换为交银货币，则转入交银货币的基金份额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转出确认金额=100,000×1.2500=125,000元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转出基金的赎回费=125,000×0.2%=250元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转入确认金额=125,000-250=124,750元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转出与转入基金的申购补差费=124,750×1.2%=1497元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转入基金确认份额=（124,750-1497）/1.00=123,253.00份</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例七：某投资者持有交银蓝筹后端收费模式的基金份额100,000份，持有期三年半，转换申请当日交银蓝筹的基金份额净值为0.8500元，交银增利B类基金份额的基金份额净值为1.0500。若该投资者将100,000份交银蓝筹后端基金份额转换为交银增利B类基金份额，则转入交银增利B类基金份额的基金份额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转出确认金额=100,000×0.8500=85,000元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转出基金的赎回费=85,000×0=0元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转入确认金额=85,000-0=85,000元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转出与转入基金的申购补差费=85,000×0.2%=170元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转入基金确认份额=（85,000-170）/1.0500=80,790.48份</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例八：某投资者持有交银货币A级基金份额100,000份，该100,000份基金份额未结转的待支付收益为61.52元，转换申请当日交银增利B类基金份额净值为1.2700元，交银货币的基金份额净值为1.00元。若该投资者将100,000份交银货币A级基金份额转换为交银增利B类基金份额，则转入确认的交银增利B类基金份额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转出确认金额=100,000×1.00=100,000元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转出基金的赎回费=0元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转入确认金额=100,000-0=100,000元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转出与转入基金的申购补差费=100,000×0=0元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转入基金确认份额=（100,000-0+61.52）/1.2700=78,788.60份</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（七）业务规则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转换只能在同一销售机构进行。转换的两只基金必须都是该销售机构销售的同一基金管理人管理的、在同一注册登记机构处注册登记的基金。投资人办理基金转换业务时，转出方的基金必须处于可赎回状态，转入方的基金必须处于可申购状态。</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投资人只能在相同收费模式下进行基金转换。前端收费模式的开放式基金只能转换到前端收费模式的其他基金，后端收费模式的基金只能转换到后端收费模式的其他基金。交银货币、债券基金C类基金份额与其他基金之间的转换不受上述收费模式的限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3、基金转换采取未知价法，即基金的转换价格以申请受理当日各转出、转入基金的基金份额净值为基础进行计算。（货币市场基金的基金份额净值为固定价1.00元）。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4、投资人申请转出其账户内货币市场基金的基金份额时，注册登记机构将自动结转该转出份额对应的待支付收益，该收益将一并计入转出金额并折算为转入基金的基金份额，但收益部分不收取转换费用。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5、转换后，转入基金份额的持有时间将重新计算，即转入基金份额的持有期将自转入基金份额被确认日起重新开始计算。</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（八）暂停基金转换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转换视同为转出基金的赎回和转入基金的申购，因此有关转出基金和转入基金关于暂停或拒绝申购、暂停赎回的有关规定也一般适用于暂停基金转换。具体暂停或恢复基金转换的相关业务请详见届时本基金管理人发布的相关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单个开放日，基金净赎回申请份额（该基金赎回申请总份额加上基金转换中转出申请总份额扣除申购申请总份额及基金转换中转入申请总份额后的余额）超过上一日基金总份额的10%时，为巨额赎回。发生巨额赎回时，基金转出与基金赎回具有相同的优先级，本基金管理人可根据基金资产组合情况，决定全额转出或部分转出，并且对于基金转出和基金赎回，将采取相同的比例确认。在转出申请得到部分确认的情况下，未确认的转出申请将自动予以撤销，不再视为下一开放日的基金转换申请。</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12" w:name="_Toc193101084"/>
      <w:r>
        <w:rPr>
          <w:rFonts w:ascii="Times New Roman" w:hAnsi="Times New Roman"/>
          <w:sz w:val="30"/>
        </w:rPr>
        <w:t>十、基金的投资</w:t>
      </w:r>
      <w:bookmarkEnd w:id="12"/>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（一）投资目标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在严格控制风险的基础上,力求获得高于业绩基准的投资收益。</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（二）投资范围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的投资范围为具有良好流动性的金融工具，包括国内依法发行交易的国债、金融债、央行票据、地方政府债、企业债、公司债、分离交易可转债的纯债、次级债、资产支持证券、短期融资券、中期票据、债券回购、银行存款、货币市场工具等固定收益类资产和法律法规允许投资的其他金融工具。其中，封闭期内，本基金所投企业债和公司债信用评级需在AA级（含）以上。本基金不直接在二级市场买入股票、权证等权益类资产，也不参与一级市场新股申购和新股增发。同时本基金不参与可转换债券投资（分离交易可转债的纯债部分除外）。</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如法律法规或监管机构以后允许基金投资其他品种，基金管理人在履行适当程序后，可以将其纳入投资范围。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基金的投资组合比例为投资于债券资产的比例不低于基金资产的80%，但在封闭期结束前三个月和转开放后三个月内，基金投资不受上述债券资产投资比例限制。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本基金在开放期内，现金或到期日在一年以内的政府债券的比例合计不低于基金资产净值的5%，其中现金不包括结算备付金、存出保证金、应收申购款等。</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如果法律法规或中国证监会变更投资品种的投资比例限制，基金管理人在履行适当程序后，可以调整上述投资品种的投资比例。</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（三）封闭期内的投资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1、投资策略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充分发挥基金管理人的研究优势，融合规范化的基本面研究和严谨的信用分析，在分析和判断宏观经济运行状况和金融市场运行趋势的基础上，充分利用封闭式运作优势，以买入持有和杠杆套息等为基本投资策略，获取稳定收益；同时，本基金将严格控制信用风险，在严谨深入的信用分析基础上，综合考量信用债券的信用评级，以及各类债券的流动性、供求关系和收益率水平等，自下而上精选个券。本基金采用的主要策略包括：</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（1）债券的类属配置策略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定性和定量地分析不同类属债券类资产的信用风险、流动性风险、市场风险等因素及其经风险调整后的收益率水平或盈利能力，通过比较并合理预期不同类属债券类资产的风险与收益率变化，确定不同类属债券类资产间的配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（2）买入持有策略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在精选个券基础上，本基金主要通过买入与封闭期适度匹配的债券，并持有到期，或者是持有回售期与封闭期适度匹配的债券，获得本金和票息收入。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（3）杠杆套息策略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在控制组合整体风险的基础上，综合考虑债券持有期内的票息收入和融资成本之间的息差，通过实施正回购融入资金并投资于中高等级信用债券等可投资标的，实现杠杆放大获取债券持有期内债券票息和融资成本之间的息差收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（4）信用债券投资策略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将严控信用风险，通过宏观经济运行、发行主体的发展前景和偿债能力、国家信用支撑等多重因素的综合考量对信用债券进行信用评级，并在信用评级的基础上，建立信用债券池；然后基于既定的投资期限、信用利差精选个券进行投资。具体而言，本基金信用债券的投资遵循以下流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①信用债券研究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信用分析师通过系统的案头研究、走访发行主体、咨询发行中介等各种形式，“自上而下”地分析宏观经济运行趋势、行业（或产业）经济前景，“自下而上”地分析发行主体的发展前景、偿债能力、国家信用支撑等。通过交银施罗德的信用债券信用评级指标体系，对信用债券进行信用评级，并在信用评级的基础上，建立本基金的信用债券池。</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②信用债券筛选</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本基金从信用债券池中精选债券构建信用债券投资组合，债券筛选主要考虑以下因素：</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a、信用债券信用评级的变化。</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b、不同信用等级的信用债券，以及同一信用等级不同标的债券之间的信用利差变化。本基金密切关注供求关系、税收、利率、投资人结构与行为以及市场的深度、广度和制度建设等因素对信用利差的影响。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2、业绩比较基准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两年期银行定期存款税后收益率+1.25%。</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力求在封闭期内获得高于同期银行定期存款的投资收益，本基金封闭期两年，以两年期银行定期存款税后收益率上浮1.25%作为本基金的业绩比较基准能够使本基金投资人理性判断本基金产品的风险收益特征，合理地衡量比较本基金的业绩表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如果上述基准停止计算编制或更改名称，或者今后法律法规发生变化，又或者市场推出更具权威、且更能够表征本基金风险收益特征的基准，则本基金管理人可与本基金托管人协商一致后，调整或变更本基金的业绩比较基准并及时公告，而无需召开基金份额持有人大会。</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（四）转为开放式运作后的投资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1、投资策略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充分发挥基金管理人的研究优势，融合规范化的基本面研究和严谨的信用分析，在分析和判断宏观经济运行状况和金融市场运行趋势的基础上，动态调整大类金融资产比例，自上而下决定类属资产配置和债券组合久期、期限结构；在严谨深入的信用分析基础上，综合考量信用债券的信用评级，以及各类债券的流动性、供求关系和收益率水平等，自下而上精选个券。本基金采用的主要策略包括：</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（1）久期调整策略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根据中长期宏观经济走势和经济周期波动趋势，判断债券市场未来的走势，并形成对未来市场利率变动方向的预期，动态调整组合久期。当预期收益率曲线下移时，适当提高组合久期，以分享债券市场上涨的收益；当预期收益率曲线上移时，适当降低组合久期，以规避债券市场下跌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（2）债券的类属配置策略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定性和定量地分析不同类属债券类资产的信用风险、流动性风险、市场风险等因素及其经风险调整后的收益率水平或盈利能力，通过比较并合理预期不同类属债券类资产的风险与收益率变化，确定不同类属债券类资产间的配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（3）期限结构配置策略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通过预期收益率曲线形态变化来调整投资组合的期限结构配置策略。根据债券收益率曲线形态、各期限段品种收益率变动、结合短期资金利率水平与变动趋势，分析预测收益率曲线的变化，测算子弹、哑铃或梯形等不同期限结构配置策略的风险收益，形成具体的期限结构配置策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（4）杠杆放大策略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当回购利率低于债券收益率时，本基金将实施正回购融入资金并投资于信用债券等可投资标的，从而获取收益率超出回购资金成本（即回购利率）的套利价值。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（5）信用债券投资策略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通过宏观经济运行、发行主体的发展前景和偿债能力、国家信用支撑等多重因素的综合考量对信用债券进行信用评级，并在信用评级的基础上，建立信用债券池；然后基于既定的目标久期、信用利差精选个券进行投资。具体而言，本基金信用债券的投资遵循以下流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①信用债券研究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信用分析师通过系统的案头研究、走访发行主体、咨询发行中介等各种形式，“自上而下”地分析宏观经济运行趋势、行业（或产业）经济前景，“自下而上”地分析发行主体的发展前景、偿债能力、国家信用支撑等。通过交银施罗德的信用债券信用评级指标体系，对信用债券进行信用评级，并在信用评级的基础上，建立本基金的信用债券池。</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②信用债券筛选</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本基金从信用债券池中精选债券构建信用债券投资组合，债券筛选主要考虑以下因素：</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a、信用债券信用评级的变化。</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b、不同信用等级的信用债券，以及同一信用等级不同标的债券之间的信用利差变化。本基金密切关注供求关系、税收、利率、投资人结构与行为以及市场的深度、广度和制度建设等因素对信用利差的影响，对个券进行有效的信用利差交易。</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（6）资产支持证券（含资产收益计划）投资策略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将通过宏观经济、提前偿还率、资产池结构及资产池资产所在行业景气变化等因素的研究，预测资产池未来现金流变化；研究标的证券发行条款，预测提前偿还率变化对标的证券的久期与收益率的影响，同时密切关注流动性对标的证券收益率的影响。综合运用久期管理、收益率曲线、个券选择和把握市场交易机会等积极策略，在严格控制风险的情况下，通过信用研究和流动性管理，选择风险调整后的收益高的品种进行投资，以期获得长期稳定收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2、业绩比较基准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中债综合全价指数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中债综合全价指数由中央国债登记结算有限责任公司编制并发布，其指数样本涵盖国债、政策性银行债、商业银行债、地方企业债、中期票据以及证券公司短期融资券等各类券种，综合反映了债券市场整体价格和回报情况，是目前市场上较为权威的反映债券市场整体走势的基准指数之一。该指数合理、透明、公开，具有较好的市场接受度，作为衡量本基金比较基准较为合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如果上述基准指数停止计算编制或更改名称，或者今后法律法规发生变化，又或者市场推出更具权威、且更能够表征本基金风险收益特征的指数，则本基金管理人可与本基金托管人协商一致后，调整或变更本基金的业绩比较基准并及时公告，而无需召开基金份额持有人大会。</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（五）投资限制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1、组合限制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基金的投资组合应遵循以下限制：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（1）本基金投资于债券资产的比例不低于基金资产的80%，但在封闭期结束前三个月和转开放后三个月内，基金投资不受上述债券资产投资比例限制；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（2）本基金在开放期内，保持不低于基金资产净值5%的现金或者到期日在一年以内的政府债券，其中现金不包括结算备付金、存出保证金、应收申购款等；</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（3）本基金持有一家公司发行的证券，其市值不得超过基金资产净值的10%；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（4）本基金管理人管理的全部基金持有一家公司发行的证券，不超过该证券的10%；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（5）本基金在封闭期内，基金总资产不超过基金净资产的200%；在开放期内，基金总资产不超过基金净资产的140%；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（6）本基金投资于同一原始权益人的各类资产支持证券的比例，不得超过基金资产净值的10%；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（7）本基金持有的全部资产支持证券，其市值不得超过基金资产净值的20%；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（8）本基金持有的同一(指同一信用级别)资产支持证券的比例，不得超过该资产支持证券规模的10%；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（9）本基金管理人管理的全部基金投资于同一原始权益人的各类资产支持证券，不得超过其各类资产支持证券合计规模的10%；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（10）本基金应投资于信用级别评级为BBB以上(含BBB)的资产支持证券。基金持有资产支持证券期间，如果其信用等级下降、不再符合投资标准，应在评级报告发布之日起3个月内予以全部卖出；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（11）本基金进入全国银行间同业市场进行债券回购的资金余额不得超过基金资产净值的40%；债券回购最长期限为1年，债券回购到期后不得展期；</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12）转为开放式运作后，本基金主动投资于流动性受限资产的市值合计不得超过基金资产净值的15%；因证券市场波动、基金规模变动等基金管理人之外的因素致使基金不符合该比例限制的，基金管理人不得主动新增流动性受限资产的投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（13）本基金与私募类证券资管产品及中国证监会认定的其他主体为交易对手开展逆回购交易的，可接受质押品的资质要求应当与基金合同约定的投资范围保持一致；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（14）法律法规及中国证监会规定的和《基金合同》约定的其他投资限制。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除上述第（2）、（10）、（12）、（13）项外，因证券市场波动、证券发行人合并、基金规模变动、股权分置改革中支付对价等基金管理人之外的因素致使基金投资比例不符合上述规定投资比例的，基金管理人应当在10个交易日内进行调整，但中国证监会规定的特殊情形除外。法律法规另有规定的，从其规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应当自基金合同生效之日起6个月内使基金的投资组合比例符合基金合同的有关约定，基金合同另有约定的除外。在上述期间内，本基金的投资范围、投资策略应当符合基金合同的约定。基金托管人对基金的投资的监督与检查自基金合同生效之日起开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法律法规对上述投资组合比例限制进行变更的，以变更后的规定为准。法律法规或监管部门取消上述限制，如适用于本基金，基金管理人在履行适当程序后，则本基金投资不再受相关限制。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2、禁止行为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为维护基金份额持有人的合法权益，基金财产不得用于下列投资或者活动：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（1）承销证券；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（2）违反规定向他人贷款或者提供担保；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（3）从事承担无限责任的投资；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（4）买卖其他基金份额，但是中国证监会另有规定的除外；</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（5）向其基金管理人、基金托管人出资；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（6）从事内幕交易、操纵证券交易价格及其他不正当的证券交易活动；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（7）法律、行政法规和中国证监会规定禁止的其他活动。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如法律、行政法规或监管部门取消上述禁止性规定，如适用于本基金，基金管理人在履行适当程序后，本基金可不受上述规定的限制。</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（六）风险收益特征</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是一只债券型基金，其风险与预期收益高于货币市场基金，低于混合型基金和股票型基金，属于证券投资基金中中等风险的品种。根据2017年7月1日施行的《证券期货投资者适当性管理办法》，基金管理人和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（七）基金的融资、融券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本基金可以根据有关法律法规和政策的有关规定进行融资、融券。</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（八）基金管理人代表基金行使债权人权利的处理原则及方法</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1、基金管理人按照国家有关规定代表基金独立行使债权人权利，保护基金份额持有人的利益；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2、不谋求对上市公司的控股，不参与所投资上市公司的经营管理；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3、有利于基金财产的安全与增值；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4、不通过关联交易为自身、雇员、授权代理人或任何存在利害关系的第三人牟取任何不当利益。</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（九）侧袋机制的实施和投资运作安排</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侧袋机制实施期间，本部分约定的投资组合比例、投资策略、组合限制、业绩比较基准、风险收益特征等约定仅适用于主袋账户。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侧袋账户的实施条件、实施程序、运作安排、投资安排、特定资产的处置变现和支付等对投资者权益有重大影响的事项详见本招募说明书“侧袋机制”部分的规定。</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（十）基金投资组合报告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本基金管理人的董事会及董事保证本报告所载资料不存在虚假记载、误导性陈述或重大遗漏,并对其内容的真实性、准确性和完整性承担个别及连带责任。</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本基金托管人中信银行股份有限公司根据本基金合同规定，于2024年10月24日复核了本报告中的财务指标、净值表现和投资组合报告等内容，保证复核内容不存在虚假记载、误导性陈述或者重大遗漏。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本报告期为2024年07月01日至09月30日。本报告财务资料未经审计师审计。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1、报告期末基金资产组合情况</w:t>
      </w:r>
    </w:p>
    <w:tbl>
      <w:tblPr>
        <w:tblStyle w:val="14"/>
        <w:tblW w:w="5000" w:type="pct"/>
        <w:tblInd w:w="0" w:type="dxa"/>
        <w:tblLayout w:type="autofit"/>
        <w:tblCellMar>
          <w:top w:w="0" w:type="dxa"/>
          <w:left w:w="0" w:type="dxa"/>
          <w:bottom w:w="0" w:type="dxa"/>
          <w:right w:w="0" w:type="dxa"/>
        </w:tblCellMar>
      </w:tblPr>
      <w:tblGrid>
        <w:gridCol w:w="1008"/>
        <w:gridCol w:w="3024"/>
        <w:gridCol w:w="3024"/>
        <w:gridCol w:w="1614"/>
      </w:tblGrid>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shd w:val="clear" w:color="auto" w:fill="D9D9D9"/>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序号</w:t>
            </w:r>
          </w:p>
        </w:tc>
        <w:tc>
          <w:tcPr>
            <w:tcW w:w="750" w:type="pct"/>
            <w:tcBorders>
              <w:top w:val="single" w:color="auto" w:sz="4" w:space="0"/>
              <w:left w:val="single" w:color="auto" w:sz="4" w:space="0"/>
              <w:bottom w:val="single" w:color="auto" w:sz="4" w:space="0"/>
              <w:right w:val="single" w:color="auto" w:sz="4" w:space="0"/>
            </w:tcBorders>
            <w:shd w:val="clear" w:color="auto" w:fill="D9D9D9"/>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项目</w:t>
            </w:r>
          </w:p>
        </w:tc>
        <w:tc>
          <w:tcPr>
            <w:tcW w:w="750" w:type="pct"/>
            <w:tcBorders>
              <w:top w:val="single" w:color="auto" w:sz="4" w:space="0"/>
              <w:left w:val="single" w:color="auto" w:sz="4" w:space="0"/>
              <w:bottom w:val="single" w:color="auto" w:sz="4" w:space="0"/>
              <w:right w:val="single" w:color="auto" w:sz="4" w:space="0"/>
            </w:tcBorders>
            <w:shd w:val="clear" w:color="auto" w:fill="D9D9D9"/>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金额（元）</w:t>
            </w:r>
          </w:p>
        </w:tc>
        <w:tc>
          <w:tcPr>
            <w:tcW w:w="400" w:type="pct"/>
            <w:tcBorders>
              <w:top w:val="single" w:color="auto" w:sz="4" w:space="0"/>
              <w:left w:val="single" w:color="auto" w:sz="4" w:space="0"/>
              <w:bottom w:val="single" w:color="auto" w:sz="4" w:space="0"/>
              <w:right w:val="single" w:color="auto" w:sz="4" w:space="0"/>
            </w:tcBorders>
            <w:shd w:val="clear" w:color="auto" w:fill="D9D9D9"/>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占基金总资产的比例（%）</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1</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权益投资</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　</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其中：股票</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基金投资</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3</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固定收益投资</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665,282,798.40</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99.63</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　</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其中：债券</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665,282,798.40</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99.63</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　</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资产支持证券</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4</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贵金属投资</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5</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金融衍生品投资</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6</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买入返售金融资产</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　</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其中：买断式回购的买入返售金融资产</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7</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银行存款和结算备付金合计</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2,458,518.69</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0.37</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8</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其他资产</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13,633.39</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0.00</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9</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合计</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667,754,950.48</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100.00</w:t>
            </w:r>
          </w:p>
        </w:tc>
      </w:tr>
    </w:tbl>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2、报告期末按行业分类的股票投资组合</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2.1 报告期末按行业分类的境内股票投资组合</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无。</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2.2 报告期末按行业分类的港股通投资股票投资组合</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无。</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3、期末按公允价值占基金资产净值比例大小排序的股票投资明细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3.1 报告期末按公允价值占基金资产净值比例大小排序的前十名股票投资明细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无。</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4、报告期末按债券品种分类的债券投资组合</w:t>
      </w:r>
    </w:p>
    <w:tbl>
      <w:tblPr>
        <w:tblStyle w:val="14"/>
        <w:tblW w:w="5000" w:type="pct"/>
        <w:tblInd w:w="0" w:type="dxa"/>
        <w:tblLayout w:type="autofit"/>
        <w:tblCellMar>
          <w:top w:w="0" w:type="dxa"/>
          <w:left w:w="0" w:type="dxa"/>
          <w:bottom w:w="0" w:type="dxa"/>
          <w:right w:w="0" w:type="dxa"/>
        </w:tblCellMar>
      </w:tblPr>
      <w:tblGrid>
        <w:gridCol w:w="1008"/>
        <w:gridCol w:w="3024"/>
        <w:gridCol w:w="3024"/>
        <w:gridCol w:w="1614"/>
      </w:tblGrid>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shd w:val="clear" w:color="auto" w:fill="D9D9D9"/>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序号</w:t>
            </w:r>
          </w:p>
        </w:tc>
        <w:tc>
          <w:tcPr>
            <w:tcW w:w="750" w:type="pct"/>
            <w:tcBorders>
              <w:top w:val="single" w:color="auto" w:sz="4" w:space="0"/>
              <w:left w:val="single" w:color="auto" w:sz="4" w:space="0"/>
              <w:bottom w:val="single" w:color="auto" w:sz="4" w:space="0"/>
              <w:right w:val="single" w:color="auto" w:sz="4" w:space="0"/>
            </w:tcBorders>
            <w:shd w:val="clear" w:color="auto" w:fill="D9D9D9"/>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债券品种</w:t>
            </w:r>
          </w:p>
        </w:tc>
        <w:tc>
          <w:tcPr>
            <w:tcW w:w="750" w:type="pct"/>
            <w:tcBorders>
              <w:top w:val="single" w:color="auto" w:sz="4" w:space="0"/>
              <w:left w:val="single" w:color="auto" w:sz="4" w:space="0"/>
              <w:bottom w:val="single" w:color="auto" w:sz="4" w:space="0"/>
              <w:right w:val="single" w:color="auto" w:sz="4" w:space="0"/>
            </w:tcBorders>
            <w:shd w:val="clear" w:color="auto" w:fill="D9D9D9"/>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公允价值（元）</w:t>
            </w:r>
          </w:p>
        </w:tc>
        <w:tc>
          <w:tcPr>
            <w:tcW w:w="400" w:type="pct"/>
            <w:tcBorders>
              <w:top w:val="single" w:color="auto" w:sz="4" w:space="0"/>
              <w:left w:val="single" w:color="auto" w:sz="4" w:space="0"/>
              <w:bottom w:val="single" w:color="auto" w:sz="4" w:space="0"/>
              <w:right w:val="single" w:color="auto" w:sz="4" w:space="0"/>
            </w:tcBorders>
            <w:shd w:val="clear" w:color="auto" w:fill="D9D9D9"/>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占基金资产净值比例（%）</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1</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国家债券</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40,990,739.73</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6.86</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央行票据</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3</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金融债券</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624,292,058.67</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104.55</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　</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其中：政策性金融债</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624,292,058.67</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104.55</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4</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企业债券</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5</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企业短期融资券</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6</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中期票据</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7</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可转债（可交换债）</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8</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同业存单</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9</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其他</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10</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合计</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665,282,798.40</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111.41</w:t>
            </w:r>
          </w:p>
        </w:tc>
      </w:tr>
    </w:tbl>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5、报告期末按公允价值占基金资产净值比例大小排序的前五名债券投资明细</w:t>
      </w:r>
    </w:p>
    <w:tbl>
      <w:tblPr>
        <w:tblStyle w:val="14"/>
        <w:tblW w:w="5000" w:type="pct"/>
        <w:tblInd w:w="0" w:type="dxa"/>
        <w:tblLayout w:type="autofit"/>
        <w:tblCellMar>
          <w:top w:w="0" w:type="dxa"/>
          <w:left w:w="0" w:type="dxa"/>
          <w:bottom w:w="0" w:type="dxa"/>
          <w:right w:w="0" w:type="dxa"/>
        </w:tblCellMar>
      </w:tblPr>
      <w:tblGrid>
        <w:gridCol w:w="541"/>
        <w:gridCol w:w="1625"/>
        <w:gridCol w:w="1626"/>
        <w:gridCol w:w="1626"/>
        <w:gridCol w:w="1626"/>
        <w:gridCol w:w="1626"/>
      </w:tblGrid>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shd w:val="clear" w:color="auto" w:fill="D9D9D9"/>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序号</w:t>
            </w:r>
          </w:p>
        </w:tc>
        <w:tc>
          <w:tcPr>
            <w:tcW w:w="750" w:type="pct"/>
            <w:tcBorders>
              <w:top w:val="single" w:color="auto" w:sz="4" w:space="0"/>
              <w:left w:val="single" w:color="auto" w:sz="4" w:space="0"/>
              <w:bottom w:val="single" w:color="auto" w:sz="4" w:space="0"/>
              <w:right w:val="single" w:color="auto" w:sz="4" w:space="0"/>
            </w:tcBorders>
            <w:shd w:val="clear" w:color="auto" w:fill="D9D9D9"/>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债券代码</w:t>
            </w:r>
          </w:p>
        </w:tc>
        <w:tc>
          <w:tcPr>
            <w:tcW w:w="750" w:type="pct"/>
            <w:tcBorders>
              <w:top w:val="single" w:color="auto" w:sz="4" w:space="0"/>
              <w:left w:val="single" w:color="auto" w:sz="4" w:space="0"/>
              <w:bottom w:val="single" w:color="auto" w:sz="4" w:space="0"/>
              <w:right w:val="single" w:color="auto" w:sz="4" w:space="0"/>
            </w:tcBorders>
            <w:shd w:val="clear" w:color="auto" w:fill="D9D9D9"/>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债券名称</w:t>
            </w:r>
          </w:p>
        </w:tc>
        <w:tc>
          <w:tcPr>
            <w:tcW w:w="750" w:type="pct"/>
            <w:tcBorders>
              <w:top w:val="single" w:color="auto" w:sz="4" w:space="0"/>
              <w:left w:val="single" w:color="auto" w:sz="4" w:space="0"/>
              <w:bottom w:val="single" w:color="auto" w:sz="4" w:space="0"/>
              <w:right w:val="single" w:color="auto" w:sz="4" w:space="0"/>
            </w:tcBorders>
            <w:shd w:val="clear" w:color="auto" w:fill="D9D9D9"/>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数量（张）</w:t>
            </w:r>
          </w:p>
        </w:tc>
        <w:tc>
          <w:tcPr>
            <w:tcW w:w="750" w:type="pct"/>
            <w:tcBorders>
              <w:top w:val="single" w:color="auto" w:sz="4" w:space="0"/>
              <w:left w:val="single" w:color="auto" w:sz="4" w:space="0"/>
              <w:bottom w:val="single" w:color="auto" w:sz="4" w:space="0"/>
              <w:right w:val="single" w:color="auto" w:sz="4" w:space="0"/>
            </w:tcBorders>
            <w:shd w:val="clear" w:color="auto" w:fill="D9D9D9"/>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公允价值（元）</w:t>
            </w:r>
          </w:p>
        </w:tc>
        <w:tc>
          <w:tcPr>
            <w:tcW w:w="750" w:type="pct"/>
            <w:tcBorders>
              <w:top w:val="single" w:color="auto" w:sz="4" w:space="0"/>
              <w:left w:val="single" w:color="auto" w:sz="4" w:space="0"/>
              <w:bottom w:val="single" w:color="auto" w:sz="4" w:space="0"/>
              <w:right w:val="single" w:color="auto" w:sz="4" w:space="0"/>
            </w:tcBorders>
            <w:shd w:val="clear" w:color="auto" w:fill="D9D9D9"/>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占基金资产净值比例（%）</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1</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240403</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24农发03</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1,400,000</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142,546,695.89</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23.87</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240302</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24进出02</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1,000,000</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101,501,835.62</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17.00</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3</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09230407</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23农发清发07</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600,000</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62,033,671.23</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10.39</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4</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230208</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23国开08</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500,000</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51,570,315.07</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8.64</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5</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160213</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16国开13</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500,000</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51,294,589.04</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8.59</w:t>
            </w:r>
          </w:p>
        </w:tc>
      </w:tr>
    </w:tbl>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6、报告期末按公允价值占基金资产净值比例大小排序的前十名资产支持证券投资明细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无。</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7、报告期末按公允价值占基金资产净值比例大小排序的前五名贵金属投资明细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无。</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8、报告期末按公允价值占基金资产净值比例大小排序的前五名权证投资明细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无。</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9、报告期末本基金投资的国债期货交易情况说明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9.1 本期国债期货投资政策</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无。</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9.2 报告期末本基金投资的国债期货持仓和损益明细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无。</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9.3 本期国债期货投资评价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无。</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10、投资组合报告附注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10.1 本基金投资的前十名证券的发行主体本期是否出现被监管部门立案调查，或在报告编制日前一年内受到公开谴责、处罚的情形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报告期内本基金投资的前十名证券的发行主体未被监管部门立案调查，在本报告编制日前一年内本基金投资的前十名证券的发行主体未受到公开谴责和处罚。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10.2 基金投资的前十名股票是否超出基金合同规定的备选股票库</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基金投资的前十名股票中，没有超出基金合同规定的备选股票库之外的股票。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10.3 其他资产构成</w:t>
      </w:r>
    </w:p>
    <w:tbl>
      <w:tblPr>
        <w:tblStyle w:val="14"/>
        <w:tblW w:w="5000" w:type="pct"/>
        <w:tblInd w:w="0" w:type="dxa"/>
        <w:tblLayout w:type="autofit"/>
        <w:tblCellMar>
          <w:top w:w="0" w:type="dxa"/>
          <w:left w:w="0" w:type="dxa"/>
          <w:bottom w:w="0" w:type="dxa"/>
          <w:right w:w="0" w:type="dxa"/>
        </w:tblCellMar>
      </w:tblPr>
      <w:tblGrid>
        <w:gridCol w:w="1548"/>
        <w:gridCol w:w="4645"/>
        <w:gridCol w:w="2477"/>
      </w:tblGrid>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shd w:val="clear" w:color="auto" w:fill="D9D9D9"/>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序号</w:t>
            </w:r>
          </w:p>
        </w:tc>
        <w:tc>
          <w:tcPr>
            <w:tcW w:w="750" w:type="pct"/>
            <w:tcBorders>
              <w:top w:val="single" w:color="auto" w:sz="4" w:space="0"/>
              <w:left w:val="single" w:color="auto" w:sz="4" w:space="0"/>
              <w:bottom w:val="single" w:color="auto" w:sz="4" w:space="0"/>
              <w:right w:val="single" w:color="auto" w:sz="4" w:space="0"/>
            </w:tcBorders>
            <w:shd w:val="clear" w:color="auto" w:fill="D9D9D9"/>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名称</w:t>
            </w:r>
          </w:p>
        </w:tc>
        <w:tc>
          <w:tcPr>
            <w:tcW w:w="400" w:type="pct"/>
            <w:tcBorders>
              <w:top w:val="single" w:color="auto" w:sz="4" w:space="0"/>
              <w:left w:val="single" w:color="auto" w:sz="4" w:space="0"/>
              <w:bottom w:val="single" w:color="auto" w:sz="4" w:space="0"/>
              <w:right w:val="single" w:color="auto" w:sz="4" w:space="0"/>
            </w:tcBorders>
            <w:shd w:val="clear" w:color="auto" w:fill="D9D9D9"/>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金额（元）</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1</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存出保证金</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应收证券清算款</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3</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应收股利</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4</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应收利息</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5</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应收申购款</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13,633.39</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6</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其他应收款</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7</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其他</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8</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合计</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13,633.39</w:t>
            </w:r>
          </w:p>
        </w:tc>
      </w:tr>
    </w:tbl>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10.4 报告期末持有的处于转股期的可转换债券明细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无。</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10.5 报告期末前十名股票中存在流通受限情况的说明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无。</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10.6 投资组合报告附注的其他文字描述部分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由于四舍五入的原因，分项之和与合计项之间可能存在尾差。</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13" w:name="_Toc193101085"/>
      <w:r>
        <w:rPr>
          <w:rFonts w:ascii="Times New Roman" w:hAnsi="Times New Roman"/>
          <w:sz w:val="30"/>
        </w:rPr>
        <w:t>十一、基金的业绩</w:t>
      </w:r>
      <w:bookmarkEnd w:id="13"/>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基金业绩截止日为2024年09月30日，所载财务数据未经审计师审计。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依照恪尽职守、诚实信用、谨慎勤勉的原则管理和运用基金财产，但不保证基金一定盈利，也不保证最低收益。基金的过往业绩并不代表其未来表现。投资有风险，投资人在做出投资决策前应仔细阅读本基金的招募说明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1、本报告期基金份额净值增长率及其与同期业绩比较基准收益率的比较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（1）交银丰润收益债券A：</w:t>
      </w:r>
    </w:p>
    <w:tbl>
      <w:tblPr>
        <w:tblStyle w:val="14"/>
        <w:tblW w:w="5000" w:type="pct"/>
        <w:tblInd w:w="0" w:type="dxa"/>
        <w:tblLayout w:type="autofit"/>
        <w:tblCellMar>
          <w:top w:w="0" w:type="dxa"/>
          <w:left w:w="0" w:type="dxa"/>
          <w:bottom w:w="0" w:type="dxa"/>
          <w:right w:w="0" w:type="dxa"/>
        </w:tblCellMar>
      </w:tblPr>
      <w:tblGrid>
        <w:gridCol w:w="1300"/>
        <w:gridCol w:w="1300"/>
        <w:gridCol w:w="1300"/>
        <w:gridCol w:w="1301"/>
        <w:gridCol w:w="1301"/>
        <w:gridCol w:w="1301"/>
        <w:gridCol w:w="867"/>
      </w:tblGrid>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阶段</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净值增长率①</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净值增长率标准差②</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业绩比较基准收益率③</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业绩比较基准收益率标准差④</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①－③</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②－④</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过去三个月</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0.59%</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0.08%</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0.26%</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0.10%</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0.33%</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-0.02%</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2024上半年</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2.28%</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0.07%</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2.42%</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0.07%</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-0.14%</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0.00%</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2023年度</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2.44%</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0.04%</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2.06%</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0.04%</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0.38%</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0.00%</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2022年度</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2.30%</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0.06%</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0.51%</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0.06%</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1.79%</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0.00%</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2021年度</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4.42%</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0.04%</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2.10%</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0.05%</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2.32%</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-0.01%</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2020年度</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2.44%</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0.10%</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-0.07%</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0.09%</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2.51%</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0.01%</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2019年度</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3.86%</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0.05%</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1.31%</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0.05%</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2.55%</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0.00%</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2018年度</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6.06%</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0.06%</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4.79%</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0.07%</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1.27%</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-0.01%</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2017年度</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1.48%</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0.04%</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-3.45%</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0.06%</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4.93%</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-0.02%</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2016年度</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3.81%</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0.07%</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4.02%</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0.04%</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-0.21%</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0.03%</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2015年度</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12.42%</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0.10%</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4.02%</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0.01%</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8.40%</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0.09%</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2014年度（自基金合同生效日起至2014年12月31日）</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-1.80%</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0.47%</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0.22%</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0.01%</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-2.02%</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0.46%</w:t>
            </w:r>
          </w:p>
        </w:tc>
      </w:tr>
    </w:tbl>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注：本基金自2016年12月16日起转为开放式运作，本基金的业绩比较基准由“两年期银行定期存款税后收益率+1.25%”变更为“中债综合全价指数”。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（2）交银丰润收益债券C：</w:t>
      </w:r>
    </w:p>
    <w:tbl>
      <w:tblPr>
        <w:tblStyle w:val="14"/>
        <w:tblW w:w="5000" w:type="pct"/>
        <w:tblInd w:w="0" w:type="dxa"/>
        <w:tblLayout w:type="autofit"/>
        <w:tblCellMar>
          <w:top w:w="0" w:type="dxa"/>
          <w:left w:w="0" w:type="dxa"/>
          <w:bottom w:w="0" w:type="dxa"/>
          <w:right w:w="0" w:type="dxa"/>
        </w:tblCellMar>
      </w:tblPr>
      <w:tblGrid>
        <w:gridCol w:w="1300"/>
        <w:gridCol w:w="1300"/>
        <w:gridCol w:w="1300"/>
        <w:gridCol w:w="1301"/>
        <w:gridCol w:w="1301"/>
        <w:gridCol w:w="1301"/>
        <w:gridCol w:w="867"/>
      </w:tblGrid>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阶段</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净值增长率①</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净值增长率标准差②</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业绩比较基准收益率③</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业绩比较基准收益率标准差④</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①－③</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②－④</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过去三个月</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0.60%</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0.08%</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0.26%</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0.10%</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0.34%</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-0.02%</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2024上半年</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2.28%</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0.07%</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2.42%</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0.07%</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-0.14%</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0.00%</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2023年度</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2.36%</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0.04%</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2.06%</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0.04%</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0.30%</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0.00%</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2022年度</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1.88%</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0.06%</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0.51%</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0.06%</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1.37%</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0.00%</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2021年度</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4.01%</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0.04%</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2.10%</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0.05%</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1.91%</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-0.01%</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2020年度</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2.02%</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0.10%</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-0.07%</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0.09%</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2.09%</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0.01%</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2019年度</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3.46%</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0.05%</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1.31%</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0.05%</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2.15%</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0.00%</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2018年度</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5.30%</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0.06%</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4.79%</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0.07%</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0.51%</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-0.01%</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2017年度</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-1.78%</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0.17%</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-3.45%</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0.06%</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1.67%</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0.11%</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2016年度</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3.05%</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0.08%</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4.02%</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0.04%</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-0.97%</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0.04%</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2015年度</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11.81%</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0.10%</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4.02%</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0.01%</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7.79%</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0.09%</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2014年度（自基金合同生效日起至2014年12月31日）</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-1.80%</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0.47%</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0.22%</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0.01%</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-2.02%</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0.46%</w:t>
            </w:r>
          </w:p>
        </w:tc>
      </w:tr>
    </w:tbl>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注：本基金自2016年12月16日起转为开放式运作，本基金的业绩比较基准由“两年期银行定期存款税后收益率+1.25%”变更为“中债综合全价指数”。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2、自基金合同生效以来基金份额累计净值增长率变动及其与同期业绩比较基准收益率变动的比较</w:t>
      </w:r>
    </w:p>
    <w:p>
      <w:pPr>
        <w:autoSpaceDE w:val="0"/>
        <w:autoSpaceDN w:val="0"/>
        <w:adjustRightInd w:val="0"/>
        <w:snapToGrid w:val="0"/>
        <w:spacing w:line="360" w:lineRule="auto"/>
        <w:ind w:firstLine="480" w:firstLineChars="200"/>
        <w:jc w:val="center"/>
        <w:rPr>
          <w:rFonts w:ascii="宋体" w:hAnsi="宋体"/>
          <w:szCs w:val="24"/>
        </w:rPr>
      </w:pPr>
      <w:r>
        <w:rPr>
          <w:rFonts w:ascii="宋体" w:hAnsi="宋体"/>
          <w:sz w:val="24"/>
        </w:rPr>
        <w:t>交银施罗德丰润收益债券型证券投资基金</w:t>
      </w:r>
    </w:p>
    <w:p>
      <w:pPr>
        <w:autoSpaceDE w:val="0"/>
        <w:autoSpaceDN w:val="0"/>
        <w:adjustRightInd w:val="0"/>
        <w:snapToGrid w:val="0"/>
        <w:spacing w:line="360" w:lineRule="auto"/>
        <w:ind w:firstLine="480" w:firstLineChars="200"/>
        <w:jc w:val="center"/>
        <w:rPr>
          <w:rFonts w:ascii="宋体" w:hAnsi="宋体"/>
          <w:szCs w:val="24"/>
        </w:rPr>
      </w:pPr>
      <w:r>
        <w:rPr>
          <w:rFonts w:ascii="宋体" w:hAnsi="宋体"/>
          <w:sz w:val="24"/>
        </w:rPr>
        <w:t>份额累计净值增长率与业绩比较基准收益率的历史走势对比图</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（2014年12月15日至2024年09月30日）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（1）交银丰润收益债券A</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kern w:val="0"/>
          <w:sz w:val="24"/>
        </w:rPr>
        <w:drawing>
          <wp:inline distT="0" distB="0" distL="0" distR="0">
            <wp:extent cx="5577840" cy="4381500"/>
            <wp:effectExtent l="0" t="0" r="0" b="0"/>
            <wp:docPr id="4" name="图片 4" descr="1521256610242020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5212566102420208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577840" cy="4381500"/>
                    </a:xfrm>
                    <a:prstGeom prst="rect">
                      <a:avLst/>
                    </a:prstGeom>
                    <a:noFill/>
                    <a:ln>
                      <a:noFill/>
                    </a:ln>
                  </pic:spPr>
                </pic:pic>
              </a:graphicData>
            </a:graphic>
          </wp:inline>
        </w:drawing>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注：本基金建仓期为自基金合同生效日起的6个月。截至建仓期结束，本基金各项资产配置比例符合基金合同及招募说明书有关投资比例的约定。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（2）交银丰润收益债券C</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kern w:val="0"/>
          <w:sz w:val="24"/>
        </w:rPr>
        <w:drawing>
          <wp:inline distT="0" distB="0" distL="0" distR="0">
            <wp:extent cx="5577840" cy="4381500"/>
            <wp:effectExtent l="0" t="0" r="0" b="0"/>
            <wp:docPr id="5" name="图片 5" descr="1521256610242020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5212566102420208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577840" cy="4381500"/>
                    </a:xfrm>
                    <a:prstGeom prst="rect">
                      <a:avLst/>
                    </a:prstGeom>
                    <a:noFill/>
                    <a:ln>
                      <a:noFill/>
                    </a:ln>
                  </pic:spPr>
                </pic:pic>
              </a:graphicData>
            </a:graphic>
          </wp:inline>
        </w:drawing>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注：本基金建仓期为自基金合同生效日起的6个月。截至建仓期结束，本基金各项资产配置比例符合基金合同及招募说明书有关投资比例的约定。</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14" w:name="_Toc193101086"/>
      <w:r>
        <w:rPr>
          <w:rFonts w:ascii="Times New Roman" w:hAnsi="Times New Roman"/>
          <w:sz w:val="30"/>
        </w:rPr>
        <w:t>十二、基金的财产</w:t>
      </w:r>
      <w:bookmarkEnd w:id="14"/>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（一）基金资产总值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基金资产总值是指基金拥有的各类有价证券、银行存款本息、基金应收申购款及其他资产的价值总和。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（二）基金资产净值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基金资产净值是指基金资产总值减去基金负债后的价值。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（三）基金财产的账户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（四）基金财产的保管和处分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15" w:name="_Toc193101087"/>
      <w:r>
        <w:rPr>
          <w:rFonts w:ascii="Times New Roman" w:hAnsi="Times New Roman"/>
          <w:sz w:val="30"/>
        </w:rPr>
        <w:t>十三、基金资产的估值</w:t>
      </w:r>
      <w:bookmarkEnd w:id="15"/>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（一）估值日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本基金的估值日为本基金相关的证券交易场所的交易日以及国家法律法规规定需要对外披露基金净值的非交易日。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（二）估值对象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基金所拥有的债券和银行存款本息、应收款项、其它投资等资产及负债。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（三）估值方法</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1、证券交易所上市的有价证券的估值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（1）交易所市场上市交易或挂牌转让的固定收益品种（另有规定的除外），选取第三方估值机构提供的相应品种当日的估值净价进行估值；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交易所上市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（3）交易所上市不存在活跃市场的有价证券，采用估值技术确定公允价值。交易所上市的资产支持证券，采用估值技术确定公允价值，在估值技术难以可靠计量公允价值的情况下，按成本估值。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2、处于未上市期间的有价证券应区分如下情况处理：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首次公开发行未上市的债券，采用估值技术确定公允价值，在估值技术难以可靠计量公允价值的情况下，按成本估值。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3、全国银行间债券市场交易的债券、资产支持证券等固定收益品种，采用估值技术确定公允价值。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4、同一债券同时在两个或两个以上市场交易的，按债券所处的市场分别估值。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5、如有确凿证据表明按上述方法进行估值不能客观反映其公允价值的，基金管理人可根据具体情况与基金托管人商定后，按最能反映公允价值的价格估值。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6、相关法律法规以及监管部门有强制规定的，从其规定。如有新增事项，按法律法规以及监管部门最新规定估值。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如基金管理人或基金托管人发现基金估值违反基金合同订明的估值方法、程序及相关法律法规的规定或者未能充分维护基金份额持有人利益时，应立即通知对方，共同查明原因，双方协商解决。</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（四）估值程序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1、基金份额净值是按照每个工作日闭市后，基金资产净值除以当日基金份额的余额数量计算，精确到0.0001元，小数点后第五位四舍五入。国家另有规定的，从其规定。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基金管理人于每个工作日计算基金资产净值及基金份额净值，并按规定公告。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管理人应每个工作日对基金资产估值，但基金管理人根据法律法规或基金合同的规定暂停估值时除外。基金管理人每个工作日对基金资产估值后，将基金份额净值结果发送基金托管人，经基金托管人复核无误后，由基金管理人依据基金合同和相关法律法规的规定对外公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（五）估值错误的处理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基金管理人和基金托管人将采取必要、适当、合理的措施确保基金资产估值的准确性、及时性。当基金份额净值小数点后第4位以内（含第4位) 发生估值错误时，视为基金份额净值错误。</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基金合同的当事人应按照以下约定处理：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1、估值错误类型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运作过程中，如果由于基金管理人或基金托管人、或登记机构、或销售机构、或投资人自身的过错造成估值错误，导致其他当事人遭受损失的，过错的责任人应当对由于该估值错误遭受损失当事人（“受损方”) 的直接损失按下述“估值错误处理原则”给予赔偿，承担赔偿责任。</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上述估值错误的主要类型包括但不限于：资料申报差错、数据传输差错、数据计算差错、系统故障差错、下达指令差错等。</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2、估值错误处理原则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（2）估值错误的责任方对有关当事人的直接损失负责，不对间接损失负责，并且仅对估值错误的有关直接当事人负责，不对第三方负责。</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估值错误责任方拒绝进行赔偿时，如果因基金管理人过错造成基金资产损失时，基金托管人应为基金的利益向基金管理人追偿，如果因基金托管人过错造成基金资产损失时，基金管理人应为基金的利益向基金托管人追偿。除基金管理人和基金托管人之外的第三方造成基金资产的损失，并拒绝进行赔偿时，由基金管理人负责向差错方追偿。</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（5）估值错误调整采用尽量恢复至假设未发生估值错误的正确情形的方式。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（6）按法律法规规定的其他原则处理估值错误。</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3、估值错误处理程序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估值错误被发现后，有关的当事人应当及时进行处理，处理的程序如下：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（1）查明估值错误发生的原因，列明所有的当事人，并根据估值错误发生的原因确定估值错误的责任方；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（2）根据估值错误处理原则或当事人协商的方法对因估值错误造成的损失进行评估；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（3）根据估值错误处理原则或当事人协商的方法由估值错误的责任方进行更正和赔偿损失；</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（4）根据估值错误处理的方法，需要修改基金登记机构交易数据的，由基金登记机构进行更正，并就估值错误的更正向有关当事人进行确认。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4、基金份额净值估值错误处理的方法如下：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（1）基金份额净值计算出现错误时，基金管理人应当立即予以纠正，通报基金托管人，并采取合理的措施防止损失进一步扩大。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（2）错误偏差达到基金份额净值的0.25%时，基金管理人应当通报基金托管人并报中国证监会备案；错误偏差达到基金份额净值的0.5%时，基金管理人应当公告。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（3）前述内容如法律法规或监管机关另有规定的，从其规定处理。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（六）暂停估值的情形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1、基金投资所涉及的证券交易市场遇法定节假日或因其他原因暂停营业时；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2、因不可抗力致使基金管理人、基金托管人无法准确评估基金资产价值时；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3、占基金相当比例的投资品种的估值出现重大转变，而基金管理人为保障基金份额持有人的利益，决定延迟估值；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4、当特定资产占前一估值日基金资产净值50%以上的，经与基金托管人协商确认后，基金管理人应当暂停估值；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5、中国证监会和基金合同认定的其它情形。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（七）基金净值的确认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（八）特殊情形的处理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1、基金管理人、基金托管人按估值方法的第5项进行估值时，所造成的误差不作为基金资产估值错误处理。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由于不可抗力原因，或由于证券交易所、证券经纪机构及登记结算公司发送的数据错误，或国家会计政策变更、市场规则变更等，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（九）实施侧袋机制期间的基金资产估值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本基金实施侧袋机制的，应根据本部分的约定对主袋账户资产进行估值并披露主袋账户的基金净值信息，暂停披露侧袋账户份额净值。</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16" w:name="_Toc193101088"/>
      <w:r>
        <w:rPr>
          <w:rFonts w:ascii="Times New Roman" w:hAnsi="Times New Roman"/>
          <w:sz w:val="30"/>
        </w:rPr>
        <w:t>十四、基金收益与分配</w:t>
      </w:r>
      <w:bookmarkEnd w:id="16"/>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（一）基金利润的构成</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基金利润指基金利息收入、投资收益、公允价值变动收益和其他收入扣除相关费用后的余额，基金已实现收益指基金利润减去公允价值变动收益后的余额。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（二）基金可供分配利润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基金可供分配利润指截至收益分配基准日基金未分配利润与未分配利润中已实现收益的孰低数。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（三）基金收益分配原则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1、本基金在封闭期内，收益分配应遵循下列原则：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在符合有关基金分红条件的前提下，本基金每年收益分配至少1次，最多为4次，每份基金份额每次分配比例不得低于收益分配基准日每份基金份额可供分配利润的90%，若《基金合同》生效不满3个月可不进行收益分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（2）本基金收益分配方式为现金分红；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（3）基金收益分配后基金份额净值不能低于面值，即基金收益分配基准日的基金份额净值减去每单位基金份额收益分配金额后不能低于面值；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本基金封闭期内设A类基金份额和C类基金份额，由于本基金A类基金份额不收取销售服务费，C类基金份额收取销售服务费，各基金份额类别对应的可供分配利润将有所不同，同一类基金份额类别的每一基金份额享有同等分配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（5）法律法规或监管机关另有规定的，从其规定。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2、本基金转为开放式运作后，收益分配应遵循下列原则：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本基金转为开放式运作后，可视业务情况择时增开B类基金份额；由于本基金A类和B类基金份额不收取销售服务费，C类基金份额收取销售服务费，各基金份额类别对应的可供分配利润将有所不同，同一类基金份额类别的每一份基金份额享有同等分配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（2）在符合有关基金分红条件的前提下，本基金管理人可以根据实际情况进行收益分配，具体分配方案以公告为准，若《基金合同》生效不满3个月可不进行收益分配；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本基金收益分配方式分两种：现金分红与红利再投资，投资者可选择现金红利或将现金红利自动转为基金份额进行再投资；若投资者不选择，本基金默认的收益分配方式是现金分红；基金份额持有人可对其持有的A类、B类以及C类基金份额分别选择不同的收益分配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（4）基金收益分配后基金份额净值不能低于面值，即基金收益分配基准日的基金份额净值减去每单位基金份额收益分配金额后不能低于面值；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（5）本基金同一基金份额类别的每一基金份额享有同等分配权；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（6）法律法规或监管机关另有规定的，从其规定。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（四）收益分配方案</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基金收益分配方案中应载明截止收益分配基准日的可供分配利润、基金收益分配对象、分配时间、分配数额及比例、分配方式等内容。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（五）收益分配方案的确定、公告与实施</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本基金收益分配方案由基金管理人拟定，并由基金托管人复核，依照《信息披露办法》的有关规定在指定媒介公告。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基金红利发放日距离收益分配基准日（即可供分配利润计算截止日）的时间不得超过15个工作日。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法律法规或监管机关另有规定的，从其规定。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（六）基金收益分配中发生的费用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收益分配时所发生的银行转账或其他手续费用由投资者自行承担。当投资者的现金红利小于一定金额，不足以支付银行转账或其他手续费用时，登记机构可将基金份额持有人的现金红利自动转为基金份额。红利再投资的计算方法，依照《业务规则》执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（七）收益分配方式的修改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投资人可至销售机构办理收益分配方式的修改，投资人对本基金不同的交易账户可设置不同的收益分配方式。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投资人同一日多次申报收益分配方式变更的，按照《业务规则》执行，最终确认的收益分配方式以登记机构记录为准。</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（八）实施侧袋机制期间的收益分配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本基金实施侧袋机制的，侧袋账户不进行收益分配。</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17" w:name="_Toc193101089"/>
      <w:r>
        <w:rPr>
          <w:rFonts w:ascii="Times New Roman" w:hAnsi="Times New Roman"/>
          <w:sz w:val="30"/>
        </w:rPr>
        <w:t>十五、基金的费用与税收</w:t>
      </w:r>
      <w:bookmarkEnd w:id="17"/>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（一）基金费用的种类</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1、基金管理人的管理费；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2、基金托管人的托管费；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3、《基金合同》生效后与基金相关的信息披露费用；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4、《基金合同》生效后与基金相关的会计师费、律师费和诉讼费；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5、基金份额持有人大会费用；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6、基金的证券交易费用；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7、基金的银行汇划费用；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8、基金的开户费用、账户维护费用；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9、本基金从C类基金份额的基金财产中计提的销售服务费；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10、按照国家有关规定和《基金合同》约定，可以在基金财产中列支的其他费用。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（二）基金费用计提方法、计提标准和支付方式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1、基金管理人的管理费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本基金的管理费按前一日基金资产净值的0.3%年费率计提。管理费的计算方法如下：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H＝E×0.3%÷当年天数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H为每日应计提的基金管理费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E为前一日的基金资产净值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费每日计提，按月支付。由基金管理人与基金托管人核对一致后，由基金托管人于次月首日起第3个工作日从基金财产中一次性支付给基金管理人，若遇法定节假日、休息日或不可抗力致使无法按时支付的，支付日期顺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2、基金托管人的托管费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本基金的托管费按前一日基金资产净值的0.1%的年费率计提。托管费的计算方法如下：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H＝E×0.1%÷当年天数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H为每日应计提的基金托管费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E为前一日的基金资产净值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托管费每日计提，按月支付。由基金管理人与基金托管人核对一致后，由基金托管人复核后于次月首日起第3个工作日从基金财产中一次性支付给基金托管人，若遇法定节假日、休息日或不可抗力致使无法按时支付的，支付日期顺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3、C类基金份额的销售服务费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本基金A类和B类基金份额不收取销售服务费，C类基金份额的销售服务费在封闭期内按前一日C类基金资产净值的0.6%年费率计提，在转入开放式运作后按前一日C类基金资产净值的0.4%年费率计提。计算方法如下：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H＝E×年销售服务费率÷当年天数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H为C类基金份额每日应计提的销售服务费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E为C类基金份额前一日基金资产净值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年销售服务费率在基金封闭期内为0.6%，转入开放式后为0.4%</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C类基金份额销售服务费每日计提，按月支付。由基金管理人与基金托管人核对一致后，由基金托管人复核后于次月首日起第3个工作日从基金财产中一次性支付给基金管理人，由基金管理人代付给销售机构，若遇法定节假日、休息日或不可抗力致使无法按时支付的，支付日期顺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C类基金份额的销售服务费将专门用于本基金的推广、销售与基金份额持有人服务。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4、与基金销售有关的费用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（1）申购费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本基金申购费的费率水平、计算公式和收取方式详见“基金份额的申购与赎回”一章。</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（2）赎回费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本基金赎回费的费率水平、计算公式和收取方式详见“基金份额的申购与赎回”一章。</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5、上述“（一）基金费用的种类”中第3－8项、第10项费用，根据有关法规及相应协议规定，按费用实际支出金额列入当期费用，由基金托管人从基金财产中支付。</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（三）不列入基金费用的项目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下列费用不列入基金费用：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1、基金管理人和基金托管人因未履行或未完全履行义务导致的费用支出或基金财产的损失；</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2、基金管理人和基金托管人处理与基金运作无关的事项发生的费用；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3、《基金合同》生效前的相关费用；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4、其他根据相关法律法规及中国证监会的有关规定不得列入基金费用的项目。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四）在符合法律法规及本基金基金合同规定、并且对基金份额持有人利益无实质不利影响的前提下，基金管理人和基金托管人可根据基金发展情况调整基金管理费率、基金托管费率和C类基金份额销售服务费率等相关费率。降低基金管理费率、基金托管费率和C类基金份额销售服务费率，无须召开基金份额持有人大会。基金管理人必须依照有关规定于新的费率实施日前在指定媒介上刊登公告。</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（五）实施侧袋机制期间的基金费用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本基金实施侧袋机制的，与侧袋账户有关的费用可以从侧袋账户中列支，但应待侧袋账户资产变现后方可列支，有关费用可酌情收取或减免，但不得收取管理费，详见本招募说明书“侧袋机制”部分的规定。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（六）基金税收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本基金运作过程中涉及的各纳税主体，其纳税义务按国家税收法律、法规执行。</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18" w:name="_Toc193101090"/>
      <w:r>
        <w:rPr>
          <w:rFonts w:ascii="Times New Roman" w:hAnsi="Times New Roman"/>
          <w:sz w:val="30"/>
        </w:rPr>
        <w:t>十六、基金的会计与审计</w:t>
      </w:r>
      <w:bookmarkEnd w:id="18"/>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（一）基金会计政策</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1、基金管理人为本基金的基金会计责任方；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2、基金的会计年度为公历年度的1月1日至12月31日；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3、基金核算以人民币为记账本位币，以人民币元为记账单位；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4、会计制度执行国家有关会计制度；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5、本基金独立建账、独立核算；</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6、基金管理人及基金托管人各自保留完整的会计账目、凭证并进行日常的会计核算，按照有关规定编制基金会计报表；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7、基金托管人每月与基金管理人就基金的会计核算、报表编制等进行核对并以书面方式确认。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（二）基金的年度审计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1、基金管理人聘请与基金管理人、基金托管人相互独立的具有证券、期货相关从业资格的会计师事务所及其注册会计师对本基金的年度财务报表进行审计。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2、会计师事务所更换经办注册会计师，应事先征得基金管理人同意。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3、基金管理人认为有充足理由更换会计师事务所，须通报基金托管人。更换会计师事务所需依照《信息披露办法》的有关规定在指定媒介公告。</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19" w:name="_Toc193101091"/>
      <w:r>
        <w:rPr>
          <w:rFonts w:ascii="Times New Roman" w:hAnsi="Times New Roman"/>
          <w:sz w:val="30"/>
        </w:rPr>
        <w:t>十七、基金的信息披露</w:t>
      </w:r>
      <w:bookmarkEnd w:id="19"/>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（一）本基金的信息披露应符合《基金法》、《运作办法》、《信息披露办法》、《流动性规定》、《基金合同》及其他有关规定。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（二）信息披露义务人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本基金信息披露义务人包括基金管理人、基金托管人、召集基金份额持有人大会的基金份额持有人等法律法规和中国证监会规定的自然人、法人和非法人组织。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本基金信息披露义务人以保护基金份额持有人利益为根本出发点，按照法律法规和中国证监会的规定披露基金信息，并保证所披露信息的真实性、准确性、完整性、及时性、简明性和易得性。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信息披露义务人应当在中国证监会规定时间内，将应予披露的基金信息通过中国证监会指定的全国性报刊（以下简称“指定报刊”）及指定互联网网站（以下简称“指定网站”）等媒介披露，并保证基金投资者能够按照《基金合同》约定的时间和方式查阅或者复制公开披露的信息资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（三）本基金信息披露义务人承诺公开披露的基金信息，不得有下列行为：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1、虚假记载、误导性陈述或者重大遗漏；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2、对证券投资业绩进行预测；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3、违规承诺收益或者承担损失；</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4、诋毁其他基金管理人、基金托管人或者基金销售机构；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5、登载任何自然人、法人和非法人组织的祝贺性、恭维性或推荐性的文字；</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6、中国证监会禁止的其他行为。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（四）本基金公开披露的信息应采用中文文本。如同时采用外文文本的，基金信息披露义务人应保证不同文本的内容一致。不同文本之间发生歧义的，以中文文本为准。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本基金公开披露的信息采用阿拉伯数字；除特别说明外，货币单位为人民币元。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（五）公开披露的基金信息</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公开披露的基金信息包括：</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1、基金招募说明书、《基金合同》、基金托管协议、基金产品资料概要</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（1）《基金合同》是界定《基金合同》当事人的各项权利、义务关系，明确基金份额持有人大会召开的规则及具体程序，说明基金产品的特性等涉及基金投资者重大利益的事项的法律文件。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指定网站上；基金招募说明书其他信息发生变更的，基金管理人至少每年更新一次。基金终止运作的，基金管理人不再更新基金招募说明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（3）基金托管协议是界定基金托管人和基金管理人在基金财产保管及基金运作监督等活动中的权利、义务关系的法律文件。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指定网站及基金销售机构网站或营业网点；基金产品资料概要其他信息发生变更的，基金管理人至少每年更新一次。基金终止运作的，基金管理人不再更新基金产品资料概要。</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基金募集申请经中国证监会注册后，基金管理人在基金份额发售的3日前，将基金招募说明书、《基金合同》摘要登载在指定媒介上；基金管理人、基金托管人应当将《基金合同》、基金托管协议登载在网站上。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2、基金份额发售公告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基金管理人应当就基金份额发售的具体事宜编制基金份额发售公告，并在披露招募说明书的当日登载于指定媒介上。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3、《基金合同》生效公告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基金管理人应当在收到中国证监会确认文件的次日在指定媒介上登载《基金合同》生效公告。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4、基金净值信息</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《基金合同》生效后，在开始办理基金份额申购或者赎回前，基金管理人应当至少每周在指定网站披露一次A/B类基金份额和C类基金份额所对应的基金份额净值和基金份额累计净值。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在开始办理基金份额申购或者赎回后，基金管理人应当在不晚于每个开放日的次日，通过指定网站、基金销售机构网站或者营业网点披露开放日的A/B类基金份额和C类基金份额所对应的基金份额净值和基金份额累计净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基金管理人应当在不晚于半年度和年度最后一日的次日，在指定网站披露半年度和年度最后一日的A/B类基金份额和C类基金份额所对应的基金份额净值和基金份额累计净值。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5、基金份额申购、赎回价格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应当在《基金合同》、招募说明书等信息披露文件上载明基金份额申购、赎回价格的计算方式及有关A类、B类、C类基金份额的申购、赎回费率，并保证投资者能够在基金销售机构网站或营业网点查阅或者复制前述信息资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6、基金定期报告，包括基金年度报告、基金中期报告和基金季度报告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应当在每年结束之日起三个月内，编制完成基金年度报告，将年度报告登载在指定网站上，并将年度报告提示性公告登载在指定报刊上。基金年度报告中的财务会计报告应当经过具有证券、期货相关业务资格的会计师事务所审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基金管理人应当在上半年结束之日起两个月内，编制完成基金中期报告，将中期报告登载在指定网站上，并将中期报告提示性公告登载在指定报刊上。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基金管理人应当在季度结束之日起15个工作日内，编制完成基金季度报告，将季度报告登载在指定网站上，并将季度报告提示性公告登载在指定报刊上。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《基金合同》生效不足2个月的，基金管理人可以不编制当期季度报告、中期报告或者年度报告。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如报告期内出现单一投资者持有基金份额达到或超过基金总份额20%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基金管理人应当在基金年度报告和中期报告中披露基金组合资产情况及其流动性风险分析等。</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7、临时报告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本基金发生重大事件，有关信息披露义务人应当在2日内编制临时报告书，并登载在指定报刊和指定网站上。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前款所称重大事件，是指可能对基金份额持有人权益或者基金份额的价格产生重大影响的下列事件：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（1）基金份额持有人大会的召开及决定的事项；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（2）《基金合同》终止、基金清算；</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（3）转换基金运作方式、基金合并；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（4）更换基金管理人、基金托管人、基金份额登记机构，基金改聘会计师事务所；</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（5）基金管理人委托基金服务机构代为办理基金的份额登记、核算、估值等事项，基金托管人委托基金服务机构代为办理基金的核算、估值、复核等事项；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（6）基金管理人、基金托管人的法定名称、住所发生变更；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（7）基金管理人变更持有百分之五以上股权的股东、基金管理人的实际控制人变更；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（8）基金募集期延长或提前结束募集；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（9）基金管理人的高级管理人员、基金经理和基金托管人专门基金托管部门负责人发生变动；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（10）基金管理人的董事在最近12个月内变更超过百分之五十，基金管理人、基金托管人专门基金托管部门的主要业务人员在最近12个月内变动超过百分之三十；</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（11）涉及基金财产、基金管理业务、基金托管业务的诉讼或仲裁；</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（12）基金管理人或其高级管理人员、基金经理因基金管理业务相关行为受到重大行政处罚、刑事处罚，基金托管人或其专门基金托管部门负责人因基金托管业务相关行为受到重大行政处罚、刑事处罚；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13）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（14）基金收益分配事项；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（15）管理费、托管费、销售服务费、申购费、赎回费等费用计提标准、计提方式和费率发生变更；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（16）任一类基金份额净值计价错误达该类基金份额净值百分之零点五；</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（17）本基金开始办理申购、赎回；</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（18）本基金发生巨额赎回并延期办理；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（19）本基金连续发生巨额赎回并暂停接受赎回申请或延缓支付赎回款项；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（20）本基金暂停接受申购、赎回申请或重新接受申购、赎回申请；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（21）转为开放式运作后发生涉及基金申购、赎回事项调整或潜在影响投资者赎回等重大事项时；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（22）基金信息披露义务人认为可能对基金份额持有人权益或者基金份额的价格产生重大影响的其他事项或中国证监会规定的其他事项。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8、澄清公告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并将有关情况立即报告中国证监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9、基金份额持有人大会决议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基金份额持有人大会决定的事项，应当依法报中国证监会备案，并予以公告。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基金份额持有人依法自行召集基金份额持有人大会，基金管理人、基金托管人对基金份额持有人大会决定的事项不依法履行信息披露义务的，召集人应当履行相关信息披露义务。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10、清算报告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合同终止的，基金管理人应当依法组织清算组对基金财产进行清算并作出清算报告。清算报告应当经过具有证券、期货相关业务资格的会计师事务所审计，并由律师事务所出具法律意见书。清算组应当将清算报告登载在指定网站上，并将清算报告提示性公告登载在指定报刊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11、实施侧袋机制期间的信息披露</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本基金实施侧袋机制的，相关信息披露义务人应当根据法律法规、基金合同和招募说明书的规定进行信息披露，详见本招募说明书“侧袋机制”部分的规定。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12、中国证监会规定的其他信息。</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（六）信息披露事务管理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基金管理人、基金托管人应当建立健全信息披露管理制度，指定专门部门及高级管理人员负责管理信息披露事务。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基金信息披露义务人公开披露基金信息，应当符合中国证监会相关基金信息披露内容与格式准则等法律法规规定。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托管人应当按照相关法律法规、中国证监会的规定和《基金合同》的约定，对基金管理人编制的基金资产净值、基金份额净值、基金份额申购赎回价格、基金定期报告、更新的招募说明书、基金产品资料概要、基金清算报告等公开披露的相关基金信息进行复核、审查，并向基金管理人进行书面或电子确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基金管理人、基金托管人应当在指定报刊中选择一家报刊披露本基金信息。基金管理人、基金托管人应当向中国证监会基金电子披露网站报送拟披露的基金信息，并保证相关报送信息的真实、准确、完整、及时。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基金管理人、基金托管人除依法在指定媒介上披露信息外，还可以根据需要在其他公共媒介披露信息，但是其他公共媒介不得早于指定媒介披露信息，并且在不同媒介上披露同一信息的内容应当一致。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为基金信息披露义务人公开披露的基金信息出具审计报告、法律意见书的专业机构，应当制作工作底稿，并将相关档案至少保存到《基金合同》终止后10年。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（七）信息披露文件的存放与查阅</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依法必须披露的信息发布后，基金管理人、基金托管人应当按照相关法律法规规定将信息置备于各自住所，供社会公众查阅、复制。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（八）本基金信息披露事项以法律法规规定及本章节约定的内容为准。</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20" w:name="_Toc193101092"/>
      <w:r>
        <w:rPr>
          <w:rFonts w:ascii="Times New Roman" w:hAnsi="Times New Roman"/>
          <w:sz w:val="30"/>
        </w:rPr>
        <w:t>十八、侧袋机制</w:t>
      </w:r>
      <w:bookmarkEnd w:id="20"/>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（一）侧袋机制的实施条件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基金管理人应当在启用侧袋机制后及时发布临时公告，并在五个工作日内聘请侧袋机制启用日发表意见且符合《中华人民共和国证券法》规定的会计师事务所进行审计并披露专项审计意见。</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（二）实施侧袋机制期间基金份额的申购与赎回</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启用侧袋机制当日，基金登记机构以基金份额持有人的原有账户份额为基础，确认相应侧袋账户基金份额持有人名册和份额；当日收到的申购申请，按照启用侧袋机制后的主袋账户份额办理；当日收到的赎回申请，仅办理主袋账户的赎回申请并支付赎回款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2、实施侧袋机制期间，基金管理人不办理侧袋账户份额的申购、赎回和转换；同时，基金管理人按照基金合同和招募说明书的约定办理主袋账户份额的赎回，并根据主袋账户运作情况确定是否暂停申购。</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除基金管理人应按照主袋账户的份额净值办理主袋账户份额的申购和赎回外，本招募说明书“基金份额的申购与赎回”部分的申购、赎回规定适用于主袋账户份额。巨额赎回按照单个开放日内主袋账户份额净赎回申请超过前一开放日主袋账户总份额的10%认定。</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（三）实施侧袋机制期间的基金投资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侧袋机制实施期间，招募说明书“基金的投资”部分约定的投资组合比例、投资策略、组合限制、业绩比较基准、风险收益特征等约定仅适用于主袋账户。基金管理人计算各项投资运作指标和基金业绩指标时仅需考虑主袋账户资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基金管理人原则上应当在侧袋机制启用后20个交易日内完成对主袋账户投资组合的调整，因资产流动性受限等中国证监会规定的情形除外。</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基金管理人不得在侧袋账户中进行除特定资产处置变现以外的其他投资操作。</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（四）实施侧袋机制期间的基金估值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本基金实施侧袋机制的，基金管理人和基金托管人应对主袋账户资产进行估值并披露主袋账户的基金净值信息，暂停披露侧袋账户份额净值。侧袋账户的会计核算应符合《企业会计准则》的相关要求。</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（五）实施侧袋账户期间的基金费用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1、本基金实施侧袋机制的，管理费和托管费按主袋账户基金资产净值作为基数计提。</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2、与侧袋账户有关的费用可从侧袋账户中列支，但应待侧袋账户资产变现后方可列支，有关费用可酌情收取或减免，但不得收取管理费。</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（六）侧袋账户中特定资产的处置变现和支付</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特定资产以可出售、可转让、恢复交易等方式恢复流动性后，基金管理人应当按照基金份额持有人利益最大化原则，采取将特定资产予以处置变现等方式，及时向侧袋账户份额持有人支付对应变现款项。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侧袋机制实施期间，无论侧袋账户资产是否全部完成变现，基金管理人都应当及时向侧袋账户全部份额持有人支付已变现部分对应的款项。若侧袋账户资产无法一次性完成处置变现，基金管理人在每次处置变现后均应按照相关法律法规要求及时发布临时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侧袋账户资产全部完成变现并终止侧袋机制后，基金管理人应及时聘请符合《中华人民共和国证券法》规定的会计师事务所进行审计并披露专项审计意见。</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（七）侧袋机制的信息披露</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1、临时公告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在启用侧袋机制、处置特定资产、终止侧袋机制以及发生其他可能对投资者利益产生重大影响的事项后基金管理人应及时发布临时公告。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2、基金净值信息</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基金管理人应按照招募说明书“基金的信息披露”部分规定的基金净值信息披露方式和频率披露主袋账户份额的基金净值信息。实施侧袋机制期间本基金暂停披露侧袋账户份额净值和累计净值。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3、定期报告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侧袋机制实施期间，基金管理人应当在基金定期报告中披露报告期内侧袋账户相关信息，基金定期报告中的基金会计报表仅需针对主袋账户进行编制。会计师事务所对基金年度报告进行审计时，应对报告期内基金侧袋机制运行相关的会计核算和年度报告披露等发表审计意见。</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21" w:name="_Toc193101093"/>
      <w:r>
        <w:rPr>
          <w:rFonts w:ascii="Times New Roman" w:hAnsi="Times New Roman"/>
          <w:sz w:val="30"/>
        </w:rPr>
        <w:t>十九、风险揭示</w:t>
      </w:r>
      <w:bookmarkEnd w:id="21"/>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证券投资基金（以下简称“基金”）是一种长期投资工具，其主要功能是分散投资，降低投资单一证券所带来的个别风险。基金不同于银行储蓄和债券等能够提供固定收益预期的金融工具，投资人购买基金，既可能按其持有份额分享基金投资所产生的收益，也可能承担基金投资所带来的损失。</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在投资运作过程中可能面临各种风险，既包括市场风险，也包括基金自身的管理风险、技术风险和合规风险等。巨额赎回风险是开放式基金所特有的一种风险，即当单个交易日基金的净赎回申请（赎回申请份额总数加上基金转换中转出申请份额总数扣除申购申请份额总数及基金转换中转入申请份额总数后的余额）超过基金总份额的百分之十时，投资人将可能无法及时赎回持有的全部基金份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分为股票型基金、混合型基金、债券型基金、货币市场基金等不同类型，投资人投资不同类型的基金将获得不同的收益预期，也将承担不同程度的风险。一般来说，基金的收益预期越高，投资人承担的风险也越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投资人应当认真阅读《基金合同》、《招募说明书》、基金产品资料概要等基金法律文件，了解基金的风险收益特征，并根据自身的投资目的、投资期限、投资经验、资产状况等判断基金是否和投资人的风险承受能力相适应，自主判断基金的投资价值，自主做出投资决策，自行承担投资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因拆分、封转开、分红等行为导致基金份额净值变化，不会改变基金的风险收益特征，不会降低基金投资风险或提高基金投资收益。以1元初始面值开展基金募集或因拆分、封转开、分红等行为导致基金份额净值调整至1元初始面值或1元附近，在市场波动等因素的影响下，基金投资仍有可能出现亏损或基金净值仍有可能低于初始面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承诺以诚实信用、勤勉尽责的原则管理和运用基金资产，但不保证本基金一定盈利，也不保证最低收益。基金管理人管理的其他基金的业绩不构成对本基金业绩表现的保证。基金管理人提醒投资人基金投资的“买者自负”原则，在做出投资决策后，基金运营状况与基金净值变化引致的投资风险，由投资人自行负担。</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基金份额持有人须了解并承受以下风险：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（一）市场风险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证券市场价格因受到经济因素、政治因素、投资心理和交易制度等各种因素的影响而引起的波动，将对基金收益水平产生潜在风险，主要包括：</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1、政策风险。因国家宏观政策（如货币政策、财政政策、行业政策、地区发展政策等）和证券市场监管政策发生变化，导致市场价格波动而产生风险。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2、经济周期风险。证券市场受宏观经济运行的影响，而经济运行具有周期性的特点，宏观经济运行状况将对证券市场的收益水平产生影响，从而对基金收益造成影响。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利率风险。金融市场利率的波动会导致证券市场价格和收益率的变动。利率直接影响着债券的价格和收益率，影响着企业的融资成本和利润。基金投资于债券和债券回购，其收益水平会受到利率变化和货币市场供求状况的影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4、信用风险。基金所投资债券的发行人如果不能或拒绝支付到期本息，或者不能履行合约规定的其它义务，或者其信用等级降低，将会导致债券价格下降，进而造成基金资产损失，从而产生风险。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5、购买力风险。基金投资的目的是基金资产的保值增值，如果发生通货膨胀，基金投资于证券所获得的收益可能会被通货膨胀抵消，从而使基金的实际收益下降，影响基金资产的保值增值。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6、债券收益率曲线变动风险。是指收益率曲线没有按预期变化导致基金投资决策出现偏差。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再投资风险。该风险与利率风险互为消长。当市场利率下降时，基金所持有的债券价格会上涨，而基金将投资于固定收益类金融工具所得的利息收入进行再投资将获得较低的收益率，再投资的风险加大；反之，当市场利率上升时，基金所持有的债券价格会下降，利率风险加大，但是利息的再投资收益会上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8、经营风险。它与基金所投资债券的发行人的经营活动所引起的收入现金流的不确定性有关。债券发行人期间运营收入变化越大，经营风险就越大；反之，运营收入越稳定，经营风险就越小。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上市公司经营风险。上市公司的经营状况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债券回购风险。债券回购为提升整体基金组合收益提供了可能，但也存在一定的风险。债券回购的主要风险包括信用风险、投资风险及波动性加大的风险，其中，信用风险指回购交易中交易对手在回购到期时，不能偿还全部或部分证券或价款，造成基金净值损失的风险；投资风险是指在进行回购操作时，回购利率大于债券投资收益而导致的风险以及由于回购操作导致投资总量放大，致使整个组合风险放大的风险；而波动性加大的风险是指在进行回购操作时，在对基金组合收益进行放大的同时，也对基金组合的波动性（标准差）进行了放大，即基金组合的风险将会加大。回购比例越高，风险暴露程度也就越高，对基金净值造成损失的可能性也就越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（二）管理风险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在基金管理运作过程中基金管理人的知识、经验、判断、决策、技能等，会影响其对信息的占有和对经济形势、证券价格走势的判断，从而影响基金收益水平。因此，本基金的收益水平与基金管理人的管理水平、管理手段和管理技术等相关性较大，本基金可能因为基金管理人的因素而影响基金收益水平。</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（三）流动性风险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指基金资产不能迅速转变成现金，或者不能应付开放期可能出现的投资者大额赎回的风险。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在本基金转为开放式运作后，在交易过程中，可能会发生巨额赎回的情形。巨额赎回可能会产生基金仓位调整的困难，导致流动性风险，甚至影响基金份额净值。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1、本基金的申购、赎回安排</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在开放日办理基金份额的申购和赎回，具体办理时间为上海证券交易所、深圳证券交易所的正常交易日的交易时间，但基金管理人根据法律法规、中国证监会的要求或基金合同的规定公告暂停申购、赎回时除外。</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2、投资市场、行业及资产的流动性风险评估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的投资市场主要为证券交易所、全国银行间债券市场等流动性较好的规范型交易场所，主要投资对象为具有良好流动性的金融工具，同时本基金基于分散投资的原则在个券方面未有高集中度的特征，综合评估在正常市场环境下本基金的流动性风险适中。</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3、巨额赎回情形下的流动性风险管理措施</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当基金出现巨额赎回时，基金管理人可以根据基金当时的资产组合状况决定全额赎回或部分延期赎回。</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（1）全额赎回：当基金管理人认为有能力支付投资人的全部赎回申请时，按正常赎回程序执行。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发生巨额赎回且单个基金份额持有人的赎回申请超过上一日基金总份额20%的情形下，基金管理人有权采取如下措施：对于该类基金份额持有人当日超过20%的赎回申请，可以对其赎回申请延期办理；对于该类基金份额持有人未超过上述比例的部分，基金管理人可以根据前段“（1）全额赎回”或“（2）部分延期赎回”的约定方式与其他基金份额持有人的赎回申请一并办理。但是，如该类基金份额持有人在当日选择取消赎回，则其当日未获受理的部分赎回申请将被撤销。</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暂停赎回：连续2日以上（含本数）发生巨额赎回，如基金管理人认为有必要，可暂停接受基金的赎回申请；已经接受的赎回申请可以延缓支付赎回款项，但不得超过20个工作日，并应当在指定媒介上进行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4、实施备用的流动性风险管理工具的情形、程序及对投资者的潜在影响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本基金在面临大规模赎回的情况下有可能因为无法变现造成流动性风险。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如果出现流动性风险，基金管理人经与基金托管人协商，在确保投资者得到公平对待的前提下，可实施备用的流动性风险管理工具，包括但不限于延期办理巨额赎回申请、暂停接受赎回申请、延缓支付赎回款项、收取短期赎回费、暂停基金估值、实施侧袋机制等，作为特定情形下基金管理人流动性风险管理的辅助措施，同时基金管理人应时刻防范可能产生的流动性风险，对流动性风险进行日常监控，保护持有人的利益。当实施备用的流动性风险管理工具时，有可能无法按合同约定的时限支付赎回款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侧袋机制是一种流动性风险管理工具，是将特定资产分离至专门的侧袋账户进行处置清算，并以处置变现后的款项向基金份额持有人进行支付，目的在于有效隔离并化解风险。但基金启用侧袋机制后，侧袋账户份额将停止披露基金份额净值，并不得办理申购、赎回和转换，因此启用侧袋机制时持有基金份额的持有人将在启用侧袋机制后同时持有主袋账户份额和侧袋账户份额，侧袋账户份额不能赎回，其对应特定资产的变现时间具有不确定性，最终变现价格也具有不确定性并且有可能大幅低于启用侧袋机制时的特定资产的估值，基金份额持有人可能因此面临损失。</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实施侧袋机制期间，因本基金不披露侧袋账户份额的净值，即便基金管理人在基金定期报告中披露报告期末特定资产可变现净值或净值区间的，也不作为特定资产最终变现价格的承诺，因此对于特定资产的公允价值和最终变现价格，基金管理人不承担任何保证和承诺的责任。</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基金管理人将根据主袋账户运作情况合理确定申购政策，因此实施侧袋机制后主袋账户份额存在暂停申购的可能。</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启用侧袋机制后，基金管理人计算各项投资运作指标和基金业绩指标时仅需考虑主袋账户资产，基金业绩指标应当以主袋账户资产为基准，因此本基金披露的业绩指标不能反映特定资产的真实价值及变化情况。</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（四）交易对手违约风险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交易对手违约风险是指当债券、票据或债券回购等交易对手违约时，将直接导致基金资产的损失，或导致基金不能及时抓住市场机会，对投资收益产生影响。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（五）本基金的特有风险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1、本基金为债券型基金，投资于债券资产的比例不低于基金资产的80%，因投资固定收益类资产而面临固定收益类资产市场的系统性风险和个券风险；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对宏观经济趋势、政策以及债券市场基本面研究是否准确、深入，以及对企业债券的优选和判断是否科学、准确将影响本基金的收益。基本面研究及企业债券分析的错误均可能导致所选择的证券不能完全符合本基金的预期目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特有的流动性风险。本基金为封闭两年运作，之后转为开放式运作（按照基金合同约定提前转换基金运作方式的情形除外）。本基金在封闭期内不办理申购赎回业务，也不上市交易，从而可能无法满足投资者的短期流动性需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4、基金合同提前终止风险。基金资产净值连续二十个工作日低于1亿元时，基金管理人可向中国证监会报告并提前终止基金合同，不需召开基金份额持有人大会。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（六）其他风险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1、因技术因素而产生的风险，如电脑系统不可靠产生的风险；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2、因基金业务快速发展，在制度建设、人员配备、内控制度建立等方面的不完善产生的风险；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3、因人为因素而产生的风险、如内幕交易、欺诈行为等产生的风险；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4、对主要业务人员如基金经理的依赖而可能产生的风险；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5、因业务竞争压力可能产生的风险；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6、战争、自然灾害等不可抗力可能导致基金财产的损失，影响基金收益水平，从而带来风险；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7、其他意外导致的风险。</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22" w:name="_Toc193101094"/>
      <w:r>
        <w:rPr>
          <w:rFonts w:ascii="Times New Roman" w:hAnsi="Times New Roman"/>
          <w:sz w:val="30"/>
        </w:rPr>
        <w:t>二十、基金合同的变更、终止与基金财产的清算</w:t>
      </w:r>
      <w:bookmarkEnd w:id="22"/>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（一）《基金合同》的变更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变更基金合同涉及法律法规规定或基金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2、关于《基金合同》变更的基金份额持有人大会决议生效后方可执行，并自决议生效后依照《信息披露办法》的规定在指定媒介公告。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（二）《基金合同》的终止事由</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有下列情形之一的，《基金合同》应当终止：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1、基金份额持有人大会决定终止的；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2、基金管理人、基金托管人职责终止，在6个月内没有新基金管理人、新基金托管人承接的；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3、若基金资产净值连续20个工作日低于1亿元，本基金管理人可向中国证监会报告并提前终止基金合同，不需召开基金份额持有人大会；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4、若基金份额持有人数量连续60个工作日达不到200人或基金资产净值连续60个工作日低于5000万元，本基金管理人将向中国证监会报告并提前终止基金合同，不需召开基金份额持有人大会；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5、《基金合同》约定的其他情形；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6、相关法律法规和中国证监会规定的其他情况。</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（三）基金财产的清算</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1、基金财产清算小组：自出现《基金合同》终止事由之日起30个工作日内成立清算小组，基金管理人组织基金财产清算小组并在中国证监会的监督下进行基金清算。</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3、基金财产清算小组职责：基金财产清算小组负责基金财产的保管、清理、估价、变现和分配。基金财产清算小组可以依法进行必要的民事活动。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4、基金财产清算程序：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（1）《基金合同》终止情形出现时，由基金财产清算小组统一接管基金财产；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（2）对基金财产和债权债务进行清理和确认；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（3）对基金财产进行估值和变现；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（4）制作清算报告；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（5）聘请会计师事务所对清算报告进行外部审计，聘请律师事务所对清算报告出具法律意见书；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（6）将清算报告报中国证监会备案并公告；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（7）对基金剩余财产进行分配。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5、基金财产清算的期限为6个月，若遇基金持有的有价证券出现长期休市、停牌或其他流通受限的情形除外。</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（四）清算费用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清算费用是指基金财产清算小组在进行基金清算过程中发生的所有合理费用，清算费用由基金财产清算小组优先从基金财产中支付。</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（五）基金财产清算剩余资产的分配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依据基金财产清算的分配方案，将基金财产清算后的全部剩余资产扣除基金财产清算费用、交纳所欠税款并清偿基金债务后，按基金份额持有人持有的基金份额比例进行分配。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（六）基金财产清算的公告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（七）基金财产清算账册及文件的保存</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基金财产清算账册及有关文件由基金托管人保存15年以上。</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23" w:name="_Toc193101095"/>
      <w:r>
        <w:rPr>
          <w:rFonts w:ascii="Times New Roman" w:hAnsi="Times New Roman"/>
          <w:sz w:val="30"/>
        </w:rPr>
        <w:t>二十一、基金合同内容摘要</w:t>
      </w:r>
      <w:bookmarkEnd w:id="23"/>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（一）基金份额持有人、基金管理人和基金托管人的权利、义务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1、基金管理人的权利与义务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（1）根据《基金法》、《运作办法》及其他有关规定，基金管理人的权利包括但不限于：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1）依法募集资金；</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2）自《基金合同》生效之日起，根据法律法规和《基金合同》独立运用并管理基金财产；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3）依照《基金合同》收取基金管理费以及法律法规规定或中国证监会批准的其他费用；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4）销售基金份额；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5）按照规定召集基金份额持有人大会；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6）依据《基金合同》及有关法律规定监督基金托管人，如认为基金托管人违反了《基金合同》及国家有关法律规定，应呈报中国证监会和其他监管部门，并采取必要措施保护基金投资者的利益；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7）在基金托管人更换时，提名新的基金托管人；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8）选择、更换基金销售机构，对基金销售机构的相关行为进行监督和处理；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9）担任或委托其他符合条件的机构担任基金登记机构办理基金登记业务并获得《基金合同》规定的费用；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10）依据《基金合同》及有关法律规定决定基金收益的分配方案；</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11）在《基金合同》约定的范围内，拒绝或暂停受理申购与赎回申请；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12）依照法律法规为基金的利益行使因基金财产投资于证券所产生的权利；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13）在法律法规允许的前提下，为基金的利益依法为基金进行融资融券；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14）以基金管理人的名义，代表基金份额持有人的利益行使诉讼权利或者实施其他法律行为；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15）选择、更换律师事务所、会计师事务所、证券经纪商或其他为基金提供服务的外部机构；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16）在符合有关法律、法规的前提下，制定和调整有关基金认购、申购、赎回、转换和非交易过户等的业务规则；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17）法律法规及中国证监会规定的和《基金合同》约定的其他权利。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（2）根据《基金法》、《运作办法》及其他有关规定，基金管理人的义务包括但不限于：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1）依法募集资金，办理或者委托经中国证监会认定的其他机构代为办理基金份额的发售、申购、赎回和登记事宜；</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2）办理基金备案手续；</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3）自《基金合同》生效之日起，以诚实信用、谨慎勤勉的原则管理和运用基金财产；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4）配备足够的具有专业资格的人员进行基金投资分析、决策，以专业化的经营方式管理和运作基金财产；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5）建立健全内部风险控制、监察与稽核、财务管理及人事管理等制度，保证所管理的基金财产和基金管理人的财产相互独立，对所管理的不同基金分别管理，分别记账，进行证券投资；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6）除依据《基金法》、《基金合同》及其他有关规定外，不得利用基金财产为自己及任何第三人谋取利益，不得委托第三人运作基金财产；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7）依法接受基金托管人的监督；</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8）采取适当合理的措施使计算基金份额认购、申购、赎回和注销价格的方法符合《基金合同》等法律文件的规定，按有关规定计算并公告基金净值信息，确定基金份额申购、赎回的价格；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9）进行基金会计核算并编制基金财务会计报告；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10）编制季度报告、中期报告和年度报告；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11）严格按照《基金法》、《基金合同》及其他有关规定，履行信息披露及报告义务；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12）保守基金商业秘密，不泄露基金投资计划、投资意向等。除《基金法》、《基金合同》及其他有关规定另有规定外，在基金信息公开披露前应予保密，不向他人泄露；</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13）按《基金合同》的约定确定基金收益分配方案，及时向基金份额持有人分配基金收益；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14）按规定受理申购与赎回申请，及时、足额支付赎回款项；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15）依据《基金法》、《基金合同》及其他有关规定召集基金份额持有人大会或配合基金托管人、基金份额持有人依法召集基金份额持有人大会；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16）按规定保存基金财产管理业务活动的会计账册、报表、记录和其他相关资料15年以上；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18）组织并参加基金财产清算小组，参与基金财产的保管、清理、估价、变现和分配；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19）面临解散、依法被撤销或者被依法宣告破产时，及时报告中国证监会并通知基金托管人；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20）因违反《基金合同》导致基金财产的损失或损害基金份额持有人合法权益时，应当承担赔偿责任，其赔偿责任不因其退任而免除；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21）监督基金托管人按法律法规和《基金合同》规定履行自己的义务，基金托管人违反《基金合同》造成基金财产损失时，基金管理人应为基金份额持有人利益向基金托管人追偿；</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22）当基金管理人将其义务委托第三方处理时，应当对第三方处理有关基金事务的行为承担责任；</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23）以基金管理人名义，代表基金份额持有人利益行使诉讼权利或实施其他法律行为；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24）基金管理人在募集期间未能达到基金的备案条件，《基金合同》不能生效，基金管理人承担因募集行为而产生的债务和费用，将已募集资金并加计银行同期活期存款利息在基金募集期结束后30日内退还基金认购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25）执行生效的基金份额持有人大会的决议；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26）建立并保存基金份额持有人名册；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27）法律法规及中国证监会规定的和《基金合同》约定的其他义务。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2、基金托管人的权利与义务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（1）根据《基金法》、《运作办法》及其他有关规定，基金托管人的权利包括但不限于：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1）自《基金合同》生效之日起，依法律法规和《基金合同》的规定安全保管基金财产；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2）依《基金合同》约定获得基金托管费以及法律法规规定或监管部门批准的其他费用；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4）根据相关市场规则，为基金开设资金账户、证券账户等投资所需账户、为基金办理证券交易资金清算；</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5）提议召开或召集基金份额持有人大会；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6）在基金管理人更换时，提名新的基金管理人；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7）法律法规及中国证监会规定的和《基金合同》约定的其他权利。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（2）根据《基金法》、《运作办法》及其他有关规定，基金托管人的义务包括但不限于：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1）以诚实信用、勤勉尽责的原则持有并安全保管基金财产；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2）设立专门的基金托管部门，具有符合要求的营业场所，配备足够的、合格的熟悉基金托管业务的专职人员，负责基金财产托管事宜；</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4）除依据《基金法》、《基金合同》及其他有关规定外，不得利用基金财产为自己及任何第三人谋取利益，不得委托第三人托管基金财产；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5）保管由基金管理人代表基金签订的与基金有关的重大合同及有关凭证；</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6）按规定开设基金财产的资金账户和证券账户等投资所需账户，按照《基金合同》的约定，根据基金管理人的投资指令，及时办理清算、交割事宜；</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7）保守基金商业秘密，除《基金法》、《基金合同》及其他有关规定另有规定外，在基金信息公开披露前予以保密，不得向他人泄露；</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8）复核、审查基金管理人计算的基金净值信息、基金份额申购、赎回价格；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9）办理与基金托管业务活动有关的信息披露事项；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11）保存基金托管业务活动的记录、账册、报表和其他相关资料15年以上；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12）建立并保存基金份额持有人名册；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13）按规定制作相关账册并与基金管理人核对；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14）依据基金管理人的指令或有关规定向基金份额持有人支付基金收益和赎回款项；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15）依据《基金法》、《基金合同》及其他有关规定，召集基金份额持有人大会或配合基金管理人、基金份额持有人依法召集基金份额持有人大会；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16）按照法律法规和《基金合同》的规定监督基金管理人的投资运作；</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17）参加基金财产清算小组，参与基金财产的保管、清理、估价、变现和分配；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18）面临解散、依法被撤销或者被依法宣告破产时，及时报告中国证监会和银行业监督管理机构，并通知基金管理人；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19）因违反《基金合同》导致基金财产损失时，应承担赔偿责任，其赔偿责任不因其退任而免除；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20）按规定监督基金管理人按法律法规和《基金合同》规定履行自己的义务，基金管理人因违反《基金合同》造成基金财产损失时，应为基金份额持有人利益向基金管理人追偿；</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21）执行生效的基金份额持有人大会的决议；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22）法律法规及中国证监会规定的和《基金合同》约定的其他义务。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3、基金份额持有人的权利与义务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投资者持有本基金基金份额的行为即视为对《基金合同》的承认和接受，基金投资者自依据《基金合同》取得本基金的基金份额，即成为本基金份额持有人和《基金合同》的当事人，直至其不再持有本基金的基金份额。基金份额持有人作为《基金合同》当事人并不以在《基金合同》上书面签章或签字为必要条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同一类别每份基金份额具有同等的合法权益。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（1）根据《基金法》、《运作办法》及其他有关规定，基金份额持有人的权利包括但不限于：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1）分享基金财产收益；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2）参与分配清算后的剩余基金财产；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3）依法并按照基金合同和招募说明书的规定申请赎回或转让其持有的基金份额；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4）按照规定要求召开基金份额持有人大会或者召集基金份额持有人大会；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5）出席或者委派代表出席基金份额持有人大会，对基金份额持有人大会审议事项行使表决权；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6）查阅或者复制公开披露的基金信息资料；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7）监督基金管理人的投资运作；</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8）对基金管理人、基金托管人、基金服务机构损害其合法权益的行为依法提起诉讼或仲裁；</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9）法律法规及中国证监会规定的和《基金合同》约定的其他权利。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（2）根据《基金法》、《运作办法》及其他有关规定，基金份额持有人的义务包括但不限于：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1）认真阅读并遵守《基金合同》、招募说明书等信息披露文件；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2）了解所投资基金产品，了解自身风险承受能力，自主判断基金的投资价值，自主做出投资决策，自行承担投资风险；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3）关注基金信息披露，及时行使权利和履行义务；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4）缴纳基金认购、申购款项及法律法规和《基金合同》所规定的费用；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5）在其持有的基金份额范围内，承担基金亏损或者《基金合同》终止的有限责任；</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6）不从事任何有损基金及其他《基金合同》当事人合法权益的活动；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7）执行生效的基金份额持有人大会的决议；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8）返还在基金交易过程中因任何原因获得的不当得利；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9）遵守基金管理人、基金托管人、销售机构和登记机构的相关交易及业务规则；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10）提供基金管理人和监管机构依法要求提供的信息，以及不时的更新和补充，并保证其真实性；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11）法律法规及中国证监会规定的和《基金合同》约定的其他义务。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（二）基金份额持有人大会召集、议事及表决的程序和规则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基金份额持有人大会由基金份额持有人组成，基金份额持有人的合法授权代表有权代表基金份额持有人出席会议并表决。基金份额持有人持有的每一基金份额拥有平等的投票权。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本基金份额持有人大会未设日常机构。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1、召开事由</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（1）当出现或需要决定下列事由之一的，应当召开基金份额持有人大会：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1）终止《基金合同》，法律法规、《基金合同》和中国证监会另有规定的除外；</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2）更换基金管理人；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3）更换基金托管人；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4）转换基金运作方式，本基金基金合同生效满两年封闭期结束后直接转为开放式运作方式以及法律法规和中国证监会另有规定的除外；</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5）提高基金管理人、基金托管人的报酬标准和提高销售服务费，但法律法规要求提高该等报酬标准的除外；</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6）变更基金类别；</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7）本基金与其他基金的合并，法律法规和中国证监会另有规定的除外；</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8）变更基金投资目标、范围或策略，但在本基金基金合同生效满两年封闭期结束后直接转为开放式运作后依据基金合同变更投资策略以及法律法规和中国证监会另有规定的除外；</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9）变更基金份额持有人大会程序，法律法规和中国证监会另有规定的除外；</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10）基金管理人或基金托管人要求召开基金份额持有人大会；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11）单独或合计持有本基金总份额10%以上（含10%）基金份额的基金份额持有人（以基金管理人收到提议当日的基金份额计算，下同）就同一事项书面要求召开基金份额持有人大会；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12）对基金合同当事人权利和义务产生重大影响的其他事项；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13）法律法规、《基金合同》或中国证监会规定的其他应当召开基金份额持有人大会的事项。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（2）以下情况可由基金管理人和基金托管人协商后修改，不需召开基金份额持有人大会：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1）调低基金管理费、基金托管费、销售服务费和其他应由本基金或基金份额持有人承担的费用；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2）法律法规要求增加的基金费用的收取；</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3）在符合法律法规及本基金合同规定、并且对基金份额持有人利益无实质不利影响的前提下，调整本基金的申购费率、调低赎回费率、变更或增加收费方式；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4）因相应的法律法规发生变动而应当对《基金合同》进行修改；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5）对《基金合同》的修改对基金份额持有人利益无实质性不利影响或修改不涉及《基金合同》当事人权利义务关系发生重大变化；</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6）在符合法律法规及本基金合同规定、并且对基金份额持有人利益无实质不利影响的前提下，基金推出新业务或服务；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7）在符合法律法规及本基金合同规定、并且对基金份额持有人利益无实质不利影响的前提下，调整本基金份额类别的设置；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8）在不违反法律法规及对基金份额持有人利益无实质性不利影响的前提下，基金管理人、登记机构、销售机构调整有关基金认购、申购、赎回、转换、收益分配、非交易过户、转托管等业务的规则；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9）按照法律法规和《基金合同》规定不需召开基金份额持有人大会的以外的其他情形。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合同生效后的存续期内，若基金资产净值连续20个工作日低于1亿元，本基金管理人可向中国证监会报告并提前终止本基金合同，不需召开基金份额持有人大会。若基金份额持有人数量连续60个工作日达不到200人或基金资产净值连续60个工作日低于5000万元，本基金管理人将向中国证监会报告并提前终止本基金合同，不需召开基金份额持有人大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2、会议召集人及召集方式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（1）除法律法规规定或《基金合同》另有约定外，基金份额持有人大会由基金管理人召集；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（2）基金管理人未按规定召集或不能召集时，由基金托管人召集；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60日内召开；基金管理人决定不召集，基金托管人仍认为有必要召开的，应当由基金托管人自行召集，并自出具书面决定之日起60日内召开并告知基金管理人，基金管理人应当配合；</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（6）基金份额持有人会议的召集人负责选择确定开会时间、地点、方式和权益登记日。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3、召开基金份额持有人大会的通知时间、通知内容、通知方式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（1）召开基金份额持有人大会，召集人应于会议召开前30日，在指定媒介公告。基金份额持有人大会通知应至少载明以下内容：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1）会议召开的时间、地点和会议形式；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2）会议拟审议的事项、议事程序和表决方式；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3）有权出席基金份额持有人大会的基金份额持有人的权益登记日；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4）授权委托证明的内容要求（包括但不限于代理人身份，代理权限和代理有效期限等）、送达时间和地点；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5）会务常设联系人姓名及联系电话；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6）出席会议者必须准备的文件和必须履行的手续；</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7）召集人需要通知的其他事项。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4、基金份额持有人出席会议的方式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基金份额持有人大会可通过现场开会方式、通讯开会方式或法律法规和监管机关允许的其他方式召开，会议的召开方式由会议召集人确定。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基金份额应不少于在权益登记日基金总份额的三分之一（含三分之一）。</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（2）通讯开会。通讯开会系指基金份额持有人将其对表决事项的投票以书面形式在表决截至日以前送达至召集人指定的地址。通讯开会应以书面方式进行表决。</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在同时符合以下条件时，通讯开会的方式视为有效：</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1）会议召集人按《基金合同》约定公布会议通知后，在2个工作日内连续公布相关提示性公告；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本人直接出具书面意见或授权他人代表出具书面意见的，基金份额持有人所持有的基金份额不小于在权益登记日基金总份额的二分之一（含二分之一）；若本人直接出具书面意见或授权他人代表出具书面意见的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基金总份额三分之一以上（含三分之一）基金份额的持有人直接出具书面意见或授权他人代表出具书面意见；</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上述第3）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在法律法规和监管机关允许的情况下，经会议通知载明，本基金可采用网络、电话、短信等其他非书面方式由基金份额持有人向其授权代表进行授权；本基金亦可采用网络、电话、短信等其他非现场方式或者以非现场方式与现场方式结合的方式召开基金份额持有人大会并表决，会议程序比照现场开会和通讯方式开会的程序进行。基金份额持有人可以采用书面、网络、电话、短信或其他方式进行表决，具体方式由会议召集人确定并在会议通知中列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5、议事内容与程序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（1）议事内容及提案权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议事内容为关系基金份额持有人利益的重大事项，如《基金合同》的重大修改、决定终止《基金合同》、更换基金管理人、更换基金托管人、与其他基金合并（法律法规、基金合同和中国证监会另有规定的除外）、法律法规及《基金合同》规定的其他事项以及会议召集人认为需提交基金份额持有人大会讨论的其他事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基金份额持有人大会的召集人发出召集会议的通知后，对原有提案的修改应当在基金份额持有人大会召开前及时公告。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基金份额持有人大会不得对未事先公告的议事内容进行表决。</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（2）议事程序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1）现场开会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在现场开会的方式下，首先由大会主持人按照下列第7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作出的决议的效力。</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会议召集人应当制作出席会议人员的签名册。签名册载明参加会议人员姓名（或单位名称）、身份证明文件号码、持有或代表有表决权的基金份额、委托人姓名（或单位名称）和联系方式等事项。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2）通讯开会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在通讯开会的情况下，首先由召集人提前30日公布提案，在所通知的表决截止日期后2个工作日内在公证机关监督下由召集人统计全部有效表决，在公证机关监督下形成决议。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6、表决</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基金份额持有人所持每份基金份额有一票表决权。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基金份额持有人大会决议分为一般决议和特别决议：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特别决议，特别决议应当经参加大会的基金份额持有人或其代理人所持表决权的三分之二以上（含三分之二）通过方可做出。转换基金运作方式（本基金基金合同生效满两年直接转为开放式运作除外）、更换基金管理人或者基金托管人、终止《基金合同》、本基金与其他基金合并（法律法规、基金合同和中国证监会另有规定的除外）以特别决议通过方为有效。</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基金份额持有人大会采取记名方式进行投票表决。</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基金份额持有人大会的各项提案或同一项提案内并列的各项议题应当分开审议、逐项表决。</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7、计票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（1）现场开会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和代理人中选举三名基金份额持有人代表担任监票人。基金管理人或基金托管人不出席大会的，不影响计票的效力。</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2）监票人应当在基金份额持有人表决后立即进行清点并由大会主持人当场公布计票结果。</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4）计票过程应由公证机关予以公证，基金管理人或基金托管人拒不出席大会的，不影响计票的效力。</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（2）通讯开会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8、生效与公告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基金份额持有人大会决定的事项自表决通过之日起生效，召集人应当自通过之日起5日内报中国证监会备案。</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基金份额持有人大会决议自生效之日起2日内在指定媒介上公告。如果采用通讯方式进行表决，在公告基金份额持有人大会决议时，必须将公证书全文、公证机构、公证员姓名等一同公告。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基金管理人、基金托管人和基金份额持有人应当执行生效的基金份额持有人大会的决议。生效的基金份额持有人大会决议对全体基金份额持有人、基金管理人、基金托管人均有约束力。</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9、实施侧袋机制期间基金份额持有人大会的特殊约定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（1）基金份额持有人行使提议权、召集权、提名权所需单独或合计代表相关基金份额10%以上（含10%）；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（2）现场开会的到会者在权益登记日代表的基金份额不少于本基金在权益登记日相关基金份额的二分之一（含二分之一）；</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（3）通讯开会的直接出具表决意见或授权他人代表出具表决意见的基金份额持有人所持有的基金份额不小于在权益登记日相关基金份额的二分之一（含二分之一）；</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在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（5）现场开会由出席大会的基金份额持有人和代理人所持表决权的50%以上（含50%）选举产生一名基金份额持有人或代理人作为该次基金份额持有人大会的主持人；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（6）一般决议须经参加大会的基金份额持有人或其代理人所持表决权的二分之一以上（含二分之一）通过；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（7）特别决议应当经参加大会的基金份额持有人或其代理人所持表决权的三分之二以上（含三分之二）通过。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同一主侧袋账户内的每份基金份额具有平等的表决权。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本部分对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（三）基金合同解除和终止的事由、程序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1、《基金合同》的变更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变更基金合同涉及法律法规规定或本基金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（2）关于《基金合同》变更的基金份额持有人大会决议生效后方可执行，并自决议生效后依照《信息披露办法》的规定在指定媒介公告。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2、《基金合同》的终止事由</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有下列情形之一的，《基金合同》应当终止：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（1）基金份额持有人大会决定终止的；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（2）基金管理人、基金托管人职责终止，在6个月内没有新基金管理人、新基金托管人承接的；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（3）若基金资产净值连续20个工作日低于1亿元，本基金管理人可向中国证监会报告并提前终止本基金合同，不需召开基金份额持有人大会；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（4）若基金份额持有人数量连续60个工作日达不到200人或基金资产净值连续60个工作日低于5000万元，本基金管理人将向中国证监会报告并提前终止本基金合同，不需召开基金份额持有人大会；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（5）《基金合同》约定的其他情形；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（6）相关法律法规和中国证监会规定的其他情况。</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3、基金财产的清算</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（1）基金财产清算小组：自出现《基金合同》终止事由之日起30个工作日内成立清算小组，基金管理人组织基金财产清算小组并在中国证监会的监督下进行基金清算。</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（3）基金财产清算小组职责：基金财产清算小组负责基金财产的保管、清理、估价、变现和分配。基金财产清算小组可以依法进行必要的民事活动。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（4）基金财产清算程序：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1）《基金合同》终止情形出现时，由基金财产清算小组统一接管基金财产；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2）对基金财产和债权债务进行清理和确认；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3）对基金财产进行估值和变现；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4）制作清算报告；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5）聘请会计师事务所对清算报告进行外部审计，聘请律师事务所对清算报告出具法律意见书；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6）将清算报告报中国证监会备案并公告；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7）对基金剩余财产进行分配。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（5）基金财产清算的期限为6个月，若遇基金持有的有价证券出现长期休市、停牌或其他流通受限的情形除外。</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4、清算费用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清算费用是指基金财产清算小组在进行基金清算过程中发生的所有合理费用，清算费用由基金财产清算小组优先从基金财产中支付。</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5、基金财产清算剩余资产的分配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依据基金财产清算的分配方案，将基金财产清算后的全部剩余资产扣除基金财产清算费用、交纳所欠税款并清偿基金债务后，按基金份额持有人持有的基金份额比例进行分配。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6、基金财产清算的公告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7、基金财产清算账册及文件的保存</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基金财产清算账册及有关文件由基金托管人保存15年以上。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（四）争议解决方式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各方当事人同意，因《基金合同》而产生的或与《基金合同》有关的一切争议，如经友好协商未能解决的，任何一方均有权将争议提交中国国际经济贸易仲裁委员会，按照中国国际经济贸易仲裁委员会届时有效的仲裁规则进行仲裁。仲裁地点为北京市。仲裁裁决是终局的，对各方当事人均有约束力，仲裁费用、律师费由败诉方承担。</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《基金合同》受中国法律管辖。</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（五）基金合同存放和投资者取得基金合同的方式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《基金合同》可印制成册，供投资者在基金管理人、基金托管人、销售机构的办公场所和营业场所查阅，但应以《基金合同》正本为准。</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24" w:name="_Toc193101096"/>
      <w:r>
        <w:rPr>
          <w:rFonts w:ascii="Times New Roman" w:hAnsi="Times New Roman"/>
          <w:sz w:val="30"/>
        </w:rPr>
        <w:t>二十二、托管协议的内容摘要</w:t>
      </w:r>
      <w:bookmarkEnd w:id="24"/>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（一）托管协议当事人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1、基金管理人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名称：交银施罗德基金管理有限公司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住所：中国（上海）自由贸易试验区银城中路188号交通银行大楼二层（裙）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 张宏良</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成立时间：2005年8月4日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批准设立机关：中国证监会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批准设立文号：证监基金字[2005]128号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组织形式：有限责任公司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注册资本：2亿元人民币</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经营范围：基金募集、基金销售、资产管理和中国证监会许可的其它业务。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存续期间：持续经营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2、基金托管人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名称：中信银行股份有限公司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w:t>
      </w:r>
      <w:r>
        <w:rPr>
          <w:rFonts w:hint="eastAsia" w:ascii="宋体" w:hAnsi="宋体"/>
          <w:sz w:val="24"/>
        </w:rPr>
        <w:t>北京市朝阳区光华路10号院1号楼6-30层、32-42层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w:t>
      </w:r>
      <w:r>
        <w:rPr>
          <w:rFonts w:hint="eastAsia" w:ascii="宋体" w:hAnsi="宋体"/>
          <w:sz w:val="24"/>
        </w:rPr>
        <w:t>方合英</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成立时间：1987年4月20日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批准设立文号：中华人民共和国国务院办公厅国办函[1987]14号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基金托管业务批准文号：中国证监会证监基金字[2004]125号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组织形式：股份有限公司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注册资本：489.35亿元人民币</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存续期间：持续经营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经营范围：吸收公众存款；发放短期、中期和长期贷款；办理国内外结算；办理票据承兑与贴现；发行金融债券；代理发行、代理兑付、承销政府债券；买卖政府债券、金融债券；从事同业拆借；买卖、代理买卖外汇；从事银行卡业务；提供信用证服务及担保；代理收付款项；提供保管箱服务；结汇、售汇业务；代理开放式基金业务；办理黄金业务；黄金进出口；开展证券投资基金、企业年金基金、保险资金、合格境外机构投资者托管业务；经国务院银行业监督管理机构批准的其他业务；保险兼业代理业务（有效期至2017年09月08日）。（依法须经批准的项目，经相关部门批准后依批准的内容开展经营活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（二）基金托管人对基金管理人的业务监督、核查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1、基金托管人对基金管理人的投资行为行使监督权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（1）基金托管人根据有关法律法规的规定和基金合同的约定，对下述基金投资范围、投资对象进行监督。本基金将投资于以下金融工具：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的投资范围包括具有良好流动性的金融工具，包括国内依法发行交易的国债、金融债、央行票据、地方政府债、企业债、公司债、分离交易可转债的纯债、次级债、资产支持证券、短期融资券、中期票据、债券回购、银行存款、货币市场工具等固定收益类资产和法律法规允许投资的其他金融工具。其中，封闭期内，本基金所投企业债和公司债信用评级需在AA级（含）以上。本基金不直接在二级市场买入股票、权证等权益类资产，也不参与一级市场新股申购和新股增发。同时本基金不参与可转换债券投资（分离交易可转债的纯债部分除外）。</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本基金各类资产的投资比例范围为：投资于债券资产的比例不低于基金资产的80%，但在封闭期结束前三个月和转开放后三个月内，基金投资不受上述债券资产投资比例限制。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本基金在开放期内，现金或到期日在一年以内的政府债券的比例合计不低于基金资产净值的5%，其中现金不包括结算备付金、存出保证金、应收申购款等。</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法律法规或监管机构以后允许基金投资的其他品种，基金管理人在履行适当程序后，可以将其纳入投资范围。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（2）基金托管人根据有关法律法规的规定及基金合同的约定对下述基金投融资比例进行监督：</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1）本基金投资于债券资产的比例不低于基金资产的80%；但在封闭期结束前三个月和转开放后三个月内，基金投资不受上述债券资产投资比例限制；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2）本基金持有一家公司发行的证券，其市值不得超过基金资产净值的10%；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3）本基金管理人管理的全部基金持有一家公司发行的证券，不超过该证券的10%；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4）本基金在封闭期内，基金总资产不超过基金净资产的200%；在开放期内，基金总资产不超过基金净资产的140%；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本基金投资于同一原始权益人的各类资产支持证券的比例，不得超过基金资产净值的10%；本基金持有的全部资产支持证券，其市值不得超过基金资产净值的20%；本基金持有的同一(指同一信用级别)资产支持证券的比例，不得超过该资产支持证券规模的10%；本基金管理人管理的全部基金投资于同一原始权益人的各类资产支持证券，不得超过其各类资产支持证券合计规模的10%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6）本基金应投资于信用级别评级为BBB以上（含BBB）的资产支持证券。基金持有资产支持证券期间，如果其信用等级下降、不再符合投资标准，应在评级报告发布之日起3个月内予以全部卖出；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7）本基金进入全国银行间同业市场进行债券回购的资金余额不得超过基金资产净值的40%；债券回购最长期限为1年，债券回购到期后不得展期；</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8）本基金在开放期内，保持不低于基金资产净值5％的现金或者到期日在一年以内的政府债券，其中现金不包括结算备付金、存出保证金、应收申购款等；</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9）本基金资产配置比例需满足基金合同中投资范围的约定；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转为开放式运作后，本基金主动投资于流动性受限资产的市值合计不得超过基金资产净值的15%；因证券市场波动、基金规模变动等基金管理人之外的因素致使基金不符合该比例限制的，基金管理人不得主动新增流动性受限资产的投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11）本基金与私募类证券资管产品及中国证监会认定的其他主体为交易对手开展逆回购交易的，可接受质押品的资质要求应当与基金合同约定的投资范围保持一致；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12）法律法规及中国证监会规定的和基金合同约定的其他投资限制。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法律法规对上述投资组合比例限制进行变更的，以变更后的规定为准。法律法规或监管部门取消上述限制，如适用于本基金，基金管理人在履行适当程序后，本基金投资不再受相关限制。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除上述第6）、8）、10）、11）项外，因证券市场波动、证券发行人合并、基金规模变动、股权分置改革中支付对价等基金管理人之外的因素致使基金投资比例不符合上述规定投资比例的，基金管理人应当在10个交易日内进行调整，以达到规定的投资比例限制要求，但中国证监会规定的特殊情形除外。法律法规另有规定的，从其规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应当自基金合同生效之日起6个月内使基金的投资组合比例符合基金合同的有关约定，基金合同另有约定的除外。在上述期间内，本基金的投资范围、投资策略应当符合基金合同的约定。基金托管人对基金投资的监督与检查自基金合同生效之日起开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（3）基金托管人根据有关法律法规的规定及基金合同的约定对下述基金投资禁止行为进行监督：</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根据法律法规的规定及基金合同的约定，本基金禁止从事下列行为：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1）承销证券；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2）违反规定向他人贷款或者提供担保；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3）从事承担无限责任的投资；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4）买卖其他基金份额，但是中国证监会另有规定的除外；</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5）向其基金管理人、基金托管人出资；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6）从事内幕交易、操纵证券交易价格及其他不正当的证券交易活动；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7）法律法规和中国证监会规定禁止的其他活动。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如法律法规或监管部门取消上述禁止性规定，基金管理人在履行适当程序后，本基金可不受上述规定的限制。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（4）基金托管人依据有关法律法规的规定和基金合同的约定对于基金关联投资进行监督。</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根据法律法规有关基金从事的关联交易的规定，基金管理人和基金托管人应事先相互提供与本机构有控股关系的股东或与本机构有其他重大利害关系的公司名单及有关关联方发行的证券名单及其更新，加盖公章并书面提交，并确保所提供名单的真实性、完整性、全面性。基金管理人或基金托管人在名单变更后应及时发送对方，收到方于2个工作日内进行回函确认已知名单的变更。名单变更时间以收到方回函确认的时间为准。如果基金托管人在运作中严格遵循了监督流程，基金管理人仍违规进行交易，并造成基金资产损失的，由基金管理人承担责任，基金托管人不承担任何损失和责任。</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相关交易必须事先得到基金托管人的同意，若基金托管人发现基金管理人与关联方进行违反法律法规规定的关联交易时，基金托管人应及时提醒并协助基金管理人采取必要措施阻止该交易的发生，若基金托管人采取必要措施后仍无法阻止该交易发生时，基金托管人有权向中国证监会报告，由此造成的损失和责任由基金管理人承担。对于交易所场内已成交的违规交易，基金托管人应按相关法律法规和交易所规则的规定进行结算，同时向中国证监会报告，基金托管人不承担由此造成的损失和责任。</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（5）基金托管人依据有关法律法规的规定和基金合同的约定对基金管理人参与银行间债券市场进行监督。</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1）基金托管人依据有关法律法规的规定和基金合同的约定对于基金管理人参与银行间债券市场交易时面临的交易对手资信风险进行监督。</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应在基金投资运作之前向基金托管人提供符合法律法规及行业标准的银行间债券市场交易对手的名单。基金托管人在收到名单后2个工作日内回函确认收到该名单。基金管理人应定期或不定期对银行间债券市场现券及回购交易对手的名单进行更新，名单中增加或减少银行间债券市场交易对手时须及时通知基金托管人，基金托管人于2个工作日内回函确认收到后，对名单进行更新。基金管理人收到基金托管人书面确认后，被确认调整的名单开始生效，新名单生效前已与本次剔除的交易对手所进行但尚未结算的交易，仍应按照双方原定协议进行结算。</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如果基金托管人发现基金管理人与不在名单内的银行间债券市场交易对手进行交易，应及时提醒基金管理人撤销交易，经提醒后基金管理人仍执行交易并造成基金资产损失的，基金托管人不承担责任。</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管理人有责任控制交易对手的资信风险，按银行间债券市场的交易规则进行交易。基金托管人则根据银行间债券市场成交单对合同履行情况进行监督。如基金托管人事后发现基金管理人没有按照事先约定的交易对手进行交易时，基金托管人应及时提醒基金管理人，基金托管人不承担由此造成的任何损失和责任。</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（6）基金托管人对基金投资流通受限证券的监督</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投资流通受限证券，应遵守《关于规范基金投资非公开发行证券行为的紧急通知》等有关法律法规规定。流通受限证券指由《上市公司证券发行管理办法》规范的非公开发行股票、公开发行股票网下配售部分等在发行时明确一定期限锁定期的可交易证券,不包括由于发布重大消息或其他原因而临时停牌的证券、已发行未上市证券、回购交易中的质押券等流通受限证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管理人应在基金首次投资流通受限证券前，向基金托管人提供经基金管理人董事会批准的有关基金投资流通受限证券的投资决策流程、风险控制制度。上述资料应包括但不限于基金投资流通受限证券的投资额度和投资比例控制情况。</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应至少于首次执行投资指令之前两个工作日将上述资料书面发至基金托管人，保证基金托管人有足够的时间进行审核。基金托管人应在收到上述资料后两个工作日内，以书面或其他双方认可的方式确认收到上述资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3）基金投资流通受限证券前，基金管理人应向基金托管人提供符合法律法规要求的有关必要书面信息。基金管理人应保证上述信息的真实、完整，并应至少于拟执行投资指令前将上述信息书面发至基金托管人。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基金托管人应对基金管理人是否遵守法律法规、投资决策流程、风险控制制度情况进行监督，并审核基金管理人提供的有关书面信息。基金托管人认为上述资料可能导致基金出现风险的，有权要求基金管理人在投资流通受限证券前就该风险的消除或防范措施进行补充书面说明，否则，基金托管人有权拒绝执行有关指令并报告中国证监会。因拒绝执行该指令造成基金财产损失的，基金托管人不承担任何责任，但基金托管人未经提前告知基金管理人于合理时间内提供说明的除外。</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如基金管理人和基金托管人无法达成一致，应及时上报中国证监会请求解决。如果基金托管人切实履行监督职责，则不承担任何责任。如果基金托管人没有切实履行监督职责，导致基金出现风险，基金托管人应承担连带责任。</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（7）基金托管人对基金投资中期票据的监督</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管理人管理的基金在投资中期票据前，基金管理人须根据法律、法规、监管部门的规定，制定严格的关于投资中期票据的风险控制制度和流动性风险处置预案，并书面提供给基金托管人，基金托管人依据上述文件对基金管理人投资中期票据的额度和比例进行监督。</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2）如未来有关监管部门发布的法律法规对证券投资基金投资中期票据另有规定的，从其约定。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托管人有权监督基金管理人在相关基金投资中期票据时的法律法规遵守情况，有关制度、信用风险、流动性风险处置预案的完善情况，有关额度、比例限制的执行情况。基金托管人发现基金管理人的上述事项违反法律法规和基金合同以及本协议的规定，应及时以书面形式通知基金管理人纠正。基金管理人应积极配合和协助基金托管人的监督和核查。基金管理人应按相关托管协议要求向基金托管人及时发出回函，并及时改正。基金托管人有权随时对所通知事项进行复查, 督促基金管理人改正。如果基金管理人违规事项未能在限期内纠正的，基金托管人应报告中国证监会。如果基金托管人未能切实履行监督职责，导致基金出现风险，基金托管人应承担连带责任。</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（8）基金托管人根据有关法律法规的规定及基金合同的约定，对基金管理人选择存款银行进行监督。</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投资银行定期存款的，基金管理人应根据法律法规的规定及基金合同的约定，确定符合条件的所有存款银行的名单，并及时提供给基金托管人，基金托管人应据以对基金投资银行存款的交易对手是否符合有关规定进行监督。</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本基金投资银行存款应符合如下规定：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1）基金管理人、基金托管人应当与存款银行建立定期对账机制，确保基金银行存款业务账目及核算的真实、准确。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管理人与基金托管人应根据相关规定，就本基金银行存款业务另行签订书面协议，明确双方在相关协议签署、账户开设与管理、投资指令传达与执行、资金划拨、账目核对、到期兑付、文件保管以及存款证实书的开立、传递、保管等流程中的权利、义务和职责，以确保基金财产的安全，保护基金份额持有人的合法权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3）基金托管人应加强对基金银行存款业务的监督与核查，严格审查、复核相关协议、账户资料、投资指令、存款证实书等有关文件，切实履行托管职责。</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4）基金管理人与基金托管人在开展基金存款业务时，应严格遵守《基金法》、《运作办法》等有关法律法规，以及国家有关账户管理、利率管理、支付结算等的各项规定。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托管人对基金管理人选择存款银行的监督应依据基金管理人向基金托管人提供的符合条件的存款银行的名单执行，如基金托管人发现基金管理人将基金资产投资于该名单之外的存款银行，有权拒绝执行。该名单如有变更，基金管理人应在启用新名单前提前及时将新名单发送给基金托管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托管人应根据有关法律法规的规定及基金合同的约定，对基金资产净值计算、各类基金份额的基金份额净值计算、应收资金到账、基金费用开支及收入确定、基金收益分配、相关信息披露、基金宣传推介材料中登载基金业绩表现数据等进行监督和核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托管人发现基金管理人的投资运作及其他运作违反《基金法》、基金合同、本托管协议及其他有关规定时，应及时以书面形式通知基金管理人限期纠正，基金管理人收到通知后应在下一个工作日及时核对，并以书面形式向基金托管人发出回函，进行解释或举证。</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在限期内，基金托管人有权随时对通知事项进行复查，督促基金管理人改正。基金管理人对基金托管人通知的违规事项未能在限期内纠正的，基金托管人应报告中国证监会。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基金托管人发现基金管理人的投资指令违反关法律法规规定或者违反基金合同约定的，应当拒绝执行，立即通知基金管理人。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托管人发现基金管理人依据交易程序已经生效的投资指令违反法律、行政法规和其他有关规定，或者违反基金合同约定的，应当立即通知基金管理人，并及时向中国证监会报告，基金管理人应依法承担相应责任。</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应积极配合和协助基金托管人的监督和核查，必须在规定时间内答复基金托管人并改正，就基金托管人的疑义进行解释或举证，对基金托管人按照法规要求需向中国证监会报送基金监督报告的，基金管理人应积极配合提供相关数据资料和制度等。</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基金托管人发现基金管理人有重大违规行为，应立即报告中国证监会，同时通知基金管理人限期纠正。</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无正当理由，拒绝、阻挠基金托管人根据本协议规定行使监督权，或采取拖延、欺诈等手段妨碍基金托管人进行有效监督，情节严重或经基金托管人提出警告仍不改正的，基金托管人应报告中国证监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（三）基金管理人对基金托管人的业务核查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对基金托管人履行托管职责情况进行核查，核查事项包括但不限于基金托管人安全保管基金财产、开设基金财产的资金账户和证券账户等投资所需账户、复核基金管理人计算的基金资产净值和基金份额净值、根据基金管理人指令办理清算交收、相关信息披露和监督基金投资运作等行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发现基金托管人擅自挪用基金财产、未对基金财产实行分账管理、未执行或无故延迟执行基金管理人资金划拨指令、泄露基金投资信息等违反《基金法》、基金合同、本托管协议及其他有关规定时，基金管理人应及时以书面形式通知基金托管人限期纠正，基金托管人收到通知后应及时核对确认并以书面形式向基金管理人发出回函。在限期内，基金管理人有权随时对通知事项进行复查，督促基金托管人改正，并予协助配合。基金托管人对基金管理人通知的违规事项未能在限期内纠正或未在合理期限内确认的，基金管理人应报告中国证监会。基金管理人有义务要求基金托管人赔偿基金、基金管理人因此所遭受的损失。</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基金管理人发现基金托管人有重大违规行为，应立即报告中国证监会和银行业监督管理机构，同时通知基金托管人限期纠正。</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基金托管人应积极配合基金管理人的核查行为，包括但不限于：提交相关资料以供基金管理人核查托管财产的完整性和真实性，在规定时间内答复基金管理人并改正。</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托管人无正当理由，拒绝、阻挠基金管理人根据本协议规定行使监督权，或采取拖延、欺诈等手段妨碍基金管理人进行有效监督，情节严重或经基金管理人提出警告仍不改正的，基金管理人应报告中国证监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（四）基金财产的保管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1、基金财产保管的原则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1）基金财产应独立于基金管理人、基金托管人的固有财产。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2）基金托管人应安全保管基金财产。除依据法律法规规定、基金合同和本托管协议约定及基金管理人的正当指令外，不得自行运用、处分、分配基金的任何财产。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3）基金托管人按照规定开设基金财产的资金账户和证券账户。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4）基金托管人对所托管的不同基金财产分别设置账户，与基金托管人的其他业务和其他基金的托管业务实行严格的分账管理，确保基金财产的完整与独立。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5）基金托管人根据基金管理人的指令，按照基金合同和本协议的约定保管基金财产，如有特殊情况双方可另行协商解决。</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6）除依据法律法规和基金合同的规定外，基金托管人不得委托第三人托管基金资产。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2、募集资金的验资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基金募集期间募集认购款项应存于基金认购专用账户，该账户由基金管理人或基金管理人委托的登记机构开立并管理。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募集期满或基金提前结束募集时，募集的基金份额总额、基金募集金额、基金份额持有人人数符合《基金法》、《运作办法》等有关规定后，基金管理人应将募集的属于本基金财产的全部资金划入基金托管人为本基金开立的资产托管专户中，基金托管人在收到资金当日出具确认文件。同时，基金管理人应聘请具有从事证券业务资格的会计师事务所进行验资，出具验资报告，出具的验资报告应由参加验资的2名以上（含2名）中国注册会计师签字有效。</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若基金募集期限届满，未能达到基金备案条件，由基金管理人按规定办理退款事宜，基金托管人应提供充分协助。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3、基金的银行账户的开立和管理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（1）基金托管人以本基金的名义在其营业机构开立基金的银行账户，并根据基金管理人合法合规的指令办理资金收付。本基金的银行预留印鉴由基金托管人刻制、保管和使用。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（2）基金银行账户的开立和使用，限于满足开展本基金业务的需要。基金托管人和基金管理人不得假借本基金的名义开立任何其他银行账户；亦不得使用本基金的任何账户进行本基金业务以外的活动。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（3）基金银行账户的开立和管理应符合有关法律法规以及银行业监督管理机构的有关规定。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4、基金证券账户与证券交易资金账户的开设和管理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基金托管人以基金托管人和本基金联名的方式在中国证券登记结算有限责任公司上海分公司/深圳分公司开设证券账户。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基金托管人以基金托管人的名义在中国证券登记结算有限责任公司上海分公司/深圳分公司开立基金证券交易资金账户，用于证券清算。</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基金证券账户的开立和使用，限于满足开展本基金业务的需要。基金托管人和基金管理人不得出借和未经对方同意擅自转让基金的任何证券账户；亦不得使用基金的任何账户进行本基金业务以外的活动。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5、债券托管账户的开立和管理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管理人负责以本基金的名义申请并取得进入全国银行间同业拆借市场的交易资格，并代表本基金进行交易；基金托管人负责以本基金的名义在中央国债登记结算有限责任公司开设银行间债券市场债券托管账户，并由基金托管人负责本基金的债券的后台匹配及资金的清算。</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（2）基金管理人和基金托管人应一起负责为本基金对外签订全国银行间国债市场回购主协议，正本由基金托管人保管，基金管理人保存副本。</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6、其他账户的开设和管理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在本托管协议生效之后，本基金被允许从事符合法律法规规定和基金合同约定的其他投资品种的投资业务时，如果涉及相关账户的开设和使用，由基金管理人协助基金托管人根据有关法律法规的规定和基金合同的约定，开立有关账户。该账户按有关规则使用并管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7、基金财产投资的有关实物证券、银行定期存款存单等有价凭证的保管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财产投资的有关实物证券由基金托管人存放于基金托管人的保管库；其中实物证券也可存入中央国债登记结算有限责任公司或银行间市场清算所股份有限公司或中国证券登记结算有限责任公司上海分公司/深圳分公司或票据营业中心的代保管库。实物证券的购买和转让，由基金托管人根据基金管理人的指令办理。属于基金托管人控制下的实物证券在基金托管人保管期间的损坏、灭失，由此产生的责任应由基金托管人承担。基金托管人对基金托管人以外机构实际有效控制的证券不承担保管责任，但应勤勉履行定期查询等合理注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8、与基金财产有关的重大合同的保管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与基金财产有关的重大合同的签署，由基金管理人负责。由基金管理人代表本基金签署的与本基金有关的重大合同的原件分别应由基金托管人、基金管理人保管。基金管理人在代表本基金签署与本基金有关的重大合同时应保证基金一方持有两份以上的正本原件，以便基金管理人和基金托管人至少各持有一份正本的原件。基金管理人在合同签署后30个工作日内通过专人送达、挂号邮寄等安全方式将合同送达基金托管人处。合同应存放于基金管理人和基金托管人各自文件保管部门15年以上。对于无法取得二份以上的正本的，基金管理人应向基金托管人提供加盖授权业务章的合同传真件，未经双方协商或未在合同约定范围内，合同原件不得转移，由基金管理人保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（五）基金资产净值计算与复核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资产净值是指基金资产总值减去负债后的价值。基金份额净值是指每个工作日闭市后，基金份额的基金资产净值除以当日基金份额的数值。基金份额净值的计算保留到小数点后4位，小数点后第5位四舍五入，由此产生的误差计入基金财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管理人应每工作日对基金资产估值，但基金管理人根据法律法规或基金合同的规定暂停估值时除外。估值原则应符合基金合同及相关法律、法规的规定。用于基金信息披露的基金资产净值和基金份额净值由基金管理人负责计算，基金托管人复核。基金管理人应于每个工作日交易结束后计算当日的基金份额净值并以双方认可的方式发送给基金托管人。基金托管人对净值计算结果复核后以双方认可的方式发送给基金管理人，由基金管理人依据基金合同和相关法律法规的规定对基金净值予以公布。月末、年中和年末估值复核与基金会计账目的核对同时进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根据《基金法》，基金管理人计算并公告基金资产净值，基金托管人复核、审查基金管理人计算的基金资产净值。因此，本基金的会计责任方是基金管理人，就与本基金有关的会计问题，如经相关各方在平等基础上充分讨论后，仍无法达成一致的意见，按照基金管理人对基金资产净值的计算结果对外予以公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（六）基金份额持有人名册的登记与保管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基金管理人和基金托管人须分别妥善保管的基金份额持有人名册，基金份额持有人名册的内容必须包括基金份额持有人的名称和持有的基金份额。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基金份额持有人名册由基金的登记机构根据基金管理人的指令编制和保管，基金管理人和基金托管人应按照目前相关规则分别保管基金份额持有人名册。保管方式可以采用电子或文档的形式。保管期限为15年。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应当及时向基金托管人定期或不定期提交下列日期的基金份额持有人名册。基金份额持有人名册的内容必须包括基金份额持有人的名称和持有的基金份额。基金托管人可以采用电子或文档的形式妥善保管基金份额持有人名册，保存期限为15年。基金托管人不得将所保管的基金份额持有人名册用于基金托管业务以外的其他用途，并应遵守保密义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若基金管理人或基金托管人由于自身原因无法妥善保管基金份额持有人名册，应按有关法规规定各自承担相应的责任。</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（七）争议解决方式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相关各方当事人同意，因本协议而产生的或与本协议有关的一切争议，除经友好协商可以解决的，应提交中国国际经济贸易仲裁委员会根据该会当时有效的仲裁规则进行仲裁，仲裁的地点为北京，仲裁裁决是终局性的并对相关各方均有约束力，仲裁费用、律师费由败诉方承担。</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争议处理期间，相关各方当事人应恪守基金管理人和基金托管人职责，继续忠实、勤勉、尽责地履行基金合同和托管协议规定的义务，维护基金份额持有人的合法权益。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本协议受中国法律管辖。</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（八）托管协议的变更与终止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1、托管协议的变更程序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本协议双方当事人经协商一致，可以对协议的内容进行变更。变更后的托管协议，其内容不得与基金合同的规定有任何冲突。本托管协议的变更报中国证监会备案。</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2、基金托管协议终止的情形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发生以下情况，本托管协议终止：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（1）基金合同终止；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（2）基金托管人解散、依法被撤销、破产或由其他基金托管人接管基金资产；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（3）基金管理人解散、依法被撤销、破产或由其他基金管理人接管基金管理权；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（4）发生法律法规或基金合同规定的终止事项。</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25" w:name="_Toc193101097"/>
      <w:r>
        <w:rPr>
          <w:rFonts w:ascii="Times New Roman" w:hAnsi="Times New Roman"/>
          <w:sz w:val="30"/>
        </w:rPr>
        <w:t>二十三、对基金份额持有人的服务</w:t>
      </w:r>
      <w:bookmarkEnd w:id="25"/>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基金管理人承诺为基金份额持有人提供一系列的服务。基金管理人根据基金份额持有人的需要和市场的变化，有权增加或变更服务项目。主要服务内容如下：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（一）持有人交易资料的寄送服务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1、每次交易结束后，投资人可在T+2个工作日后通过销售机构的网点查询和打印确认单。</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2、本基金管理人将向持有人提供电子或纸质对账单，需要订阅或取消的客户可与本基金管理人客户服务中心（400-700-5000，021-61055000）联系。</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（二）网上直销服务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管理人已开通基金网上直销业务，个人投资者可以直接通过本基金管理人网站的网上直销交易平台办理开户和本基金A类基金份额和C类基金份额的申购、赎回、定期定额投资、转换等业务。通过网上直销交易平台办理本基金A类基金份额申购和定期定额投资业务的个人投资者将享受前端申购费率的优惠，其他费率标准不变。具体优惠费率请参见公司网站列示的网上直销申购、定期定额投资费率表或相关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本公司基金网上直销业务已开通的银行卡及各银行卡交易金额限额请参阅本公司网站。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在条件成熟的时候，本基金管理人将根据基金网上直销业务的发展状况，适时调整可用于网上直销交易平台的银行卡种类，敬请个人投资者留意相关公告。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（三）信息咨询、查询服务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投资人如果想查询基金账户余额、基金产品与服务等信息，请拨打本基金管理人客户服务电话（400-700-5000，021-61055000）或登录本基金管理人网站（www.fund001.com）进行咨询、查询。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管理人为投资人预设基金查询密码，预设的基金查询密码为投资人开户证件号码的后6位数字，不足6位数字的，前面加“0”补足。基金查询密码用于投资人通过客户服务电话查询基金账户下的账户和交易信息。投资人请在其知晓基金账号后，及时拨打本基金管理人客户服务电话修改基金查询密码。</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投资人可以拨打本基金管理人客户服务电话投诉直销机构的人员和服务。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（四）基金红利再投资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本基金收益分配时，投资人可以选择将当期分配所得的红利再投资于本基金，再投资红利按红利再投日（即除息日）除息后的基金份额净值自动转为基金份额，并免收申购费用。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（五）定期定额投资计划</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本基金已开通定期定额投资计划，具体实施方法请参见相关公告。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服务联系方式：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本基金管理人的互联网地址及电子信箱</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网址：www.fund001.com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电子信箱：services@jysld.com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投资者也可登录本基金管理人网站，直接提出有关本基金的问题和建议。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（六）如本招募说明书存在任何您/贵机构无法理解的内容，可通过上述方式联系基金管理人。请确保投资前，您/贵机构已经全面理解了本招募说明书。</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26" w:name="_Toc193101098"/>
      <w:r>
        <w:rPr>
          <w:rFonts w:ascii="Times New Roman" w:hAnsi="Times New Roman"/>
          <w:sz w:val="30"/>
        </w:rPr>
        <w:t>二十四、其他应披露事项</w:t>
      </w:r>
      <w:bookmarkEnd w:id="26"/>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基金合同如有未尽事宜，由基金合同当事人各方按有关法律法规协商解决。</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本招募说明书更新期间基金披露的其他重要事项</w:t>
      </w:r>
    </w:p>
    <w:tbl>
      <w:tblPr>
        <w:tblStyle w:val="14"/>
        <w:tblW w:w="5000" w:type="pct"/>
        <w:tblInd w:w="0" w:type="dxa"/>
        <w:tblLayout w:type="autofit"/>
        <w:tblCellMar>
          <w:top w:w="0" w:type="dxa"/>
          <w:left w:w="0" w:type="dxa"/>
          <w:bottom w:w="0" w:type="dxa"/>
          <w:right w:w="0" w:type="dxa"/>
        </w:tblCellMar>
      </w:tblPr>
      <w:tblGrid>
        <w:gridCol w:w="1008"/>
        <w:gridCol w:w="3024"/>
        <w:gridCol w:w="3024"/>
        <w:gridCol w:w="1614"/>
      </w:tblGrid>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序号</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公告事项</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法定披露方式</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法定披露日期</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1</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交银施罗德基金管理有限公司关于交银施罗德丰润收益债券型证券投资基金暂停及恢复大额申购（转换转入、定期定额投资）业务的公告</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2023-12-19</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交银施罗德基金管理有限公司关于交银施罗德丰润收益债券型证券投资基金分红公告</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2023-12-21</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3</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交银施罗德基金管理有限公司关于增加招商证券股份有限公司为旗下基金的销售机构的公告</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2023-12-28</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4</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交银施罗德丰润收益债券型证券投资基金(更新)招募说明书(2023年第1号)</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2023-12-29</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5</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交银施罗德丰润收益债券型证券投资基金（A类份额）基金产品资料概要更新(2023年第1号)</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2023-12-29</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6</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交银施罗德丰润收益债券型证券投资基金（C类份额）基金产品资料概要更新(2023年第1号)</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2023-12-29</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7</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交银施罗德基金管理有限公司关于交银施罗德资产管理（香港）有限公司解散的公告</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2023-12-29</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8</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交银施罗德丰润收益债券型证券投资基金2023年第4季度报告</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2024-01-20</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9</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交银施罗德丰润收益债券型证券投资基金2023年年度报告</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2024-03-29</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10</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交银施罗德基金管理有限公司高级管理人员任职公告</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2024-03-30</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11</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交银施罗德丰润收益债券型证券投资基金2024年第1季度报告</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2024-04-20</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12</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交银施罗德基金管理有限公司关于终止上海钜派钰茂基金销售有限公司办理相关销售业务的公告</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2024-05-23</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13</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交银施罗德丰润收益债券型证券投资基金（A类份额）基金产品资料概要更新</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2024-06-27</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14</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交银施罗德丰润收益债券型证券投资基金（C类份额）基金产品资料概要更新</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2024-06-27</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15</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交银施罗德丰润收益债券型证券投资基金2024年第2季度报告</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2024-07-18</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16</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交银施罗德基金管理有限公司旗下全部基金2024年第二季度报告提示性公告</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2024-07-18</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17</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交银施罗德基金管理有限公司关于董事长离任及代任董事长（法定代表人）的公告</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2024-08-17</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18</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交银施罗德丰润收益债券型证券投资基金2024年中期报告</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2024-08-30</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19</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交银施罗德基金管理有限公司旗下全部基金2024年中期报告提示性公告</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2024-08-30</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20</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交银施罗德丰润收益债券型证券投资基金2024年第3季度报告</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2024-10-25</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21</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交银施罗德基金管理有限公司关于董事长（法定代表人）任职的公告</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2024-10-25</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22</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交银施罗德基金管理有限公司高级管理人员任职公告</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2024-10-25</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23</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交银施罗德基金管理有限公司关于增加中国邮政储蓄银行股份有限公司为旗下基金的销售机构的公告</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2024-11-27</w:t>
            </w:r>
          </w:p>
        </w:tc>
      </w:tr>
    </w:tbl>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27" w:name="_Toc193101099"/>
      <w:r>
        <w:rPr>
          <w:rFonts w:ascii="Times New Roman" w:hAnsi="Times New Roman"/>
          <w:sz w:val="30"/>
        </w:rPr>
        <w:t>二十五、招募说明书的存放及查阅方式</w:t>
      </w:r>
      <w:bookmarkEnd w:id="27"/>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招募说明书存放在基金管理人、基金托管人和基金销售机构的办公场所，投资人可在办公时间查阅；投资人在支付工本费后，可在合理时间内取得上述文件复制件或复印件。对投资人按此种方式所获得的文件及其复印件，基金管理人和基金托管人保证文本的内容与所公告的内容完全一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投资人还可以直接登录基金管理人的网站(www.fund001.com)查阅和下载招募说明书。</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28" w:name="_Toc193101100"/>
      <w:r>
        <w:rPr>
          <w:rFonts w:ascii="Times New Roman" w:hAnsi="Times New Roman"/>
          <w:sz w:val="30"/>
        </w:rPr>
        <w:t>二十六、备查文件</w:t>
      </w:r>
      <w:bookmarkEnd w:id="28"/>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以下备查文件存放在基金管理人的办公场所，在办公时间可供免费查阅。</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（一）中国证监会准予交银施罗德丰润收益债券型证券投资基金募集注册的文件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（二）《交银施罗德丰润收益债券型证券投资基金基金合同》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（三）《交银施罗德丰润收益债券型证券投资基金托管协议》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（四）基金管理人业务资格批件、营业执照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（五）基金托管人业务资格批件、营业执照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（六）关于申请募集注册交银施罗德丰润收益债券型证券投资基金的法律意见书</w:t>
      </w:r>
    </w:p>
    <w:sectPr>
      <w:footerReference r:id="rId10" w:type="default"/>
      <w:pgSz w:w="11920" w:h="16840"/>
      <w:pgMar w:top="1360" w:right="1580" w:bottom="280" w:left="1680" w:header="0" w:footer="118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adjustRightInd w:val="0"/>
      <w:spacing w:line="200" w:lineRule="exact"/>
      <w:jc w:val="left"/>
      <w:rPr>
        <w:rFonts w:ascii="Times New Roman" w:hAnsi="Times New Roman"/>
        <w:kern w:val="0"/>
        <w:sz w:val="20"/>
        <w:szCs w:val="20"/>
      </w:rPr>
    </w:pPr>
    <w:r>
      <mc:AlternateContent>
        <mc:Choice Requires="wps">
          <w:drawing>
            <wp:anchor distT="0" distB="0" distL="114300" distR="114300" simplePos="0" relativeHeight="251661312" behindDoc="1" locked="0" layoutInCell="0" allowOverlap="1">
              <wp:simplePos x="0" y="0"/>
              <wp:positionH relativeFrom="page">
                <wp:posOffset>3726180</wp:posOffset>
              </wp:positionH>
              <wp:positionV relativeFrom="page">
                <wp:posOffset>9939020</wp:posOffset>
              </wp:positionV>
              <wp:extent cx="274320" cy="139700"/>
              <wp:effectExtent l="0" t="0" r="0"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274320" cy="139700"/>
                      </a:xfrm>
                      <a:prstGeom prst="rect">
                        <a:avLst/>
                      </a:prstGeom>
                      <a:noFill/>
                      <a:ln>
                        <a:noFill/>
                      </a:ln>
                    </wps:spPr>
                    <wps:txbx>
                      <w:txbxContent>
                        <w:p>
                          <w:pPr>
                            <w:autoSpaceDE w:val="0"/>
                            <w:autoSpaceDN w:val="0"/>
                            <w:adjustRightInd w:val="0"/>
                            <w:spacing w:line="204" w:lineRule="exact"/>
                            <w:ind w:left="40"/>
                            <w:jc w:val="left"/>
                            <w:rPr>
                              <w:rFonts w:ascii="Times New Roman" w:hAnsi="Times New Roman"/>
                              <w:kern w:val="0"/>
                              <w:sz w:val="18"/>
                              <w:szCs w:val="18"/>
                            </w:rPr>
                          </w:pPr>
                          <w:r>
                            <w:rPr>
                              <w:rFonts w:ascii="Times New Roman" w:hAnsi="Times New Roman"/>
                              <w:kern w:val="0"/>
                              <w:sz w:val="18"/>
                              <w:szCs w:val="18"/>
                            </w:rPr>
                            <w:fldChar w:fldCharType="begin"/>
                          </w:r>
                          <w:r>
                            <w:rPr>
                              <w:rFonts w:ascii="Times New Roman" w:hAnsi="Times New Roman"/>
                              <w:kern w:val="0"/>
                              <w:sz w:val="18"/>
                              <w:szCs w:val="18"/>
                            </w:rPr>
                            <w:instrText xml:space="preserve"> PAGE </w:instrText>
                          </w:r>
                          <w:r>
                            <w:rPr>
                              <w:rFonts w:ascii="Times New Roman" w:hAnsi="Times New Roman"/>
                              <w:kern w:val="0"/>
                              <w:sz w:val="18"/>
                              <w:szCs w:val="18"/>
                            </w:rPr>
                            <w:fldChar w:fldCharType="separate"/>
                          </w:r>
                          <w:r>
                            <w:rPr>
                              <w:rFonts w:ascii="Times New Roman" w:hAnsi="Times New Roman"/>
                              <w:kern w:val="0"/>
                              <w:sz w:val="18"/>
                              <w:szCs w:val="18"/>
                            </w:rPr>
                            <w:t>4</w:t>
                          </w:r>
                          <w:r>
                            <w:rPr>
                              <w:rFonts w:ascii="Times New Roman" w:hAnsi="Times New Roman"/>
                              <w:kern w:val="0"/>
                              <w:sz w:val="18"/>
                              <w:szCs w:val="18"/>
                            </w:rPr>
                            <w:fldChar w:fldCharType="end"/>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293.4pt;margin-top:782.6pt;height:11pt;width:21.6pt;mso-position-horizontal-relative:page;mso-position-vertical-relative:page;z-index:-251655168;mso-width-relative:page;mso-height-relative:page;" filled="f" stroked="f" coordsize="21600,21600" o:allowincell="f" o:gfxdata="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hiTJ32gAAAA0BAAAPAAAAAAAAAAEAIAAAACIAAABkcnMvZG93bnJl&#10;di54bWxQSwECFAAUAAAACACHTuJAvfUcm/sBAAADBAAADgAAAAAAAAABACAAAAApAQAAZHJzL2Uy&#10;b0RvYy54bWxQSwUGAAAAAAYABgBZAQAAlgUAAAAA&#10;">
              <v:fill on="f" focussize="0,0"/>
              <v:stroke on="f"/>
              <v:imagedata o:title=""/>
              <o:lock v:ext="edit" aspectratio="f"/>
              <v:textbox inset="0mm,0mm,0mm,0mm">
                <w:txbxContent>
                  <w:p>
                    <w:pPr>
                      <w:autoSpaceDE w:val="0"/>
                      <w:autoSpaceDN w:val="0"/>
                      <w:adjustRightInd w:val="0"/>
                      <w:spacing w:line="204" w:lineRule="exact"/>
                      <w:ind w:left="40"/>
                      <w:jc w:val="left"/>
                      <w:rPr>
                        <w:rFonts w:ascii="Times New Roman" w:hAnsi="Times New Roman"/>
                        <w:kern w:val="0"/>
                        <w:sz w:val="18"/>
                        <w:szCs w:val="18"/>
                      </w:rPr>
                    </w:pPr>
                    <w:r>
                      <w:rPr>
                        <w:rFonts w:ascii="Times New Roman" w:hAnsi="Times New Roman"/>
                        <w:kern w:val="0"/>
                        <w:sz w:val="18"/>
                        <w:szCs w:val="18"/>
                      </w:rPr>
                      <w:fldChar w:fldCharType="begin"/>
                    </w:r>
                    <w:r>
                      <w:rPr>
                        <w:rFonts w:ascii="Times New Roman" w:hAnsi="Times New Roman"/>
                        <w:kern w:val="0"/>
                        <w:sz w:val="18"/>
                        <w:szCs w:val="18"/>
                      </w:rPr>
                      <w:instrText xml:space="preserve"> PAGE </w:instrText>
                    </w:r>
                    <w:r>
                      <w:rPr>
                        <w:rFonts w:ascii="Times New Roman" w:hAnsi="Times New Roman"/>
                        <w:kern w:val="0"/>
                        <w:sz w:val="18"/>
                        <w:szCs w:val="18"/>
                      </w:rPr>
                      <w:fldChar w:fldCharType="separate"/>
                    </w:r>
                    <w:r>
                      <w:rPr>
                        <w:rFonts w:ascii="Times New Roman" w:hAnsi="Times New Roman"/>
                        <w:kern w:val="0"/>
                        <w:sz w:val="18"/>
                        <w:szCs w:val="18"/>
                      </w:rPr>
                      <w:t>4</w:t>
                    </w:r>
                    <w:r>
                      <w:rPr>
                        <w:rFonts w:ascii="Times New Roman" w:hAnsi="Times New Roman"/>
                        <w:kern w:val="0"/>
                        <w:sz w:val="1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adjustRightInd w:val="0"/>
      <w:spacing w:line="200" w:lineRule="exact"/>
      <w:jc w:val="left"/>
      <w:rPr>
        <w:rFonts w:ascii="Times New Roman" w:hAnsi="Times New Roman"/>
        <w:kern w:val="0"/>
        <w:sz w:val="20"/>
        <w:szCs w:val="20"/>
      </w:rPr>
    </w:pPr>
    <w:r>
      <mc:AlternateContent>
        <mc:Choice Requires="wps">
          <w:drawing>
            <wp:anchor distT="0" distB="0" distL="114300" distR="114300" simplePos="0" relativeHeight="251662336" behindDoc="1" locked="0" layoutInCell="0" allowOverlap="1">
              <wp:simplePos x="0" y="0"/>
              <wp:positionH relativeFrom="page">
                <wp:posOffset>3698875</wp:posOffset>
              </wp:positionH>
              <wp:positionV relativeFrom="page">
                <wp:posOffset>9827895</wp:posOffset>
              </wp:positionV>
              <wp:extent cx="425450" cy="139700"/>
              <wp:effectExtent l="0" t="0" r="0" b="0"/>
              <wp:wrapNone/>
              <wp:docPr id="1" name="Text Box 20"/>
              <wp:cNvGraphicFramePr/>
              <a:graphic xmlns:a="http://schemas.openxmlformats.org/drawingml/2006/main">
                <a:graphicData uri="http://schemas.microsoft.com/office/word/2010/wordprocessingShape">
                  <wps:wsp>
                    <wps:cNvSpPr txBox="1">
                      <a:spLocks noChangeArrowheads="1"/>
                    </wps:cNvSpPr>
                    <wps:spPr bwMode="auto">
                      <a:xfrm>
                        <a:off x="0" y="0"/>
                        <a:ext cx="425450" cy="139700"/>
                      </a:xfrm>
                      <a:prstGeom prst="rect">
                        <a:avLst/>
                      </a:prstGeom>
                      <a:noFill/>
                      <a:ln>
                        <a:noFill/>
                      </a:ln>
                    </wps:spPr>
                    <wps:txbx>
                      <w:txbxContent>
                        <w:p>
                          <w:pPr>
                            <w:autoSpaceDE w:val="0"/>
                            <w:autoSpaceDN w:val="0"/>
                            <w:adjustRightInd w:val="0"/>
                            <w:spacing w:line="204" w:lineRule="exact"/>
                            <w:ind w:left="40"/>
                            <w:jc w:val="left"/>
                            <w:rPr>
                              <w:rFonts w:ascii="Times New Roman" w:hAnsi="Times New Roman"/>
                              <w:kern w:val="0"/>
                              <w:sz w:val="18"/>
                              <w:szCs w:val="18"/>
                            </w:rPr>
                          </w:pPr>
                          <w:r>
                            <w:rPr>
                              <w:rFonts w:ascii="Times New Roman" w:hAnsi="Times New Roman"/>
                              <w:kern w:val="0"/>
                              <w:sz w:val="18"/>
                              <w:szCs w:val="18"/>
                            </w:rPr>
                            <w:fldChar w:fldCharType="begin"/>
                          </w:r>
                          <w:r>
                            <w:rPr>
                              <w:rFonts w:ascii="Times New Roman" w:hAnsi="Times New Roman"/>
                              <w:kern w:val="0"/>
                              <w:sz w:val="18"/>
                              <w:szCs w:val="18"/>
                            </w:rPr>
                            <w:instrText xml:space="preserve"> PAGE </w:instrText>
                          </w:r>
                          <w:r>
                            <w:rPr>
                              <w:rFonts w:ascii="Times New Roman" w:hAnsi="Times New Roman"/>
                              <w:kern w:val="0"/>
                              <w:sz w:val="18"/>
                              <w:szCs w:val="18"/>
                            </w:rPr>
                            <w:fldChar w:fldCharType="separate"/>
                          </w:r>
                          <w:r>
                            <w:rPr>
                              <w:rFonts w:ascii="Times New Roman" w:hAnsi="Times New Roman"/>
                              <w:kern w:val="0"/>
                              <w:sz w:val="18"/>
                              <w:szCs w:val="18"/>
                            </w:rPr>
                            <w:t>146</w:t>
                          </w:r>
                          <w:r>
                            <w:rPr>
                              <w:rFonts w:ascii="Times New Roman" w:hAnsi="Times New Roman"/>
                              <w:kern w:val="0"/>
                              <w:sz w:val="18"/>
                              <w:szCs w:val="18"/>
                            </w:rPr>
                            <w:fldChar w:fldCharType="end"/>
                          </w:r>
                        </w:p>
                      </w:txbxContent>
                    </wps:txbx>
                    <wps:bodyPr rot="0" vert="horz" wrap="square" lIns="0" tIns="0" rIns="0" bIns="0" anchor="t" anchorCtr="0" upright="1">
                      <a:noAutofit/>
                    </wps:bodyPr>
                  </wps:wsp>
                </a:graphicData>
              </a:graphic>
            </wp:anchor>
          </w:drawing>
        </mc:Choice>
        <mc:Fallback>
          <w:pict>
            <v:shape id="Text Box 20" o:spid="_x0000_s1026" o:spt="202" type="#_x0000_t202" style="position:absolute;left:0pt;margin-left:291.25pt;margin-top:773.85pt;height:11pt;width:33.5pt;mso-position-horizontal-relative:page;mso-position-vertical-relative:page;z-index:-251654144;mso-width-relative:page;mso-height-relative:page;" filled="f" stroked="f" coordsize="21600,21600" o:allowincell="f" o:gfxdata="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LEj7vjaAAAADQEAAA8AAAAAAAAAAQAgAAAAIgAAAGRycy9kb3du&#10;cmV2LnhtbFBLAQIUABQAAAAIAIdO4kCqBm2W/QEAAAQEAAAOAAAAAAAAAAEAIAAAACkBAABkcnMv&#10;ZTJvRG9jLnhtbFBLBQYAAAAABgAGAFkBAACYBQAAAAA=&#10;">
              <v:fill on="f" focussize="0,0"/>
              <v:stroke on="f"/>
              <v:imagedata o:title=""/>
              <o:lock v:ext="edit" aspectratio="f"/>
              <v:textbox inset="0mm,0mm,0mm,0mm">
                <w:txbxContent>
                  <w:p>
                    <w:pPr>
                      <w:autoSpaceDE w:val="0"/>
                      <w:autoSpaceDN w:val="0"/>
                      <w:adjustRightInd w:val="0"/>
                      <w:spacing w:line="204" w:lineRule="exact"/>
                      <w:ind w:left="40"/>
                      <w:jc w:val="left"/>
                      <w:rPr>
                        <w:rFonts w:ascii="Times New Roman" w:hAnsi="Times New Roman"/>
                        <w:kern w:val="0"/>
                        <w:sz w:val="18"/>
                        <w:szCs w:val="18"/>
                      </w:rPr>
                    </w:pPr>
                    <w:r>
                      <w:rPr>
                        <w:rFonts w:ascii="Times New Roman" w:hAnsi="Times New Roman"/>
                        <w:kern w:val="0"/>
                        <w:sz w:val="18"/>
                        <w:szCs w:val="18"/>
                      </w:rPr>
                      <w:fldChar w:fldCharType="begin"/>
                    </w:r>
                    <w:r>
                      <w:rPr>
                        <w:rFonts w:ascii="Times New Roman" w:hAnsi="Times New Roman"/>
                        <w:kern w:val="0"/>
                        <w:sz w:val="18"/>
                        <w:szCs w:val="18"/>
                      </w:rPr>
                      <w:instrText xml:space="preserve"> PAGE </w:instrText>
                    </w:r>
                    <w:r>
                      <w:rPr>
                        <w:rFonts w:ascii="Times New Roman" w:hAnsi="Times New Roman"/>
                        <w:kern w:val="0"/>
                        <w:sz w:val="18"/>
                        <w:szCs w:val="18"/>
                      </w:rPr>
                      <w:fldChar w:fldCharType="separate"/>
                    </w:r>
                    <w:r>
                      <w:rPr>
                        <w:rFonts w:ascii="Times New Roman" w:hAnsi="Times New Roman"/>
                        <w:kern w:val="0"/>
                        <w:sz w:val="18"/>
                        <w:szCs w:val="18"/>
                      </w:rPr>
                      <w:t>146</w:t>
                    </w:r>
                    <w:r>
                      <w:rPr>
                        <w:rFonts w:ascii="Times New Roman" w:hAnsi="Times New Roman"/>
                        <w:kern w:val="0"/>
                        <w:sz w:val="18"/>
                        <w:szCs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r>
      <w:drawing>
        <wp:anchor distT="0" distB="0" distL="114300" distR="114300" simplePos="0" relativeHeight="251659264" behindDoc="0" locked="0" layoutInCell="1" allowOverlap="1">
          <wp:simplePos x="0" y="0"/>
          <wp:positionH relativeFrom="column">
            <wp:posOffset>19050</wp:posOffset>
          </wp:positionH>
          <wp:positionV relativeFrom="paragraph">
            <wp:posOffset>-152400</wp:posOffset>
          </wp:positionV>
          <wp:extent cx="1714500" cy="238125"/>
          <wp:effectExtent l="0" t="0" r="0" b="0"/>
          <wp:wrapNone/>
          <wp:docPr id="23" name="图片 3"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3"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714500" cy="238125"/>
                  </a:xfrm>
                  <a:prstGeom prst="rect">
                    <a:avLst/>
                  </a:prstGeom>
                  <a:noFill/>
                </pic:spPr>
              </pic:pic>
            </a:graphicData>
          </a:graphic>
        </wp:anchor>
      </w:drawing>
    </w:r>
  </w:p>
  <w:p>
    <w:pPr>
      <w:pStyle w:val="9"/>
      <w:jc w:val="right"/>
      <w:rPr>
        <w:rFonts w:ascii="宋体" w:hAnsi="宋体"/>
      </w:rPr>
    </w:pPr>
    <w:r>
      <w:rPr>
        <w:rFonts w:hint="eastAsia" w:ascii="宋体" w:hAnsi="宋体"/>
      </w:rPr>
      <w:t>交银施罗德丰润收益债券型证券投资基金招募说明书更新</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p>
  <w:p>
    <w:pPr>
      <w:pStyle w:val="10"/>
      <w:jc w:val="right"/>
    </w:pPr>
  </w:p>
  <w:p>
    <w:pPr>
      <w:pStyle w:val="9"/>
      <w:jc w:val="right"/>
    </w:pPr>
  </w:p>
  <w:p>
    <w:pPr>
      <w:pStyle w:val="9"/>
      <w:jc w:val="right"/>
    </w:pPr>
    <w:r>
      <w:drawing>
        <wp:anchor distT="0" distB="0" distL="114300" distR="114300" simplePos="0" relativeHeight="251660288" behindDoc="0" locked="0" layoutInCell="1" allowOverlap="1">
          <wp:simplePos x="0" y="0"/>
          <wp:positionH relativeFrom="column">
            <wp:posOffset>19050</wp:posOffset>
          </wp:positionH>
          <wp:positionV relativeFrom="paragraph">
            <wp:posOffset>-152400</wp:posOffset>
          </wp:positionV>
          <wp:extent cx="1714500" cy="238125"/>
          <wp:effectExtent l="0" t="0" r="0" b="0"/>
          <wp:wrapNone/>
          <wp:docPr id="22"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714500" cy="238125"/>
                  </a:xfrm>
                  <a:prstGeom prst="rect">
                    <a:avLst/>
                  </a:prstGeom>
                  <a:noFill/>
                </pic:spPr>
              </pic:pic>
            </a:graphicData>
          </a:graphic>
        </wp:anchor>
      </w:drawing>
    </w:r>
  </w:p>
  <w:p>
    <w:pPr>
      <w:pStyle w:val="9"/>
      <w:jc w:val="right"/>
      <w:rPr>
        <w:rFonts w:ascii="宋体" w:hAnsi="宋体"/>
      </w:rPr>
    </w:pPr>
    <w:r>
      <w:rPr>
        <w:rFonts w:hint="eastAsia" w:ascii="宋体" w:hAnsi="宋体"/>
      </w:rPr>
      <w:t>交银施罗德丰润收益债券型证券投资基金招募说明书更新</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p>
  <w:p>
    <w:pPr>
      <w:pStyle w:val="9"/>
      <w:jc w:val="right"/>
    </w:pPr>
  </w:p>
  <w:p>
    <w:pPr>
      <w:pStyle w:val="9"/>
      <w:jc w:val="right"/>
    </w:pPr>
  </w:p>
  <w:p>
    <w:pPr>
      <w:pStyle w:val="9"/>
      <w:jc w:val="right"/>
    </w:pPr>
    <w:r>
      <w:drawing>
        <wp:anchor distT="0" distB="0" distL="114300" distR="114300" simplePos="0" relativeHeight="251661312" behindDoc="0" locked="0" layoutInCell="1" allowOverlap="1">
          <wp:simplePos x="0" y="0"/>
          <wp:positionH relativeFrom="column">
            <wp:posOffset>19050</wp:posOffset>
          </wp:positionH>
          <wp:positionV relativeFrom="paragraph">
            <wp:posOffset>-152400</wp:posOffset>
          </wp:positionV>
          <wp:extent cx="1714500" cy="238125"/>
          <wp:effectExtent l="0" t="0" r="0" b="0"/>
          <wp:wrapNone/>
          <wp:docPr id="21" name="图片 4"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4"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714500" cy="238125"/>
                  </a:xfrm>
                  <a:prstGeom prst="rect">
                    <a:avLst/>
                  </a:prstGeom>
                  <a:noFill/>
                </pic:spPr>
              </pic:pic>
            </a:graphicData>
          </a:graphic>
        </wp:anchor>
      </w:drawing>
    </w:r>
  </w:p>
  <w:p>
    <w:pPr>
      <w:pStyle w:val="9"/>
      <w:jc w:val="right"/>
      <w:rPr>
        <w:rFonts w:ascii="宋体" w:hAnsi="宋体"/>
      </w:rPr>
    </w:pPr>
    <w:r>
      <w:rPr>
        <w:rFonts w:hint="eastAsia" w:ascii="宋体" w:hAnsi="宋体"/>
      </w:rPr>
      <w:t>交银施罗德丰润收益债券型证券投资基金招募说明书更新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7D73EE"/>
    <w:multiLevelType w:val="multilevel"/>
    <w:tmpl w:val="547D73EE"/>
    <w:lvl w:ilvl="0" w:tentative="0">
      <w:start w:val="1"/>
      <w:numFmt w:val="decimal"/>
      <w:pStyle w:val="24"/>
      <w:suff w:val="space"/>
      <w:lvlText w:val="§%1"/>
      <w:lvlJc w:val="left"/>
      <w:pPr>
        <w:ind w:left="425" w:hanging="425"/>
      </w:pPr>
      <w:rPr>
        <w:rFonts w:hint="eastAsia"/>
      </w:rPr>
    </w:lvl>
    <w:lvl w:ilvl="1" w:tentative="0">
      <w:start w:val="1"/>
      <w:numFmt w:val="decimal"/>
      <w:pStyle w:val="25"/>
      <w:suff w:val="space"/>
      <w:lvlText w:val="%1.%2"/>
      <w:lvlJc w:val="left"/>
      <w:pPr>
        <w:ind w:left="738" w:hanging="454"/>
      </w:pPr>
      <w:rPr>
        <w:rFonts w:hint="eastAsia"/>
      </w:rPr>
    </w:lvl>
    <w:lvl w:ilvl="2" w:tentative="0">
      <w:start w:val="1"/>
      <w:numFmt w:val="decimal"/>
      <w:pStyle w:val="26"/>
      <w:suff w:val="space"/>
      <w:lvlText w:val="%1.%2.%3"/>
      <w:lvlJc w:val="left"/>
      <w:pPr>
        <w:ind w:left="624" w:hanging="624"/>
      </w:pPr>
    </w:lvl>
    <w:lvl w:ilvl="3" w:tentative="0">
      <w:start w:val="1"/>
      <w:numFmt w:val="decimal"/>
      <w:pStyle w:val="28"/>
      <w:suff w:val="space"/>
      <w:lvlText w:val="%1.%2.%3.%4"/>
      <w:lvlJc w:val="left"/>
      <w:pPr>
        <w:ind w:left="794" w:hanging="794"/>
      </w:pPr>
      <w:rPr>
        <w:rFonts w:hint="eastAsia"/>
      </w:rPr>
    </w:lvl>
    <w:lvl w:ilvl="4" w:tentative="0">
      <w:start w:val="1"/>
      <w:numFmt w:val="decimal"/>
      <w:pStyle w:val="27"/>
      <w:suff w:val="space"/>
      <w:lvlText w:val="%1.%2.%3.%4.%5"/>
      <w:lvlJc w:val="left"/>
      <w:pPr>
        <w:ind w:left="1021" w:hanging="1021"/>
      </w:pPr>
      <w:rPr>
        <w:rFonts w:hint="eastAsia"/>
      </w:rPr>
    </w:lvl>
    <w:lvl w:ilvl="5" w:tentative="0">
      <w:start w:val="1"/>
      <w:numFmt w:val="decimal"/>
      <w:pStyle w:val="21"/>
      <w:suff w:val="space"/>
      <w:lvlText w:val="%1.%2.%3.%4.%5.%6"/>
      <w:lvlJc w:val="left"/>
      <w:pPr>
        <w:ind w:left="1021" w:hanging="1021"/>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trackRevisions w:val="1"/>
  <w:documentProtection w:enforcement="0"/>
  <w:defaultTabStop w:val="720"/>
  <w:drawingGridHorizontalSpacing w:val="105"/>
  <w:drawingGridVerticalSpacing w:val="120"/>
  <w:displayHorizontalDrawingGridEvery w:val="0"/>
  <w:displayVerticalDrawingGridEvery w:val="3"/>
  <w:doNotShadeFormData w:val="1"/>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0C9"/>
    <w:rsid w:val="000002A2"/>
    <w:rsid w:val="00001EEA"/>
    <w:rsid w:val="00003EC9"/>
    <w:rsid w:val="0000560A"/>
    <w:rsid w:val="0001266E"/>
    <w:rsid w:val="00026A29"/>
    <w:rsid w:val="00026D00"/>
    <w:rsid w:val="00027C73"/>
    <w:rsid w:val="00030964"/>
    <w:rsid w:val="00030F3E"/>
    <w:rsid w:val="000368A2"/>
    <w:rsid w:val="00044AFD"/>
    <w:rsid w:val="00044E2C"/>
    <w:rsid w:val="000457B7"/>
    <w:rsid w:val="0004614E"/>
    <w:rsid w:val="00046212"/>
    <w:rsid w:val="000500B8"/>
    <w:rsid w:val="000506ED"/>
    <w:rsid w:val="000543D5"/>
    <w:rsid w:val="00055792"/>
    <w:rsid w:val="00055F52"/>
    <w:rsid w:val="00061C0D"/>
    <w:rsid w:val="0006212F"/>
    <w:rsid w:val="0006220F"/>
    <w:rsid w:val="000647B8"/>
    <w:rsid w:val="0006506B"/>
    <w:rsid w:val="0006551A"/>
    <w:rsid w:val="000700AC"/>
    <w:rsid w:val="000705A6"/>
    <w:rsid w:val="0007638A"/>
    <w:rsid w:val="00076B6E"/>
    <w:rsid w:val="000816EA"/>
    <w:rsid w:val="00081744"/>
    <w:rsid w:val="000828CE"/>
    <w:rsid w:val="000833CB"/>
    <w:rsid w:val="00083491"/>
    <w:rsid w:val="00084078"/>
    <w:rsid w:val="000843B3"/>
    <w:rsid w:val="000869C2"/>
    <w:rsid w:val="00087F4C"/>
    <w:rsid w:val="00090648"/>
    <w:rsid w:val="00094253"/>
    <w:rsid w:val="00095030"/>
    <w:rsid w:val="000A01A0"/>
    <w:rsid w:val="000A352B"/>
    <w:rsid w:val="000B0F8B"/>
    <w:rsid w:val="000B359E"/>
    <w:rsid w:val="000B3894"/>
    <w:rsid w:val="000B4E04"/>
    <w:rsid w:val="000C1E1E"/>
    <w:rsid w:val="000C38F1"/>
    <w:rsid w:val="000C5E77"/>
    <w:rsid w:val="000C68E9"/>
    <w:rsid w:val="000D0ADE"/>
    <w:rsid w:val="000D179E"/>
    <w:rsid w:val="000D66DC"/>
    <w:rsid w:val="000E1F3B"/>
    <w:rsid w:val="000E3AB4"/>
    <w:rsid w:val="000E7544"/>
    <w:rsid w:val="000F0C17"/>
    <w:rsid w:val="000F2904"/>
    <w:rsid w:val="000F34A1"/>
    <w:rsid w:val="000F5226"/>
    <w:rsid w:val="000F5583"/>
    <w:rsid w:val="000F6050"/>
    <w:rsid w:val="000F66FF"/>
    <w:rsid w:val="000F698D"/>
    <w:rsid w:val="000F7D42"/>
    <w:rsid w:val="001008A5"/>
    <w:rsid w:val="00100C86"/>
    <w:rsid w:val="0011339C"/>
    <w:rsid w:val="001135B0"/>
    <w:rsid w:val="00113FAA"/>
    <w:rsid w:val="001145ED"/>
    <w:rsid w:val="00115AE5"/>
    <w:rsid w:val="00116489"/>
    <w:rsid w:val="0011648B"/>
    <w:rsid w:val="001166C1"/>
    <w:rsid w:val="00116874"/>
    <w:rsid w:val="001177A3"/>
    <w:rsid w:val="001240EB"/>
    <w:rsid w:val="0012443D"/>
    <w:rsid w:val="00127053"/>
    <w:rsid w:val="0013182D"/>
    <w:rsid w:val="00131CEE"/>
    <w:rsid w:val="0013315B"/>
    <w:rsid w:val="00134FCF"/>
    <w:rsid w:val="00135AD8"/>
    <w:rsid w:val="0013630D"/>
    <w:rsid w:val="001367F2"/>
    <w:rsid w:val="001412E8"/>
    <w:rsid w:val="0014250F"/>
    <w:rsid w:val="00144B52"/>
    <w:rsid w:val="00153D66"/>
    <w:rsid w:val="0015725E"/>
    <w:rsid w:val="00162F69"/>
    <w:rsid w:val="00164946"/>
    <w:rsid w:val="00165756"/>
    <w:rsid w:val="0017362C"/>
    <w:rsid w:val="0017392F"/>
    <w:rsid w:val="0018184C"/>
    <w:rsid w:val="0018198F"/>
    <w:rsid w:val="00181C62"/>
    <w:rsid w:val="00183642"/>
    <w:rsid w:val="001860C4"/>
    <w:rsid w:val="00186FAE"/>
    <w:rsid w:val="001917D4"/>
    <w:rsid w:val="001917FC"/>
    <w:rsid w:val="00191D7F"/>
    <w:rsid w:val="001925A2"/>
    <w:rsid w:val="00195218"/>
    <w:rsid w:val="00197A55"/>
    <w:rsid w:val="00197F7E"/>
    <w:rsid w:val="001A1623"/>
    <w:rsid w:val="001A2263"/>
    <w:rsid w:val="001B4531"/>
    <w:rsid w:val="001B5BDB"/>
    <w:rsid w:val="001B75F9"/>
    <w:rsid w:val="001C2B9E"/>
    <w:rsid w:val="001C38DA"/>
    <w:rsid w:val="001C7A48"/>
    <w:rsid w:val="001C7C12"/>
    <w:rsid w:val="001D2797"/>
    <w:rsid w:val="001D2B67"/>
    <w:rsid w:val="001D3730"/>
    <w:rsid w:val="001D4727"/>
    <w:rsid w:val="001D5665"/>
    <w:rsid w:val="001D61DC"/>
    <w:rsid w:val="001D6377"/>
    <w:rsid w:val="001D68A8"/>
    <w:rsid w:val="001D6B88"/>
    <w:rsid w:val="001D6C5F"/>
    <w:rsid w:val="001D7ECC"/>
    <w:rsid w:val="001E144C"/>
    <w:rsid w:val="001E25FD"/>
    <w:rsid w:val="001E2A4F"/>
    <w:rsid w:val="001E3F8F"/>
    <w:rsid w:val="001E4500"/>
    <w:rsid w:val="001E5250"/>
    <w:rsid w:val="001F33EB"/>
    <w:rsid w:val="001F4DEA"/>
    <w:rsid w:val="001F4ECB"/>
    <w:rsid w:val="001F7353"/>
    <w:rsid w:val="00201F27"/>
    <w:rsid w:val="00201F9B"/>
    <w:rsid w:val="00203597"/>
    <w:rsid w:val="002076AC"/>
    <w:rsid w:val="00212B27"/>
    <w:rsid w:val="00212BBA"/>
    <w:rsid w:val="0021469C"/>
    <w:rsid w:val="00215523"/>
    <w:rsid w:val="00216962"/>
    <w:rsid w:val="00217CA4"/>
    <w:rsid w:val="00221112"/>
    <w:rsid w:val="00221A1B"/>
    <w:rsid w:val="002220A4"/>
    <w:rsid w:val="00223C19"/>
    <w:rsid w:val="00224421"/>
    <w:rsid w:val="00226503"/>
    <w:rsid w:val="00226A60"/>
    <w:rsid w:val="0023578C"/>
    <w:rsid w:val="00235AC5"/>
    <w:rsid w:val="002377E0"/>
    <w:rsid w:val="00240BB6"/>
    <w:rsid w:val="002432CA"/>
    <w:rsid w:val="00243D40"/>
    <w:rsid w:val="00245250"/>
    <w:rsid w:val="002477CB"/>
    <w:rsid w:val="00247BF6"/>
    <w:rsid w:val="00250A33"/>
    <w:rsid w:val="00251126"/>
    <w:rsid w:val="002524D2"/>
    <w:rsid w:val="00252802"/>
    <w:rsid w:val="00261A50"/>
    <w:rsid w:val="002634C3"/>
    <w:rsid w:val="00265B3A"/>
    <w:rsid w:val="0027052E"/>
    <w:rsid w:val="00271E9D"/>
    <w:rsid w:val="00271F7D"/>
    <w:rsid w:val="00274E85"/>
    <w:rsid w:val="002777F6"/>
    <w:rsid w:val="00277907"/>
    <w:rsid w:val="00280C42"/>
    <w:rsid w:val="00281B73"/>
    <w:rsid w:val="002833C9"/>
    <w:rsid w:val="00285E5C"/>
    <w:rsid w:val="00290B63"/>
    <w:rsid w:val="00290E73"/>
    <w:rsid w:val="00293415"/>
    <w:rsid w:val="00294689"/>
    <w:rsid w:val="0029539A"/>
    <w:rsid w:val="002A1A82"/>
    <w:rsid w:val="002A2FB0"/>
    <w:rsid w:val="002A4D32"/>
    <w:rsid w:val="002A5F87"/>
    <w:rsid w:val="002B017B"/>
    <w:rsid w:val="002B0DC0"/>
    <w:rsid w:val="002B2664"/>
    <w:rsid w:val="002B4E21"/>
    <w:rsid w:val="002B5000"/>
    <w:rsid w:val="002B78AA"/>
    <w:rsid w:val="002C383C"/>
    <w:rsid w:val="002D15BB"/>
    <w:rsid w:val="002D1C13"/>
    <w:rsid w:val="002D3109"/>
    <w:rsid w:val="002D378C"/>
    <w:rsid w:val="002D6413"/>
    <w:rsid w:val="002D6F14"/>
    <w:rsid w:val="002D74D5"/>
    <w:rsid w:val="002E4922"/>
    <w:rsid w:val="002E4B2C"/>
    <w:rsid w:val="002E5261"/>
    <w:rsid w:val="002F00BB"/>
    <w:rsid w:val="002F1DE7"/>
    <w:rsid w:val="002F2627"/>
    <w:rsid w:val="002F2748"/>
    <w:rsid w:val="002F6445"/>
    <w:rsid w:val="002F6580"/>
    <w:rsid w:val="002F6DE8"/>
    <w:rsid w:val="002F74D8"/>
    <w:rsid w:val="002F7C72"/>
    <w:rsid w:val="002F7EDC"/>
    <w:rsid w:val="003003A8"/>
    <w:rsid w:val="0030091B"/>
    <w:rsid w:val="00301E62"/>
    <w:rsid w:val="00304063"/>
    <w:rsid w:val="0030555F"/>
    <w:rsid w:val="00305A3B"/>
    <w:rsid w:val="00305BB4"/>
    <w:rsid w:val="0030645F"/>
    <w:rsid w:val="003117B9"/>
    <w:rsid w:val="00311C71"/>
    <w:rsid w:val="00313073"/>
    <w:rsid w:val="0031336C"/>
    <w:rsid w:val="0031339F"/>
    <w:rsid w:val="00313F3E"/>
    <w:rsid w:val="00323F65"/>
    <w:rsid w:val="00326147"/>
    <w:rsid w:val="0033051E"/>
    <w:rsid w:val="0033401D"/>
    <w:rsid w:val="00334456"/>
    <w:rsid w:val="00336150"/>
    <w:rsid w:val="00336E99"/>
    <w:rsid w:val="00342417"/>
    <w:rsid w:val="003454EC"/>
    <w:rsid w:val="00346537"/>
    <w:rsid w:val="00347B94"/>
    <w:rsid w:val="003527DD"/>
    <w:rsid w:val="003547A2"/>
    <w:rsid w:val="00355171"/>
    <w:rsid w:val="00362702"/>
    <w:rsid w:val="00362A37"/>
    <w:rsid w:val="00362CF0"/>
    <w:rsid w:val="00362D5D"/>
    <w:rsid w:val="00364AC5"/>
    <w:rsid w:val="00365D15"/>
    <w:rsid w:val="0036702F"/>
    <w:rsid w:val="00367F3A"/>
    <w:rsid w:val="00370BDF"/>
    <w:rsid w:val="00372FA2"/>
    <w:rsid w:val="003735E9"/>
    <w:rsid w:val="003739FE"/>
    <w:rsid w:val="003749D5"/>
    <w:rsid w:val="0038254F"/>
    <w:rsid w:val="003828EC"/>
    <w:rsid w:val="00383488"/>
    <w:rsid w:val="003843BB"/>
    <w:rsid w:val="003859DA"/>
    <w:rsid w:val="00386153"/>
    <w:rsid w:val="00386BA7"/>
    <w:rsid w:val="00390B48"/>
    <w:rsid w:val="0039213A"/>
    <w:rsid w:val="00393BF6"/>
    <w:rsid w:val="00395D4D"/>
    <w:rsid w:val="00396D64"/>
    <w:rsid w:val="00397A06"/>
    <w:rsid w:val="003A0FAF"/>
    <w:rsid w:val="003A38BD"/>
    <w:rsid w:val="003A38C8"/>
    <w:rsid w:val="003A6045"/>
    <w:rsid w:val="003A72D0"/>
    <w:rsid w:val="003B22FD"/>
    <w:rsid w:val="003B3004"/>
    <w:rsid w:val="003B3A47"/>
    <w:rsid w:val="003B4168"/>
    <w:rsid w:val="003B42FF"/>
    <w:rsid w:val="003B62D2"/>
    <w:rsid w:val="003B66A3"/>
    <w:rsid w:val="003C27F7"/>
    <w:rsid w:val="003C62C1"/>
    <w:rsid w:val="003C6FA4"/>
    <w:rsid w:val="003D0B3E"/>
    <w:rsid w:val="003D2352"/>
    <w:rsid w:val="003D3863"/>
    <w:rsid w:val="003D3D0A"/>
    <w:rsid w:val="003E0800"/>
    <w:rsid w:val="003E1584"/>
    <w:rsid w:val="003E33DE"/>
    <w:rsid w:val="003E3593"/>
    <w:rsid w:val="003E585F"/>
    <w:rsid w:val="003E6049"/>
    <w:rsid w:val="003E67F9"/>
    <w:rsid w:val="003F0D27"/>
    <w:rsid w:val="003F1C98"/>
    <w:rsid w:val="003F317C"/>
    <w:rsid w:val="003F4813"/>
    <w:rsid w:val="00406654"/>
    <w:rsid w:val="0041100B"/>
    <w:rsid w:val="004114F3"/>
    <w:rsid w:val="00412894"/>
    <w:rsid w:val="004130C3"/>
    <w:rsid w:val="00413E71"/>
    <w:rsid w:val="00421363"/>
    <w:rsid w:val="00421921"/>
    <w:rsid w:val="00422100"/>
    <w:rsid w:val="004254D3"/>
    <w:rsid w:val="0042746B"/>
    <w:rsid w:val="00433B69"/>
    <w:rsid w:val="004369AD"/>
    <w:rsid w:val="00436DD6"/>
    <w:rsid w:val="00444FB7"/>
    <w:rsid w:val="00450674"/>
    <w:rsid w:val="004533FE"/>
    <w:rsid w:val="00454715"/>
    <w:rsid w:val="00454D80"/>
    <w:rsid w:val="00456785"/>
    <w:rsid w:val="00462EB0"/>
    <w:rsid w:val="00463933"/>
    <w:rsid w:val="00464346"/>
    <w:rsid w:val="00470325"/>
    <w:rsid w:val="00470F42"/>
    <w:rsid w:val="00471605"/>
    <w:rsid w:val="0047297A"/>
    <w:rsid w:val="00474709"/>
    <w:rsid w:val="00480184"/>
    <w:rsid w:val="00480516"/>
    <w:rsid w:val="00480658"/>
    <w:rsid w:val="00480D3C"/>
    <w:rsid w:val="0048170B"/>
    <w:rsid w:val="00481BD4"/>
    <w:rsid w:val="00482AA2"/>
    <w:rsid w:val="0048579F"/>
    <w:rsid w:val="00487005"/>
    <w:rsid w:val="004901A7"/>
    <w:rsid w:val="004A084F"/>
    <w:rsid w:val="004A1FA1"/>
    <w:rsid w:val="004A3225"/>
    <w:rsid w:val="004A3F90"/>
    <w:rsid w:val="004A5F59"/>
    <w:rsid w:val="004A6F1F"/>
    <w:rsid w:val="004B17D8"/>
    <w:rsid w:val="004B2323"/>
    <w:rsid w:val="004B62C3"/>
    <w:rsid w:val="004C0BC8"/>
    <w:rsid w:val="004C21CA"/>
    <w:rsid w:val="004C461A"/>
    <w:rsid w:val="004C7D23"/>
    <w:rsid w:val="004D0783"/>
    <w:rsid w:val="004D11CB"/>
    <w:rsid w:val="004D49E3"/>
    <w:rsid w:val="004D7163"/>
    <w:rsid w:val="004E0366"/>
    <w:rsid w:val="004E1C30"/>
    <w:rsid w:val="004E3342"/>
    <w:rsid w:val="004E45AC"/>
    <w:rsid w:val="004E4672"/>
    <w:rsid w:val="004E5593"/>
    <w:rsid w:val="004E7A1E"/>
    <w:rsid w:val="004E7F1A"/>
    <w:rsid w:val="004F0352"/>
    <w:rsid w:val="004F0740"/>
    <w:rsid w:val="004F415D"/>
    <w:rsid w:val="004F4980"/>
    <w:rsid w:val="004F66F4"/>
    <w:rsid w:val="004F7710"/>
    <w:rsid w:val="00502A45"/>
    <w:rsid w:val="0050542C"/>
    <w:rsid w:val="00512DC1"/>
    <w:rsid w:val="00514C6B"/>
    <w:rsid w:val="005161EC"/>
    <w:rsid w:val="0051709F"/>
    <w:rsid w:val="005175EB"/>
    <w:rsid w:val="00521A18"/>
    <w:rsid w:val="00522079"/>
    <w:rsid w:val="00522622"/>
    <w:rsid w:val="0052450E"/>
    <w:rsid w:val="00525410"/>
    <w:rsid w:val="00530703"/>
    <w:rsid w:val="00530763"/>
    <w:rsid w:val="00534EFD"/>
    <w:rsid w:val="005362F2"/>
    <w:rsid w:val="00543B42"/>
    <w:rsid w:val="0054651A"/>
    <w:rsid w:val="00546EA9"/>
    <w:rsid w:val="005474CD"/>
    <w:rsid w:val="005501B7"/>
    <w:rsid w:val="0055152E"/>
    <w:rsid w:val="00552094"/>
    <w:rsid w:val="00553D73"/>
    <w:rsid w:val="00554BAF"/>
    <w:rsid w:val="00555A15"/>
    <w:rsid w:val="00556291"/>
    <w:rsid w:val="005569E4"/>
    <w:rsid w:val="00560E11"/>
    <w:rsid w:val="00561147"/>
    <w:rsid w:val="00561463"/>
    <w:rsid w:val="00561F8F"/>
    <w:rsid w:val="00563A0E"/>
    <w:rsid w:val="005647D0"/>
    <w:rsid w:val="00574C59"/>
    <w:rsid w:val="00576CE2"/>
    <w:rsid w:val="005770AC"/>
    <w:rsid w:val="00577C1A"/>
    <w:rsid w:val="00577FAA"/>
    <w:rsid w:val="0058041D"/>
    <w:rsid w:val="005826AA"/>
    <w:rsid w:val="005828C8"/>
    <w:rsid w:val="00583CE7"/>
    <w:rsid w:val="005856E9"/>
    <w:rsid w:val="005867BB"/>
    <w:rsid w:val="00587452"/>
    <w:rsid w:val="00591C2A"/>
    <w:rsid w:val="00592461"/>
    <w:rsid w:val="00592539"/>
    <w:rsid w:val="00596A05"/>
    <w:rsid w:val="00596D6D"/>
    <w:rsid w:val="00597284"/>
    <w:rsid w:val="00597F8F"/>
    <w:rsid w:val="005A1EA2"/>
    <w:rsid w:val="005A2467"/>
    <w:rsid w:val="005A5858"/>
    <w:rsid w:val="005A6E51"/>
    <w:rsid w:val="005A7C7F"/>
    <w:rsid w:val="005A7D88"/>
    <w:rsid w:val="005B130C"/>
    <w:rsid w:val="005B14FF"/>
    <w:rsid w:val="005B3B71"/>
    <w:rsid w:val="005B4B1B"/>
    <w:rsid w:val="005B4F0F"/>
    <w:rsid w:val="005B58F0"/>
    <w:rsid w:val="005C0E62"/>
    <w:rsid w:val="005C0F5B"/>
    <w:rsid w:val="005C2E15"/>
    <w:rsid w:val="005C403B"/>
    <w:rsid w:val="005C63CB"/>
    <w:rsid w:val="005D0AA6"/>
    <w:rsid w:val="005D165F"/>
    <w:rsid w:val="005D21F3"/>
    <w:rsid w:val="005D3CF8"/>
    <w:rsid w:val="005D5D89"/>
    <w:rsid w:val="005E0D2D"/>
    <w:rsid w:val="005E3FB6"/>
    <w:rsid w:val="005F4583"/>
    <w:rsid w:val="005F4ABB"/>
    <w:rsid w:val="005F6066"/>
    <w:rsid w:val="005F6562"/>
    <w:rsid w:val="005F6C6D"/>
    <w:rsid w:val="005F6F09"/>
    <w:rsid w:val="005F787A"/>
    <w:rsid w:val="006019C7"/>
    <w:rsid w:val="00601E7B"/>
    <w:rsid w:val="00601EBC"/>
    <w:rsid w:val="00602D32"/>
    <w:rsid w:val="00603A84"/>
    <w:rsid w:val="006067DC"/>
    <w:rsid w:val="00610629"/>
    <w:rsid w:val="00611BCD"/>
    <w:rsid w:val="0061258D"/>
    <w:rsid w:val="006142EC"/>
    <w:rsid w:val="006155A5"/>
    <w:rsid w:val="00617824"/>
    <w:rsid w:val="00624214"/>
    <w:rsid w:val="00625419"/>
    <w:rsid w:val="00626D1A"/>
    <w:rsid w:val="00627429"/>
    <w:rsid w:val="0063089C"/>
    <w:rsid w:val="00632A91"/>
    <w:rsid w:val="006345E8"/>
    <w:rsid w:val="0063765C"/>
    <w:rsid w:val="006403CB"/>
    <w:rsid w:val="006410B0"/>
    <w:rsid w:val="0064139F"/>
    <w:rsid w:val="00641404"/>
    <w:rsid w:val="00641EDA"/>
    <w:rsid w:val="00642B97"/>
    <w:rsid w:val="00643680"/>
    <w:rsid w:val="00644453"/>
    <w:rsid w:val="00644B32"/>
    <w:rsid w:val="0064639A"/>
    <w:rsid w:val="0064646F"/>
    <w:rsid w:val="00646523"/>
    <w:rsid w:val="00647BDD"/>
    <w:rsid w:val="0065273C"/>
    <w:rsid w:val="00656A74"/>
    <w:rsid w:val="00657221"/>
    <w:rsid w:val="00661FC1"/>
    <w:rsid w:val="00663FED"/>
    <w:rsid w:val="00664B64"/>
    <w:rsid w:val="006678E3"/>
    <w:rsid w:val="00667A9C"/>
    <w:rsid w:val="006712E8"/>
    <w:rsid w:val="00677DA7"/>
    <w:rsid w:val="00680212"/>
    <w:rsid w:val="00680C90"/>
    <w:rsid w:val="00681036"/>
    <w:rsid w:val="006823AD"/>
    <w:rsid w:val="00682C29"/>
    <w:rsid w:val="00685872"/>
    <w:rsid w:val="00685AD7"/>
    <w:rsid w:val="00691963"/>
    <w:rsid w:val="00692124"/>
    <w:rsid w:val="00692D96"/>
    <w:rsid w:val="00693C96"/>
    <w:rsid w:val="00696339"/>
    <w:rsid w:val="00696982"/>
    <w:rsid w:val="006A3F85"/>
    <w:rsid w:val="006A48FA"/>
    <w:rsid w:val="006A56F1"/>
    <w:rsid w:val="006A6E5C"/>
    <w:rsid w:val="006B0972"/>
    <w:rsid w:val="006B3153"/>
    <w:rsid w:val="006B5871"/>
    <w:rsid w:val="006B6BB1"/>
    <w:rsid w:val="006B7212"/>
    <w:rsid w:val="006C14C3"/>
    <w:rsid w:val="006C4B6F"/>
    <w:rsid w:val="006C589D"/>
    <w:rsid w:val="006C769C"/>
    <w:rsid w:val="006C7A95"/>
    <w:rsid w:val="006D11E8"/>
    <w:rsid w:val="006D4B0E"/>
    <w:rsid w:val="006D753C"/>
    <w:rsid w:val="006E0A00"/>
    <w:rsid w:val="006E306D"/>
    <w:rsid w:val="006E4BEC"/>
    <w:rsid w:val="006E6968"/>
    <w:rsid w:val="006F04C6"/>
    <w:rsid w:val="006F08A0"/>
    <w:rsid w:val="006F2A97"/>
    <w:rsid w:val="006F7AD7"/>
    <w:rsid w:val="00702627"/>
    <w:rsid w:val="0070359F"/>
    <w:rsid w:val="0070464C"/>
    <w:rsid w:val="00705474"/>
    <w:rsid w:val="00705B46"/>
    <w:rsid w:val="007076B2"/>
    <w:rsid w:val="00711BBB"/>
    <w:rsid w:val="0071340A"/>
    <w:rsid w:val="00713FC7"/>
    <w:rsid w:val="00716FD1"/>
    <w:rsid w:val="00720D0F"/>
    <w:rsid w:val="007218A9"/>
    <w:rsid w:val="0072241C"/>
    <w:rsid w:val="007245A5"/>
    <w:rsid w:val="00731628"/>
    <w:rsid w:val="00734108"/>
    <w:rsid w:val="007343AD"/>
    <w:rsid w:val="0073448D"/>
    <w:rsid w:val="00735087"/>
    <w:rsid w:val="00736FA0"/>
    <w:rsid w:val="0074053E"/>
    <w:rsid w:val="0075000E"/>
    <w:rsid w:val="00752156"/>
    <w:rsid w:val="00753A7A"/>
    <w:rsid w:val="00756E77"/>
    <w:rsid w:val="007577C2"/>
    <w:rsid w:val="0076038F"/>
    <w:rsid w:val="00760D77"/>
    <w:rsid w:val="007617E5"/>
    <w:rsid w:val="0077124E"/>
    <w:rsid w:val="00772FA7"/>
    <w:rsid w:val="0077578C"/>
    <w:rsid w:val="00781ACA"/>
    <w:rsid w:val="007823CF"/>
    <w:rsid w:val="00783E35"/>
    <w:rsid w:val="00784F67"/>
    <w:rsid w:val="00786754"/>
    <w:rsid w:val="00786D49"/>
    <w:rsid w:val="00787061"/>
    <w:rsid w:val="00790F0A"/>
    <w:rsid w:val="00790F5E"/>
    <w:rsid w:val="007927A6"/>
    <w:rsid w:val="00797F6E"/>
    <w:rsid w:val="007A04B2"/>
    <w:rsid w:val="007A1F4C"/>
    <w:rsid w:val="007A53F8"/>
    <w:rsid w:val="007B05BD"/>
    <w:rsid w:val="007B31A5"/>
    <w:rsid w:val="007B3327"/>
    <w:rsid w:val="007B3533"/>
    <w:rsid w:val="007B4996"/>
    <w:rsid w:val="007B6926"/>
    <w:rsid w:val="007B6FA3"/>
    <w:rsid w:val="007B705D"/>
    <w:rsid w:val="007C5764"/>
    <w:rsid w:val="007C61D0"/>
    <w:rsid w:val="007C6FAA"/>
    <w:rsid w:val="007C768F"/>
    <w:rsid w:val="007D251F"/>
    <w:rsid w:val="007D4FA2"/>
    <w:rsid w:val="007E0874"/>
    <w:rsid w:val="007E0FAD"/>
    <w:rsid w:val="007E60E9"/>
    <w:rsid w:val="007E63F3"/>
    <w:rsid w:val="007E6F5A"/>
    <w:rsid w:val="007F0916"/>
    <w:rsid w:val="007F1E7D"/>
    <w:rsid w:val="007F2A79"/>
    <w:rsid w:val="007F3026"/>
    <w:rsid w:val="007F42DD"/>
    <w:rsid w:val="007F4E0F"/>
    <w:rsid w:val="007F77CA"/>
    <w:rsid w:val="008011ED"/>
    <w:rsid w:val="00801636"/>
    <w:rsid w:val="00803935"/>
    <w:rsid w:val="008045D0"/>
    <w:rsid w:val="008059B8"/>
    <w:rsid w:val="00810333"/>
    <w:rsid w:val="0081415C"/>
    <w:rsid w:val="0081590D"/>
    <w:rsid w:val="00815E57"/>
    <w:rsid w:val="008166F5"/>
    <w:rsid w:val="0081677E"/>
    <w:rsid w:val="00817467"/>
    <w:rsid w:val="0082043E"/>
    <w:rsid w:val="00822905"/>
    <w:rsid w:val="0082299E"/>
    <w:rsid w:val="00827CD1"/>
    <w:rsid w:val="00832164"/>
    <w:rsid w:val="00832F53"/>
    <w:rsid w:val="00834003"/>
    <w:rsid w:val="0083455F"/>
    <w:rsid w:val="00834EA0"/>
    <w:rsid w:val="00843042"/>
    <w:rsid w:val="00843C37"/>
    <w:rsid w:val="00844886"/>
    <w:rsid w:val="00844C2D"/>
    <w:rsid w:val="00846D68"/>
    <w:rsid w:val="008518E5"/>
    <w:rsid w:val="00852B15"/>
    <w:rsid w:val="00856135"/>
    <w:rsid w:val="00857A96"/>
    <w:rsid w:val="00861FE5"/>
    <w:rsid w:val="0086376D"/>
    <w:rsid w:val="008703C2"/>
    <w:rsid w:val="0087209F"/>
    <w:rsid w:val="008806CC"/>
    <w:rsid w:val="008849E6"/>
    <w:rsid w:val="0088513E"/>
    <w:rsid w:val="00886300"/>
    <w:rsid w:val="0089099F"/>
    <w:rsid w:val="00890AAF"/>
    <w:rsid w:val="00892F7A"/>
    <w:rsid w:val="00894CEB"/>
    <w:rsid w:val="00896A62"/>
    <w:rsid w:val="00897B88"/>
    <w:rsid w:val="008A113D"/>
    <w:rsid w:val="008A678B"/>
    <w:rsid w:val="008B0034"/>
    <w:rsid w:val="008B0702"/>
    <w:rsid w:val="008B2397"/>
    <w:rsid w:val="008B33B5"/>
    <w:rsid w:val="008B3CD6"/>
    <w:rsid w:val="008B6003"/>
    <w:rsid w:val="008B691D"/>
    <w:rsid w:val="008C4D11"/>
    <w:rsid w:val="008D54FA"/>
    <w:rsid w:val="008D5C05"/>
    <w:rsid w:val="008D6490"/>
    <w:rsid w:val="008D6FFD"/>
    <w:rsid w:val="008E1191"/>
    <w:rsid w:val="008E342E"/>
    <w:rsid w:val="008E4D9C"/>
    <w:rsid w:val="008E566D"/>
    <w:rsid w:val="008E588C"/>
    <w:rsid w:val="008F52D9"/>
    <w:rsid w:val="008F6BC6"/>
    <w:rsid w:val="00902B4C"/>
    <w:rsid w:val="00903FC5"/>
    <w:rsid w:val="0090403F"/>
    <w:rsid w:val="009071FF"/>
    <w:rsid w:val="009108DB"/>
    <w:rsid w:val="009112EB"/>
    <w:rsid w:val="00913191"/>
    <w:rsid w:val="009131F2"/>
    <w:rsid w:val="00916431"/>
    <w:rsid w:val="00917DBE"/>
    <w:rsid w:val="0092605A"/>
    <w:rsid w:val="0092689A"/>
    <w:rsid w:val="0093228E"/>
    <w:rsid w:val="009325E1"/>
    <w:rsid w:val="00933602"/>
    <w:rsid w:val="009338B2"/>
    <w:rsid w:val="009351EF"/>
    <w:rsid w:val="0093698F"/>
    <w:rsid w:val="00940914"/>
    <w:rsid w:val="009409E8"/>
    <w:rsid w:val="00942250"/>
    <w:rsid w:val="00942706"/>
    <w:rsid w:val="00942E51"/>
    <w:rsid w:val="00946A6A"/>
    <w:rsid w:val="00947EB7"/>
    <w:rsid w:val="0095056B"/>
    <w:rsid w:val="00951FC3"/>
    <w:rsid w:val="009520BD"/>
    <w:rsid w:val="00952B29"/>
    <w:rsid w:val="00953DBA"/>
    <w:rsid w:val="00954137"/>
    <w:rsid w:val="00955882"/>
    <w:rsid w:val="00955ABF"/>
    <w:rsid w:val="00956F74"/>
    <w:rsid w:val="00956F84"/>
    <w:rsid w:val="0095752F"/>
    <w:rsid w:val="009575A0"/>
    <w:rsid w:val="00957C6C"/>
    <w:rsid w:val="00960AA2"/>
    <w:rsid w:val="009649DC"/>
    <w:rsid w:val="00966EB2"/>
    <w:rsid w:val="00970C67"/>
    <w:rsid w:val="00974456"/>
    <w:rsid w:val="00991483"/>
    <w:rsid w:val="0099296D"/>
    <w:rsid w:val="009935AA"/>
    <w:rsid w:val="00993F94"/>
    <w:rsid w:val="009951B2"/>
    <w:rsid w:val="009A039C"/>
    <w:rsid w:val="009A2859"/>
    <w:rsid w:val="009A4E90"/>
    <w:rsid w:val="009A50B8"/>
    <w:rsid w:val="009A737B"/>
    <w:rsid w:val="009B1823"/>
    <w:rsid w:val="009B406F"/>
    <w:rsid w:val="009B443A"/>
    <w:rsid w:val="009B4D09"/>
    <w:rsid w:val="009B6DD1"/>
    <w:rsid w:val="009C1332"/>
    <w:rsid w:val="009C4A4F"/>
    <w:rsid w:val="009C664C"/>
    <w:rsid w:val="009C6D34"/>
    <w:rsid w:val="009D2E97"/>
    <w:rsid w:val="009D328E"/>
    <w:rsid w:val="009D3438"/>
    <w:rsid w:val="009D3B88"/>
    <w:rsid w:val="009D40B6"/>
    <w:rsid w:val="009D4D3A"/>
    <w:rsid w:val="009D7AD4"/>
    <w:rsid w:val="009E1231"/>
    <w:rsid w:val="009E1A57"/>
    <w:rsid w:val="009E36CA"/>
    <w:rsid w:val="009E4B6B"/>
    <w:rsid w:val="009E6470"/>
    <w:rsid w:val="009E7175"/>
    <w:rsid w:val="009F08CB"/>
    <w:rsid w:val="009F1E5E"/>
    <w:rsid w:val="009F497B"/>
    <w:rsid w:val="009F5331"/>
    <w:rsid w:val="009F6453"/>
    <w:rsid w:val="009F6AD6"/>
    <w:rsid w:val="009F6F30"/>
    <w:rsid w:val="009F7BFB"/>
    <w:rsid w:val="00A0081F"/>
    <w:rsid w:val="00A01B61"/>
    <w:rsid w:val="00A03BCB"/>
    <w:rsid w:val="00A048F3"/>
    <w:rsid w:val="00A04CA6"/>
    <w:rsid w:val="00A052DD"/>
    <w:rsid w:val="00A06E6F"/>
    <w:rsid w:val="00A12A49"/>
    <w:rsid w:val="00A135C4"/>
    <w:rsid w:val="00A13CB5"/>
    <w:rsid w:val="00A13FEC"/>
    <w:rsid w:val="00A200C3"/>
    <w:rsid w:val="00A21103"/>
    <w:rsid w:val="00A21E3C"/>
    <w:rsid w:val="00A23419"/>
    <w:rsid w:val="00A24BBD"/>
    <w:rsid w:val="00A26D62"/>
    <w:rsid w:val="00A27D2E"/>
    <w:rsid w:val="00A30D78"/>
    <w:rsid w:val="00A31032"/>
    <w:rsid w:val="00A31CCF"/>
    <w:rsid w:val="00A32598"/>
    <w:rsid w:val="00A33EF8"/>
    <w:rsid w:val="00A3432E"/>
    <w:rsid w:val="00A40DFB"/>
    <w:rsid w:val="00A435BF"/>
    <w:rsid w:val="00A448B0"/>
    <w:rsid w:val="00A46981"/>
    <w:rsid w:val="00A5210B"/>
    <w:rsid w:val="00A524EC"/>
    <w:rsid w:val="00A52F4A"/>
    <w:rsid w:val="00A531D6"/>
    <w:rsid w:val="00A54346"/>
    <w:rsid w:val="00A55211"/>
    <w:rsid w:val="00A569C9"/>
    <w:rsid w:val="00A57E0C"/>
    <w:rsid w:val="00A6039D"/>
    <w:rsid w:val="00A631B5"/>
    <w:rsid w:val="00A63351"/>
    <w:rsid w:val="00A6487D"/>
    <w:rsid w:val="00A65DF5"/>
    <w:rsid w:val="00A66D3E"/>
    <w:rsid w:val="00A676CE"/>
    <w:rsid w:val="00A7001C"/>
    <w:rsid w:val="00A70A43"/>
    <w:rsid w:val="00A75807"/>
    <w:rsid w:val="00A77913"/>
    <w:rsid w:val="00A8209D"/>
    <w:rsid w:val="00A82740"/>
    <w:rsid w:val="00A860C9"/>
    <w:rsid w:val="00A9137F"/>
    <w:rsid w:val="00A9483B"/>
    <w:rsid w:val="00A94F2C"/>
    <w:rsid w:val="00A972E1"/>
    <w:rsid w:val="00AA3F8C"/>
    <w:rsid w:val="00AA6E6B"/>
    <w:rsid w:val="00AB3052"/>
    <w:rsid w:val="00AB4248"/>
    <w:rsid w:val="00AB4520"/>
    <w:rsid w:val="00AB572D"/>
    <w:rsid w:val="00AB5A86"/>
    <w:rsid w:val="00AB6170"/>
    <w:rsid w:val="00AB707C"/>
    <w:rsid w:val="00AC0B37"/>
    <w:rsid w:val="00AC2185"/>
    <w:rsid w:val="00AC3068"/>
    <w:rsid w:val="00AC3C48"/>
    <w:rsid w:val="00AC4067"/>
    <w:rsid w:val="00AC53DF"/>
    <w:rsid w:val="00AC54F8"/>
    <w:rsid w:val="00AC692A"/>
    <w:rsid w:val="00AD0F08"/>
    <w:rsid w:val="00AD1585"/>
    <w:rsid w:val="00AD1747"/>
    <w:rsid w:val="00AD235B"/>
    <w:rsid w:val="00AD560B"/>
    <w:rsid w:val="00AD5BBB"/>
    <w:rsid w:val="00AE02B5"/>
    <w:rsid w:val="00AE0494"/>
    <w:rsid w:val="00AE0B28"/>
    <w:rsid w:val="00AE0C8D"/>
    <w:rsid w:val="00AE0D50"/>
    <w:rsid w:val="00AE1947"/>
    <w:rsid w:val="00AE242E"/>
    <w:rsid w:val="00AE2D8E"/>
    <w:rsid w:val="00AE4C9F"/>
    <w:rsid w:val="00AE7A40"/>
    <w:rsid w:val="00AE7EF9"/>
    <w:rsid w:val="00AF4A88"/>
    <w:rsid w:val="00AF60FC"/>
    <w:rsid w:val="00AF619D"/>
    <w:rsid w:val="00B01A75"/>
    <w:rsid w:val="00B02D39"/>
    <w:rsid w:val="00B03711"/>
    <w:rsid w:val="00B03B6B"/>
    <w:rsid w:val="00B04CC3"/>
    <w:rsid w:val="00B17DE2"/>
    <w:rsid w:val="00B2096A"/>
    <w:rsid w:val="00B20E8D"/>
    <w:rsid w:val="00B32541"/>
    <w:rsid w:val="00B3267F"/>
    <w:rsid w:val="00B35F87"/>
    <w:rsid w:val="00B379DA"/>
    <w:rsid w:val="00B37A67"/>
    <w:rsid w:val="00B41203"/>
    <w:rsid w:val="00B41500"/>
    <w:rsid w:val="00B5297F"/>
    <w:rsid w:val="00B52E16"/>
    <w:rsid w:val="00B53812"/>
    <w:rsid w:val="00B53C36"/>
    <w:rsid w:val="00B623DA"/>
    <w:rsid w:val="00B62736"/>
    <w:rsid w:val="00B62A71"/>
    <w:rsid w:val="00B62EF9"/>
    <w:rsid w:val="00B630C6"/>
    <w:rsid w:val="00B65DC0"/>
    <w:rsid w:val="00B67C2D"/>
    <w:rsid w:val="00B70D91"/>
    <w:rsid w:val="00B72FA0"/>
    <w:rsid w:val="00B73209"/>
    <w:rsid w:val="00B7708B"/>
    <w:rsid w:val="00B7721B"/>
    <w:rsid w:val="00B80E25"/>
    <w:rsid w:val="00B8347E"/>
    <w:rsid w:val="00B84B4A"/>
    <w:rsid w:val="00B8589C"/>
    <w:rsid w:val="00B86BAC"/>
    <w:rsid w:val="00B97B35"/>
    <w:rsid w:val="00BA3196"/>
    <w:rsid w:val="00BA3509"/>
    <w:rsid w:val="00BA5877"/>
    <w:rsid w:val="00BB124C"/>
    <w:rsid w:val="00BB17E3"/>
    <w:rsid w:val="00BB1CDB"/>
    <w:rsid w:val="00BB2110"/>
    <w:rsid w:val="00BB3645"/>
    <w:rsid w:val="00BB547E"/>
    <w:rsid w:val="00BB69B7"/>
    <w:rsid w:val="00BC2581"/>
    <w:rsid w:val="00BC3F55"/>
    <w:rsid w:val="00BC481A"/>
    <w:rsid w:val="00BC4D26"/>
    <w:rsid w:val="00BC555D"/>
    <w:rsid w:val="00BC658E"/>
    <w:rsid w:val="00BD0218"/>
    <w:rsid w:val="00BD1869"/>
    <w:rsid w:val="00BD200B"/>
    <w:rsid w:val="00BD63DF"/>
    <w:rsid w:val="00BD64D4"/>
    <w:rsid w:val="00BD7C4B"/>
    <w:rsid w:val="00BE33E8"/>
    <w:rsid w:val="00BF2BEB"/>
    <w:rsid w:val="00BF3197"/>
    <w:rsid w:val="00BF5E23"/>
    <w:rsid w:val="00BF6AD1"/>
    <w:rsid w:val="00C01DB8"/>
    <w:rsid w:val="00C0300F"/>
    <w:rsid w:val="00C04C13"/>
    <w:rsid w:val="00C0523E"/>
    <w:rsid w:val="00C06C3C"/>
    <w:rsid w:val="00C0751C"/>
    <w:rsid w:val="00C07D81"/>
    <w:rsid w:val="00C07F14"/>
    <w:rsid w:val="00C11B64"/>
    <w:rsid w:val="00C1218B"/>
    <w:rsid w:val="00C12B6B"/>
    <w:rsid w:val="00C135F1"/>
    <w:rsid w:val="00C140D0"/>
    <w:rsid w:val="00C14775"/>
    <w:rsid w:val="00C150A5"/>
    <w:rsid w:val="00C22B21"/>
    <w:rsid w:val="00C23593"/>
    <w:rsid w:val="00C23845"/>
    <w:rsid w:val="00C31846"/>
    <w:rsid w:val="00C32A33"/>
    <w:rsid w:val="00C367FB"/>
    <w:rsid w:val="00C41389"/>
    <w:rsid w:val="00C41BB7"/>
    <w:rsid w:val="00C42379"/>
    <w:rsid w:val="00C44004"/>
    <w:rsid w:val="00C445F4"/>
    <w:rsid w:val="00C54DF3"/>
    <w:rsid w:val="00C610B6"/>
    <w:rsid w:val="00C6257F"/>
    <w:rsid w:val="00C63117"/>
    <w:rsid w:val="00C640C7"/>
    <w:rsid w:val="00C65784"/>
    <w:rsid w:val="00C67BDD"/>
    <w:rsid w:val="00C70F24"/>
    <w:rsid w:val="00C717F6"/>
    <w:rsid w:val="00C72FD7"/>
    <w:rsid w:val="00C8155C"/>
    <w:rsid w:val="00C907F0"/>
    <w:rsid w:val="00C93A91"/>
    <w:rsid w:val="00C95601"/>
    <w:rsid w:val="00CA1947"/>
    <w:rsid w:val="00CA1C91"/>
    <w:rsid w:val="00CA323D"/>
    <w:rsid w:val="00CA54A0"/>
    <w:rsid w:val="00CB5515"/>
    <w:rsid w:val="00CB76EF"/>
    <w:rsid w:val="00CB7840"/>
    <w:rsid w:val="00CC0E24"/>
    <w:rsid w:val="00CC2390"/>
    <w:rsid w:val="00CC34E2"/>
    <w:rsid w:val="00CC4A5C"/>
    <w:rsid w:val="00CC5BB7"/>
    <w:rsid w:val="00CC5F62"/>
    <w:rsid w:val="00CC69B4"/>
    <w:rsid w:val="00CC6D17"/>
    <w:rsid w:val="00CC7102"/>
    <w:rsid w:val="00CC7CF3"/>
    <w:rsid w:val="00CD1E85"/>
    <w:rsid w:val="00CD3AEA"/>
    <w:rsid w:val="00CD3C32"/>
    <w:rsid w:val="00CD4235"/>
    <w:rsid w:val="00CD56D7"/>
    <w:rsid w:val="00CD57FC"/>
    <w:rsid w:val="00CD632A"/>
    <w:rsid w:val="00CE0B6D"/>
    <w:rsid w:val="00CE127E"/>
    <w:rsid w:val="00CE1C10"/>
    <w:rsid w:val="00CE217C"/>
    <w:rsid w:val="00CE4AE9"/>
    <w:rsid w:val="00CF41D0"/>
    <w:rsid w:val="00D00CF9"/>
    <w:rsid w:val="00D012FF"/>
    <w:rsid w:val="00D04CD8"/>
    <w:rsid w:val="00D04DEC"/>
    <w:rsid w:val="00D114ED"/>
    <w:rsid w:val="00D1261E"/>
    <w:rsid w:val="00D13F32"/>
    <w:rsid w:val="00D14B5E"/>
    <w:rsid w:val="00D1685E"/>
    <w:rsid w:val="00D171BA"/>
    <w:rsid w:val="00D24E41"/>
    <w:rsid w:val="00D25B74"/>
    <w:rsid w:val="00D25CA1"/>
    <w:rsid w:val="00D31474"/>
    <w:rsid w:val="00D32933"/>
    <w:rsid w:val="00D3579F"/>
    <w:rsid w:val="00D36B62"/>
    <w:rsid w:val="00D37BF5"/>
    <w:rsid w:val="00D421A7"/>
    <w:rsid w:val="00D42987"/>
    <w:rsid w:val="00D42C18"/>
    <w:rsid w:val="00D43F5E"/>
    <w:rsid w:val="00D44623"/>
    <w:rsid w:val="00D47CF6"/>
    <w:rsid w:val="00D50820"/>
    <w:rsid w:val="00D511C3"/>
    <w:rsid w:val="00D5481D"/>
    <w:rsid w:val="00D55B2D"/>
    <w:rsid w:val="00D60045"/>
    <w:rsid w:val="00D628AE"/>
    <w:rsid w:val="00D647C9"/>
    <w:rsid w:val="00D6632B"/>
    <w:rsid w:val="00D67995"/>
    <w:rsid w:val="00D7163F"/>
    <w:rsid w:val="00D7298C"/>
    <w:rsid w:val="00D73998"/>
    <w:rsid w:val="00D76FD9"/>
    <w:rsid w:val="00D800BD"/>
    <w:rsid w:val="00D816C8"/>
    <w:rsid w:val="00D81BC5"/>
    <w:rsid w:val="00D827CE"/>
    <w:rsid w:val="00D84DEB"/>
    <w:rsid w:val="00D877A6"/>
    <w:rsid w:val="00D904D9"/>
    <w:rsid w:val="00D946F0"/>
    <w:rsid w:val="00D95156"/>
    <w:rsid w:val="00D95BD9"/>
    <w:rsid w:val="00D95DC3"/>
    <w:rsid w:val="00D96A46"/>
    <w:rsid w:val="00D96A67"/>
    <w:rsid w:val="00DA12D5"/>
    <w:rsid w:val="00DA3326"/>
    <w:rsid w:val="00DA3644"/>
    <w:rsid w:val="00DA3FCB"/>
    <w:rsid w:val="00DA630F"/>
    <w:rsid w:val="00DA6A38"/>
    <w:rsid w:val="00DA6B30"/>
    <w:rsid w:val="00DA7040"/>
    <w:rsid w:val="00DB07B5"/>
    <w:rsid w:val="00DB07F9"/>
    <w:rsid w:val="00DB3CAF"/>
    <w:rsid w:val="00DB4966"/>
    <w:rsid w:val="00DC1386"/>
    <w:rsid w:val="00DC7A46"/>
    <w:rsid w:val="00DD0F54"/>
    <w:rsid w:val="00DD4F7A"/>
    <w:rsid w:val="00DD5050"/>
    <w:rsid w:val="00DD5306"/>
    <w:rsid w:val="00DD5903"/>
    <w:rsid w:val="00DD5E1E"/>
    <w:rsid w:val="00DE229B"/>
    <w:rsid w:val="00DE3A2B"/>
    <w:rsid w:val="00DE4A81"/>
    <w:rsid w:val="00DE7AB8"/>
    <w:rsid w:val="00DF3188"/>
    <w:rsid w:val="00DF5529"/>
    <w:rsid w:val="00DF6DE8"/>
    <w:rsid w:val="00DF6FB0"/>
    <w:rsid w:val="00DF76B3"/>
    <w:rsid w:val="00DF76F2"/>
    <w:rsid w:val="00E00083"/>
    <w:rsid w:val="00E009E2"/>
    <w:rsid w:val="00E01DE7"/>
    <w:rsid w:val="00E0411F"/>
    <w:rsid w:val="00E0572E"/>
    <w:rsid w:val="00E10005"/>
    <w:rsid w:val="00E1238E"/>
    <w:rsid w:val="00E124B9"/>
    <w:rsid w:val="00E13F21"/>
    <w:rsid w:val="00E1612B"/>
    <w:rsid w:val="00E17515"/>
    <w:rsid w:val="00E20591"/>
    <w:rsid w:val="00E22766"/>
    <w:rsid w:val="00E2572E"/>
    <w:rsid w:val="00E2692D"/>
    <w:rsid w:val="00E271C2"/>
    <w:rsid w:val="00E27AC2"/>
    <w:rsid w:val="00E30031"/>
    <w:rsid w:val="00E329A6"/>
    <w:rsid w:val="00E34CB5"/>
    <w:rsid w:val="00E36419"/>
    <w:rsid w:val="00E37789"/>
    <w:rsid w:val="00E42265"/>
    <w:rsid w:val="00E45DAA"/>
    <w:rsid w:val="00E46560"/>
    <w:rsid w:val="00E47307"/>
    <w:rsid w:val="00E47601"/>
    <w:rsid w:val="00E50DB1"/>
    <w:rsid w:val="00E51053"/>
    <w:rsid w:val="00E51A6B"/>
    <w:rsid w:val="00E51A9F"/>
    <w:rsid w:val="00E52CA8"/>
    <w:rsid w:val="00E550CE"/>
    <w:rsid w:val="00E60B86"/>
    <w:rsid w:val="00E62E45"/>
    <w:rsid w:val="00E62F7D"/>
    <w:rsid w:val="00E700B8"/>
    <w:rsid w:val="00E702B9"/>
    <w:rsid w:val="00E70588"/>
    <w:rsid w:val="00E75FA1"/>
    <w:rsid w:val="00E76419"/>
    <w:rsid w:val="00E77787"/>
    <w:rsid w:val="00E77CD7"/>
    <w:rsid w:val="00E82017"/>
    <w:rsid w:val="00E82792"/>
    <w:rsid w:val="00E844D7"/>
    <w:rsid w:val="00E92E9D"/>
    <w:rsid w:val="00E93B3C"/>
    <w:rsid w:val="00E96A7F"/>
    <w:rsid w:val="00EA031A"/>
    <w:rsid w:val="00EA0CE9"/>
    <w:rsid w:val="00EA1A40"/>
    <w:rsid w:val="00EA330D"/>
    <w:rsid w:val="00EA5190"/>
    <w:rsid w:val="00EA5F4C"/>
    <w:rsid w:val="00EA6109"/>
    <w:rsid w:val="00EB2688"/>
    <w:rsid w:val="00EB6181"/>
    <w:rsid w:val="00EB664F"/>
    <w:rsid w:val="00EB7E37"/>
    <w:rsid w:val="00EC12E8"/>
    <w:rsid w:val="00EC1357"/>
    <w:rsid w:val="00EC5ACF"/>
    <w:rsid w:val="00ED22A8"/>
    <w:rsid w:val="00ED2479"/>
    <w:rsid w:val="00ED4EB4"/>
    <w:rsid w:val="00ED5D09"/>
    <w:rsid w:val="00ED7107"/>
    <w:rsid w:val="00EE2221"/>
    <w:rsid w:val="00EE276F"/>
    <w:rsid w:val="00EE2982"/>
    <w:rsid w:val="00EE2D0E"/>
    <w:rsid w:val="00EE634F"/>
    <w:rsid w:val="00EF369D"/>
    <w:rsid w:val="00EF38A7"/>
    <w:rsid w:val="00EF6A39"/>
    <w:rsid w:val="00F00B38"/>
    <w:rsid w:val="00F0376E"/>
    <w:rsid w:val="00F044B3"/>
    <w:rsid w:val="00F05E83"/>
    <w:rsid w:val="00F07DC4"/>
    <w:rsid w:val="00F07E05"/>
    <w:rsid w:val="00F10842"/>
    <w:rsid w:val="00F13C42"/>
    <w:rsid w:val="00F161F7"/>
    <w:rsid w:val="00F206E8"/>
    <w:rsid w:val="00F21755"/>
    <w:rsid w:val="00F21F2E"/>
    <w:rsid w:val="00F23947"/>
    <w:rsid w:val="00F23B61"/>
    <w:rsid w:val="00F276F1"/>
    <w:rsid w:val="00F32680"/>
    <w:rsid w:val="00F33A66"/>
    <w:rsid w:val="00F34368"/>
    <w:rsid w:val="00F34E5A"/>
    <w:rsid w:val="00F35452"/>
    <w:rsid w:val="00F45532"/>
    <w:rsid w:val="00F45ED2"/>
    <w:rsid w:val="00F53C4F"/>
    <w:rsid w:val="00F56A51"/>
    <w:rsid w:val="00F61899"/>
    <w:rsid w:val="00F66CD4"/>
    <w:rsid w:val="00F66E01"/>
    <w:rsid w:val="00F7129A"/>
    <w:rsid w:val="00F7180D"/>
    <w:rsid w:val="00F727A7"/>
    <w:rsid w:val="00F729D7"/>
    <w:rsid w:val="00F774CD"/>
    <w:rsid w:val="00F80F59"/>
    <w:rsid w:val="00F82E69"/>
    <w:rsid w:val="00F8414D"/>
    <w:rsid w:val="00F84181"/>
    <w:rsid w:val="00F84C5D"/>
    <w:rsid w:val="00F86271"/>
    <w:rsid w:val="00F87176"/>
    <w:rsid w:val="00F87303"/>
    <w:rsid w:val="00F91287"/>
    <w:rsid w:val="00F917FA"/>
    <w:rsid w:val="00F91B28"/>
    <w:rsid w:val="00F91DA0"/>
    <w:rsid w:val="00F9306F"/>
    <w:rsid w:val="00F94B4E"/>
    <w:rsid w:val="00F978B7"/>
    <w:rsid w:val="00FA2FCD"/>
    <w:rsid w:val="00FA3FA8"/>
    <w:rsid w:val="00FA4718"/>
    <w:rsid w:val="00FA6E64"/>
    <w:rsid w:val="00FB1DCD"/>
    <w:rsid w:val="00FB2F0E"/>
    <w:rsid w:val="00FB31CC"/>
    <w:rsid w:val="00FC05EE"/>
    <w:rsid w:val="00FC2EC6"/>
    <w:rsid w:val="00FC339A"/>
    <w:rsid w:val="00FC36E0"/>
    <w:rsid w:val="00FC546F"/>
    <w:rsid w:val="00FC6F5E"/>
    <w:rsid w:val="00FC711A"/>
    <w:rsid w:val="00FC7D31"/>
    <w:rsid w:val="00FD13AC"/>
    <w:rsid w:val="00FD2D28"/>
    <w:rsid w:val="00FD6BFE"/>
    <w:rsid w:val="00FE3FF3"/>
    <w:rsid w:val="00FE6D8B"/>
    <w:rsid w:val="00FF459F"/>
    <w:rsid w:val="00FF4D4F"/>
    <w:rsid w:val="110E3E23"/>
    <w:rsid w:val="1A113708"/>
    <w:rsid w:val="2DCC49F2"/>
    <w:rsid w:val="33350E92"/>
    <w:rsid w:val="403F4FF6"/>
    <w:rsid w:val="42382BB3"/>
    <w:rsid w:val="45D4339E"/>
    <w:rsid w:val="4D8212ED"/>
    <w:rsid w:val="58F16C7A"/>
    <w:rsid w:val="65A33611"/>
    <w:rsid w:val="66CA10C8"/>
    <w:rsid w:val="7A577B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9"/>
    <w:qFormat/>
    <w:uiPriority w:val="9"/>
    <w:pPr>
      <w:keepNext/>
      <w:keepLines/>
      <w:spacing w:before="100" w:beforeLines="100" w:after="100" w:afterLines="100" w:line="360" w:lineRule="auto"/>
      <w:jc w:val="center"/>
      <w:outlineLvl w:val="0"/>
    </w:pPr>
    <w:rPr>
      <w:b/>
      <w:bCs/>
      <w:kern w:val="44"/>
      <w:sz w:val="28"/>
      <w:szCs w:val="44"/>
    </w:rPr>
  </w:style>
  <w:style w:type="paragraph" w:styleId="3">
    <w:name w:val="heading 2"/>
    <w:basedOn w:val="1"/>
    <w:next w:val="1"/>
    <w:link w:val="37"/>
    <w:unhideWhenUsed/>
    <w:qFormat/>
    <w:uiPriority w:val="9"/>
    <w:pPr>
      <w:keepNext/>
      <w:keepLines/>
      <w:spacing w:before="260" w:after="260" w:line="416" w:lineRule="auto"/>
      <w:outlineLvl w:val="1"/>
    </w:pPr>
    <w:rPr>
      <w:rFonts w:ascii="Cambria" w:hAnsi="Cambria"/>
      <w:b/>
      <w:bCs/>
      <w:sz w:val="32"/>
      <w:szCs w:val="32"/>
    </w:rPr>
  </w:style>
  <w:style w:type="paragraph" w:styleId="4">
    <w:name w:val="heading 4"/>
    <w:basedOn w:val="1"/>
    <w:next w:val="1"/>
    <w:link w:val="38"/>
    <w:unhideWhenUsed/>
    <w:qFormat/>
    <w:uiPriority w:val="9"/>
    <w:pPr>
      <w:keepNext/>
      <w:keepLines/>
      <w:spacing w:before="280" w:after="290" w:line="376" w:lineRule="auto"/>
      <w:outlineLvl w:val="3"/>
    </w:pPr>
    <w:rPr>
      <w:rFonts w:ascii="Cambria" w:hAnsi="Cambria"/>
      <w:b/>
      <w:bCs/>
      <w:sz w:val="28"/>
      <w:szCs w:val="28"/>
    </w:rPr>
  </w:style>
  <w:style w:type="character" w:default="1" w:styleId="17">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35"/>
    <w:unhideWhenUsed/>
    <w:qFormat/>
    <w:uiPriority w:val="99"/>
    <w:rPr>
      <w:rFonts w:ascii="宋体"/>
      <w:sz w:val="18"/>
      <w:szCs w:val="18"/>
    </w:rPr>
  </w:style>
  <w:style w:type="paragraph" w:styleId="6">
    <w:name w:val="annotation text"/>
    <w:basedOn w:val="1"/>
    <w:link w:val="31"/>
    <w:unhideWhenUsed/>
    <w:qFormat/>
    <w:uiPriority w:val="0"/>
    <w:pPr>
      <w:jc w:val="left"/>
    </w:pPr>
  </w:style>
  <w:style w:type="paragraph" w:styleId="7">
    <w:name w:val="Balloon Text"/>
    <w:basedOn w:val="1"/>
    <w:semiHidden/>
    <w:qFormat/>
    <w:uiPriority w:val="0"/>
    <w:rPr>
      <w:sz w:val="18"/>
      <w:szCs w:val="18"/>
    </w:rPr>
  </w:style>
  <w:style w:type="paragraph" w:styleId="8">
    <w:name w:val="footer"/>
    <w:basedOn w:val="1"/>
    <w:link w:val="36"/>
    <w:unhideWhenUsed/>
    <w:qFormat/>
    <w:uiPriority w:val="99"/>
    <w:pPr>
      <w:tabs>
        <w:tab w:val="center" w:pos="4153"/>
        <w:tab w:val="right" w:pos="8306"/>
      </w:tabs>
      <w:snapToGrid w:val="0"/>
      <w:jc w:val="left"/>
    </w:pPr>
    <w:rPr>
      <w:kern w:val="0"/>
      <w:sz w:val="18"/>
      <w:szCs w:val="18"/>
    </w:rPr>
  </w:style>
  <w:style w:type="paragraph" w:styleId="9">
    <w:name w:val="header"/>
    <w:basedOn w:val="1"/>
    <w:link w:val="33"/>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0">
    <w:name w:val="toc 1"/>
    <w:basedOn w:val="1"/>
    <w:next w:val="1"/>
    <w:unhideWhenUsed/>
    <w:qFormat/>
    <w:uiPriority w:val="39"/>
  </w:style>
  <w:style w:type="paragraph" w:styleId="11">
    <w:name w:val="Subtitle"/>
    <w:basedOn w:val="1"/>
    <w:next w:val="1"/>
    <w:link w:val="34"/>
    <w:qFormat/>
    <w:uiPriority w:val="0"/>
    <w:pPr>
      <w:spacing w:before="240" w:after="60" w:line="312" w:lineRule="auto"/>
      <w:jc w:val="center"/>
      <w:outlineLvl w:val="1"/>
    </w:pPr>
    <w:rPr>
      <w:rFonts w:ascii="Cambria" w:hAnsi="Cambria"/>
      <w:b/>
      <w:bCs/>
      <w:kern w:val="28"/>
      <w:sz w:val="32"/>
      <w:szCs w:val="32"/>
    </w:rPr>
  </w:style>
  <w:style w:type="paragraph" w:styleId="12">
    <w:name w:val="toc 2"/>
    <w:basedOn w:val="1"/>
    <w:next w:val="1"/>
    <w:unhideWhenUsed/>
    <w:qFormat/>
    <w:uiPriority w:val="39"/>
    <w:pPr>
      <w:ind w:left="480" w:leftChars="200"/>
    </w:pPr>
  </w:style>
  <w:style w:type="paragraph" w:styleId="13">
    <w:name w:val="annotation subject"/>
    <w:basedOn w:val="6"/>
    <w:next w:val="6"/>
    <w:link w:val="32"/>
    <w:unhideWhenUsed/>
    <w:qFormat/>
    <w:uiPriority w:val="99"/>
    <w:rPr>
      <w:b/>
      <w:bCs/>
    </w:rPr>
  </w:style>
  <w:style w:type="table" w:styleId="15">
    <w:name w:val="Table Grid"/>
    <w:basedOn w:val="1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6">
    <w:name w:val="Light Shading Accent 5"/>
    <w:basedOn w:val="14"/>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character" w:styleId="18">
    <w:name w:val="Hyperlink"/>
    <w:unhideWhenUsed/>
    <w:qFormat/>
    <w:uiPriority w:val="99"/>
    <w:rPr>
      <w:color w:val="0000FF"/>
      <w:u w:val="single"/>
    </w:rPr>
  </w:style>
  <w:style w:type="character" w:styleId="19">
    <w:name w:val="annotation reference"/>
    <w:unhideWhenUsed/>
    <w:qFormat/>
    <w:uiPriority w:val="0"/>
    <w:rPr>
      <w:sz w:val="21"/>
      <w:szCs w:val="21"/>
    </w:rPr>
  </w:style>
  <w:style w:type="paragraph" w:customStyle="1" w:styleId="20">
    <w:name w:val="_Style 19"/>
    <w:basedOn w:val="2"/>
    <w:next w:val="1"/>
    <w:qFormat/>
    <w:uiPriority w:val="39"/>
    <w:pPr>
      <w:widowControl/>
      <w:spacing w:before="480" w:beforeLines="0" w:line="276" w:lineRule="auto"/>
      <w:jc w:val="left"/>
      <w:outlineLvl w:val="9"/>
    </w:pPr>
    <w:rPr>
      <w:rFonts w:ascii="Cambria" w:hAnsi="Cambria"/>
      <w:color w:val="365F91"/>
      <w:kern w:val="0"/>
      <w:szCs w:val="28"/>
    </w:rPr>
  </w:style>
  <w:style w:type="paragraph" w:customStyle="1" w:styleId="21">
    <w:name w:val="XBRLTitle6"/>
    <w:basedOn w:val="11"/>
    <w:next w:val="4"/>
    <w:qFormat/>
    <w:uiPriority w:val="0"/>
    <w:pPr>
      <w:keepNext/>
      <w:keepLines/>
      <w:numPr>
        <w:ilvl w:val="5"/>
        <w:numId w:val="1"/>
      </w:numPr>
      <w:ind w:left="0" w:firstLine="0"/>
      <w:jc w:val="left"/>
    </w:pPr>
    <w:rPr>
      <w:bCs w:val="0"/>
      <w:sz w:val="24"/>
    </w:rPr>
  </w:style>
  <w:style w:type="paragraph" w:customStyle="1" w:styleId="22">
    <w:name w:val="_Style 21"/>
    <w:semiHidden/>
    <w:qFormat/>
    <w:uiPriority w:val="99"/>
    <w:rPr>
      <w:rFonts w:ascii="Calibri" w:hAnsi="Calibri" w:eastAsia="宋体" w:cs="Times New Roman"/>
      <w:kern w:val="2"/>
      <w:sz w:val="21"/>
      <w:szCs w:val="22"/>
      <w:lang w:val="en-US" w:eastAsia="zh-CN" w:bidi="ar-SA"/>
    </w:rPr>
  </w:style>
  <w:style w:type="paragraph" w:customStyle="1" w:styleId="2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4">
    <w:name w:val="XBRLTitle1"/>
    <w:basedOn w:val="2"/>
    <w:next w:val="3"/>
    <w:qFormat/>
    <w:uiPriority w:val="0"/>
    <w:pPr>
      <w:numPr>
        <w:ilvl w:val="0"/>
        <w:numId w:val="1"/>
      </w:numPr>
      <w:spacing w:before="340" w:beforeLines="50" w:after="330" w:afterLines="50" w:line="240" w:lineRule="auto"/>
    </w:pPr>
    <w:rPr>
      <w:rFonts w:ascii="Cambria" w:hAnsi="Cambria"/>
    </w:rPr>
  </w:style>
  <w:style w:type="paragraph" w:customStyle="1" w:styleId="25">
    <w:name w:val="XBRLTitle2"/>
    <w:basedOn w:val="11"/>
    <w:next w:val="4"/>
    <w:qFormat/>
    <w:uiPriority w:val="0"/>
    <w:pPr>
      <w:keepNext/>
      <w:keepLines/>
      <w:numPr>
        <w:ilvl w:val="1"/>
        <w:numId w:val="1"/>
      </w:numPr>
      <w:jc w:val="left"/>
    </w:pPr>
    <w:rPr>
      <w:bCs w:val="0"/>
      <w:sz w:val="24"/>
    </w:rPr>
  </w:style>
  <w:style w:type="paragraph" w:customStyle="1" w:styleId="26">
    <w:name w:val="XBRLTitle3"/>
    <w:basedOn w:val="11"/>
    <w:next w:val="4"/>
    <w:qFormat/>
    <w:uiPriority w:val="0"/>
    <w:pPr>
      <w:keepNext/>
      <w:keepLines/>
      <w:numPr>
        <w:ilvl w:val="2"/>
        <w:numId w:val="1"/>
      </w:numPr>
      <w:ind w:left="0" w:firstLine="0"/>
      <w:jc w:val="left"/>
    </w:pPr>
    <w:rPr>
      <w:bCs w:val="0"/>
      <w:sz w:val="24"/>
    </w:rPr>
  </w:style>
  <w:style w:type="paragraph" w:customStyle="1" w:styleId="27">
    <w:name w:val="XBRLTitle5"/>
    <w:basedOn w:val="11"/>
    <w:next w:val="4"/>
    <w:qFormat/>
    <w:uiPriority w:val="0"/>
    <w:pPr>
      <w:keepNext/>
      <w:keepLines/>
      <w:numPr>
        <w:ilvl w:val="4"/>
        <w:numId w:val="1"/>
      </w:numPr>
      <w:ind w:left="0" w:firstLine="0"/>
      <w:jc w:val="left"/>
    </w:pPr>
    <w:rPr>
      <w:bCs w:val="0"/>
      <w:sz w:val="24"/>
    </w:rPr>
  </w:style>
  <w:style w:type="paragraph" w:customStyle="1" w:styleId="28">
    <w:name w:val="XBRLTitle4"/>
    <w:basedOn w:val="11"/>
    <w:next w:val="4"/>
    <w:qFormat/>
    <w:uiPriority w:val="0"/>
    <w:pPr>
      <w:keepNext/>
      <w:keepLines/>
      <w:numPr>
        <w:ilvl w:val="3"/>
        <w:numId w:val="1"/>
      </w:numPr>
      <w:ind w:left="0" w:firstLine="0"/>
      <w:jc w:val="left"/>
    </w:pPr>
    <w:rPr>
      <w:bCs w:val="0"/>
      <w:sz w:val="24"/>
    </w:rPr>
  </w:style>
  <w:style w:type="character" w:customStyle="1" w:styleId="29">
    <w:name w:val="副标题 Char1"/>
    <w:qFormat/>
    <w:uiPriority w:val="0"/>
    <w:rPr>
      <w:rFonts w:ascii="Cambria" w:hAnsi="Cambria"/>
      <w:b/>
      <w:kern w:val="28"/>
      <w:sz w:val="24"/>
      <w:szCs w:val="32"/>
    </w:rPr>
  </w:style>
  <w:style w:type="character" w:customStyle="1" w:styleId="30">
    <w:name w:val="txtcontent11"/>
    <w:qFormat/>
    <w:uiPriority w:val="0"/>
    <w:rPr>
      <w:rFonts w:hint="default" w:ascii="ˎ̥" w:hAnsi="ˎ̥"/>
      <w:color w:val="000000"/>
      <w:sz w:val="21"/>
      <w:szCs w:val="21"/>
    </w:rPr>
  </w:style>
  <w:style w:type="character" w:customStyle="1" w:styleId="31">
    <w:name w:val="批注文字 字符"/>
    <w:link w:val="6"/>
    <w:qFormat/>
    <w:uiPriority w:val="0"/>
    <w:rPr>
      <w:kern w:val="2"/>
      <w:sz w:val="21"/>
      <w:szCs w:val="22"/>
    </w:rPr>
  </w:style>
  <w:style w:type="character" w:customStyle="1" w:styleId="32">
    <w:name w:val="批注主题 字符"/>
    <w:link w:val="13"/>
    <w:semiHidden/>
    <w:qFormat/>
    <w:uiPriority w:val="99"/>
    <w:rPr>
      <w:b/>
      <w:bCs/>
      <w:kern w:val="2"/>
      <w:sz w:val="21"/>
      <w:szCs w:val="22"/>
    </w:rPr>
  </w:style>
  <w:style w:type="character" w:customStyle="1" w:styleId="33">
    <w:name w:val="页眉 字符"/>
    <w:link w:val="9"/>
    <w:qFormat/>
    <w:uiPriority w:val="99"/>
    <w:rPr>
      <w:sz w:val="18"/>
      <w:szCs w:val="18"/>
    </w:rPr>
  </w:style>
  <w:style w:type="character" w:customStyle="1" w:styleId="34">
    <w:name w:val="副标题 字符"/>
    <w:link w:val="11"/>
    <w:qFormat/>
    <w:uiPriority w:val="0"/>
    <w:rPr>
      <w:rFonts w:ascii="Cambria" w:hAnsi="Cambria" w:cs="Times New Roman"/>
      <w:b/>
      <w:bCs/>
      <w:kern w:val="28"/>
      <w:sz w:val="32"/>
      <w:szCs w:val="32"/>
    </w:rPr>
  </w:style>
  <w:style w:type="character" w:customStyle="1" w:styleId="35">
    <w:name w:val="文档结构图 字符"/>
    <w:link w:val="5"/>
    <w:semiHidden/>
    <w:qFormat/>
    <w:uiPriority w:val="99"/>
    <w:rPr>
      <w:rFonts w:ascii="宋体"/>
      <w:kern w:val="2"/>
      <w:sz w:val="18"/>
      <w:szCs w:val="18"/>
    </w:rPr>
  </w:style>
  <w:style w:type="character" w:customStyle="1" w:styleId="36">
    <w:name w:val="页脚 字符"/>
    <w:link w:val="8"/>
    <w:qFormat/>
    <w:uiPriority w:val="99"/>
    <w:rPr>
      <w:sz w:val="18"/>
      <w:szCs w:val="18"/>
    </w:rPr>
  </w:style>
  <w:style w:type="character" w:customStyle="1" w:styleId="37">
    <w:name w:val="标题 2 字符"/>
    <w:link w:val="3"/>
    <w:semiHidden/>
    <w:qFormat/>
    <w:uiPriority w:val="9"/>
    <w:rPr>
      <w:rFonts w:ascii="Cambria" w:hAnsi="Cambria" w:eastAsia="宋体" w:cs="Times New Roman"/>
      <w:b/>
      <w:bCs/>
      <w:kern w:val="2"/>
      <w:sz w:val="32"/>
      <w:szCs w:val="32"/>
    </w:rPr>
  </w:style>
  <w:style w:type="character" w:customStyle="1" w:styleId="38">
    <w:name w:val="标题 4 字符"/>
    <w:link w:val="4"/>
    <w:semiHidden/>
    <w:qFormat/>
    <w:uiPriority w:val="9"/>
    <w:rPr>
      <w:rFonts w:ascii="Cambria" w:hAnsi="Cambria" w:eastAsia="宋体" w:cs="Times New Roman"/>
      <w:b/>
      <w:bCs/>
      <w:kern w:val="2"/>
      <w:sz w:val="28"/>
      <w:szCs w:val="28"/>
    </w:rPr>
  </w:style>
  <w:style w:type="character" w:customStyle="1" w:styleId="39">
    <w:name w:val="标题 1 字符"/>
    <w:link w:val="2"/>
    <w:qFormat/>
    <w:uiPriority w:val="9"/>
    <w:rPr>
      <w:b/>
      <w:bCs/>
      <w:kern w:val="44"/>
      <w:sz w:val="28"/>
      <w:szCs w:val="44"/>
    </w:rPr>
  </w:style>
  <w:style w:type="paragraph" w:customStyle="1" w:styleId="40">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155</Pages>
  <Words>16278</Words>
  <Characters>92787</Characters>
  <Lines>773</Lines>
  <Paragraphs>217</Paragraphs>
  <TotalTime>16</TotalTime>
  <ScaleCrop>false</ScaleCrop>
  <LinksUpToDate>false</LinksUpToDate>
  <CharactersWithSpaces>108848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2025-10-17T09:36:00Z</dcterms:created>
  <dc:creator>系统用户</dc:creator>
  <cp:lastModifiedBy>喻秋燕</cp:lastModifiedBy>
  <cp:lastPrinted>2013-02-18T03:10:00Z</cp:lastPrinted>
  <dcterms:modified xsi:type="dcterms:W3CDTF">2025-10-22T01:44:00Z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0D513BE965AF4226861A57054E1E0C74</vt:lpwstr>
  </property>
</Properties>
</file>