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0AE6" w:rsidRDefault="008C0AE6">
      <w:pPr>
        <w:adjustRightInd w:val="0"/>
        <w:snapToGrid w:val="0"/>
        <w:spacing w:line="360" w:lineRule="auto"/>
        <w:jc w:val="center"/>
        <w:rPr>
          <w:rFonts w:ascii="宋体" w:hAnsi="宋体"/>
          <w:color w:val="000000"/>
          <w:sz w:val="28"/>
        </w:rPr>
      </w:pPr>
    </w:p>
    <w:p w:rsidR="008C0AE6" w:rsidRDefault="008C0AE6">
      <w:pPr>
        <w:adjustRightInd w:val="0"/>
        <w:snapToGrid w:val="0"/>
        <w:spacing w:line="360" w:lineRule="auto"/>
        <w:jc w:val="center"/>
        <w:rPr>
          <w:rFonts w:ascii="宋体" w:hAnsi="宋体"/>
          <w:color w:val="000000"/>
          <w:sz w:val="28"/>
        </w:rPr>
      </w:pPr>
    </w:p>
    <w:p w:rsidR="008C0AE6" w:rsidRDefault="008C0AE6">
      <w:pPr>
        <w:adjustRightInd w:val="0"/>
        <w:snapToGrid w:val="0"/>
        <w:spacing w:line="360" w:lineRule="auto"/>
        <w:jc w:val="center"/>
        <w:rPr>
          <w:rFonts w:ascii="宋体" w:hAnsi="宋体"/>
          <w:color w:val="000000"/>
          <w:sz w:val="28"/>
        </w:rPr>
      </w:pPr>
    </w:p>
    <w:p w:rsidR="008C0AE6" w:rsidRDefault="008C0AE6">
      <w:pPr>
        <w:adjustRightInd w:val="0"/>
        <w:snapToGrid w:val="0"/>
        <w:spacing w:line="360" w:lineRule="auto"/>
        <w:jc w:val="center"/>
        <w:rPr>
          <w:rFonts w:ascii="宋体" w:hAnsi="宋体"/>
          <w:color w:val="000000"/>
          <w:sz w:val="28"/>
        </w:rPr>
      </w:pPr>
    </w:p>
    <w:p w:rsidR="008C0AE6" w:rsidRDefault="00392CEB">
      <w:pPr>
        <w:adjustRightInd w:val="0"/>
        <w:snapToGrid w:val="0"/>
        <w:spacing w:line="360" w:lineRule="auto"/>
        <w:jc w:val="center"/>
        <w:rPr>
          <w:rFonts w:ascii="宋体" w:hAnsi="宋体"/>
          <w:color w:val="000000"/>
          <w:sz w:val="28"/>
        </w:rPr>
      </w:pPr>
      <w:r>
        <w:rPr>
          <w:noProof/>
        </w:rPr>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rsidR="008C0AE6" w:rsidRDefault="008C0AE6">
      <w:pPr>
        <w:adjustRightInd w:val="0"/>
        <w:snapToGrid w:val="0"/>
        <w:spacing w:line="360" w:lineRule="auto"/>
        <w:jc w:val="center"/>
        <w:rPr>
          <w:rFonts w:ascii="宋体" w:hAnsi="宋体"/>
          <w:color w:val="000000"/>
          <w:sz w:val="28"/>
        </w:rPr>
      </w:pPr>
    </w:p>
    <w:p w:rsidR="008C0AE6" w:rsidRDefault="008C0AE6">
      <w:pPr>
        <w:adjustRightInd w:val="0"/>
        <w:snapToGrid w:val="0"/>
        <w:spacing w:line="360" w:lineRule="auto"/>
        <w:jc w:val="center"/>
        <w:rPr>
          <w:rFonts w:ascii="宋体" w:hAnsi="宋体"/>
          <w:color w:val="000000"/>
          <w:sz w:val="28"/>
        </w:rPr>
      </w:pPr>
    </w:p>
    <w:p w:rsidR="008C0AE6" w:rsidRDefault="008C0AE6">
      <w:pPr>
        <w:adjustRightInd w:val="0"/>
        <w:snapToGrid w:val="0"/>
        <w:spacing w:line="360" w:lineRule="auto"/>
        <w:jc w:val="center"/>
        <w:rPr>
          <w:rFonts w:ascii="宋体" w:hAnsi="宋体"/>
          <w:color w:val="000000"/>
          <w:sz w:val="28"/>
        </w:rPr>
      </w:pPr>
    </w:p>
    <w:p w:rsidR="008C0AE6" w:rsidRDefault="00392CEB">
      <w:pPr>
        <w:adjustRightInd w:val="0"/>
        <w:snapToGrid w:val="0"/>
        <w:spacing w:line="360" w:lineRule="auto"/>
        <w:jc w:val="center"/>
        <w:rPr>
          <w:rFonts w:ascii="宋体" w:hAnsi="宋体"/>
          <w:b/>
          <w:color w:val="000000"/>
          <w:sz w:val="44"/>
          <w:szCs w:val="44"/>
        </w:rPr>
      </w:pPr>
      <w:r>
        <w:rPr>
          <w:rFonts w:ascii="宋体" w:hAnsi="宋体" w:hint="eastAsia"/>
          <w:b/>
          <w:color w:val="000000"/>
          <w:sz w:val="44"/>
          <w:szCs w:val="44"/>
        </w:rPr>
        <w:t>交银施罗德先进制造混合型</w:t>
      </w:r>
      <w:r>
        <w:rPr>
          <w:rFonts w:ascii="宋体" w:hAnsi="宋体"/>
          <w:b/>
          <w:color w:val="000000"/>
          <w:sz w:val="44"/>
          <w:szCs w:val="44"/>
        </w:rPr>
        <w:t>证券投资基金</w:t>
      </w:r>
    </w:p>
    <w:p w:rsidR="008C0AE6" w:rsidRDefault="00392CEB">
      <w:pPr>
        <w:adjustRightInd w:val="0"/>
        <w:snapToGrid w:val="0"/>
        <w:spacing w:line="360" w:lineRule="auto"/>
        <w:jc w:val="center"/>
        <w:rPr>
          <w:rFonts w:ascii="宋体" w:hAnsi="宋体"/>
          <w:b/>
          <w:color w:val="000000"/>
          <w:sz w:val="44"/>
          <w:szCs w:val="44"/>
        </w:rPr>
      </w:pPr>
      <w:r>
        <w:rPr>
          <w:rFonts w:ascii="宋体" w:hAnsi="宋体"/>
          <w:b/>
          <w:color w:val="000000"/>
          <w:sz w:val="44"/>
          <w:szCs w:val="44"/>
        </w:rPr>
        <w:t>托管协议</w:t>
      </w:r>
    </w:p>
    <w:p w:rsidR="008C0AE6" w:rsidRDefault="008C0AE6">
      <w:pPr>
        <w:adjustRightInd w:val="0"/>
        <w:snapToGrid w:val="0"/>
        <w:spacing w:line="360" w:lineRule="auto"/>
        <w:jc w:val="center"/>
        <w:outlineLvl w:val="0"/>
        <w:rPr>
          <w:rFonts w:ascii="宋体" w:hAnsi="宋体"/>
          <w:color w:val="000000"/>
          <w:sz w:val="28"/>
        </w:rPr>
      </w:pPr>
    </w:p>
    <w:p w:rsidR="008C0AE6" w:rsidRDefault="008C0AE6">
      <w:pPr>
        <w:adjustRightInd w:val="0"/>
        <w:snapToGrid w:val="0"/>
        <w:spacing w:line="360" w:lineRule="auto"/>
        <w:jc w:val="center"/>
        <w:outlineLvl w:val="0"/>
        <w:rPr>
          <w:rFonts w:ascii="宋体" w:hAnsi="宋体"/>
          <w:color w:val="000000"/>
          <w:sz w:val="28"/>
        </w:rPr>
      </w:pPr>
    </w:p>
    <w:p w:rsidR="008C0AE6" w:rsidRDefault="008C0AE6">
      <w:pPr>
        <w:adjustRightInd w:val="0"/>
        <w:snapToGrid w:val="0"/>
        <w:spacing w:line="360" w:lineRule="auto"/>
        <w:jc w:val="center"/>
        <w:outlineLvl w:val="0"/>
        <w:rPr>
          <w:rFonts w:ascii="宋体" w:hAnsi="宋体"/>
          <w:color w:val="000000"/>
          <w:sz w:val="28"/>
        </w:rPr>
      </w:pPr>
    </w:p>
    <w:p w:rsidR="008C0AE6" w:rsidRDefault="008C0AE6">
      <w:pPr>
        <w:adjustRightInd w:val="0"/>
        <w:snapToGrid w:val="0"/>
        <w:spacing w:line="360" w:lineRule="auto"/>
        <w:jc w:val="center"/>
        <w:outlineLvl w:val="0"/>
        <w:rPr>
          <w:rFonts w:ascii="宋体" w:hAnsi="宋体"/>
          <w:color w:val="000000"/>
          <w:sz w:val="28"/>
        </w:rPr>
      </w:pPr>
    </w:p>
    <w:p w:rsidR="008C0AE6" w:rsidRDefault="008C0AE6">
      <w:pPr>
        <w:adjustRightInd w:val="0"/>
        <w:snapToGrid w:val="0"/>
        <w:spacing w:line="360" w:lineRule="auto"/>
        <w:jc w:val="center"/>
        <w:outlineLvl w:val="0"/>
        <w:rPr>
          <w:rFonts w:ascii="宋体" w:hAnsi="宋体"/>
          <w:color w:val="000000"/>
          <w:sz w:val="28"/>
        </w:rPr>
      </w:pPr>
    </w:p>
    <w:p w:rsidR="008C0AE6" w:rsidRDefault="008C0AE6">
      <w:pPr>
        <w:adjustRightInd w:val="0"/>
        <w:snapToGrid w:val="0"/>
        <w:spacing w:line="360" w:lineRule="auto"/>
        <w:jc w:val="center"/>
        <w:outlineLvl w:val="0"/>
        <w:rPr>
          <w:rFonts w:ascii="宋体" w:hAnsi="宋体"/>
          <w:color w:val="000000"/>
          <w:sz w:val="28"/>
        </w:rPr>
      </w:pPr>
    </w:p>
    <w:p w:rsidR="008C0AE6" w:rsidRDefault="00392CEB">
      <w:pPr>
        <w:adjustRightInd w:val="0"/>
        <w:snapToGrid w:val="0"/>
        <w:spacing w:line="360" w:lineRule="auto"/>
        <w:ind w:firstLineChars="560" w:firstLine="1799"/>
        <w:jc w:val="left"/>
        <w:outlineLvl w:val="0"/>
        <w:rPr>
          <w:rFonts w:ascii="宋体" w:hAnsi="宋体"/>
          <w:b/>
          <w:color w:val="000000"/>
          <w:sz w:val="32"/>
          <w:szCs w:val="32"/>
        </w:rPr>
      </w:pPr>
      <w:r>
        <w:rPr>
          <w:rFonts w:ascii="宋体" w:hAnsi="宋体"/>
          <w:b/>
          <w:color w:val="000000"/>
          <w:sz w:val="32"/>
          <w:szCs w:val="32"/>
        </w:rPr>
        <w:t>基金管理人：</w:t>
      </w:r>
      <w:r>
        <w:rPr>
          <w:rFonts w:ascii="宋体" w:hAnsi="宋体" w:hint="eastAsia"/>
          <w:b/>
          <w:color w:val="000000"/>
          <w:sz w:val="32"/>
          <w:szCs w:val="32"/>
        </w:rPr>
        <w:t>交银施罗德</w:t>
      </w:r>
      <w:r>
        <w:rPr>
          <w:rFonts w:ascii="宋体" w:hAnsi="宋体"/>
          <w:b/>
          <w:color w:val="000000"/>
          <w:sz w:val="32"/>
          <w:szCs w:val="32"/>
        </w:rPr>
        <w:t>基金管理有限公司</w:t>
      </w:r>
    </w:p>
    <w:p w:rsidR="008C0AE6" w:rsidRDefault="00392CEB">
      <w:pPr>
        <w:adjustRightInd w:val="0"/>
        <w:snapToGrid w:val="0"/>
        <w:spacing w:line="360" w:lineRule="auto"/>
        <w:ind w:firstLineChars="562" w:firstLine="1805"/>
        <w:jc w:val="left"/>
        <w:outlineLvl w:val="0"/>
        <w:rPr>
          <w:rFonts w:ascii="宋体" w:hAnsi="宋体"/>
          <w:b/>
          <w:color w:val="000000"/>
          <w:sz w:val="32"/>
          <w:szCs w:val="32"/>
        </w:rPr>
      </w:pPr>
      <w:r>
        <w:rPr>
          <w:rFonts w:ascii="宋体" w:hAnsi="宋体"/>
          <w:b/>
          <w:color w:val="000000"/>
          <w:sz w:val="32"/>
          <w:szCs w:val="32"/>
        </w:rPr>
        <w:t>基金托管人：中国农业银行</w:t>
      </w:r>
      <w:r>
        <w:rPr>
          <w:rFonts w:ascii="宋体" w:hAnsi="宋体" w:hint="eastAsia"/>
          <w:b/>
          <w:color w:val="000000"/>
          <w:sz w:val="32"/>
          <w:szCs w:val="32"/>
        </w:rPr>
        <w:t>股份有限公司</w:t>
      </w:r>
    </w:p>
    <w:p w:rsidR="008C0AE6" w:rsidRDefault="008C0AE6">
      <w:pPr>
        <w:adjustRightInd w:val="0"/>
        <w:snapToGrid w:val="0"/>
        <w:spacing w:line="360" w:lineRule="auto"/>
        <w:ind w:firstLineChars="562" w:firstLine="1805"/>
        <w:jc w:val="center"/>
        <w:outlineLvl w:val="0"/>
        <w:rPr>
          <w:rFonts w:ascii="宋体" w:hAnsi="宋体"/>
          <w:b/>
          <w:color w:val="000000"/>
          <w:sz w:val="32"/>
          <w:szCs w:val="32"/>
        </w:rPr>
      </w:pPr>
    </w:p>
    <w:p w:rsidR="008C0AE6" w:rsidRDefault="008C0AE6">
      <w:pPr>
        <w:adjustRightInd w:val="0"/>
        <w:snapToGrid w:val="0"/>
        <w:spacing w:line="360" w:lineRule="auto"/>
        <w:ind w:firstLineChars="562" w:firstLine="1805"/>
        <w:jc w:val="center"/>
        <w:outlineLvl w:val="0"/>
        <w:rPr>
          <w:rFonts w:ascii="宋体" w:hAnsi="宋体"/>
          <w:b/>
          <w:color w:val="000000"/>
          <w:sz w:val="32"/>
          <w:szCs w:val="32"/>
        </w:rPr>
      </w:pPr>
    </w:p>
    <w:p w:rsidR="008C0AE6" w:rsidRDefault="00392CEB">
      <w:pPr>
        <w:adjustRightInd w:val="0"/>
        <w:snapToGrid w:val="0"/>
        <w:spacing w:line="360" w:lineRule="auto"/>
        <w:ind w:firstLineChars="1012" w:firstLine="3251"/>
        <w:outlineLvl w:val="0"/>
        <w:rPr>
          <w:rFonts w:ascii="宋体" w:hAnsi="宋体"/>
          <w:b/>
          <w:color w:val="000000"/>
          <w:sz w:val="32"/>
          <w:szCs w:val="32"/>
        </w:rPr>
      </w:pPr>
      <w:r>
        <w:rPr>
          <w:rFonts w:ascii="宋体" w:hAnsi="宋体" w:hint="eastAsia"/>
          <w:b/>
          <w:color w:val="000000"/>
          <w:sz w:val="32"/>
          <w:szCs w:val="32"/>
        </w:rPr>
        <w:t>二零二五年</w:t>
      </w:r>
      <w:r w:rsidR="00B013EC">
        <w:rPr>
          <w:rFonts w:ascii="宋体" w:hAnsi="宋体" w:hint="eastAsia"/>
          <w:b/>
          <w:color w:val="000000"/>
          <w:sz w:val="32"/>
          <w:szCs w:val="32"/>
        </w:rPr>
        <w:t>十</w:t>
      </w:r>
      <w:r>
        <w:rPr>
          <w:rFonts w:ascii="宋体" w:hAnsi="宋体" w:hint="eastAsia"/>
          <w:b/>
          <w:color w:val="000000"/>
          <w:sz w:val="32"/>
          <w:szCs w:val="32"/>
        </w:rPr>
        <w:t>月</w:t>
      </w:r>
    </w:p>
    <w:p w:rsidR="008C0AE6" w:rsidRDefault="008C0AE6">
      <w:pPr>
        <w:adjustRightInd w:val="0"/>
        <w:snapToGrid w:val="0"/>
        <w:spacing w:line="360" w:lineRule="auto"/>
        <w:jc w:val="center"/>
        <w:outlineLvl w:val="0"/>
        <w:rPr>
          <w:rFonts w:ascii="宋体" w:hAnsi="宋体"/>
          <w:color w:val="000000"/>
          <w:sz w:val="28"/>
        </w:rPr>
      </w:pPr>
    </w:p>
    <w:p w:rsidR="008C0AE6" w:rsidRDefault="008C0AE6">
      <w:pPr>
        <w:adjustRightInd w:val="0"/>
        <w:snapToGrid w:val="0"/>
        <w:spacing w:line="360" w:lineRule="auto"/>
        <w:jc w:val="center"/>
        <w:outlineLvl w:val="0"/>
        <w:rPr>
          <w:rFonts w:ascii="宋体" w:hAnsi="宋体"/>
          <w:color w:val="000000"/>
          <w:sz w:val="28"/>
        </w:rPr>
      </w:pPr>
    </w:p>
    <w:p w:rsidR="008C0AE6" w:rsidRDefault="00392CEB">
      <w:pPr>
        <w:spacing w:line="360" w:lineRule="auto"/>
        <w:jc w:val="center"/>
        <w:rPr>
          <w:rFonts w:ascii="宋体" w:hAnsi="宋体"/>
          <w:b/>
          <w:color w:val="000000"/>
          <w:sz w:val="24"/>
          <w:szCs w:val="24"/>
        </w:rPr>
      </w:pPr>
      <w:r>
        <w:rPr>
          <w:rFonts w:ascii="宋体" w:hAnsi="宋体"/>
          <w:b/>
          <w:color w:val="000000"/>
          <w:sz w:val="24"/>
          <w:szCs w:val="24"/>
        </w:rPr>
        <w:lastRenderedPageBreak/>
        <w:t>目    录</w:t>
      </w:r>
    </w:p>
    <w:p w:rsidR="008C0AE6" w:rsidRDefault="00392CEB">
      <w:pPr>
        <w:pStyle w:val="21"/>
        <w:tabs>
          <w:tab w:val="right" w:leader="dot" w:pos="8302"/>
        </w:tabs>
        <w:spacing w:line="360" w:lineRule="auto"/>
        <w:rPr>
          <w:rFonts w:ascii="宋体" w:hAnsi="宋体"/>
          <w:sz w:val="24"/>
          <w:szCs w:val="24"/>
        </w:rPr>
      </w:pPr>
      <w:r>
        <w:rPr>
          <w:rFonts w:ascii="宋体" w:hAnsi="宋体"/>
          <w:color w:val="000000"/>
          <w:sz w:val="24"/>
          <w:szCs w:val="24"/>
        </w:rPr>
        <w:fldChar w:fldCharType="begin"/>
      </w:r>
      <w:r>
        <w:rPr>
          <w:rFonts w:ascii="宋体" w:hAnsi="宋体"/>
          <w:color w:val="000000"/>
          <w:sz w:val="24"/>
          <w:szCs w:val="24"/>
        </w:rPr>
        <w:instrText xml:space="preserve"> TOC \o "1-2" \h \z </w:instrText>
      </w:r>
      <w:r>
        <w:rPr>
          <w:rFonts w:ascii="宋体" w:hAnsi="宋体"/>
          <w:color w:val="000000"/>
          <w:sz w:val="24"/>
          <w:szCs w:val="24"/>
        </w:rPr>
        <w:fldChar w:fldCharType="separate"/>
      </w:r>
      <w:hyperlink w:anchor="_Toc145818935" w:history="1">
        <w:r>
          <w:rPr>
            <w:rFonts w:ascii="宋体" w:hAnsi="宋体" w:hint="eastAsia"/>
            <w:sz w:val="24"/>
            <w:szCs w:val="24"/>
          </w:rPr>
          <w:t>一、基金托管协议当事人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_Toc145818935 \h </w:instrText>
        </w:r>
        <w:r>
          <w:rPr>
            <w:rFonts w:ascii="宋体" w:hAnsi="宋体"/>
            <w:sz w:val="24"/>
            <w:szCs w:val="24"/>
          </w:rPr>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36" w:history="1">
        <w:r w:rsidR="00392CEB">
          <w:rPr>
            <w:rFonts w:ascii="宋体" w:hAnsi="宋体" w:hint="eastAsia"/>
            <w:sz w:val="24"/>
            <w:szCs w:val="24"/>
          </w:rPr>
          <w:t>二、基金托管协议的依据、目的和原则</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_Toc145818936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5</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37" w:history="1">
        <w:r w:rsidR="00392CEB">
          <w:rPr>
            <w:rFonts w:ascii="宋体" w:hAnsi="宋体" w:hint="eastAsia"/>
            <w:sz w:val="24"/>
            <w:szCs w:val="24"/>
          </w:rPr>
          <w:t>三、基金托管人对基金管理人的业务监督和核查</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_Toc145818937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5</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38" w:history="1">
        <w:r w:rsidR="00392CEB">
          <w:rPr>
            <w:rFonts w:ascii="宋体" w:hAnsi="宋体" w:hint="eastAsia"/>
            <w:sz w:val="24"/>
            <w:szCs w:val="24"/>
          </w:rPr>
          <w:t>四、基金管理人对基金托管人的业务核查</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_Toc145818938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12</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39" w:history="1">
        <w:r w:rsidR="00392CEB">
          <w:rPr>
            <w:rFonts w:ascii="宋体" w:hAnsi="宋体" w:hint="eastAsia"/>
            <w:sz w:val="24"/>
            <w:szCs w:val="24"/>
          </w:rPr>
          <w:t>五、基金财产的</w:t>
        </w:r>
        <w:bookmarkStart w:id="0" w:name="_Hlt155060668"/>
        <w:bookmarkStart w:id="1" w:name="_Hlt155060667"/>
        <w:r w:rsidR="00392CEB">
          <w:rPr>
            <w:rFonts w:ascii="宋体" w:hAnsi="宋体" w:hint="eastAsia"/>
            <w:sz w:val="24"/>
            <w:szCs w:val="24"/>
          </w:rPr>
          <w:t>保</w:t>
        </w:r>
        <w:bookmarkEnd w:id="0"/>
        <w:bookmarkEnd w:id="1"/>
        <w:r w:rsidR="00392CEB">
          <w:rPr>
            <w:rFonts w:ascii="宋体" w:hAnsi="宋体" w:hint="eastAsia"/>
            <w:sz w:val="24"/>
            <w:szCs w:val="24"/>
          </w:rPr>
          <w:t>管</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_Toc145818939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13</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0" w:history="1">
        <w:r w:rsidR="00392CEB">
          <w:rPr>
            <w:rFonts w:ascii="宋体" w:hAnsi="宋体" w:hint="eastAsia"/>
            <w:sz w:val="24"/>
            <w:szCs w:val="24"/>
          </w:rPr>
          <w:t>六、指令的发送、确认及执行</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_Toc145818940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15</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1" w:history="1">
        <w:r w:rsidR="00392CEB">
          <w:rPr>
            <w:rFonts w:ascii="宋体" w:hAnsi="宋体" w:hint="eastAsia"/>
            <w:sz w:val="24"/>
            <w:szCs w:val="24"/>
          </w:rPr>
          <w:t>七、交易及清算交收安排</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_Toc145818941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18</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2" w:history="1">
        <w:r w:rsidR="00392CEB">
          <w:rPr>
            <w:rFonts w:ascii="宋体" w:hAnsi="宋体" w:hint="eastAsia"/>
            <w:sz w:val="24"/>
            <w:szCs w:val="24"/>
          </w:rPr>
          <w:t>八、基金资产净值计算和会计核算</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_Toc145818942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21</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3" w:history="1">
        <w:r w:rsidR="00392CEB">
          <w:rPr>
            <w:rFonts w:ascii="宋体" w:hAnsi="宋体" w:hint="eastAsia"/>
            <w:sz w:val="24"/>
            <w:szCs w:val="24"/>
          </w:rPr>
          <w:t>九、基金收益分配</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_Toc145818943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27</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4" w:history="1">
        <w:r w:rsidR="00392CEB">
          <w:rPr>
            <w:rFonts w:ascii="宋体" w:hAnsi="宋体" w:hint="eastAsia"/>
            <w:sz w:val="24"/>
            <w:szCs w:val="24"/>
          </w:rPr>
          <w:t>十、基金信息披露</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_Toc145818944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28</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5" w:history="1">
        <w:r w:rsidR="00392CEB">
          <w:rPr>
            <w:rFonts w:ascii="宋体" w:hAnsi="宋体" w:hint="eastAsia"/>
            <w:sz w:val="24"/>
            <w:szCs w:val="24"/>
          </w:rPr>
          <w:t>十一、基金费用</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_Toc145818945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30</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6" w:history="1">
        <w:r w:rsidR="00392CEB">
          <w:rPr>
            <w:rFonts w:ascii="宋体" w:hAnsi="宋体" w:hint="eastAsia"/>
            <w:sz w:val="24"/>
            <w:szCs w:val="24"/>
          </w:rPr>
          <w:t>十二、基金份额持有人名册的的登记与保管</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_Toc145818946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31</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7" w:history="1">
        <w:r w:rsidR="00392CEB">
          <w:rPr>
            <w:rFonts w:ascii="宋体" w:hAnsi="宋体" w:hint="eastAsia"/>
            <w:sz w:val="24"/>
            <w:szCs w:val="24"/>
          </w:rPr>
          <w:t>十三、基金有关文件档案的保存</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_Toc145818947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32</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8" w:history="1">
        <w:r w:rsidR="00392CEB">
          <w:rPr>
            <w:rFonts w:ascii="宋体" w:hAnsi="宋体" w:hint="eastAsia"/>
            <w:sz w:val="24"/>
            <w:szCs w:val="24"/>
          </w:rPr>
          <w:t>十四、基金管理人和基金托管人的更换</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_Toc145818948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32</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49" w:history="1">
        <w:r w:rsidR="00392CEB">
          <w:rPr>
            <w:rFonts w:ascii="宋体" w:hAnsi="宋体" w:hint="eastAsia"/>
            <w:sz w:val="24"/>
            <w:szCs w:val="24"/>
          </w:rPr>
          <w:t>十五、禁止行为</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_Toc145818949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34</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50" w:history="1">
        <w:r w:rsidR="00392CEB">
          <w:rPr>
            <w:rFonts w:ascii="宋体" w:hAnsi="宋体" w:hint="eastAsia"/>
            <w:sz w:val="24"/>
            <w:szCs w:val="24"/>
          </w:rPr>
          <w:t>十六、托管协议的变更、终止与基金财产的清算</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_Toc145818950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36</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51" w:history="1">
        <w:r w:rsidR="00392CEB">
          <w:rPr>
            <w:rFonts w:ascii="宋体" w:hAnsi="宋体" w:hint="eastAsia"/>
            <w:sz w:val="24"/>
            <w:szCs w:val="24"/>
          </w:rPr>
          <w:t>十七、违约责任</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_Toc145818951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37</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52" w:history="1">
        <w:r w:rsidR="00392CEB">
          <w:rPr>
            <w:rFonts w:ascii="宋体" w:hAnsi="宋体" w:hint="eastAsia"/>
            <w:sz w:val="24"/>
            <w:szCs w:val="24"/>
          </w:rPr>
          <w:t>十八、争议解决方式</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_Toc145818952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38</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53" w:history="1">
        <w:r w:rsidR="00392CEB">
          <w:rPr>
            <w:rFonts w:ascii="宋体" w:hAnsi="宋体" w:hint="eastAsia"/>
            <w:sz w:val="24"/>
            <w:szCs w:val="24"/>
          </w:rPr>
          <w:t>十九、托管协议的效力</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_Toc145818953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38</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54" w:history="1">
        <w:r w:rsidR="00392CEB">
          <w:rPr>
            <w:rFonts w:ascii="宋体" w:hAnsi="宋体" w:hint="eastAsia"/>
            <w:sz w:val="24"/>
            <w:szCs w:val="24"/>
          </w:rPr>
          <w:t>二十、其他事项</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_Toc145818954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39</w:t>
        </w:r>
        <w:r w:rsidR="00392CEB">
          <w:rPr>
            <w:rFonts w:ascii="宋体" w:hAnsi="宋体"/>
            <w:sz w:val="24"/>
            <w:szCs w:val="24"/>
          </w:rPr>
          <w:fldChar w:fldCharType="end"/>
        </w:r>
      </w:hyperlink>
    </w:p>
    <w:p w:rsidR="008C0AE6" w:rsidRDefault="00B013EC">
      <w:pPr>
        <w:pStyle w:val="21"/>
        <w:tabs>
          <w:tab w:val="right" w:leader="dot" w:pos="8302"/>
        </w:tabs>
        <w:spacing w:line="360" w:lineRule="auto"/>
        <w:rPr>
          <w:rFonts w:ascii="宋体" w:hAnsi="宋体"/>
          <w:sz w:val="24"/>
          <w:szCs w:val="24"/>
        </w:rPr>
      </w:pPr>
      <w:hyperlink w:anchor="_Toc145818955" w:history="1">
        <w:r w:rsidR="00392CEB">
          <w:rPr>
            <w:rFonts w:ascii="宋体" w:hAnsi="宋体" w:hint="eastAsia"/>
            <w:sz w:val="24"/>
            <w:szCs w:val="24"/>
          </w:rPr>
          <w:t>二十一、托管协议的签订</w:t>
        </w:r>
        <w:r w:rsidR="00392CEB">
          <w:rPr>
            <w:rFonts w:ascii="宋体" w:hAnsi="宋体"/>
            <w:sz w:val="24"/>
            <w:szCs w:val="24"/>
          </w:rPr>
          <w:tab/>
        </w:r>
        <w:r w:rsidR="00392CEB">
          <w:rPr>
            <w:rFonts w:ascii="宋体" w:hAnsi="宋体"/>
            <w:sz w:val="24"/>
            <w:szCs w:val="24"/>
          </w:rPr>
          <w:fldChar w:fldCharType="begin"/>
        </w:r>
        <w:r w:rsidR="00392CEB">
          <w:rPr>
            <w:rFonts w:ascii="宋体" w:hAnsi="宋体"/>
            <w:sz w:val="24"/>
            <w:szCs w:val="24"/>
          </w:rPr>
          <w:instrText xml:space="preserve"> PAGEREF _Toc145818955 \h </w:instrText>
        </w:r>
        <w:r w:rsidR="00392CEB">
          <w:rPr>
            <w:rFonts w:ascii="宋体" w:hAnsi="宋体"/>
            <w:sz w:val="24"/>
            <w:szCs w:val="24"/>
          </w:rPr>
        </w:r>
        <w:r w:rsidR="00392CEB">
          <w:rPr>
            <w:rFonts w:ascii="宋体" w:hAnsi="宋体"/>
            <w:sz w:val="24"/>
            <w:szCs w:val="24"/>
          </w:rPr>
          <w:fldChar w:fldCharType="separate"/>
        </w:r>
        <w:r w:rsidR="00392CEB">
          <w:rPr>
            <w:rFonts w:ascii="宋体" w:hAnsi="宋体"/>
            <w:sz w:val="24"/>
            <w:szCs w:val="24"/>
          </w:rPr>
          <w:t>39</w:t>
        </w:r>
        <w:r w:rsidR="00392CEB">
          <w:rPr>
            <w:rFonts w:ascii="宋体" w:hAnsi="宋体"/>
            <w:sz w:val="24"/>
            <w:szCs w:val="24"/>
          </w:rPr>
          <w:fldChar w:fldCharType="end"/>
        </w:r>
      </w:hyperlink>
    </w:p>
    <w:p w:rsidR="008C0AE6" w:rsidRDefault="00392CEB">
      <w:pPr>
        <w:spacing w:line="360" w:lineRule="auto"/>
        <w:rPr>
          <w:rFonts w:ascii="宋体" w:hAnsi="宋体"/>
          <w:color w:val="000000"/>
          <w:sz w:val="28"/>
        </w:rPr>
      </w:pPr>
      <w:r>
        <w:rPr>
          <w:rFonts w:ascii="宋体" w:hAnsi="宋体"/>
          <w:color w:val="000000"/>
          <w:sz w:val="24"/>
          <w:szCs w:val="24"/>
        </w:rPr>
        <w:fldChar w:fldCharType="end"/>
      </w:r>
      <w:r>
        <w:rPr>
          <w:rFonts w:ascii="宋体" w:hAnsi="宋体"/>
          <w:color w:val="000000"/>
          <w:sz w:val="28"/>
        </w:rPr>
        <w:br w:type="page"/>
      </w:r>
    </w:p>
    <w:p w:rsidR="008C0AE6" w:rsidRDefault="00392CEB">
      <w:pPr>
        <w:widowControl/>
        <w:adjustRightInd w:val="0"/>
        <w:snapToGrid w:val="0"/>
        <w:spacing w:line="360" w:lineRule="auto"/>
        <w:ind w:firstLineChars="200" w:firstLine="480"/>
        <w:rPr>
          <w:rFonts w:ascii="宋体" w:hAnsi="宋体"/>
          <w:color w:val="000000"/>
          <w:kern w:val="0"/>
          <w:sz w:val="24"/>
          <w:szCs w:val="24"/>
        </w:rPr>
      </w:pPr>
      <w:r>
        <w:rPr>
          <w:rFonts w:ascii="宋体" w:hAnsi="宋体"/>
          <w:color w:val="000000"/>
          <w:kern w:val="0"/>
          <w:sz w:val="24"/>
          <w:szCs w:val="24"/>
        </w:rPr>
        <w:lastRenderedPageBreak/>
        <w:t>鉴于</w:t>
      </w:r>
      <w:r>
        <w:rPr>
          <w:rFonts w:ascii="宋体" w:hAnsi="宋体" w:hint="eastAsia"/>
          <w:color w:val="000000"/>
          <w:kern w:val="0"/>
          <w:sz w:val="24"/>
          <w:szCs w:val="24"/>
        </w:rPr>
        <w:t>交银施罗德</w:t>
      </w:r>
      <w:r>
        <w:rPr>
          <w:rFonts w:ascii="宋体" w:hAnsi="宋体"/>
          <w:color w:val="000000"/>
          <w:kern w:val="0"/>
          <w:sz w:val="24"/>
          <w:szCs w:val="24"/>
        </w:rPr>
        <w:t>基金管理有限公司系一家依照中国法律合法成立并有效存续的有限责任公司，按照相关法律法规的规定具备担任基金</w:t>
      </w:r>
      <w:r>
        <w:rPr>
          <w:rFonts w:ascii="宋体" w:hAnsi="宋体" w:hint="eastAsia"/>
          <w:color w:val="000000"/>
          <w:kern w:val="0"/>
          <w:sz w:val="24"/>
          <w:szCs w:val="24"/>
        </w:rPr>
        <w:t>管理</w:t>
      </w:r>
      <w:r>
        <w:rPr>
          <w:rFonts w:ascii="宋体" w:hAnsi="宋体"/>
          <w:color w:val="000000"/>
          <w:kern w:val="0"/>
          <w:sz w:val="24"/>
          <w:szCs w:val="24"/>
        </w:rPr>
        <w:t>人的资格和能力</w:t>
      </w:r>
      <w:r>
        <w:rPr>
          <w:rFonts w:ascii="宋体" w:hAnsi="宋体" w:hint="eastAsia"/>
          <w:color w:val="000000"/>
          <w:kern w:val="0"/>
          <w:sz w:val="24"/>
          <w:szCs w:val="24"/>
        </w:rPr>
        <w:t>,</w:t>
      </w:r>
      <w:proofErr w:type="gramStart"/>
      <w:r>
        <w:rPr>
          <w:rFonts w:ascii="宋体" w:hAnsi="宋体"/>
          <w:color w:val="000000"/>
          <w:kern w:val="0"/>
          <w:sz w:val="24"/>
          <w:szCs w:val="24"/>
        </w:rPr>
        <w:t>拟</w:t>
      </w:r>
      <w:r>
        <w:rPr>
          <w:rFonts w:ascii="宋体" w:hAnsi="宋体" w:hint="eastAsia"/>
          <w:color w:val="000000"/>
          <w:kern w:val="0"/>
          <w:sz w:val="24"/>
          <w:szCs w:val="24"/>
        </w:rPr>
        <w:t>管理交</w:t>
      </w:r>
      <w:proofErr w:type="gramEnd"/>
      <w:r>
        <w:rPr>
          <w:rFonts w:ascii="宋体" w:hAnsi="宋体" w:hint="eastAsia"/>
          <w:color w:val="000000"/>
          <w:kern w:val="0"/>
          <w:sz w:val="24"/>
          <w:szCs w:val="24"/>
        </w:rPr>
        <w:t>银施罗德先进制造混合型</w:t>
      </w:r>
      <w:r>
        <w:rPr>
          <w:rFonts w:ascii="宋体" w:hAnsi="宋体"/>
          <w:color w:val="000000"/>
          <w:kern w:val="0"/>
          <w:sz w:val="24"/>
          <w:szCs w:val="24"/>
        </w:rPr>
        <w:t>证券投资基金；</w:t>
      </w:r>
    </w:p>
    <w:p w:rsidR="008C0AE6" w:rsidRDefault="00392CEB">
      <w:pPr>
        <w:widowControl/>
        <w:adjustRightInd w:val="0"/>
        <w:snapToGrid w:val="0"/>
        <w:spacing w:line="360" w:lineRule="auto"/>
        <w:ind w:firstLineChars="200" w:firstLine="480"/>
        <w:rPr>
          <w:rFonts w:ascii="宋体" w:hAnsi="宋体"/>
          <w:color w:val="000000"/>
          <w:kern w:val="0"/>
          <w:sz w:val="24"/>
          <w:szCs w:val="24"/>
        </w:rPr>
      </w:pPr>
      <w:r>
        <w:rPr>
          <w:rFonts w:ascii="宋体" w:hAnsi="宋体"/>
          <w:color w:val="000000"/>
          <w:kern w:val="0"/>
          <w:sz w:val="24"/>
          <w:szCs w:val="24"/>
        </w:rPr>
        <w:t>鉴于中国农业银行</w:t>
      </w:r>
      <w:r>
        <w:rPr>
          <w:rFonts w:ascii="宋体" w:hAnsi="宋体" w:hint="eastAsia"/>
          <w:color w:val="000000"/>
          <w:kern w:val="0"/>
          <w:sz w:val="24"/>
          <w:szCs w:val="24"/>
        </w:rPr>
        <w:t>股份有限公司</w:t>
      </w:r>
      <w:r>
        <w:rPr>
          <w:rFonts w:ascii="宋体" w:hAnsi="宋体"/>
          <w:color w:val="000000"/>
          <w:kern w:val="0"/>
          <w:sz w:val="24"/>
          <w:szCs w:val="24"/>
        </w:rPr>
        <w:t>系一家依照中国法律合法成立并有效存续的银行，按照相关法律法规的规定具备担任基</w:t>
      </w:r>
      <w:bookmarkStart w:id="2" w:name="_GoBack"/>
      <w:bookmarkEnd w:id="2"/>
      <w:r>
        <w:rPr>
          <w:rFonts w:ascii="宋体" w:hAnsi="宋体"/>
          <w:color w:val="000000"/>
          <w:kern w:val="0"/>
          <w:sz w:val="24"/>
          <w:szCs w:val="24"/>
        </w:rPr>
        <w:t>金托管人的资格和能力；</w:t>
      </w:r>
    </w:p>
    <w:p w:rsidR="008C0AE6" w:rsidRDefault="00392CEB">
      <w:pPr>
        <w:widowControl/>
        <w:adjustRightInd w:val="0"/>
        <w:snapToGrid w:val="0"/>
        <w:spacing w:line="360" w:lineRule="auto"/>
        <w:ind w:firstLineChars="200" w:firstLine="480"/>
        <w:rPr>
          <w:rFonts w:ascii="宋体" w:hAnsi="宋体"/>
          <w:color w:val="000000"/>
          <w:kern w:val="0"/>
          <w:sz w:val="24"/>
          <w:szCs w:val="24"/>
        </w:rPr>
      </w:pPr>
      <w:r>
        <w:rPr>
          <w:rFonts w:ascii="宋体" w:hAnsi="宋体"/>
          <w:color w:val="000000"/>
          <w:kern w:val="0"/>
          <w:sz w:val="24"/>
          <w:szCs w:val="24"/>
        </w:rPr>
        <w:t>鉴于</w:t>
      </w:r>
      <w:r>
        <w:rPr>
          <w:rFonts w:ascii="宋体" w:hAnsi="宋体" w:hint="eastAsia"/>
          <w:color w:val="000000"/>
          <w:kern w:val="0"/>
          <w:sz w:val="24"/>
          <w:szCs w:val="24"/>
        </w:rPr>
        <w:t>交银施罗德基金</w:t>
      </w:r>
      <w:r>
        <w:rPr>
          <w:rFonts w:ascii="宋体" w:hAnsi="宋体"/>
          <w:color w:val="000000"/>
          <w:kern w:val="0"/>
          <w:sz w:val="24"/>
          <w:szCs w:val="24"/>
        </w:rPr>
        <w:t>管理有限公司拟担任</w:t>
      </w:r>
      <w:r>
        <w:rPr>
          <w:rFonts w:ascii="宋体" w:hAnsi="宋体" w:hint="eastAsia"/>
          <w:color w:val="000000"/>
          <w:kern w:val="0"/>
          <w:sz w:val="24"/>
          <w:szCs w:val="24"/>
        </w:rPr>
        <w:t>交银施罗德先进制造混合型</w:t>
      </w:r>
      <w:r>
        <w:rPr>
          <w:rFonts w:ascii="宋体" w:hAnsi="宋体"/>
          <w:color w:val="000000"/>
          <w:kern w:val="0"/>
          <w:sz w:val="24"/>
          <w:szCs w:val="24"/>
        </w:rPr>
        <w:t>证券投资基金的基金管理人，中国农业银行</w:t>
      </w:r>
      <w:r>
        <w:rPr>
          <w:rFonts w:ascii="宋体" w:hAnsi="宋体" w:hint="eastAsia"/>
          <w:color w:val="000000"/>
          <w:kern w:val="0"/>
          <w:sz w:val="24"/>
          <w:szCs w:val="24"/>
        </w:rPr>
        <w:t>股份有限公司</w:t>
      </w:r>
      <w:r>
        <w:rPr>
          <w:rFonts w:ascii="宋体" w:hAnsi="宋体"/>
          <w:color w:val="000000"/>
          <w:kern w:val="0"/>
          <w:sz w:val="24"/>
          <w:szCs w:val="24"/>
        </w:rPr>
        <w:t>拟担任</w:t>
      </w:r>
      <w:r>
        <w:rPr>
          <w:rFonts w:ascii="宋体" w:hAnsi="宋体" w:hint="eastAsia"/>
          <w:color w:val="000000"/>
          <w:kern w:val="0"/>
          <w:sz w:val="24"/>
          <w:szCs w:val="24"/>
        </w:rPr>
        <w:t>交银施罗德先进制造混合型</w:t>
      </w:r>
      <w:r>
        <w:rPr>
          <w:rFonts w:ascii="宋体" w:hAnsi="宋体"/>
          <w:color w:val="000000"/>
          <w:kern w:val="0"/>
          <w:sz w:val="24"/>
          <w:szCs w:val="24"/>
        </w:rPr>
        <w:t>证券投资基金的基金托管人；</w:t>
      </w:r>
    </w:p>
    <w:p w:rsidR="008C0AE6" w:rsidRDefault="00392CEB">
      <w:pPr>
        <w:widowControl/>
        <w:adjustRightInd w:val="0"/>
        <w:snapToGrid w:val="0"/>
        <w:spacing w:line="360" w:lineRule="auto"/>
        <w:ind w:firstLineChars="200" w:firstLine="480"/>
        <w:rPr>
          <w:rFonts w:ascii="宋体" w:hAnsi="宋体"/>
          <w:color w:val="000000"/>
          <w:kern w:val="0"/>
          <w:sz w:val="24"/>
          <w:szCs w:val="24"/>
        </w:rPr>
      </w:pPr>
      <w:r>
        <w:rPr>
          <w:rFonts w:ascii="宋体" w:hAnsi="宋体"/>
          <w:color w:val="000000"/>
          <w:kern w:val="0"/>
          <w:sz w:val="24"/>
          <w:szCs w:val="24"/>
        </w:rPr>
        <w:t>为</w:t>
      </w:r>
      <w:proofErr w:type="gramStart"/>
      <w:r>
        <w:rPr>
          <w:rFonts w:ascii="宋体" w:hAnsi="宋体"/>
          <w:color w:val="000000"/>
          <w:kern w:val="0"/>
          <w:sz w:val="24"/>
          <w:szCs w:val="24"/>
        </w:rPr>
        <w:t>明确</w:t>
      </w:r>
      <w:r>
        <w:rPr>
          <w:rFonts w:ascii="宋体" w:hAnsi="宋体" w:hint="eastAsia"/>
          <w:color w:val="000000"/>
          <w:kern w:val="0"/>
          <w:sz w:val="24"/>
          <w:szCs w:val="24"/>
        </w:rPr>
        <w:t>交</w:t>
      </w:r>
      <w:proofErr w:type="gramEnd"/>
      <w:r>
        <w:rPr>
          <w:rFonts w:ascii="宋体" w:hAnsi="宋体" w:hint="eastAsia"/>
          <w:color w:val="000000"/>
          <w:kern w:val="0"/>
          <w:sz w:val="24"/>
          <w:szCs w:val="24"/>
        </w:rPr>
        <w:t>银施罗德先进制造混合型</w:t>
      </w:r>
      <w:r>
        <w:rPr>
          <w:rFonts w:ascii="宋体" w:hAnsi="宋体"/>
          <w:color w:val="000000"/>
          <w:kern w:val="0"/>
          <w:sz w:val="24"/>
          <w:szCs w:val="24"/>
        </w:rPr>
        <w:t>证券投资基金的基金管理人和基金托管人之间的权利义务关系，特制订本托管协议；</w:t>
      </w:r>
    </w:p>
    <w:p w:rsidR="008C0AE6" w:rsidRDefault="00392CEB">
      <w:pPr>
        <w:widowControl/>
        <w:adjustRightInd w:val="0"/>
        <w:snapToGrid w:val="0"/>
        <w:spacing w:line="360" w:lineRule="auto"/>
        <w:ind w:firstLineChars="200" w:firstLine="480"/>
        <w:rPr>
          <w:rFonts w:ascii="宋体" w:hAnsi="宋体"/>
          <w:color w:val="000000"/>
          <w:kern w:val="0"/>
          <w:sz w:val="24"/>
          <w:szCs w:val="24"/>
          <w:lang w:val="en-GB"/>
        </w:rPr>
      </w:pPr>
      <w:r>
        <w:rPr>
          <w:rFonts w:ascii="宋体" w:hAnsi="宋体"/>
          <w:color w:val="000000"/>
          <w:kern w:val="0"/>
          <w:sz w:val="24"/>
          <w:szCs w:val="24"/>
          <w:lang w:val="en-GB"/>
        </w:rPr>
        <w:t>除非另有约定，《</w:t>
      </w:r>
      <w:r>
        <w:rPr>
          <w:rFonts w:ascii="宋体" w:hAnsi="宋体" w:hint="eastAsia"/>
          <w:color w:val="000000"/>
          <w:kern w:val="0"/>
          <w:sz w:val="24"/>
          <w:szCs w:val="24"/>
        </w:rPr>
        <w:t>交银施罗德先进制造混合型</w:t>
      </w:r>
      <w:r>
        <w:rPr>
          <w:rFonts w:ascii="宋体" w:hAnsi="宋体"/>
          <w:color w:val="000000"/>
          <w:kern w:val="0"/>
          <w:sz w:val="24"/>
          <w:szCs w:val="24"/>
          <w:lang w:val="en-GB"/>
        </w:rPr>
        <w:t>证券投资基金基金合同》(以下简称“基金合同”)中定义的术语在用于本托管协议时应具有相同的含义；若有抵触应以基金合同为准，并依其</w:t>
      </w:r>
      <w:r>
        <w:rPr>
          <w:rFonts w:ascii="宋体" w:hAnsi="宋体"/>
          <w:color w:val="000000"/>
          <w:kern w:val="0"/>
          <w:sz w:val="24"/>
          <w:szCs w:val="24"/>
        </w:rPr>
        <w:t>条款</w:t>
      </w:r>
      <w:r>
        <w:rPr>
          <w:rFonts w:ascii="宋体" w:hAnsi="宋体"/>
          <w:color w:val="000000"/>
          <w:kern w:val="0"/>
          <w:sz w:val="24"/>
          <w:szCs w:val="24"/>
          <w:lang w:val="en-GB"/>
        </w:rPr>
        <w:t>解释。</w:t>
      </w:r>
    </w:p>
    <w:p w:rsidR="008C0AE6" w:rsidRDefault="00392CEB">
      <w:pPr>
        <w:widowControl/>
        <w:adjustRightInd w:val="0"/>
        <w:snapToGrid w:val="0"/>
        <w:spacing w:line="360" w:lineRule="auto"/>
        <w:ind w:firstLineChars="200" w:firstLine="480"/>
        <w:rPr>
          <w:rFonts w:ascii="宋体" w:hAnsi="宋体"/>
          <w:color w:val="000000"/>
          <w:kern w:val="0"/>
          <w:sz w:val="24"/>
          <w:szCs w:val="24"/>
          <w:lang w:val="en-GB"/>
        </w:rPr>
      </w:pPr>
      <w:r>
        <w:rPr>
          <w:rFonts w:ascii="宋体" w:hAnsi="宋体" w:hint="eastAsia"/>
          <w:color w:val="000000"/>
          <w:kern w:val="0"/>
          <w:sz w:val="24"/>
          <w:szCs w:val="24"/>
        </w:rPr>
        <w:t>若本基金实施</w:t>
      </w:r>
      <w:proofErr w:type="gramStart"/>
      <w:r>
        <w:rPr>
          <w:rFonts w:ascii="宋体" w:hAnsi="宋体" w:hint="eastAsia"/>
          <w:color w:val="000000"/>
          <w:kern w:val="0"/>
          <w:sz w:val="24"/>
          <w:szCs w:val="24"/>
        </w:rPr>
        <w:t>侧袋机制</w:t>
      </w:r>
      <w:proofErr w:type="gramEnd"/>
      <w:r>
        <w:rPr>
          <w:rFonts w:ascii="宋体" w:hAnsi="宋体" w:hint="eastAsia"/>
          <w:color w:val="000000"/>
          <w:kern w:val="0"/>
          <w:sz w:val="24"/>
          <w:szCs w:val="24"/>
        </w:rPr>
        <w:t>的，</w:t>
      </w:r>
      <w:proofErr w:type="gramStart"/>
      <w:r>
        <w:rPr>
          <w:rFonts w:ascii="宋体" w:hAnsi="宋体" w:hint="eastAsia"/>
          <w:color w:val="000000"/>
          <w:kern w:val="0"/>
          <w:sz w:val="24"/>
          <w:szCs w:val="24"/>
        </w:rPr>
        <w:t>侧袋机制</w:t>
      </w:r>
      <w:proofErr w:type="gramEnd"/>
      <w:r>
        <w:rPr>
          <w:rFonts w:ascii="宋体" w:hAnsi="宋体" w:hint="eastAsia"/>
          <w:color w:val="000000"/>
          <w:kern w:val="0"/>
          <w:sz w:val="24"/>
          <w:szCs w:val="24"/>
        </w:rPr>
        <w:t>实施期间的相关安排</w:t>
      </w:r>
      <w:proofErr w:type="gramStart"/>
      <w:r>
        <w:rPr>
          <w:rFonts w:ascii="宋体" w:hAnsi="宋体" w:hint="eastAsia"/>
          <w:color w:val="000000"/>
          <w:kern w:val="0"/>
          <w:sz w:val="24"/>
          <w:szCs w:val="24"/>
        </w:rPr>
        <w:t>见基金</w:t>
      </w:r>
      <w:proofErr w:type="gramEnd"/>
      <w:r>
        <w:rPr>
          <w:rFonts w:ascii="宋体" w:hAnsi="宋体" w:hint="eastAsia"/>
          <w:color w:val="000000"/>
          <w:kern w:val="0"/>
          <w:sz w:val="24"/>
          <w:szCs w:val="24"/>
        </w:rPr>
        <w:t>合同和招募说明书的规定。</w:t>
      </w:r>
    </w:p>
    <w:p w:rsidR="008C0AE6" w:rsidRDefault="00392CEB">
      <w:pPr>
        <w:widowControl/>
        <w:adjustRightInd w:val="0"/>
        <w:snapToGrid w:val="0"/>
        <w:spacing w:line="360" w:lineRule="auto"/>
        <w:ind w:firstLineChars="200" w:firstLine="560"/>
        <w:rPr>
          <w:rFonts w:ascii="宋体" w:hAnsi="宋体"/>
          <w:color w:val="000000"/>
          <w:sz w:val="28"/>
          <w:lang w:val="en-GB"/>
        </w:rPr>
      </w:pPr>
      <w:r>
        <w:rPr>
          <w:rFonts w:ascii="宋体" w:hAnsi="宋体"/>
          <w:color w:val="000000"/>
          <w:sz w:val="28"/>
          <w:lang w:val="en-GB"/>
        </w:rPr>
        <w:br w:type="page"/>
      </w:r>
    </w:p>
    <w:p w:rsidR="008C0AE6" w:rsidRDefault="00392CEB">
      <w:pPr>
        <w:pStyle w:val="2"/>
        <w:spacing w:before="0" w:after="0" w:line="360" w:lineRule="auto"/>
        <w:jc w:val="center"/>
        <w:rPr>
          <w:rFonts w:ascii="宋体" w:eastAsia="宋体" w:hAnsi="宋体"/>
          <w:color w:val="000000"/>
          <w:sz w:val="24"/>
          <w:szCs w:val="24"/>
        </w:rPr>
      </w:pPr>
      <w:bookmarkStart w:id="3" w:name="_Toc145818935"/>
      <w:r>
        <w:rPr>
          <w:rFonts w:ascii="宋体" w:eastAsia="宋体" w:hAnsi="宋体"/>
          <w:color w:val="000000"/>
          <w:sz w:val="24"/>
          <w:szCs w:val="24"/>
        </w:rPr>
        <w:t>一、基金托管协议当事人</w:t>
      </w:r>
      <w:bookmarkEnd w:id="3"/>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（一）基金管理人</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名称：交银施罗德基金管理有限公司</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注册地址：中国(上海)自由贸易试验区银城中路188号交通银行大楼二层（裙）</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办公地址：上海浦东</w:t>
      </w:r>
      <w:proofErr w:type="gramStart"/>
      <w:r>
        <w:rPr>
          <w:rFonts w:ascii="宋体" w:hAnsi="宋体" w:hint="eastAsia"/>
          <w:color w:val="000000"/>
          <w:sz w:val="24"/>
          <w:szCs w:val="24"/>
        </w:rPr>
        <w:t>新区世纪</w:t>
      </w:r>
      <w:proofErr w:type="gramEnd"/>
      <w:r>
        <w:rPr>
          <w:rFonts w:ascii="宋体" w:hAnsi="宋体" w:hint="eastAsia"/>
          <w:color w:val="000000"/>
          <w:sz w:val="24"/>
          <w:szCs w:val="24"/>
        </w:rPr>
        <w:t>大道8号国</w:t>
      </w:r>
      <w:proofErr w:type="gramStart"/>
      <w:r>
        <w:rPr>
          <w:rFonts w:ascii="宋体" w:hAnsi="宋体" w:hint="eastAsia"/>
          <w:color w:val="000000"/>
          <w:sz w:val="24"/>
          <w:szCs w:val="24"/>
        </w:rPr>
        <w:t>金中心</w:t>
      </w:r>
      <w:proofErr w:type="gramEnd"/>
      <w:r>
        <w:rPr>
          <w:rFonts w:ascii="宋体" w:hAnsi="宋体" w:hint="eastAsia"/>
          <w:color w:val="000000"/>
          <w:sz w:val="24"/>
          <w:szCs w:val="24"/>
        </w:rPr>
        <w:t>二期21-22楼</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邮政编码：200120</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法定代表人：张宏良</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成立日期：2005年8月4日</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批准设立机关及批准设立文号：中国证监会证</w:t>
      </w:r>
      <w:proofErr w:type="gramStart"/>
      <w:r>
        <w:rPr>
          <w:rFonts w:ascii="宋体" w:hAnsi="宋体" w:hint="eastAsia"/>
          <w:color w:val="000000"/>
          <w:sz w:val="24"/>
          <w:szCs w:val="24"/>
        </w:rPr>
        <w:t>监基金字</w:t>
      </w:r>
      <w:proofErr w:type="gramEnd"/>
      <w:r>
        <w:rPr>
          <w:rFonts w:ascii="宋体" w:hAnsi="宋体" w:hint="eastAsia"/>
          <w:color w:val="000000"/>
          <w:sz w:val="24"/>
          <w:szCs w:val="24"/>
        </w:rPr>
        <w:t>[2005]128号</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组织形式：有限责任公司</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注册资本：2亿元人民币</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存续期间：持续经营</w:t>
      </w:r>
    </w:p>
    <w:p w:rsidR="008C0AE6" w:rsidRDefault="00392CEB">
      <w:pPr>
        <w:adjustRightInd w:val="0"/>
        <w:snapToGrid w:val="0"/>
        <w:spacing w:line="360" w:lineRule="auto"/>
        <w:ind w:firstLineChars="200" w:firstLine="480"/>
        <w:rPr>
          <w:rFonts w:ascii="宋体" w:hAnsi="宋体"/>
          <w:sz w:val="24"/>
          <w:szCs w:val="24"/>
        </w:rPr>
      </w:pPr>
      <w:r>
        <w:rPr>
          <w:rFonts w:ascii="宋体" w:hAnsi="宋体" w:hint="eastAsia"/>
          <w:color w:val="000000"/>
          <w:sz w:val="24"/>
          <w:szCs w:val="24"/>
        </w:rPr>
        <w:t>经营范围：基金募集、基金销售、资产管理和中国证监会许可的其它业务。</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（二）基金托管人</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名称：中国农业银行股份有限公司</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注册地址：北京市东城区建国门内大街69号</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办公地址：北京市西城区复兴门内大街28号</w:t>
      </w:r>
      <w:proofErr w:type="gramStart"/>
      <w:r>
        <w:rPr>
          <w:rFonts w:ascii="宋体" w:hAnsi="宋体" w:hint="eastAsia"/>
          <w:color w:val="000000"/>
          <w:sz w:val="24"/>
          <w:szCs w:val="24"/>
        </w:rPr>
        <w:t>凯</w:t>
      </w:r>
      <w:proofErr w:type="gramEnd"/>
      <w:r>
        <w:rPr>
          <w:rFonts w:ascii="宋体" w:hAnsi="宋体" w:hint="eastAsia"/>
          <w:color w:val="000000"/>
          <w:sz w:val="24"/>
          <w:szCs w:val="24"/>
        </w:rPr>
        <w:t>晨世贸中心东座</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邮政编码：100031</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法定代表人：</w:t>
      </w:r>
      <w:r>
        <w:rPr>
          <w:rFonts w:ascii="宋体" w:hAnsi="宋体"/>
          <w:sz w:val="24"/>
        </w:rPr>
        <w:t>谷澍</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成立时间：2009年1月15日</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基金托管资格批准文号：中国证监会</w:t>
      </w:r>
      <w:proofErr w:type="gramStart"/>
      <w:r>
        <w:rPr>
          <w:rFonts w:ascii="宋体" w:hAnsi="宋体" w:hint="eastAsia"/>
          <w:color w:val="000000"/>
          <w:sz w:val="24"/>
          <w:szCs w:val="24"/>
        </w:rPr>
        <w:t>证监基字</w:t>
      </w:r>
      <w:proofErr w:type="gramEnd"/>
      <w:r>
        <w:rPr>
          <w:rFonts w:ascii="宋体" w:hAnsi="宋体" w:hint="eastAsia"/>
          <w:color w:val="000000"/>
          <w:sz w:val="24"/>
          <w:szCs w:val="24"/>
        </w:rPr>
        <w:t>[1998]23号</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注册资本：</w:t>
      </w:r>
      <w:r>
        <w:rPr>
          <w:bCs/>
          <w:sz w:val="24"/>
        </w:rPr>
        <w:t>34,998,303.4</w:t>
      </w:r>
      <w:r>
        <w:rPr>
          <w:rFonts w:hint="eastAsia"/>
          <w:bCs/>
          <w:sz w:val="24"/>
        </w:rPr>
        <w:t>万元人民币</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存续期间：持续经营</w:t>
      </w:r>
    </w:p>
    <w:p w:rsidR="008C0AE6" w:rsidRDefault="00392CEB">
      <w:pPr>
        <w:tabs>
          <w:tab w:val="left" w:pos="540"/>
        </w:tabs>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8C0AE6" w:rsidRDefault="008C0AE6">
      <w:pPr>
        <w:tabs>
          <w:tab w:val="left" w:pos="540"/>
        </w:tabs>
        <w:adjustRightInd w:val="0"/>
        <w:snapToGrid w:val="0"/>
        <w:spacing w:line="360" w:lineRule="auto"/>
        <w:ind w:firstLineChars="200" w:firstLine="48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4" w:name="_Toc145818936"/>
      <w:r>
        <w:rPr>
          <w:rFonts w:ascii="宋体" w:eastAsia="宋体" w:hAnsi="宋体"/>
          <w:color w:val="000000"/>
          <w:sz w:val="24"/>
          <w:szCs w:val="24"/>
        </w:rPr>
        <w:t>二、基金托管协议的依据、目的和原则</w:t>
      </w:r>
      <w:bookmarkEnd w:id="4"/>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（一）订立托管协议的依据</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本协议依据《中华人民共和国证券投资基金法》(以下简称“《基金法》”)等有关法律、法规(以下简称“法律法规”)、基金合同及其他有关规定制订。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（二）订立托管协议的目的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（三）订立托管协议的原则</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基金管理人和基金托管人本着平等自愿、诚实信用、充分保护基金投资者合法权益的原则，经协商一致，签订本协议。</w:t>
      </w:r>
    </w:p>
    <w:p w:rsidR="008C0AE6" w:rsidRDefault="00392CEB">
      <w:pPr>
        <w:pStyle w:val="Style6"/>
        <w:spacing w:line="360" w:lineRule="auto"/>
        <w:rPr>
          <w:rFonts w:ascii="宋体" w:eastAsia="宋体"/>
          <w:szCs w:val="24"/>
        </w:rPr>
      </w:pPr>
      <w:r>
        <w:rPr>
          <w:rFonts w:ascii="宋体" w:eastAsia="宋体" w:hint="eastAsia"/>
          <w:szCs w:val="24"/>
        </w:rPr>
        <w:t>（四）解释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除非文义另有所指，本协议所使用的所有术语与基金合同的相应术语具有相同含义。</w:t>
      </w:r>
    </w:p>
    <w:p w:rsidR="008C0AE6" w:rsidRDefault="008C0AE6">
      <w:pPr>
        <w:adjustRightInd w:val="0"/>
        <w:snapToGrid w:val="0"/>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5" w:name="_Toc145818937"/>
      <w:r>
        <w:rPr>
          <w:rFonts w:ascii="宋体" w:eastAsia="宋体" w:hAnsi="宋体"/>
          <w:color w:val="000000"/>
          <w:sz w:val="24"/>
          <w:szCs w:val="24"/>
        </w:rPr>
        <w:t>三、基金托管人对基金管理人的业务监督和核查</w:t>
      </w:r>
      <w:bookmarkEnd w:id="5"/>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（一）基金托管人根据有关法律法规的规定及基金合同的约定，对基金投资范围、投资对象进行监督。</w:t>
      </w:r>
      <w:r>
        <w:rPr>
          <w:rFonts w:ascii="宋体" w:hAnsi="宋体" w:hint="eastAsia"/>
          <w:color w:val="000000"/>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8C0AE6" w:rsidRDefault="00392CEB">
      <w:pPr>
        <w:adjustRightInd w:val="0"/>
        <w:snapToGrid w:val="0"/>
        <w:spacing w:line="360" w:lineRule="auto"/>
        <w:ind w:firstLine="570"/>
        <w:rPr>
          <w:rFonts w:ascii="宋体" w:hAnsi="宋体"/>
          <w:color w:val="000000"/>
          <w:sz w:val="24"/>
          <w:szCs w:val="24"/>
        </w:rPr>
      </w:pPr>
      <w:bookmarkStart w:id="6" w:name="_Hlk489530263"/>
      <w:r>
        <w:rPr>
          <w:rFonts w:ascii="宋体" w:hAnsi="宋体" w:hint="eastAsia"/>
          <w:color w:val="000000"/>
          <w:sz w:val="24"/>
          <w:szCs w:val="24"/>
        </w:rPr>
        <w:t>本基金的投资范围为具有良好流动性的金融工具，包括国内依法发行上市的股票（</w:t>
      </w:r>
      <w:proofErr w:type="gramStart"/>
      <w:r>
        <w:rPr>
          <w:rFonts w:ascii="宋体" w:hAnsi="宋体" w:hint="eastAsia"/>
          <w:color w:val="000000"/>
          <w:sz w:val="24"/>
          <w:szCs w:val="24"/>
        </w:rPr>
        <w:t>含创业</w:t>
      </w:r>
      <w:proofErr w:type="gramEnd"/>
      <w:r>
        <w:rPr>
          <w:rFonts w:ascii="宋体" w:hAnsi="宋体" w:hint="eastAsia"/>
          <w:color w:val="000000"/>
          <w:sz w:val="24"/>
          <w:szCs w:val="24"/>
        </w:rPr>
        <w:t>板、</w:t>
      </w:r>
      <w:proofErr w:type="gramStart"/>
      <w:r>
        <w:rPr>
          <w:rFonts w:ascii="宋体" w:hAnsi="宋体" w:hint="eastAsia"/>
          <w:color w:val="000000"/>
          <w:sz w:val="24"/>
          <w:szCs w:val="24"/>
        </w:rPr>
        <w:t>科创板</w:t>
      </w:r>
      <w:proofErr w:type="gramEnd"/>
      <w:r>
        <w:rPr>
          <w:rFonts w:ascii="宋体" w:hAnsi="宋体" w:hint="eastAsia"/>
          <w:color w:val="000000"/>
          <w:sz w:val="24"/>
          <w:szCs w:val="24"/>
        </w:rPr>
        <w:t>以及其他经中国证监会核准或注册上市的股票</w:t>
      </w:r>
      <w:r>
        <w:rPr>
          <w:rFonts w:hint="eastAsia"/>
          <w:bCs/>
          <w:sz w:val="24"/>
        </w:rPr>
        <w:t>、存托凭证</w:t>
      </w:r>
      <w:r>
        <w:rPr>
          <w:rFonts w:ascii="宋体" w:hAnsi="宋体" w:hint="eastAsia"/>
          <w:color w:val="000000"/>
          <w:sz w:val="24"/>
          <w:szCs w:val="24"/>
        </w:rPr>
        <w:t>）、港股通标的股票、债券</w:t>
      </w:r>
      <w:r>
        <w:rPr>
          <w:rFonts w:hint="eastAsia"/>
          <w:bCs/>
          <w:sz w:val="24"/>
        </w:rPr>
        <w:t>（含国债、央行票据、金融债券、政府支持债券</w:t>
      </w:r>
      <w:r>
        <w:rPr>
          <w:bCs/>
          <w:sz w:val="24"/>
        </w:rPr>
        <w:t>、政府支持</w:t>
      </w:r>
      <w:r>
        <w:rPr>
          <w:rFonts w:hint="eastAsia"/>
          <w:bCs/>
          <w:sz w:val="24"/>
        </w:rPr>
        <w:t>机构</w:t>
      </w:r>
      <w:r>
        <w:rPr>
          <w:bCs/>
          <w:sz w:val="24"/>
        </w:rPr>
        <w:t>债券</w:t>
      </w:r>
      <w:r>
        <w:rPr>
          <w:rFonts w:hint="eastAsia"/>
          <w:bCs/>
          <w:sz w:val="24"/>
        </w:rPr>
        <w:t>、地方政府债券、企业债券、公司债券、可转换债券（</w:t>
      </w:r>
      <w:proofErr w:type="gramStart"/>
      <w:r>
        <w:rPr>
          <w:rFonts w:hint="eastAsia"/>
          <w:bCs/>
          <w:sz w:val="24"/>
        </w:rPr>
        <w:t>含可分离</w:t>
      </w:r>
      <w:proofErr w:type="gramEnd"/>
      <w:r>
        <w:rPr>
          <w:rFonts w:hint="eastAsia"/>
          <w:bCs/>
          <w:sz w:val="24"/>
        </w:rPr>
        <w:t>交易可转换债券）、可交换公司债券、次级债券、中期票据、短期融资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w:t>
      </w:r>
      <w:r>
        <w:rPr>
          <w:rFonts w:ascii="宋体" w:hAnsi="宋体" w:hint="eastAsia"/>
          <w:color w:val="000000"/>
          <w:sz w:val="24"/>
          <w:szCs w:val="24"/>
        </w:rPr>
        <w:t>、货币市场工具、</w:t>
      </w:r>
      <w:r>
        <w:rPr>
          <w:rFonts w:ascii="宋体" w:hAnsi="宋体" w:hint="eastAsia"/>
          <w:bCs/>
          <w:sz w:val="24"/>
        </w:rPr>
        <w:t>债券</w:t>
      </w:r>
      <w:r>
        <w:rPr>
          <w:rFonts w:ascii="宋体" w:hAnsi="宋体"/>
          <w:bCs/>
          <w:sz w:val="24"/>
        </w:rPr>
        <w:t>回购、同业存单、</w:t>
      </w:r>
      <w:r>
        <w:rPr>
          <w:rFonts w:ascii="宋体" w:hAnsi="宋体" w:hint="eastAsia"/>
          <w:bCs/>
          <w:sz w:val="24"/>
        </w:rPr>
        <w:t>银行存款（</w:t>
      </w:r>
      <w:proofErr w:type="gramStart"/>
      <w:r>
        <w:rPr>
          <w:rFonts w:ascii="宋体" w:hAnsi="宋体" w:hint="eastAsia"/>
          <w:bCs/>
          <w:sz w:val="24"/>
        </w:rPr>
        <w:t>含协议</w:t>
      </w:r>
      <w:proofErr w:type="gramEnd"/>
      <w:r>
        <w:rPr>
          <w:rFonts w:ascii="宋体" w:hAnsi="宋体" w:hint="eastAsia"/>
          <w:bCs/>
          <w:sz w:val="24"/>
        </w:rPr>
        <w:t>存款、定期存款及其他银行存款</w:t>
      </w:r>
      <w:r>
        <w:rPr>
          <w:rFonts w:ascii="宋体" w:hAnsi="宋体"/>
          <w:bCs/>
          <w:sz w:val="24"/>
        </w:rPr>
        <w:t>）</w:t>
      </w:r>
      <w:r>
        <w:rPr>
          <w:rFonts w:ascii="宋体" w:hAnsi="宋体" w:hint="eastAsia"/>
          <w:color w:val="000000"/>
          <w:sz w:val="24"/>
          <w:szCs w:val="24"/>
        </w:rPr>
        <w:t>、资产支持证券、</w:t>
      </w:r>
      <w:r>
        <w:rPr>
          <w:rFonts w:ascii="宋体" w:hAnsi="宋体"/>
          <w:color w:val="000000"/>
          <w:sz w:val="24"/>
          <w:szCs w:val="24"/>
        </w:rPr>
        <w:t>股指期货</w:t>
      </w:r>
      <w:r>
        <w:rPr>
          <w:rFonts w:ascii="宋体" w:hAnsi="宋体" w:hint="eastAsia"/>
          <w:color w:val="000000"/>
          <w:sz w:val="24"/>
          <w:szCs w:val="24"/>
        </w:rPr>
        <w:t>以及法律法规或中国证监会允许基金投资的其他金融工具（但须符合中国证监会的相关规定）。</w:t>
      </w:r>
    </w:p>
    <w:p w:rsidR="008C0AE6" w:rsidRDefault="00392CEB">
      <w:pPr>
        <w:adjustRightInd w:val="0"/>
        <w:snapToGrid w:val="0"/>
        <w:spacing w:line="360" w:lineRule="auto"/>
        <w:ind w:firstLine="570"/>
        <w:rPr>
          <w:rFonts w:ascii="宋体" w:hAnsi="宋体"/>
          <w:color w:val="000000"/>
          <w:sz w:val="24"/>
          <w:szCs w:val="24"/>
        </w:rPr>
      </w:pPr>
      <w:r>
        <w:rPr>
          <w:rFonts w:ascii="宋体" w:hAnsi="宋体" w:hint="eastAsia"/>
          <w:color w:val="000000"/>
          <w:sz w:val="24"/>
          <w:szCs w:val="24"/>
        </w:rPr>
        <w:t>如法律法规或监管机构以后允许本基金投资其他品种，基金管理人在履行适当程序后，可以将其纳入投资范围。</w:t>
      </w:r>
    </w:p>
    <w:p w:rsidR="008C0AE6" w:rsidRDefault="00392CEB">
      <w:pPr>
        <w:tabs>
          <w:tab w:val="left" w:pos="2410"/>
        </w:tabs>
        <w:adjustRightInd w:val="0"/>
        <w:snapToGrid w:val="0"/>
        <w:spacing w:line="360" w:lineRule="auto"/>
        <w:ind w:firstLine="573"/>
        <w:rPr>
          <w:rFonts w:ascii="宋体" w:hAnsi="宋体"/>
          <w:sz w:val="24"/>
          <w:szCs w:val="24"/>
        </w:rPr>
      </w:pPr>
      <w:r>
        <w:rPr>
          <w:rFonts w:ascii="宋体" w:hAnsi="宋体" w:hint="eastAsia"/>
          <w:sz w:val="24"/>
          <w:szCs w:val="24"/>
        </w:rPr>
        <w:t>本基金的配置比例为</w:t>
      </w:r>
      <w:r>
        <w:rPr>
          <w:rFonts w:ascii="宋体" w:hAnsi="宋体"/>
          <w:sz w:val="24"/>
          <w:szCs w:val="24"/>
        </w:rPr>
        <w:t>股票</w:t>
      </w:r>
      <w:r>
        <w:rPr>
          <w:rFonts w:ascii="宋体" w:hAnsi="宋体" w:hint="eastAsia"/>
          <w:sz w:val="24"/>
          <w:szCs w:val="24"/>
        </w:rPr>
        <w:t>资产</w:t>
      </w:r>
      <w:r>
        <w:rPr>
          <w:rFonts w:hint="eastAsia"/>
          <w:bCs/>
          <w:sz w:val="24"/>
        </w:rPr>
        <w:t>（</w:t>
      </w:r>
      <w:proofErr w:type="gramStart"/>
      <w:r>
        <w:rPr>
          <w:bCs/>
          <w:sz w:val="24"/>
        </w:rPr>
        <w:t>含存托</w:t>
      </w:r>
      <w:proofErr w:type="gramEnd"/>
      <w:r>
        <w:rPr>
          <w:bCs/>
          <w:sz w:val="24"/>
        </w:rPr>
        <w:t>凭证</w:t>
      </w:r>
      <w:r>
        <w:rPr>
          <w:rFonts w:hint="eastAsia"/>
          <w:bCs/>
          <w:sz w:val="24"/>
        </w:rPr>
        <w:t>）</w:t>
      </w:r>
      <w:r>
        <w:rPr>
          <w:rFonts w:ascii="宋体" w:hAnsi="宋体" w:hint="eastAsia"/>
          <w:sz w:val="24"/>
          <w:szCs w:val="24"/>
        </w:rPr>
        <w:t>占</w:t>
      </w:r>
      <w:r>
        <w:rPr>
          <w:rFonts w:ascii="宋体" w:hAnsi="宋体"/>
          <w:sz w:val="24"/>
          <w:szCs w:val="24"/>
        </w:rPr>
        <w:t>基金资产的50%-</w:t>
      </w:r>
      <w:r>
        <w:rPr>
          <w:rFonts w:ascii="宋体" w:hAnsi="宋体" w:hint="eastAsia"/>
          <w:sz w:val="24"/>
          <w:szCs w:val="24"/>
        </w:rPr>
        <w:t>95</w:t>
      </w:r>
      <w:r>
        <w:rPr>
          <w:rFonts w:ascii="宋体" w:hAnsi="宋体"/>
          <w:sz w:val="24"/>
          <w:szCs w:val="24"/>
        </w:rPr>
        <w:t>%</w:t>
      </w:r>
      <w:r>
        <w:rPr>
          <w:rFonts w:ascii="宋体" w:hAnsi="宋体" w:hint="eastAsia"/>
          <w:sz w:val="24"/>
          <w:szCs w:val="24"/>
        </w:rPr>
        <w:t>（其中投资于港股通标的股票的比例占股票资产的0%-50%），投资于先进制造主题相关证券的比例不低于非现金基金资产的80%</w:t>
      </w:r>
      <w:r>
        <w:rPr>
          <w:rFonts w:ascii="宋体" w:hAnsi="宋体"/>
          <w:sz w:val="24"/>
          <w:szCs w:val="24"/>
        </w:rPr>
        <w:t>；</w:t>
      </w:r>
      <w:r>
        <w:rPr>
          <w:rFonts w:hint="eastAsia"/>
          <w:bCs/>
          <w:sz w:val="24"/>
        </w:rPr>
        <w:t>每个交易日日终在扣除股指期货合约需缴纳的交易保证金后，本基金保留的现金或者投资于到期日在一年以内的政府债券的比例合计不低于基金资产净值的</w:t>
      </w:r>
      <w:r>
        <w:rPr>
          <w:bCs/>
          <w:sz w:val="24"/>
        </w:rPr>
        <w:t>5%</w:t>
      </w:r>
      <w:r>
        <w:rPr>
          <w:rFonts w:hint="eastAsia"/>
          <w:bCs/>
          <w:sz w:val="24"/>
        </w:rPr>
        <w:t>，其中现金不包括结算备付金、存出保证金、应收申购款等</w:t>
      </w:r>
      <w:r>
        <w:rPr>
          <w:rFonts w:ascii="宋体" w:hAnsi="宋体" w:hint="eastAsia"/>
          <w:sz w:val="24"/>
          <w:szCs w:val="24"/>
        </w:rPr>
        <w:t>。</w:t>
      </w:r>
    </w:p>
    <w:p w:rsidR="008C0AE6" w:rsidRDefault="00392CEB">
      <w:pPr>
        <w:tabs>
          <w:tab w:val="left" w:pos="2410"/>
        </w:tabs>
        <w:adjustRightInd w:val="0"/>
        <w:snapToGrid w:val="0"/>
        <w:spacing w:line="360" w:lineRule="auto"/>
        <w:ind w:firstLineChars="200" w:firstLine="480"/>
        <w:rPr>
          <w:rFonts w:ascii="宋体" w:hAnsi="宋体"/>
          <w:sz w:val="24"/>
          <w:szCs w:val="24"/>
        </w:rPr>
      </w:pPr>
      <w:r>
        <w:rPr>
          <w:rFonts w:ascii="宋体" w:hAnsi="宋体" w:hint="eastAsia"/>
          <w:sz w:val="24"/>
        </w:rPr>
        <w:t>如果法律法规或中国证监会变更投资品种的投资比例限制，基金管理人在履行适当程序后，可以调整上述投资品种的投资比例。</w:t>
      </w:r>
    </w:p>
    <w:p w:rsidR="008C0AE6" w:rsidRDefault="00392CEB">
      <w:pPr>
        <w:tabs>
          <w:tab w:val="left" w:pos="2410"/>
        </w:tabs>
        <w:adjustRightInd w:val="0"/>
        <w:snapToGrid w:val="0"/>
        <w:spacing w:line="360" w:lineRule="auto"/>
        <w:ind w:firstLineChars="150" w:firstLine="360"/>
        <w:rPr>
          <w:rFonts w:ascii="宋体" w:hAnsi="宋体"/>
          <w:color w:val="000000"/>
          <w:sz w:val="24"/>
          <w:szCs w:val="24"/>
        </w:rPr>
      </w:pPr>
      <w:r>
        <w:rPr>
          <w:rFonts w:ascii="宋体" w:hAnsi="宋体"/>
          <w:color w:val="000000"/>
          <w:sz w:val="24"/>
          <w:szCs w:val="24"/>
        </w:rPr>
        <w:t>（二）基金托管人根据有关法律法规的规定及基金合同的约定，对基金投资、融资比例进行监督。基金托管人按下述比例和调整期限进行监督：</w:t>
      </w:r>
    </w:p>
    <w:p w:rsidR="008C0AE6" w:rsidRDefault="00392CEB">
      <w:pPr>
        <w:autoSpaceDE w:val="0"/>
        <w:autoSpaceDN w:val="0"/>
        <w:adjustRightInd w:val="0"/>
        <w:spacing w:line="360" w:lineRule="auto"/>
        <w:ind w:firstLine="480"/>
        <w:jc w:val="left"/>
        <w:rPr>
          <w:rFonts w:ascii="宋体" w:hAnsi="宋体"/>
          <w:sz w:val="24"/>
        </w:rPr>
      </w:pPr>
      <w:r>
        <w:rPr>
          <w:rFonts w:ascii="宋体" w:hAnsi="宋体" w:hint="eastAsia"/>
          <w:sz w:val="24"/>
        </w:rPr>
        <w:t>1、股票资产</w:t>
      </w:r>
      <w:r>
        <w:rPr>
          <w:rFonts w:hint="eastAsia"/>
          <w:bCs/>
          <w:sz w:val="24"/>
        </w:rPr>
        <w:t>（</w:t>
      </w:r>
      <w:proofErr w:type="gramStart"/>
      <w:r>
        <w:rPr>
          <w:bCs/>
          <w:sz w:val="24"/>
        </w:rPr>
        <w:t>含存托</w:t>
      </w:r>
      <w:proofErr w:type="gramEnd"/>
      <w:r>
        <w:rPr>
          <w:bCs/>
          <w:sz w:val="24"/>
        </w:rPr>
        <w:t>凭证</w:t>
      </w:r>
      <w:r>
        <w:rPr>
          <w:rFonts w:hint="eastAsia"/>
          <w:bCs/>
          <w:sz w:val="24"/>
        </w:rPr>
        <w:t>）</w:t>
      </w:r>
      <w:r>
        <w:rPr>
          <w:rFonts w:ascii="宋体" w:hAnsi="宋体" w:hint="eastAsia"/>
          <w:sz w:val="24"/>
        </w:rPr>
        <w:t>占基金资产的</w:t>
      </w:r>
      <w:r>
        <w:rPr>
          <w:rFonts w:ascii="宋体" w:hAnsi="宋体"/>
          <w:sz w:val="24"/>
        </w:rPr>
        <w:t>50%-95%</w:t>
      </w:r>
      <w:r>
        <w:rPr>
          <w:rFonts w:ascii="宋体" w:hAnsi="宋体" w:hint="eastAsia"/>
          <w:sz w:val="24"/>
        </w:rPr>
        <w:t>（其中投资于港股通标的股票的比例占股票资产的0%-50%），投资于先进制造主题相关证券的比例不低于非现金基金资产的</w:t>
      </w:r>
      <w:r>
        <w:rPr>
          <w:rFonts w:ascii="宋体" w:hAnsi="宋体"/>
          <w:sz w:val="24"/>
        </w:rPr>
        <w:t>80%</w:t>
      </w:r>
      <w:r>
        <w:rPr>
          <w:rFonts w:ascii="宋体" w:hAnsi="宋体" w:hint="eastAsia"/>
          <w:sz w:val="24"/>
        </w:rPr>
        <w:t>；</w:t>
      </w:r>
    </w:p>
    <w:p w:rsidR="008C0AE6" w:rsidRDefault="00392CEB">
      <w:pPr>
        <w:autoSpaceDE w:val="0"/>
        <w:autoSpaceDN w:val="0"/>
        <w:adjustRightInd w:val="0"/>
        <w:spacing w:line="360" w:lineRule="auto"/>
        <w:ind w:firstLine="480"/>
        <w:jc w:val="left"/>
        <w:rPr>
          <w:rFonts w:ascii="宋体" w:hAnsi="宋体"/>
          <w:sz w:val="24"/>
        </w:rPr>
      </w:pPr>
      <w:r>
        <w:rPr>
          <w:rFonts w:ascii="宋体" w:hAnsi="宋体" w:hint="eastAsia"/>
          <w:sz w:val="24"/>
        </w:rPr>
        <w:t>2、每个交易日日终在扣除</w:t>
      </w:r>
      <w:hyperlink r:id="rId8" w:tgtFrame="_blank" w:history="1">
        <w:r>
          <w:rPr>
            <w:rFonts w:ascii="宋体" w:hAnsi="宋体" w:hint="eastAsia"/>
            <w:sz w:val="24"/>
          </w:rPr>
          <w:t>股指期货合约</w:t>
        </w:r>
      </w:hyperlink>
      <w:r>
        <w:rPr>
          <w:rFonts w:ascii="宋体" w:hAnsi="宋体" w:hint="eastAsia"/>
          <w:sz w:val="24"/>
        </w:rPr>
        <w:t>需缴纳的</w:t>
      </w:r>
      <w:hyperlink r:id="rId9" w:tgtFrame="_blank" w:history="1">
        <w:r>
          <w:rPr>
            <w:rFonts w:ascii="宋体" w:hAnsi="宋体" w:hint="eastAsia"/>
            <w:sz w:val="24"/>
          </w:rPr>
          <w:t>交易保证金</w:t>
        </w:r>
      </w:hyperlink>
      <w:r>
        <w:rPr>
          <w:rFonts w:ascii="宋体" w:hAnsi="宋体" w:hint="eastAsia"/>
          <w:sz w:val="24"/>
        </w:rPr>
        <w:t>后，保持不低于基金资产净值</w:t>
      </w:r>
      <w:r>
        <w:rPr>
          <w:rFonts w:ascii="宋体" w:hAnsi="宋体"/>
          <w:sz w:val="24"/>
        </w:rPr>
        <w:t>5%</w:t>
      </w:r>
      <w:r>
        <w:rPr>
          <w:rFonts w:ascii="宋体" w:hAnsi="宋体" w:hint="eastAsia"/>
          <w:sz w:val="24"/>
        </w:rPr>
        <w:t>的现金或者到期日在一年以内的政府债券，其中现金不包括结算备付金、存出保证金、应收申购款等；</w:t>
      </w:r>
    </w:p>
    <w:p w:rsidR="008C0AE6" w:rsidRDefault="00392CEB">
      <w:pPr>
        <w:spacing w:line="360" w:lineRule="auto"/>
        <w:ind w:firstLineChars="200" w:firstLine="480"/>
        <w:rPr>
          <w:bCs/>
          <w:sz w:val="24"/>
        </w:rPr>
      </w:pPr>
      <w:r>
        <w:rPr>
          <w:rFonts w:ascii="宋体" w:hAnsi="宋体" w:hint="eastAsia"/>
          <w:sz w:val="24"/>
        </w:rPr>
        <w:t>3、</w:t>
      </w:r>
      <w:r>
        <w:rPr>
          <w:bCs/>
          <w:sz w:val="24"/>
        </w:rPr>
        <w:t>本基金持有一家</w:t>
      </w:r>
      <w:r>
        <w:rPr>
          <w:rFonts w:hint="eastAsia"/>
          <w:bCs/>
          <w:sz w:val="24"/>
        </w:rPr>
        <w:t>公司发行的证券（同一家公司在内地和香港同时上市的</w:t>
      </w:r>
      <w:r>
        <w:rPr>
          <w:rFonts w:hint="eastAsia"/>
          <w:bCs/>
          <w:sz w:val="24"/>
        </w:rPr>
        <w:t xml:space="preserve">A+H </w:t>
      </w:r>
      <w:r>
        <w:rPr>
          <w:rFonts w:hint="eastAsia"/>
          <w:bCs/>
          <w:sz w:val="24"/>
        </w:rPr>
        <w:t>股合计计算）</w:t>
      </w:r>
      <w:r>
        <w:rPr>
          <w:bCs/>
          <w:sz w:val="24"/>
        </w:rPr>
        <w:t>，其市值不超过基金资产净值的</w:t>
      </w:r>
      <w:r>
        <w:rPr>
          <w:bCs/>
          <w:sz w:val="24"/>
        </w:rPr>
        <w:t>10</w:t>
      </w:r>
      <w:r>
        <w:rPr>
          <w:rFonts w:hint="eastAsia"/>
          <w:bCs/>
          <w:sz w:val="24"/>
        </w:rPr>
        <w:t>%</w:t>
      </w:r>
      <w:r>
        <w:rPr>
          <w:bCs/>
          <w:sz w:val="24"/>
        </w:rPr>
        <w:t>；</w:t>
      </w:r>
    </w:p>
    <w:p w:rsidR="008C0AE6" w:rsidRDefault="00392CEB">
      <w:pPr>
        <w:spacing w:line="360" w:lineRule="auto"/>
        <w:ind w:firstLineChars="200" w:firstLine="480"/>
        <w:rPr>
          <w:bCs/>
          <w:sz w:val="24"/>
        </w:rPr>
      </w:pPr>
      <w:r>
        <w:rPr>
          <w:rFonts w:hint="eastAsia"/>
          <w:bCs/>
          <w:sz w:val="24"/>
        </w:rPr>
        <w:t>4</w:t>
      </w:r>
      <w:r>
        <w:rPr>
          <w:rFonts w:hint="eastAsia"/>
          <w:bCs/>
          <w:sz w:val="24"/>
        </w:rPr>
        <w:t>、</w:t>
      </w:r>
      <w:r>
        <w:rPr>
          <w:bCs/>
          <w:sz w:val="24"/>
        </w:rPr>
        <w:t>本基金管理人管理的</w:t>
      </w:r>
      <w:r>
        <w:rPr>
          <w:rFonts w:hint="eastAsia"/>
          <w:bCs/>
          <w:sz w:val="24"/>
        </w:rPr>
        <w:t>、且由本基金托管人托管的</w:t>
      </w:r>
      <w:r>
        <w:rPr>
          <w:bCs/>
          <w:sz w:val="24"/>
        </w:rPr>
        <w:t>全部基金持有一家公司发行的证券</w:t>
      </w:r>
      <w:r>
        <w:rPr>
          <w:rFonts w:hint="eastAsia"/>
          <w:bCs/>
          <w:sz w:val="24"/>
        </w:rPr>
        <w:t>（同一家公司在内地和香港同时上市的</w:t>
      </w:r>
      <w:r>
        <w:rPr>
          <w:rFonts w:hint="eastAsia"/>
          <w:bCs/>
          <w:sz w:val="24"/>
        </w:rPr>
        <w:t xml:space="preserve">A+H </w:t>
      </w:r>
      <w:r>
        <w:rPr>
          <w:rFonts w:hint="eastAsia"/>
          <w:bCs/>
          <w:sz w:val="24"/>
        </w:rPr>
        <w:t>股合计计算）</w:t>
      </w:r>
      <w:r>
        <w:rPr>
          <w:bCs/>
          <w:sz w:val="24"/>
        </w:rPr>
        <w:t>，不超过该证券的</w:t>
      </w:r>
      <w:r>
        <w:rPr>
          <w:bCs/>
          <w:sz w:val="24"/>
        </w:rPr>
        <w:t>10</w:t>
      </w:r>
      <w:r>
        <w:rPr>
          <w:rFonts w:hint="eastAsia"/>
          <w:bCs/>
          <w:sz w:val="24"/>
        </w:rPr>
        <w:t>%</w:t>
      </w:r>
      <w:r>
        <w:rPr>
          <w:rFonts w:hint="eastAsia"/>
          <w:bCs/>
          <w:sz w:val="24"/>
        </w:rPr>
        <w:t>，完全按照有关指数的构成比例进行证券投资的基金品种可以不受此条款规定的比例限制；</w:t>
      </w:r>
    </w:p>
    <w:p w:rsidR="008C0AE6" w:rsidRDefault="00392CEB">
      <w:pPr>
        <w:spacing w:line="360" w:lineRule="auto"/>
        <w:ind w:firstLineChars="200" w:firstLine="480"/>
        <w:rPr>
          <w:bCs/>
          <w:sz w:val="24"/>
        </w:rPr>
      </w:pPr>
      <w:r>
        <w:rPr>
          <w:bCs/>
          <w:sz w:val="24"/>
        </w:rPr>
        <w:t>5</w:t>
      </w:r>
      <w:r>
        <w:rPr>
          <w:rFonts w:hint="eastAsia"/>
          <w:bCs/>
          <w:sz w:val="24"/>
        </w:rPr>
        <w:t>、本基金管理人管理的、且由本基金托管人托管的全部开放式基金（包括开放式基金以及处于开放期的定期开放基金）持有一家上市公司发行的可流通股票，不得超过该上市公司可流通股票的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；本基金管理人管理的、且由本基金托管人托管的全部投资组合持有一家上市公司发行的可流通股票，不得超过该上市公司可流通股票的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8C0AE6" w:rsidRDefault="00392CEB">
      <w:pPr>
        <w:spacing w:line="360" w:lineRule="auto"/>
        <w:ind w:firstLineChars="200" w:firstLine="480"/>
        <w:rPr>
          <w:bCs/>
          <w:sz w:val="24"/>
        </w:rPr>
      </w:pPr>
      <w:r>
        <w:rPr>
          <w:bCs/>
          <w:sz w:val="24"/>
        </w:rPr>
        <w:t>6</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8C0AE6" w:rsidRDefault="00392CEB">
      <w:pPr>
        <w:spacing w:line="360" w:lineRule="auto"/>
        <w:ind w:firstLineChars="200" w:firstLine="480"/>
        <w:rPr>
          <w:bCs/>
          <w:sz w:val="24"/>
        </w:rPr>
      </w:pPr>
      <w:r>
        <w:rPr>
          <w:bCs/>
          <w:sz w:val="24"/>
        </w:rPr>
        <w:t>7</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8C0AE6" w:rsidRDefault="00392CEB">
      <w:pPr>
        <w:spacing w:line="360" w:lineRule="auto"/>
        <w:ind w:firstLineChars="200" w:firstLine="480"/>
        <w:rPr>
          <w:bCs/>
          <w:sz w:val="24"/>
        </w:rPr>
      </w:pPr>
      <w:r>
        <w:rPr>
          <w:bCs/>
          <w:sz w:val="24"/>
        </w:rPr>
        <w:t>8</w:t>
      </w:r>
      <w:r>
        <w:rPr>
          <w:rFonts w:hint="eastAsia"/>
          <w:bCs/>
          <w:sz w:val="24"/>
        </w:rPr>
        <w:t>、</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rsidR="008C0AE6" w:rsidRDefault="00392CEB">
      <w:pPr>
        <w:spacing w:line="360" w:lineRule="auto"/>
        <w:ind w:firstLineChars="200" w:firstLine="480"/>
        <w:rPr>
          <w:bCs/>
          <w:sz w:val="24"/>
        </w:rPr>
      </w:pPr>
      <w:r>
        <w:rPr>
          <w:bCs/>
          <w:sz w:val="24"/>
        </w:rPr>
        <w:t>9</w:t>
      </w:r>
      <w:r>
        <w:rPr>
          <w:rFonts w:hint="eastAsia"/>
          <w:bCs/>
          <w:sz w:val="24"/>
        </w:rPr>
        <w:t>、</w:t>
      </w:r>
      <w:r>
        <w:rPr>
          <w:bCs/>
          <w:sz w:val="24"/>
        </w:rPr>
        <w:t>本基金持有的全部资产支持证券，其市值不得超过基金资产净值的</w:t>
      </w:r>
      <w:r>
        <w:rPr>
          <w:bCs/>
          <w:sz w:val="24"/>
        </w:rPr>
        <w:t>20</w:t>
      </w:r>
      <w:r>
        <w:rPr>
          <w:rFonts w:hint="eastAsia"/>
          <w:bCs/>
          <w:sz w:val="24"/>
        </w:rPr>
        <w:t>%</w:t>
      </w:r>
      <w:r>
        <w:rPr>
          <w:bCs/>
          <w:sz w:val="24"/>
        </w:rPr>
        <w:t>；</w:t>
      </w:r>
    </w:p>
    <w:p w:rsidR="008C0AE6" w:rsidRDefault="00392CEB">
      <w:pPr>
        <w:spacing w:line="360" w:lineRule="auto"/>
        <w:ind w:firstLineChars="200" w:firstLine="480"/>
        <w:rPr>
          <w:bCs/>
          <w:sz w:val="24"/>
        </w:rPr>
      </w:pPr>
      <w:r>
        <w:rPr>
          <w:rFonts w:hint="eastAsia"/>
          <w:bCs/>
          <w:sz w:val="24"/>
        </w:rPr>
        <w:t>1</w:t>
      </w:r>
      <w:r>
        <w:rPr>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rFonts w:hint="eastAsia"/>
          <w:bCs/>
          <w:sz w:val="24"/>
        </w:rPr>
        <w:t>%</w:t>
      </w:r>
      <w:r>
        <w:rPr>
          <w:bCs/>
          <w:sz w:val="24"/>
        </w:rPr>
        <w:t>；</w:t>
      </w:r>
    </w:p>
    <w:p w:rsidR="008C0AE6" w:rsidRDefault="00392CEB">
      <w:pPr>
        <w:spacing w:line="360" w:lineRule="auto"/>
        <w:ind w:firstLineChars="200" w:firstLine="480"/>
        <w:rPr>
          <w:bCs/>
          <w:sz w:val="24"/>
        </w:rPr>
      </w:pPr>
      <w:r>
        <w:rPr>
          <w:rFonts w:hint="eastAsia"/>
          <w:bCs/>
          <w:sz w:val="24"/>
        </w:rPr>
        <w:t>1</w:t>
      </w:r>
      <w:r>
        <w:rPr>
          <w:bCs/>
          <w:sz w:val="24"/>
        </w:rPr>
        <w:t>1</w:t>
      </w:r>
      <w:r>
        <w:rPr>
          <w:bCs/>
          <w:sz w:val="24"/>
        </w:rPr>
        <w:t>、本基金管理人管理的</w:t>
      </w:r>
      <w:r>
        <w:rPr>
          <w:rFonts w:hint="eastAsia"/>
          <w:bCs/>
          <w:sz w:val="24"/>
        </w:rPr>
        <w:t>、且由本基金托管人托管的</w:t>
      </w:r>
      <w:r>
        <w:rPr>
          <w:bCs/>
          <w:sz w:val="24"/>
        </w:rPr>
        <w:t>全部基金投资于同一原始权益人的各类资产支持证券，不得超过其各类资产支持证券合计规模的</w:t>
      </w:r>
      <w:r>
        <w:rPr>
          <w:bCs/>
          <w:sz w:val="24"/>
        </w:rPr>
        <w:t>10</w:t>
      </w:r>
      <w:r>
        <w:rPr>
          <w:rFonts w:hint="eastAsia"/>
          <w:bCs/>
          <w:sz w:val="24"/>
        </w:rPr>
        <w:t>%</w:t>
      </w:r>
      <w:r>
        <w:rPr>
          <w:bCs/>
          <w:sz w:val="24"/>
        </w:rPr>
        <w:t>；</w:t>
      </w:r>
    </w:p>
    <w:p w:rsidR="008C0AE6" w:rsidRDefault="00392CEB">
      <w:pPr>
        <w:spacing w:line="360" w:lineRule="auto"/>
        <w:ind w:firstLineChars="200" w:firstLine="480"/>
        <w:rPr>
          <w:bCs/>
          <w:sz w:val="24"/>
        </w:rPr>
      </w:pPr>
      <w:r>
        <w:rPr>
          <w:rFonts w:hint="eastAsia"/>
          <w:bCs/>
          <w:sz w:val="24"/>
        </w:rPr>
        <w:t>1</w:t>
      </w:r>
      <w:r>
        <w:rPr>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8C0AE6" w:rsidRDefault="00392CEB">
      <w:pPr>
        <w:spacing w:line="360" w:lineRule="auto"/>
        <w:ind w:firstLineChars="200" w:firstLine="480"/>
        <w:rPr>
          <w:bCs/>
          <w:sz w:val="24"/>
        </w:rPr>
      </w:pPr>
      <w:r>
        <w:rPr>
          <w:rFonts w:hint="eastAsia"/>
          <w:bCs/>
          <w:sz w:val="24"/>
        </w:rPr>
        <w:t>1</w:t>
      </w:r>
      <w:r>
        <w:rPr>
          <w:bCs/>
          <w:sz w:val="24"/>
        </w:rPr>
        <w:t>3</w:t>
      </w:r>
      <w:r>
        <w:rPr>
          <w:bCs/>
          <w:sz w:val="24"/>
        </w:rPr>
        <w:t>、基金财产参与股票发行申购，本基金所申报的金额不超过本基金的总资产，本基金所申报的股票数量不超过拟发行股票公司本次发行股票的总量；</w:t>
      </w:r>
    </w:p>
    <w:p w:rsidR="008C0AE6" w:rsidRDefault="00392CEB">
      <w:pPr>
        <w:spacing w:line="360" w:lineRule="auto"/>
        <w:ind w:firstLineChars="200" w:firstLine="480"/>
        <w:rPr>
          <w:bCs/>
          <w:sz w:val="24"/>
        </w:rPr>
      </w:pPr>
      <w:bookmarkStart w:id="7" w:name="OLE_LINK67"/>
      <w:bookmarkStart w:id="8" w:name="OLE_LINK66"/>
      <w:r>
        <w:rPr>
          <w:rFonts w:hint="eastAsia"/>
          <w:bCs/>
          <w:sz w:val="24"/>
        </w:rPr>
        <w:t>1</w:t>
      </w:r>
      <w:r>
        <w:rPr>
          <w:bCs/>
          <w:sz w:val="24"/>
        </w:rPr>
        <w:t>4</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bCs/>
          <w:sz w:val="24"/>
        </w:rPr>
        <w:t>1</w:t>
      </w:r>
      <w:r>
        <w:rPr>
          <w:rFonts w:hint="eastAsia"/>
          <w:bCs/>
          <w:sz w:val="24"/>
        </w:rPr>
        <w:t>年，债券回购到期后不得展期；</w:t>
      </w:r>
    </w:p>
    <w:bookmarkEnd w:id="7"/>
    <w:bookmarkEnd w:id="8"/>
    <w:p w:rsidR="008C0AE6" w:rsidRDefault="00392CEB">
      <w:pPr>
        <w:spacing w:line="360" w:lineRule="auto"/>
        <w:ind w:firstLineChars="200" w:firstLine="480"/>
        <w:rPr>
          <w:bCs/>
          <w:sz w:val="24"/>
        </w:rPr>
      </w:pPr>
      <w:r>
        <w:rPr>
          <w:rFonts w:hint="eastAsia"/>
          <w:bCs/>
          <w:sz w:val="24"/>
        </w:rPr>
        <w:t>1</w:t>
      </w:r>
      <w:r>
        <w:rPr>
          <w:bCs/>
          <w:sz w:val="24"/>
        </w:rPr>
        <w:t>5</w:t>
      </w:r>
      <w:r>
        <w:rPr>
          <w:bCs/>
          <w:sz w:val="24"/>
        </w:rPr>
        <w:t>、</w:t>
      </w:r>
      <w:r>
        <w:rPr>
          <w:rFonts w:ascii="宋体" w:cs="宋体" w:hint="eastAsia"/>
          <w:color w:val="000000"/>
          <w:kern w:val="0"/>
          <w:sz w:val="24"/>
        </w:rPr>
        <w:t>当本基金投资股指期货时</w:t>
      </w:r>
      <w:r>
        <w:rPr>
          <w:rFonts w:hint="eastAsia"/>
          <w:bCs/>
          <w:sz w:val="24"/>
        </w:rPr>
        <w:t>，则：</w:t>
      </w:r>
    </w:p>
    <w:p w:rsidR="008C0AE6" w:rsidRDefault="00392CEB">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rsidR="008C0AE6" w:rsidRDefault="00392CEB">
      <w:pPr>
        <w:spacing w:line="360" w:lineRule="auto"/>
        <w:ind w:firstLineChars="200" w:firstLine="480"/>
        <w:rPr>
          <w:bCs/>
          <w:sz w:val="24"/>
        </w:rPr>
      </w:pPr>
      <w:r>
        <w:rPr>
          <w:bCs/>
          <w:sz w:val="24"/>
        </w:rPr>
        <w:t>2</w:t>
      </w:r>
      <w:r>
        <w:rPr>
          <w:rFonts w:hint="eastAsia"/>
          <w:bCs/>
          <w:sz w:val="24"/>
        </w:rPr>
        <w:t>）本基金在任何交易日日终，持有的买入股指期货合约价值与有价证券市值之和，不得超过基金资产净值的</w:t>
      </w:r>
      <w:r>
        <w:rPr>
          <w:bCs/>
          <w:sz w:val="24"/>
        </w:rPr>
        <w:t>95%</w:t>
      </w:r>
      <w:r>
        <w:rPr>
          <w:rFonts w:hint="eastAsia"/>
          <w:bCs/>
          <w:sz w:val="24"/>
        </w:rPr>
        <w:t>。其中，有价证券指股票、债券（不含到期日在一年以内的政府债券）、资产支持证券、买入返售金融资产（不含质押式回购）等；</w:t>
      </w:r>
    </w:p>
    <w:p w:rsidR="008C0AE6" w:rsidRDefault="00392CEB">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rsidR="008C0AE6" w:rsidRDefault="00392CEB">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rsidR="008C0AE6" w:rsidRDefault="00392CEB">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rsidR="008C0AE6" w:rsidRDefault="00392CEB">
      <w:pPr>
        <w:spacing w:line="360" w:lineRule="auto"/>
        <w:ind w:firstLineChars="200" w:firstLine="480"/>
        <w:rPr>
          <w:bCs/>
          <w:sz w:val="24"/>
        </w:rPr>
      </w:pPr>
      <w:r>
        <w:rPr>
          <w:rFonts w:hint="eastAsia"/>
          <w:bCs/>
          <w:sz w:val="24"/>
        </w:rPr>
        <w:t>1</w:t>
      </w:r>
      <w:r>
        <w:rPr>
          <w:bCs/>
          <w:sz w:val="24"/>
        </w:rPr>
        <w:t>6</w:t>
      </w:r>
      <w:r>
        <w:rPr>
          <w:bCs/>
          <w:sz w:val="24"/>
        </w:rPr>
        <w:t>、本基金的基金资产总值不得超过基金资产净值的</w:t>
      </w:r>
      <w:r>
        <w:rPr>
          <w:bCs/>
          <w:sz w:val="24"/>
        </w:rPr>
        <w:t>140%</w:t>
      </w:r>
      <w:r>
        <w:rPr>
          <w:bCs/>
          <w:sz w:val="24"/>
        </w:rPr>
        <w:t>；</w:t>
      </w:r>
    </w:p>
    <w:p w:rsidR="008C0AE6" w:rsidRDefault="00392CEB">
      <w:pPr>
        <w:adjustRightInd w:val="0"/>
        <w:snapToGrid w:val="0"/>
        <w:spacing w:line="360" w:lineRule="auto"/>
        <w:ind w:firstLineChars="200" w:firstLine="480"/>
        <w:rPr>
          <w:bCs/>
          <w:sz w:val="24"/>
        </w:rPr>
      </w:pPr>
      <w:r>
        <w:rPr>
          <w:bCs/>
          <w:sz w:val="24"/>
        </w:rPr>
        <w:t>17</w:t>
      </w:r>
      <w:r>
        <w:rPr>
          <w:bCs/>
          <w:sz w:val="24"/>
        </w:rPr>
        <w:t>、</w:t>
      </w:r>
      <w:r>
        <w:rPr>
          <w:rFonts w:hint="eastAsia"/>
          <w:bCs/>
          <w:sz w:val="24"/>
        </w:rPr>
        <w:t>本基金投资存托凭证的比例限制依照境内上市交易的股票执行；</w:t>
      </w:r>
    </w:p>
    <w:p w:rsidR="008C0AE6" w:rsidRDefault="00392CEB">
      <w:pPr>
        <w:adjustRightInd w:val="0"/>
        <w:snapToGrid w:val="0"/>
        <w:spacing w:line="360" w:lineRule="auto"/>
        <w:ind w:firstLineChars="200" w:firstLine="480"/>
        <w:rPr>
          <w:rFonts w:ascii="宋体" w:hAnsi="宋体"/>
          <w:sz w:val="24"/>
        </w:rPr>
      </w:pPr>
      <w:r>
        <w:rPr>
          <w:bCs/>
          <w:sz w:val="24"/>
        </w:rPr>
        <w:t>18</w:t>
      </w:r>
      <w:r>
        <w:rPr>
          <w:rFonts w:hint="eastAsia"/>
          <w:bCs/>
          <w:sz w:val="24"/>
        </w:rPr>
        <w:t>、法律法规及中国证监会规定的和《基金合同》约定的其他投资限制</w:t>
      </w:r>
      <w:r>
        <w:rPr>
          <w:rFonts w:ascii="宋体" w:hAnsi="宋体" w:hint="eastAsia"/>
          <w:sz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除上述第2项、第</w:t>
      </w:r>
      <w:r>
        <w:rPr>
          <w:rFonts w:ascii="宋体" w:hAnsi="宋体"/>
          <w:color w:val="000000"/>
          <w:sz w:val="24"/>
          <w:szCs w:val="24"/>
        </w:rPr>
        <w:t>6</w:t>
      </w:r>
      <w:r>
        <w:rPr>
          <w:rFonts w:ascii="宋体" w:hAnsi="宋体" w:hint="eastAsia"/>
          <w:color w:val="000000"/>
          <w:sz w:val="24"/>
          <w:szCs w:val="24"/>
        </w:rPr>
        <w:t>项、第</w:t>
      </w:r>
      <w:r>
        <w:rPr>
          <w:rFonts w:ascii="宋体" w:hAnsi="宋体"/>
          <w:color w:val="000000"/>
          <w:sz w:val="24"/>
          <w:szCs w:val="24"/>
        </w:rPr>
        <w:t>7项、</w:t>
      </w:r>
      <w:r>
        <w:rPr>
          <w:rFonts w:ascii="宋体" w:hAnsi="宋体" w:hint="eastAsia"/>
          <w:color w:val="000000"/>
          <w:sz w:val="24"/>
          <w:szCs w:val="24"/>
        </w:rPr>
        <w:t>第1</w:t>
      </w:r>
      <w:r>
        <w:rPr>
          <w:rFonts w:ascii="宋体" w:hAnsi="宋体"/>
          <w:color w:val="000000"/>
          <w:sz w:val="24"/>
          <w:szCs w:val="24"/>
        </w:rPr>
        <w:t>2</w:t>
      </w:r>
      <w:r>
        <w:rPr>
          <w:rFonts w:ascii="宋体" w:hAnsi="宋体" w:hint="eastAsia"/>
          <w:color w:val="000000"/>
          <w:sz w:val="24"/>
          <w:szCs w:val="24"/>
        </w:rPr>
        <w:t>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基金管理人应当自基金合同生效之日起6个月内使基金的投资组合比例符合基金合同的有关约定。</w:t>
      </w:r>
      <w:r>
        <w:rPr>
          <w:rFonts w:ascii="宋体" w:hAnsi="宋体" w:hint="eastAsia"/>
          <w:bCs/>
          <w:sz w:val="24"/>
        </w:rPr>
        <w:t>在上述期间内，本基金的投资范围、投资策略应当符合基金合同的约定。</w:t>
      </w:r>
      <w:r>
        <w:rPr>
          <w:rFonts w:ascii="宋体" w:hAnsi="宋体" w:hint="eastAsia"/>
          <w:color w:val="000000"/>
          <w:sz w:val="24"/>
          <w:szCs w:val="24"/>
        </w:rPr>
        <w:t>基金托管人对基金投资的监督和检查自基金合同生效之日起开始。</w:t>
      </w:r>
    </w:p>
    <w:p w:rsidR="008C0AE6" w:rsidRDefault="00392CEB">
      <w:pPr>
        <w:adjustRightInd w:val="0"/>
        <w:snapToGrid w:val="0"/>
        <w:spacing w:line="360" w:lineRule="auto"/>
        <w:ind w:firstLineChars="200" w:firstLine="480"/>
        <w:rPr>
          <w:rFonts w:ascii="宋体" w:hAnsi="宋体"/>
          <w:sz w:val="24"/>
          <w:szCs w:val="24"/>
        </w:rPr>
      </w:pPr>
      <w:r>
        <w:rPr>
          <w:rFonts w:ascii="宋体" w:hAnsi="宋体" w:hint="eastAsia"/>
          <w:sz w:val="24"/>
          <w:szCs w:val="24"/>
        </w:rPr>
        <w:t>法律法规对上述投资组合比例限制进行变更的，以变更后的规定为准。法律法规或监管部门取消上述限制，如适用于本基金，则本基金投资不再受相关限制。  基金托管人对基金投资的监督和检查自基金合同生效之日起开始。</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（三）基金托管人</w:t>
      </w:r>
      <w:bookmarkStart w:id="9" w:name="OLE_LINK1"/>
      <w:r>
        <w:rPr>
          <w:rFonts w:ascii="宋体" w:hAnsi="宋体"/>
          <w:color w:val="000000"/>
          <w:sz w:val="24"/>
          <w:szCs w:val="24"/>
        </w:rPr>
        <w:t>根据有关法律法规的规定及基金合同的约定，</w:t>
      </w:r>
      <w:bookmarkEnd w:id="9"/>
      <w:r>
        <w:rPr>
          <w:rFonts w:ascii="宋体" w:hAnsi="宋体"/>
          <w:color w:val="000000"/>
          <w:sz w:val="24"/>
          <w:szCs w:val="24"/>
        </w:rPr>
        <w:t>对本协议第十五条第</w:t>
      </w:r>
      <w:r>
        <w:rPr>
          <w:rFonts w:ascii="宋体" w:hAnsi="宋体" w:hint="eastAsia"/>
          <w:color w:val="000000"/>
          <w:sz w:val="24"/>
          <w:szCs w:val="24"/>
        </w:rPr>
        <w:t>（</w:t>
      </w:r>
      <w:r>
        <w:rPr>
          <w:rFonts w:ascii="宋体" w:hAnsi="宋体"/>
          <w:color w:val="000000"/>
          <w:sz w:val="24"/>
          <w:szCs w:val="24"/>
        </w:rPr>
        <w:t>九</w:t>
      </w:r>
      <w:r>
        <w:rPr>
          <w:rFonts w:ascii="宋体" w:hAnsi="宋体" w:hint="eastAsia"/>
          <w:color w:val="000000"/>
          <w:sz w:val="24"/>
          <w:szCs w:val="24"/>
        </w:rPr>
        <w:t>）</w:t>
      </w:r>
      <w:r>
        <w:rPr>
          <w:rFonts w:ascii="宋体" w:hAnsi="宋体"/>
          <w:color w:val="000000"/>
          <w:sz w:val="24"/>
          <w:szCs w:val="24"/>
        </w:rPr>
        <w:t>项基金投资禁止行为进行监督。根据法律法规有关基金从事关联交易的规定，基金管理人和基金托管人</w:t>
      </w:r>
      <w:r>
        <w:rPr>
          <w:rFonts w:ascii="宋体" w:hAnsi="宋体" w:hint="eastAsia"/>
          <w:color w:val="000000"/>
          <w:sz w:val="24"/>
          <w:szCs w:val="24"/>
        </w:rPr>
        <w:t>应</w:t>
      </w:r>
      <w:r>
        <w:rPr>
          <w:rFonts w:ascii="宋体" w:hAnsi="宋体"/>
          <w:color w:val="000000"/>
          <w:sz w:val="24"/>
          <w:szCs w:val="24"/>
        </w:rPr>
        <w:t>事先相互提供与本机构有控股关系的股东</w:t>
      </w:r>
      <w:r>
        <w:rPr>
          <w:rFonts w:ascii="宋体" w:hAnsi="宋体" w:hint="eastAsia"/>
          <w:color w:val="000000"/>
          <w:sz w:val="24"/>
          <w:szCs w:val="24"/>
        </w:rPr>
        <w:t>或</w:t>
      </w:r>
      <w:r>
        <w:rPr>
          <w:rFonts w:ascii="宋体" w:hAnsi="宋体"/>
          <w:color w:val="000000"/>
          <w:sz w:val="24"/>
          <w:szCs w:val="24"/>
        </w:rPr>
        <w:t>与本机构有其他重大利害关系的公司名单</w:t>
      </w:r>
      <w:r>
        <w:rPr>
          <w:rFonts w:ascii="宋体" w:hAnsi="宋体" w:hint="eastAsia"/>
          <w:color w:val="000000"/>
          <w:sz w:val="24"/>
          <w:szCs w:val="24"/>
        </w:rPr>
        <w:t>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rsidR="008C0AE6" w:rsidRDefault="00392CEB">
      <w:pPr>
        <w:adjustRightInd w:val="0"/>
        <w:snapToGrid w:val="0"/>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如法律、行政法规或监管部门取消上述规定，如适用于本基金，基金管理人在履行适当程序后，本基金可不受上述规定的限制。</w:t>
      </w:r>
    </w:p>
    <w:bookmarkEnd w:id="6"/>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w:t>
      </w:r>
      <w:r>
        <w:rPr>
          <w:rFonts w:ascii="宋体" w:hAnsi="宋体" w:hint="eastAsia"/>
          <w:color w:val="000000"/>
          <w:sz w:val="24"/>
          <w:szCs w:val="24"/>
        </w:rPr>
        <w:t>基金管理人与基金托管人完成确认后，被确认调整的名单开始生效，新名单生效前已与本次剔除的交易对手所进行但尚未结算的交易，仍应按照协议进行结算。</w:t>
      </w:r>
      <w:r>
        <w:rPr>
          <w:rFonts w:ascii="宋体" w:hAnsi="宋体"/>
          <w:color w:val="000000"/>
          <w:sz w:val="24"/>
          <w:szCs w:val="24"/>
        </w:rPr>
        <w:t>基金管理人负责对交易对手的资信控制，按银行间债券市场的交易规则进行交易，基金托管人则根据银行间债券市场成交单对合同履行情况进行监督</w:t>
      </w:r>
      <w:r>
        <w:rPr>
          <w:rFonts w:ascii="宋体" w:hAnsi="宋体" w:hint="eastAsia"/>
          <w:color w:val="000000"/>
          <w:sz w:val="24"/>
          <w:szCs w:val="24"/>
        </w:rPr>
        <w:t>，但不承担交易对手不履行合同造成的损失。如基金托管人事后发现基金管理人没有按照事先约定的交易对手进行交易时，基金托管人应及时提醒基金管理人，基金托管人不承担由此造成的任何损失和责任</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（五）</w:t>
      </w:r>
      <w:r>
        <w:rPr>
          <w:rFonts w:ascii="宋体" w:hAnsi="宋体"/>
          <w:color w:val="000000"/>
          <w:sz w:val="24"/>
          <w:szCs w:val="24"/>
        </w:rPr>
        <w:t>基金托管人根据有关法律法规的规定及基金合同的约定，</w:t>
      </w:r>
      <w:r>
        <w:rPr>
          <w:rFonts w:ascii="宋体" w:hAnsi="宋体" w:hint="eastAsia"/>
          <w:color w:val="000000"/>
          <w:sz w:val="24"/>
          <w:szCs w:val="24"/>
        </w:rPr>
        <w:t>对基金管理人投资银行存款进行监督。</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基金投资银行存款的，基金管理人应根据法律法规的规定及基金合同的约定，建立投资制度、审慎选择存款银行，做好风险控制；并按照基金托管人的要求配合基金托管人完成相关业务办理。</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六</w:t>
      </w:r>
      <w:r>
        <w:rPr>
          <w:rFonts w:ascii="宋体" w:hAnsi="宋体"/>
          <w:color w:val="000000"/>
          <w:sz w:val="24"/>
          <w:szCs w:val="24"/>
        </w:rPr>
        <w:t>）基金托管人根据有关法律法规的规定及基金合同的约定，对基金资产净值计算、</w:t>
      </w:r>
      <w:r>
        <w:rPr>
          <w:rFonts w:ascii="宋体" w:hAnsi="宋体" w:hint="eastAsia"/>
          <w:color w:val="000000"/>
          <w:sz w:val="24"/>
          <w:szCs w:val="24"/>
        </w:rPr>
        <w:t>各类</w:t>
      </w:r>
      <w:r>
        <w:rPr>
          <w:rFonts w:ascii="宋体" w:hAnsi="宋体"/>
          <w:color w:val="000000"/>
          <w:sz w:val="24"/>
          <w:szCs w:val="24"/>
        </w:rPr>
        <w:t>基金份额净值计算、应收资金到账、基金费用开支及收入确定、基金收益分配、相关信息披露、基金宣传推介材料中登载基金业绩表现数据等进行监督和核查。</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如果基金管理人未经基金托管人的审核擅自将不实的业绩表现数据印制在宣传推介材料上，</w:t>
      </w:r>
      <w:proofErr w:type="gramStart"/>
      <w:r>
        <w:rPr>
          <w:rFonts w:ascii="宋体" w:hAnsi="宋体" w:hint="eastAsia"/>
          <w:color w:val="000000"/>
          <w:sz w:val="24"/>
          <w:szCs w:val="24"/>
        </w:rPr>
        <w:t>则基金</w:t>
      </w:r>
      <w:proofErr w:type="gramEnd"/>
      <w:r>
        <w:rPr>
          <w:rFonts w:ascii="宋体" w:hAnsi="宋体" w:hint="eastAsia"/>
          <w:color w:val="000000"/>
          <w:sz w:val="24"/>
          <w:szCs w:val="24"/>
        </w:rPr>
        <w:t>托管人对此不承担任何责任，并将在发现后立即报告中国证监会。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（七）基金托管人</w:t>
      </w:r>
      <w:r>
        <w:rPr>
          <w:rFonts w:ascii="宋体" w:hAnsi="宋体"/>
          <w:color w:val="000000"/>
          <w:sz w:val="24"/>
          <w:szCs w:val="24"/>
        </w:rPr>
        <w:t>根据有关法律法规的规定及基金合同的约定</w:t>
      </w:r>
      <w:r>
        <w:rPr>
          <w:rFonts w:ascii="宋体" w:hAnsi="宋体" w:hint="eastAsia"/>
          <w:color w:val="000000"/>
          <w:sz w:val="24"/>
          <w:szCs w:val="24"/>
        </w:rPr>
        <w:t>，对基金投资流通受限证券进行监督。</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1、基金投资流通受限证券，应遵守《关于基金投资非公开发行股票等流通受限证券有关问题的通知》等有关法律法规规定。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color w:val="000000"/>
          <w:sz w:val="24"/>
          <w:szCs w:val="24"/>
        </w:rPr>
        <w:t>券</w:t>
      </w:r>
      <w:proofErr w:type="gramEnd"/>
      <w:r>
        <w:rPr>
          <w:rFonts w:ascii="宋体" w:hAnsi="宋体" w:hint="eastAsia"/>
          <w:color w:val="000000"/>
          <w:sz w:val="24"/>
          <w:szCs w:val="24"/>
        </w:rPr>
        <w:t xml:space="preserve">等流通受限证券。                                                    </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4、在投资流通受限证券之前，基金管理人应至少提前一个交易日向基金托管人提供有关流通受限证券的相关信息，具体应当包括但不限于如下文件（如有）：</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color w:val="000000"/>
          <w:sz w:val="24"/>
          <w:szCs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6、基金管理人应保证基金投资的流通受限证券登记存管在本基金名下，并确保基金托管人能够正常查询。因基金管理</w:t>
      </w:r>
      <w:proofErr w:type="gramStart"/>
      <w:r>
        <w:rPr>
          <w:rFonts w:ascii="宋体" w:hAnsi="宋体" w:hint="eastAsia"/>
          <w:color w:val="000000"/>
          <w:sz w:val="24"/>
          <w:szCs w:val="24"/>
        </w:rPr>
        <w:t>人原因</w:t>
      </w:r>
      <w:proofErr w:type="gramEnd"/>
      <w:r>
        <w:rPr>
          <w:rFonts w:ascii="宋体" w:hAnsi="宋体" w:hint="eastAsia"/>
          <w:color w:val="000000"/>
          <w:sz w:val="24"/>
          <w:szCs w:val="24"/>
        </w:rPr>
        <w:t>产生的流通受限证券登记存管问题，造成基金财产的损失或基金托管人无法安全保管基金财产的责任与损失，由基金管理人承担。</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八</w:t>
      </w:r>
      <w:r>
        <w:rPr>
          <w:rFonts w:ascii="宋体" w:hAnsi="宋体"/>
          <w:color w:val="000000"/>
          <w:sz w:val="24"/>
          <w:szCs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w:t>
      </w:r>
      <w:r>
        <w:rPr>
          <w:rFonts w:ascii="宋体" w:hAnsi="宋体" w:hint="eastAsia"/>
          <w:color w:val="000000"/>
          <w:sz w:val="24"/>
          <w:szCs w:val="24"/>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九</w:t>
      </w:r>
      <w:r>
        <w:rPr>
          <w:rFonts w:ascii="宋体" w:hAnsi="宋体"/>
          <w:color w:val="000000"/>
          <w:sz w:val="24"/>
          <w:szCs w:val="24"/>
        </w:rPr>
        <w:t>）</w:t>
      </w:r>
      <w:r>
        <w:rPr>
          <w:rFonts w:ascii="宋体" w:hAnsi="宋体" w:hint="eastAsia"/>
          <w:color w:val="000000"/>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Pr>
          <w:rFonts w:ascii="宋体" w:hAnsi="宋体"/>
          <w:color w:val="000000"/>
          <w:sz w:val="24"/>
          <w:szCs w:val="24"/>
        </w:rPr>
        <w:t>对基金托管人按照法规要求需向中国证监会报送基金监督报告的事项，基金管理人应积极配合提供相关数据资料和制度等。</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十</w:t>
      </w:r>
      <w:r>
        <w:rPr>
          <w:rFonts w:ascii="宋体" w:hAnsi="宋体"/>
          <w:color w:val="000000"/>
          <w:sz w:val="24"/>
          <w:szCs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8C0AE6" w:rsidRDefault="008C0AE6">
      <w:pPr>
        <w:pStyle w:val="CharCharChar1"/>
        <w:spacing w:line="360" w:lineRule="auto"/>
        <w:ind w:firstLineChars="200" w:firstLine="480"/>
        <w:rPr>
          <w:rFonts w:ascii="宋体" w:hAnsi="宋体"/>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 w:name="_Toc86649722"/>
      <w:bookmarkStart w:id="11" w:name="_Toc89163368"/>
      <w:bookmarkStart w:id="12" w:name="_Toc86726439"/>
      <w:bookmarkStart w:id="13" w:name="_Toc108512358"/>
      <w:bookmarkStart w:id="14" w:name="_Toc86223242"/>
      <w:bookmarkStart w:id="15" w:name="_Toc86225291"/>
      <w:bookmarkStart w:id="16" w:name="_Toc86737929"/>
      <w:bookmarkStart w:id="17" w:name="_Toc110830492"/>
      <w:bookmarkStart w:id="18" w:name="_Toc110761796"/>
      <w:bookmarkStart w:id="19" w:name="_Toc86727355"/>
      <w:bookmarkStart w:id="20" w:name="_Toc118972648"/>
      <w:bookmarkStart w:id="21" w:name="_Toc118774803"/>
      <w:bookmarkStart w:id="22" w:name="_Toc119402710"/>
      <w:bookmarkStart w:id="23" w:name="_Toc118212950"/>
      <w:bookmarkStart w:id="24" w:name="_Toc110765660"/>
      <w:bookmarkStart w:id="25" w:name="_Toc120435783"/>
      <w:bookmarkStart w:id="26" w:name="_Toc145818938"/>
      <w:r>
        <w:rPr>
          <w:rFonts w:ascii="宋体" w:eastAsia="宋体" w:hAnsi="宋体"/>
          <w:color w:val="000000"/>
          <w:sz w:val="24"/>
          <w:szCs w:val="24"/>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（一）基金管理人对基金托管人履行托管职责情况进行核查，核查事项包括基金托管人安全保管基金财产、开设基金财产的资金账户和证券账户</w:t>
      </w:r>
      <w:r>
        <w:rPr>
          <w:rFonts w:ascii="宋体" w:hAnsi="宋体" w:hint="eastAsia"/>
          <w:color w:val="000000"/>
          <w:sz w:val="24"/>
          <w:szCs w:val="24"/>
        </w:rPr>
        <w:t>等</w:t>
      </w:r>
      <w:r>
        <w:rPr>
          <w:rFonts w:ascii="宋体" w:hAnsi="宋体"/>
          <w:color w:val="000000"/>
          <w:sz w:val="24"/>
          <w:szCs w:val="24"/>
        </w:rPr>
        <w:t>投资</w:t>
      </w:r>
      <w:r>
        <w:rPr>
          <w:rFonts w:ascii="宋体" w:hAnsi="宋体" w:hint="eastAsia"/>
          <w:color w:val="000000"/>
          <w:sz w:val="24"/>
          <w:szCs w:val="24"/>
        </w:rPr>
        <w:t>所需</w:t>
      </w:r>
      <w:r>
        <w:rPr>
          <w:rFonts w:ascii="宋体" w:hAnsi="宋体"/>
          <w:color w:val="000000"/>
          <w:sz w:val="24"/>
          <w:szCs w:val="24"/>
        </w:rPr>
        <w:t>账户</w:t>
      </w:r>
      <w:r>
        <w:rPr>
          <w:rFonts w:ascii="宋体" w:hAnsi="宋体" w:hint="eastAsia"/>
          <w:color w:val="000000"/>
          <w:sz w:val="24"/>
          <w:szCs w:val="24"/>
        </w:rPr>
        <w:t>、</w:t>
      </w:r>
      <w:r>
        <w:rPr>
          <w:rFonts w:ascii="宋体" w:hAnsi="宋体"/>
          <w:color w:val="000000"/>
          <w:sz w:val="24"/>
          <w:szCs w:val="24"/>
        </w:rPr>
        <w:t>协助</w:t>
      </w:r>
      <w:r>
        <w:rPr>
          <w:rFonts w:ascii="宋体" w:hAnsi="宋体" w:hint="eastAsia"/>
          <w:color w:val="000000"/>
          <w:sz w:val="24"/>
          <w:szCs w:val="24"/>
        </w:rPr>
        <w:t>开立</w:t>
      </w:r>
      <w:r>
        <w:rPr>
          <w:rFonts w:ascii="宋体" w:hAnsi="宋体"/>
          <w:color w:val="000000"/>
          <w:sz w:val="24"/>
          <w:szCs w:val="24"/>
        </w:rPr>
        <w:t>股指期货</w:t>
      </w:r>
      <w:r>
        <w:rPr>
          <w:rFonts w:ascii="宋体" w:hAnsi="宋体" w:hint="eastAsia"/>
          <w:color w:val="000000"/>
          <w:sz w:val="24"/>
          <w:szCs w:val="24"/>
        </w:rPr>
        <w:t>业务</w:t>
      </w:r>
      <w:r>
        <w:rPr>
          <w:rFonts w:ascii="宋体" w:hAnsi="宋体"/>
          <w:color w:val="000000"/>
          <w:sz w:val="24"/>
          <w:szCs w:val="24"/>
        </w:rPr>
        <w:t>相关账户</w:t>
      </w:r>
      <w:r>
        <w:rPr>
          <w:rFonts w:ascii="宋体" w:hAnsi="宋体" w:hint="eastAsia"/>
          <w:color w:val="000000"/>
          <w:sz w:val="24"/>
          <w:szCs w:val="24"/>
        </w:rPr>
        <w:t>及</w:t>
      </w:r>
      <w:r>
        <w:rPr>
          <w:rFonts w:ascii="宋体" w:hAnsi="宋体"/>
          <w:color w:val="000000"/>
          <w:sz w:val="24"/>
          <w:szCs w:val="24"/>
        </w:rPr>
        <w:t>交易编码、复核基金管理人计算的基金资产净值和</w:t>
      </w:r>
      <w:r>
        <w:rPr>
          <w:rFonts w:ascii="宋体" w:hAnsi="宋体" w:hint="eastAsia"/>
          <w:color w:val="000000"/>
          <w:sz w:val="24"/>
          <w:szCs w:val="24"/>
        </w:rPr>
        <w:t>各类</w:t>
      </w:r>
      <w:r>
        <w:rPr>
          <w:rFonts w:ascii="宋体" w:hAnsi="宋体"/>
          <w:color w:val="000000"/>
          <w:sz w:val="24"/>
          <w:szCs w:val="24"/>
        </w:rPr>
        <w:t>基金份额净值、根据基金管理人指令办理清算交收、相关信息披露和监督基金投资运作等行为。</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w:t>
      </w:r>
      <w:proofErr w:type="gramStart"/>
      <w:r>
        <w:rPr>
          <w:rFonts w:ascii="宋体" w:hAnsi="宋体"/>
          <w:color w:val="000000"/>
          <w:sz w:val="24"/>
          <w:szCs w:val="24"/>
        </w:rPr>
        <w:t>供基金</w:t>
      </w:r>
      <w:proofErr w:type="gramEnd"/>
      <w:r>
        <w:rPr>
          <w:rFonts w:ascii="宋体" w:hAnsi="宋体"/>
          <w:color w:val="000000"/>
          <w:sz w:val="24"/>
          <w:szCs w:val="24"/>
        </w:rPr>
        <w:t>管理人核查托管财产的完整性和真实性，在规定时间内答复基金管理人并改正。</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C0AE6" w:rsidRDefault="008C0AE6">
      <w:pPr>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27" w:name="_Toc145818939"/>
      <w:bookmarkStart w:id="28" w:name="_Toc119402711"/>
      <w:bookmarkStart w:id="29" w:name="_Toc84234388"/>
      <w:bookmarkStart w:id="30" w:name="_Toc118972649"/>
      <w:bookmarkStart w:id="31" w:name="_Toc86225292"/>
      <w:bookmarkStart w:id="32" w:name="_Toc86649723"/>
      <w:bookmarkStart w:id="33" w:name="_Toc86727356"/>
      <w:bookmarkStart w:id="34" w:name="_Toc110830493"/>
      <w:bookmarkStart w:id="35" w:name="_Toc86726440"/>
      <w:bookmarkStart w:id="36" w:name="_Toc110761797"/>
      <w:bookmarkStart w:id="37" w:name="_Toc86737930"/>
      <w:bookmarkStart w:id="38" w:name="_Toc108512359"/>
      <w:bookmarkStart w:id="39" w:name="_Toc89163369"/>
      <w:bookmarkStart w:id="40" w:name="_Toc118774804"/>
      <w:bookmarkStart w:id="41" w:name="_Toc84133786"/>
      <w:bookmarkStart w:id="42" w:name="_Toc84234435"/>
      <w:bookmarkStart w:id="43" w:name="_Toc110765661"/>
      <w:bookmarkStart w:id="44" w:name="_Toc86223243"/>
      <w:bookmarkStart w:id="45" w:name="_Toc86204789"/>
      <w:bookmarkStart w:id="46" w:name="_Toc120435784"/>
      <w:bookmarkStart w:id="47" w:name="_Toc118212951"/>
      <w:r>
        <w:rPr>
          <w:rFonts w:ascii="宋体" w:eastAsia="宋体" w:hAnsi="宋体"/>
          <w:color w:val="000000"/>
          <w:sz w:val="24"/>
          <w:szCs w:val="24"/>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（一）基金财产保管的原则</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基金财产应独立于基金管理人、基金托管人的固有财产。</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基金托管人应安全保管基金财产。</w:t>
      </w:r>
      <w:r>
        <w:rPr>
          <w:rFonts w:ascii="宋体" w:hAnsi="宋体" w:hint="eastAsia"/>
          <w:color w:val="000000"/>
          <w:sz w:val="24"/>
          <w:szCs w:val="24"/>
        </w:rPr>
        <w:t>未经基金管理人依据合法程序</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的合法合</w:t>
      </w:r>
      <w:proofErr w:type="gramStart"/>
      <w:r>
        <w:rPr>
          <w:rFonts w:ascii="宋体" w:hAnsi="宋体" w:hint="eastAsia"/>
          <w:color w:val="000000"/>
          <w:sz w:val="24"/>
          <w:szCs w:val="24"/>
        </w:rPr>
        <w:t>规</w:t>
      </w:r>
      <w:proofErr w:type="gramEnd"/>
      <w:r>
        <w:rPr>
          <w:rFonts w:ascii="宋体" w:hAnsi="宋体" w:hint="eastAsia"/>
          <w:color w:val="000000"/>
          <w:sz w:val="24"/>
          <w:szCs w:val="24"/>
        </w:rPr>
        <w:t>指令，基金托管人不得自行运用、处分、分配基金的任何财产。</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基金托管人按照规定开设基金财产的资金账户和证券账户</w:t>
      </w:r>
      <w:r>
        <w:rPr>
          <w:rFonts w:ascii="宋体" w:hAnsi="宋体" w:hint="eastAsia"/>
          <w:color w:val="000000"/>
          <w:sz w:val="24"/>
          <w:szCs w:val="24"/>
        </w:rPr>
        <w:t>，</w:t>
      </w:r>
      <w:r>
        <w:rPr>
          <w:rFonts w:ascii="宋体" w:hAnsi="宋体"/>
          <w:color w:val="000000"/>
          <w:sz w:val="24"/>
          <w:szCs w:val="24"/>
        </w:rPr>
        <w:t>协助开立股指期货业务相关账户及交易编码。</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基金托管人对所托管的不同基金财产分别设置账户，确保基金财产的完整与独立。</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基金托管人根据基金管理人的指令，按照基金合同和本协议的约定保管基金财产，如有特殊情况双方可另行协商解决。</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color w:val="000000"/>
          <w:sz w:val="24"/>
          <w:szCs w:val="24"/>
        </w:rPr>
        <w:t>财产</w:t>
      </w:r>
      <w:r>
        <w:rPr>
          <w:rFonts w:ascii="宋体" w:hAnsi="宋体"/>
          <w:color w:val="000000"/>
          <w:sz w:val="24"/>
          <w:szCs w:val="24"/>
        </w:rPr>
        <w:t>造成损失的，基金托管人对此不承担任何责任。</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7</w:t>
      </w:r>
      <w:r>
        <w:rPr>
          <w:rFonts w:ascii="宋体" w:hAnsi="宋体" w:hint="eastAsia"/>
          <w:color w:val="000000"/>
          <w:sz w:val="24"/>
          <w:szCs w:val="24"/>
        </w:rPr>
        <w:t>、</w:t>
      </w:r>
      <w:r>
        <w:rPr>
          <w:rFonts w:ascii="宋体" w:hAnsi="宋体"/>
          <w:color w:val="000000"/>
          <w:sz w:val="24"/>
          <w:szCs w:val="24"/>
        </w:rPr>
        <w:t>除依据法律法规和基金合同的规定外，基金托管人不得委托第三人托管基金财产。</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（二）基金募集期间及募集资金的验资</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交银施罗德先进制造股票证券投资基金经中国证监会证监许可[201</w:t>
      </w: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639</w:t>
      </w:r>
      <w:r>
        <w:rPr>
          <w:rFonts w:ascii="宋体" w:hAnsi="宋体" w:hint="eastAsia"/>
          <w:color w:val="000000"/>
          <w:sz w:val="24"/>
          <w:szCs w:val="24"/>
        </w:rPr>
        <w:t>号核准募集，基金管理人为交银施罗德基金管理有限公司，基金托管人为中国农业</w:t>
      </w:r>
      <w:r>
        <w:rPr>
          <w:rFonts w:ascii="宋体" w:hAnsi="宋体"/>
          <w:color w:val="000000"/>
          <w:sz w:val="24"/>
          <w:szCs w:val="24"/>
        </w:rPr>
        <w:t>银行</w:t>
      </w:r>
      <w:r>
        <w:rPr>
          <w:rFonts w:ascii="宋体" w:hAnsi="宋体" w:hint="eastAsia"/>
          <w:color w:val="000000"/>
          <w:sz w:val="24"/>
          <w:szCs w:val="24"/>
        </w:rPr>
        <w:t>股份有限公司。</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交银施罗德先进制造股票证券投资基金自201</w:t>
      </w:r>
      <w:r>
        <w:rPr>
          <w:rFonts w:ascii="宋体" w:hAnsi="宋体"/>
          <w:color w:val="000000"/>
          <w:sz w:val="24"/>
          <w:szCs w:val="24"/>
        </w:rPr>
        <w:t>1</w:t>
      </w:r>
      <w:r>
        <w:rPr>
          <w:rFonts w:ascii="宋体" w:hAnsi="宋体" w:hint="eastAsia"/>
          <w:color w:val="000000"/>
          <w:sz w:val="24"/>
          <w:szCs w:val="24"/>
        </w:rPr>
        <w:t>年</w:t>
      </w:r>
      <w:r>
        <w:rPr>
          <w:rFonts w:ascii="宋体" w:hAnsi="宋体"/>
          <w:color w:val="000000"/>
          <w:sz w:val="24"/>
          <w:szCs w:val="24"/>
        </w:rPr>
        <w:t>5</w:t>
      </w:r>
      <w:r>
        <w:rPr>
          <w:rFonts w:ascii="宋体" w:hAnsi="宋体" w:hint="eastAsia"/>
          <w:color w:val="000000"/>
          <w:sz w:val="24"/>
          <w:szCs w:val="24"/>
        </w:rPr>
        <w:t>月</w:t>
      </w:r>
      <w:r>
        <w:rPr>
          <w:rFonts w:ascii="宋体" w:hAnsi="宋体"/>
          <w:color w:val="000000"/>
          <w:sz w:val="24"/>
          <w:szCs w:val="24"/>
        </w:rPr>
        <w:t>23</w:t>
      </w:r>
      <w:r>
        <w:rPr>
          <w:rFonts w:ascii="宋体" w:hAnsi="宋体" w:hint="eastAsia"/>
          <w:color w:val="000000"/>
          <w:sz w:val="24"/>
          <w:szCs w:val="24"/>
        </w:rPr>
        <w:t>日至20</w:t>
      </w:r>
      <w:r>
        <w:rPr>
          <w:rFonts w:ascii="宋体" w:hAnsi="宋体"/>
          <w:color w:val="000000"/>
          <w:sz w:val="24"/>
          <w:szCs w:val="24"/>
        </w:rPr>
        <w:t>11</w:t>
      </w:r>
      <w:r>
        <w:rPr>
          <w:rFonts w:ascii="宋体" w:hAnsi="宋体" w:hint="eastAsia"/>
          <w:color w:val="000000"/>
          <w:sz w:val="24"/>
          <w:szCs w:val="24"/>
        </w:rPr>
        <w:t>年</w:t>
      </w:r>
      <w:r>
        <w:rPr>
          <w:rFonts w:ascii="宋体" w:hAnsi="宋体"/>
          <w:color w:val="000000"/>
          <w:sz w:val="24"/>
          <w:szCs w:val="24"/>
        </w:rPr>
        <w:t>6</w:t>
      </w:r>
      <w:r>
        <w:rPr>
          <w:rFonts w:ascii="宋体" w:hAnsi="宋体" w:hint="eastAsia"/>
          <w:color w:val="000000"/>
          <w:sz w:val="24"/>
          <w:szCs w:val="24"/>
        </w:rPr>
        <w:t>月</w:t>
      </w:r>
      <w:r>
        <w:rPr>
          <w:rFonts w:ascii="宋体" w:hAnsi="宋体"/>
          <w:color w:val="000000"/>
          <w:sz w:val="24"/>
          <w:szCs w:val="24"/>
        </w:rPr>
        <w:t>17</w:t>
      </w:r>
      <w:r>
        <w:rPr>
          <w:rFonts w:ascii="宋体" w:hAnsi="宋体" w:hint="eastAsia"/>
          <w:color w:val="000000"/>
          <w:sz w:val="24"/>
          <w:szCs w:val="24"/>
        </w:rPr>
        <w:t>日进行公开募集，</w:t>
      </w:r>
      <w:r>
        <w:rPr>
          <w:rFonts w:ascii="宋体" w:hAnsi="宋体" w:hint="eastAsia"/>
          <w:sz w:val="24"/>
        </w:rPr>
        <w:t>并于201</w:t>
      </w:r>
      <w:r>
        <w:rPr>
          <w:rFonts w:ascii="宋体" w:hAnsi="宋体"/>
          <w:sz w:val="24"/>
        </w:rPr>
        <w:t>1</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22</w:t>
      </w:r>
      <w:r>
        <w:rPr>
          <w:rFonts w:ascii="宋体" w:hAnsi="宋体" w:hint="eastAsia"/>
          <w:sz w:val="24"/>
        </w:rPr>
        <w:t>日获得中国证监会的书面确认，《交银施罗德先进制造股票证券投资基金基金合同》自该日起生效</w:t>
      </w:r>
      <w:r>
        <w:rPr>
          <w:rFonts w:ascii="宋体" w:hAnsi="宋体" w:hint="eastAsia"/>
          <w:color w:val="000000"/>
          <w:sz w:val="24"/>
          <w:szCs w:val="24"/>
        </w:rPr>
        <w:t>。具体募集情况如下：</w:t>
      </w:r>
    </w:p>
    <w:p w:rsidR="008C0AE6" w:rsidRDefault="00392CEB">
      <w:pPr>
        <w:adjustRightInd w:val="0"/>
        <w:snapToGrid w:val="0"/>
        <w:spacing w:line="360" w:lineRule="auto"/>
        <w:ind w:firstLine="480"/>
        <w:rPr>
          <w:rFonts w:ascii="宋体" w:hAnsi="宋体"/>
          <w:color w:val="0D0D0D"/>
          <w:szCs w:val="21"/>
        </w:rPr>
      </w:pPr>
      <w:r>
        <w:rPr>
          <w:rFonts w:ascii="宋体" w:hAnsi="宋体" w:hint="eastAsia"/>
          <w:color w:val="000000"/>
          <w:sz w:val="24"/>
          <w:szCs w:val="24"/>
        </w:rPr>
        <w:t>经普华永道中天会计师事务所（特殊普通合伙）验资，本次募集的有效净认购金额为</w:t>
      </w:r>
      <w:r>
        <w:rPr>
          <w:rFonts w:ascii="宋体" w:hAnsi="宋体"/>
          <w:color w:val="000000"/>
          <w:sz w:val="24"/>
          <w:szCs w:val="24"/>
        </w:rPr>
        <w:t>1,917,255,974.38</w:t>
      </w:r>
      <w:r>
        <w:rPr>
          <w:rFonts w:ascii="宋体" w:hAnsi="宋体" w:hint="eastAsia"/>
          <w:color w:val="000000"/>
          <w:sz w:val="24"/>
          <w:szCs w:val="24"/>
        </w:rPr>
        <w:t>元人民币，折合基金份额</w:t>
      </w:r>
      <w:r>
        <w:rPr>
          <w:rFonts w:ascii="宋体" w:hAnsi="宋体"/>
          <w:color w:val="000000"/>
          <w:sz w:val="24"/>
          <w:szCs w:val="24"/>
        </w:rPr>
        <w:t>1,917,255,974.38</w:t>
      </w:r>
      <w:r>
        <w:rPr>
          <w:rFonts w:ascii="宋体" w:hAnsi="宋体" w:hint="eastAsia"/>
          <w:color w:val="000000"/>
          <w:sz w:val="24"/>
          <w:szCs w:val="24"/>
        </w:rPr>
        <w:t>份；认购款项在基金验资确认日之前产生的银行利息共计</w:t>
      </w:r>
      <w:r>
        <w:rPr>
          <w:rFonts w:ascii="宋体" w:hAnsi="宋体"/>
          <w:color w:val="000000"/>
          <w:sz w:val="24"/>
          <w:szCs w:val="24"/>
        </w:rPr>
        <w:t>430,117.38</w:t>
      </w:r>
      <w:r>
        <w:rPr>
          <w:rFonts w:ascii="宋体" w:hAnsi="宋体" w:hint="eastAsia"/>
          <w:color w:val="000000"/>
          <w:sz w:val="24"/>
          <w:szCs w:val="24"/>
        </w:rPr>
        <w:t>元人民币，折合基金份额</w:t>
      </w:r>
      <w:r>
        <w:rPr>
          <w:rFonts w:ascii="宋体" w:hAnsi="宋体"/>
          <w:color w:val="000000"/>
          <w:sz w:val="24"/>
          <w:szCs w:val="24"/>
        </w:rPr>
        <w:t>430,117.38</w:t>
      </w:r>
      <w:r>
        <w:rPr>
          <w:rFonts w:ascii="宋体" w:hAnsi="宋体" w:hint="eastAsia"/>
          <w:color w:val="000000"/>
          <w:sz w:val="24"/>
          <w:szCs w:val="24"/>
        </w:rPr>
        <w:t>份。本次募集所有资金已于201</w:t>
      </w:r>
      <w:r>
        <w:rPr>
          <w:rFonts w:ascii="宋体" w:hAnsi="宋体"/>
          <w:color w:val="000000"/>
          <w:sz w:val="24"/>
          <w:szCs w:val="24"/>
        </w:rPr>
        <w:t>1</w:t>
      </w:r>
      <w:r>
        <w:rPr>
          <w:rFonts w:ascii="宋体" w:hAnsi="宋体" w:hint="eastAsia"/>
          <w:color w:val="000000"/>
          <w:sz w:val="24"/>
          <w:szCs w:val="24"/>
        </w:rPr>
        <w:t>年</w:t>
      </w:r>
      <w:r>
        <w:rPr>
          <w:rFonts w:ascii="宋体" w:hAnsi="宋体"/>
          <w:color w:val="000000"/>
          <w:sz w:val="24"/>
          <w:szCs w:val="24"/>
        </w:rPr>
        <w:t>6</w:t>
      </w:r>
      <w:r>
        <w:rPr>
          <w:rFonts w:ascii="宋体" w:hAnsi="宋体" w:hint="eastAsia"/>
          <w:color w:val="000000"/>
          <w:sz w:val="24"/>
          <w:szCs w:val="24"/>
        </w:rPr>
        <w:t>月</w:t>
      </w:r>
      <w:r>
        <w:rPr>
          <w:rFonts w:ascii="宋体" w:hAnsi="宋体"/>
          <w:color w:val="000000"/>
          <w:sz w:val="24"/>
          <w:szCs w:val="24"/>
        </w:rPr>
        <w:t>22</w:t>
      </w:r>
      <w:r>
        <w:rPr>
          <w:rFonts w:ascii="宋体" w:hAnsi="宋体" w:hint="eastAsia"/>
          <w:color w:val="000000"/>
          <w:sz w:val="24"/>
          <w:szCs w:val="24"/>
        </w:rPr>
        <w:t>日全额划入该基金在基金托管人中国</w:t>
      </w:r>
      <w:r>
        <w:rPr>
          <w:rFonts w:ascii="宋体" w:hAnsi="宋体"/>
          <w:color w:val="000000"/>
          <w:sz w:val="24"/>
          <w:szCs w:val="24"/>
        </w:rPr>
        <w:t>农业银行</w:t>
      </w:r>
      <w:r>
        <w:rPr>
          <w:rFonts w:ascii="宋体" w:hAnsi="宋体" w:hint="eastAsia"/>
          <w:color w:val="000000"/>
          <w:sz w:val="24"/>
          <w:szCs w:val="24"/>
        </w:rPr>
        <w:t>股份有限公司开立的交银施罗德先进制造</w:t>
      </w:r>
      <w:r>
        <w:rPr>
          <w:rFonts w:ascii="宋体" w:hAnsi="宋体"/>
          <w:color w:val="000000"/>
          <w:sz w:val="24"/>
          <w:szCs w:val="24"/>
        </w:rPr>
        <w:t>股票</w:t>
      </w:r>
      <w:r>
        <w:rPr>
          <w:rFonts w:ascii="宋体" w:hAnsi="宋体" w:hint="eastAsia"/>
          <w:color w:val="000000"/>
          <w:sz w:val="24"/>
          <w:szCs w:val="24"/>
        </w:rPr>
        <w:t>证券投资基金托管专户。该基金按照每份基金份额面值1.00 元人民币计算，募集期间募集资金及其利息结转的基金份额共计</w:t>
      </w:r>
      <w:r>
        <w:rPr>
          <w:rFonts w:ascii="宋体" w:hAnsi="宋体"/>
          <w:color w:val="000000"/>
          <w:sz w:val="24"/>
          <w:szCs w:val="24"/>
        </w:rPr>
        <w:t>1,917,686,091.76</w:t>
      </w:r>
      <w:r>
        <w:rPr>
          <w:rFonts w:ascii="宋体" w:hAnsi="宋体" w:hint="eastAsia"/>
          <w:color w:val="000000"/>
          <w:sz w:val="24"/>
          <w:szCs w:val="24"/>
        </w:rPr>
        <w:t>份。</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（三）基金资金账户的开立和管理</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1、基金托管人</w:t>
      </w:r>
      <w:r>
        <w:rPr>
          <w:rFonts w:ascii="宋体" w:hAnsi="宋体" w:hint="eastAsia"/>
          <w:sz w:val="24"/>
          <w:szCs w:val="24"/>
        </w:rPr>
        <w:t>应负责本基金的资金账户的开设和管理</w:t>
      </w:r>
      <w:r>
        <w:rPr>
          <w:rFonts w:ascii="宋体" w:hAnsi="宋体"/>
          <w:color w:val="000000"/>
          <w:sz w:val="24"/>
          <w:szCs w:val="24"/>
        </w:rPr>
        <w:t>。</w:t>
      </w:r>
    </w:p>
    <w:p w:rsidR="008C0AE6" w:rsidRDefault="00392CEB">
      <w:pPr>
        <w:adjustRightInd w:val="0"/>
        <w:snapToGrid w:val="0"/>
        <w:spacing w:line="360" w:lineRule="auto"/>
        <w:ind w:firstLine="480"/>
        <w:rPr>
          <w:rFonts w:ascii="宋体" w:hAnsi="宋体"/>
          <w:sz w:val="24"/>
          <w:szCs w:val="24"/>
        </w:rPr>
      </w:pPr>
      <w:r>
        <w:rPr>
          <w:rFonts w:ascii="宋体" w:hAnsi="宋体"/>
          <w:color w:val="000000"/>
          <w:sz w:val="24"/>
          <w:szCs w:val="24"/>
        </w:rPr>
        <w:t>2、</w:t>
      </w:r>
      <w:r>
        <w:rPr>
          <w:rFonts w:ascii="宋体" w:hAnsi="宋体" w:hint="eastAsia"/>
          <w:sz w:val="24"/>
          <w:szCs w:val="24"/>
        </w:rPr>
        <w:t>基金托管人可以本基金的名义在其营业机构开设本基金的资金账户</w:t>
      </w:r>
      <w:r>
        <w:rPr>
          <w:rFonts w:ascii="宋体" w:hAnsi="宋体"/>
          <w:color w:val="000000"/>
          <w:sz w:val="24"/>
          <w:szCs w:val="24"/>
        </w:rPr>
        <w:t>，并根据基金管理人合法合</w:t>
      </w:r>
      <w:proofErr w:type="gramStart"/>
      <w:r>
        <w:rPr>
          <w:rFonts w:ascii="宋体" w:hAnsi="宋体"/>
          <w:color w:val="000000"/>
          <w:sz w:val="24"/>
          <w:szCs w:val="24"/>
        </w:rPr>
        <w:t>规</w:t>
      </w:r>
      <w:proofErr w:type="gramEnd"/>
      <w:r>
        <w:rPr>
          <w:rFonts w:ascii="宋体" w:hAnsi="宋体"/>
          <w:color w:val="000000"/>
          <w:sz w:val="24"/>
          <w:szCs w:val="24"/>
        </w:rPr>
        <w:t>的指令办理资金收付</w:t>
      </w:r>
      <w:r>
        <w:rPr>
          <w:rFonts w:ascii="宋体" w:hAnsi="宋体" w:hint="eastAsia"/>
          <w:sz w:val="24"/>
          <w:szCs w:val="24"/>
        </w:rPr>
        <w:t>。本基金的银行预留印鉴由基金托管人保管和使用。本基金的一切货币收支活动，包括但不限于投资、支付赎回金额、支付基金收益、收取申购款，均需通过本基金的资金账户进行。</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sz w:val="24"/>
          <w:szCs w:val="24"/>
        </w:rPr>
        <w:t>3、</w:t>
      </w:r>
      <w:r>
        <w:rPr>
          <w:rFonts w:ascii="宋体" w:hAnsi="宋体"/>
          <w:color w:val="000000"/>
          <w:sz w:val="24"/>
          <w:szCs w:val="24"/>
        </w:rPr>
        <w:t>基金</w:t>
      </w:r>
      <w:r>
        <w:rPr>
          <w:rFonts w:ascii="宋体" w:hAnsi="宋体" w:hint="eastAsia"/>
          <w:color w:val="000000"/>
          <w:sz w:val="24"/>
          <w:szCs w:val="24"/>
        </w:rPr>
        <w:t>托管</w:t>
      </w:r>
      <w:r>
        <w:rPr>
          <w:rFonts w:ascii="宋体" w:hAnsi="宋体"/>
          <w:color w:val="000000"/>
          <w:sz w:val="24"/>
          <w:szCs w:val="24"/>
        </w:rPr>
        <w:t>资金账户的开立和使用，限于满足开展本基金业务的需要。基金托管人和基金管理人不得假借本基金的名义开立任何其他银行账户；亦不得使用基金的任何账户进行本基金业务以外的活动。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基金</w:t>
      </w:r>
      <w:r>
        <w:rPr>
          <w:rFonts w:ascii="宋体" w:hAnsi="宋体" w:hint="eastAsia"/>
          <w:color w:val="000000"/>
          <w:sz w:val="24"/>
          <w:szCs w:val="24"/>
        </w:rPr>
        <w:t>托管</w:t>
      </w:r>
      <w:r>
        <w:rPr>
          <w:rFonts w:ascii="宋体" w:hAnsi="宋体"/>
          <w:color w:val="000000"/>
          <w:sz w:val="24"/>
          <w:szCs w:val="24"/>
        </w:rPr>
        <w:t>资金账户的开立和管理应符合</w:t>
      </w:r>
      <w:r>
        <w:rPr>
          <w:rFonts w:ascii="宋体" w:hAnsi="宋体" w:hint="eastAsia"/>
          <w:color w:val="000000"/>
          <w:sz w:val="24"/>
          <w:szCs w:val="24"/>
        </w:rPr>
        <w:t>相关法律法规的有关</w:t>
      </w:r>
      <w:r>
        <w:rPr>
          <w:rFonts w:ascii="宋体" w:hAnsi="宋体"/>
          <w:color w:val="000000"/>
          <w:sz w:val="24"/>
          <w:szCs w:val="24"/>
        </w:rPr>
        <w:t>规定。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color w:val="000000"/>
          <w:sz w:val="24"/>
          <w:szCs w:val="24"/>
        </w:rPr>
        <w:t>在符合法律法规规定的条件下，基金托管人可以通过基金托管人专用账户办理基金资产的支付。</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（四）基金证券账户的开立和管理</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基金托管人在中国证券登记结算有限责任公司上海分公司、深圳分公司为基金开立基金托管人与基金联名的证券账户。</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3、</w:t>
      </w:r>
      <w:r>
        <w:rPr>
          <w:rFonts w:ascii="宋体" w:hAnsi="宋体"/>
          <w:sz w:val="24"/>
          <w:szCs w:val="24"/>
        </w:rPr>
        <w:t xml:space="preserve"> 基金</w:t>
      </w:r>
      <w:r>
        <w:rPr>
          <w:rFonts w:ascii="宋体" w:hAnsi="宋体"/>
          <w:color w:val="000000"/>
          <w:sz w:val="24"/>
          <w:szCs w:val="24"/>
        </w:rPr>
        <w:t>托管人以自身法人名义在中国证券登记结算</w:t>
      </w:r>
      <w:r>
        <w:rPr>
          <w:rFonts w:ascii="宋体" w:hAnsi="宋体" w:hint="eastAsia"/>
          <w:color w:val="000000"/>
          <w:sz w:val="24"/>
          <w:szCs w:val="24"/>
        </w:rPr>
        <w:t>有限责任</w:t>
      </w:r>
      <w:r>
        <w:rPr>
          <w:rFonts w:ascii="宋体" w:hAnsi="宋体"/>
          <w:color w:val="000000"/>
          <w:sz w:val="24"/>
          <w:szCs w:val="24"/>
        </w:rPr>
        <w:t>公司开立结算备付金账户，并代表所托管的基金完成与中国证券登记结算有限责任公司的一级法人清算工作</w:t>
      </w:r>
      <w:r>
        <w:rPr>
          <w:rFonts w:ascii="宋体" w:hAnsi="宋体" w:hint="eastAsia"/>
          <w:color w:val="000000"/>
          <w:sz w:val="24"/>
          <w:szCs w:val="24"/>
        </w:rPr>
        <w:t>，基金管理人应予以积极协助</w:t>
      </w:r>
      <w:r>
        <w:rPr>
          <w:rFonts w:ascii="宋体" w:hAnsi="宋体"/>
          <w:color w:val="000000"/>
          <w:sz w:val="24"/>
          <w:szCs w:val="24"/>
        </w:rPr>
        <w:t>。结算</w:t>
      </w:r>
      <w:r>
        <w:rPr>
          <w:rFonts w:ascii="宋体" w:hAnsi="宋体"/>
          <w:sz w:val="24"/>
          <w:szCs w:val="24"/>
        </w:rPr>
        <w:t>备付金的收取按照中国证券登记结算</w:t>
      </w:r>
      <w:r>
        <w:rPr>
          <w:rFonts w:ascii="宋体" w:hAnsi="宋体" w:hint="eastAsia"/>
          <w:sz w:val="24"/>
          <w:szCs w:val="24"/>
        </w:rPr>
        <w:t>有限责任</w:t>
      </w:r>
      <w:r>
        <w:rPr>
          <w:rFonts w:ascii="宋体" w:hAnsi="宋体"/>
          <w:sz w:val="24"/>
          <w:szCs w:val="24"/>
        </w:rPr>
        <w:t>公司的规定执行。</w:t>
      </w:r>
    </w:p>
    <w:p w:rsidR="008C0AE6" w:rsidRDefault="00392CEB">
      <w:pPr>
        <w:adjustRightInd w:val="0"/>
        <w:snapToGrid w:val="0"/>
        <w:spacing w:line="360" w:lineRule="auto"/>
        <w:ind w:firstLine="482"/>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基金证券账户的开立和证券账户卡的保管由基金托管人负责，账户资产的管理和运用由基金管理人负责。</w:t>
      </w:r>
    </w:p>
    <w:p w:rsidR="008C0AE6" w:rsidRDefault="00392CEB">
      <w:pPr>
        <w:adjustRightInd w:val="0"/>
        <w:snapToGrid w:val="0"/>
        <w:spacing w:line="360" w:lineRule="auto"/>
        <w:ind w:firstLine="482"/>
        <w:rPr>
          <w:rFonts w:ascii="宋体" w:hAnsi="宋体"/>
          <w:color w:val="000000"/>
          <w:sz w:val="24"/>
          <w:szCs w:val="24"/>
        </w:rPr>
      </w:pPr>
      <w:r>
        <w:rPr>
          <w:rFonts w:ascii="宋体" w:hAnsi="宋体" w:hint="eastAsia"/>
          <w:color w:val="000000"/>
          <w:sz w:val="24"/>
          <w:szCs w:val="24"/>
        </w:rPr>
        <w:t>5、在本托管协议生效日之后，本基金被允许从事其他投资品种的投资业务，涉及相关账户的开设、使用的，按有关规定开设、使用并管理；若无相关规定，</w:t>
      </w:r>
      <w:proofErr w:type="gramStart"/>
      <w:r>
        <w:rPr>
          <w:rFonts w:ascii="宋体" w:hAnsi="宋体" w:hint="eastAsia"/>
          <w:color w:val="000000"/>
          <w:sz w:val="24"/>
          <w:szCs w:val="24"/>
        </w:rPr>
        <w:t>则基金</w:t>
      </w:r>
      <w:proofErr w:type="gramEnd"/>
      <w:r>
        <w:rPr>
          <w:rFonts w:ascii="宋体" w:hAnsi="宋体" w:hint="eastAsia"/>
          <w:color w:val="000000"/>
          <w:sz w:val="24"/>
          <w:szCs w:val="24"/>
        </w:rPr>
        <w:t>托管人应当比照并遵守上述关于账户开设、使用的规定。</w:t>
      </w:r>
    </w:p>
    <w:p w:rsidR="008C0AE6" w:rsidRDefault="00392CEB">
      <w:pPr>
        <w:tabs>
          <w:tab w:val="left" w:pos="6810"/>
        </w:tabs>
        <w:adjustRightInd w:val="0"/>
        <w:snapToGrid w:val="0"/>
        <w:spacing w:line="360" w:lineRule="auto"/>
        <w:ind w:firstLine="480"/>
        <w:rPr>
          <w:rFonts w:ascii="宋体" w:hAnsi="宋体"/>
          <w:color w:val="000000"/>
          <w:sz w:val="24"/>
          <w:szCs w:val="24"/>
        </w:rPr>
      </w:pPr>
      <w:r>
        <w:rPr>
          <w:rFonts w:ascii="宋体" w:hAnsi="宋体"/>
          <w:color w:val="000000"/>
          <w:sz w:val="24"/>
          <w:szCs w:val="24"/>
        </w:rPr>
        <w:t>（五）债券托管专户的开设和管理</w:t>
      </w:r>
      <w:r>
        <w:rPr>
          <w:rFonts w:ascii="宋体" w:hAnsi="宋体"/>
          <w:color w:val="000000"/>
          <w:sz w:val="24"/>
          <w:szCs w:val="24"/>
        </w:rPr>
        <w:tab/>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基金合同生效后，基金托管人根据中国人民银行、中央国债登记结算有限责任公司</w:t>
      </w:r>
      <w:r>
        <w:rPr>
          <w:rFonts w:ascii="宋体" w:hAnsi="宋体" w:hint="eastAsia"/>
          <w:color w:val="000000"/>
          <w:sz w:val="24"/>
          <w:szCs w:val="24"/>
        </w:rPr>
        <w:t>、银行间市场清算所股份有限公司</w:t>
      </w:r>
      <w:r>
        <w:rPr>
          <w:rFonts w:ascii="宋体" w:hAnsi="宋体"/>
          <w:color w:val="000000"/>
          <w:sz w:val="24"/>
          <w:szCs w:val="24"/>
        </w:rPr>
        <w:t>的有关规定，</w:t>
      </w:r>
      <w:r>
        <w:rPr>
          <w:rFonts w:ascii="宋体" w:hAnsi="宋体" w:hint="eastAsia"/>
          <w:color w:val="000000"/>
          <w:sz w:val="24"/>
          <w:szCs w:val="24"/>
        </w:rPr>
        <w:t>以基金的名义</w:t>
      </w:r>
      <w:r>
        <w:rPr>
          <w:rFonts w:ascii="宋体" w:hAnsi="宋体"/>
          <w:color w:val="000000"/>
          <w:sz w:val="24"/>
          <w:szCs w:val="24"/>
        </w:rPr>
        <w:t>在中央国债登记结算有限责任公司</w:t>
      </w:r>
      <w:r>
        <w:rPr>
          <w:rFonts w:ascii="宋体" w:hAnsi="宋体" w:hint="eastAsia"/>
          <w:color w:val="000000"/>
          <w:sz w:val="24"/>
          <w:szCs w:val="24"/>
        </w:rPr>
        <w:t>、银行间市场清算所股份有限公司</w:t>
      </w:r>
      <w:r>
        <w:rPr>
          <w:rFonts w:ascii="宋体" w:hAnsi="宋体"/>
          <w:color w:val="000000"/>
          <w:sz w:val="24"/>
          <w:szCs w:val="24"/>
        </w:rPr>
        <w:t>开立债券托管与结算账户，并代表基金进行银行间市场债券的结算。基金管理人和基金托管人同时代表基金签订全国银行间债券市场债券回购主协议。</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（六）其他账户的开立和管理</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因业务发展需要而开立的其他账户，可以根据法律法规和基金合同的规定，</w:t>
      </w:r>
      <w:r>
        <w:rPr>
          <w:rFonts w:ascii="宋体" w:hAnsi="宋体" w:hint="eastAsia"/>
          <w:sz w:val="24"/>
          <w:szCs w:val="24"/>
        </w:rPr>
        <w:t>在</w:t>
      </w:r>
      <w:r>
        <w:rPr>
          <w:rFonts w:ascii="宋体" w:hAnsi="宋体"/>
          <w:sz w:val="24"/>
          <w:szCs w:val="24"/>
        </w:rPr>
        <w:t>基金</w:t>
      </w:r>
      <w:r>
        <w:rPr>
          <w:rFonts w:ascii="宋体" w:hAnsi="宋体" w:hint="eastAsia"/>
          <w:sz w:val="24"/>
          <w:szCs w:val="24"/>
        </w:rPr>
        <w:t>管理人和基金</w:t>
      </w:r>
      <w:r>
        <w:rPr>
          <w:rFonts w:ascii="宋体" w:hAnsi="宋体"/>
          <w:sz w:val="24"/>
          <w:szCs w:val="24"/>
        </w:rPr>
        <w:t>托管人</w:t>
      </w:r>
      <w:r>
        <w:rPr>
          <w:rFonts w:ascii="宋体" w:hAnsi="宋体" w:hint="eastAsia"/>
          <w:sz w:val="24"/>
          <w:szCs w:val="24"/>
        </w:rPr>
        <w:t>商议后由基金托管人负责</w:t>
      </w:r>
      <w:r>
        <w:rPr>
          <w:rFonts w:ascii="宋体" w:hAnsi="宋体"/>
          <w:sz w:val="24"/>
          <w:szCs w:val="24"/>
        </w:rPr>
        <w:t>开立</w:t>
      </w:r>
      <w:r>
        <w:rPr>
          <w:rFonts w:ascii="宋体" w:hAnsi="宋体"/>
          <w:color w:val="000000"/>
          <w:sz w:val="24"/>
          <w:szCs w:val="24"/>
        </w:rPr>
        <w:t>。新账户按有关规则使用并管理。</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法律法规等有关规定对相关账户的开立和管理另有规定的，从其规定办理。</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（七）基金财产投资的有关有价凭证等的保管</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基金财产投资的有关实物证券</w:t>
      </w:r>
      <w:r>
        <w:rPr>
          <w:rFonts w:ascii="宋体" w:hAnsi="宋体" w:hint="eastAsia"/>
          <w:color w:val="000000"/>
          <w:sz w:val="24"/>
          <w:szCs w:val="24"/>
        </w:rPr>
        <w:t>、</w:t>
      </w:r>
      <w:r>
        <w:rPr>
          <w:rFonts w:ascii="宋体" w:hAnsi="宋体" w:hint="eastAsia"/>
          <w:sz w:val="24"/>
          <w:szCs w:val="24"/>
        </w:rPr>
        <w:t>银行存款存单等有价凭证</w:t>
      </w:r>
      <w:r>
        <w:rPr>
          <w:rFonts w:ascii="宋体" w:hAnsi="宋体"/>
          <w:color w:val="000000"/>
          <w:sz w:val="24"/>
          <w:szCs w:val="24"/>
        </w:rPr>
        <w:t>由基金托管人</w:t>
      </w:r>
      <w:r>
        <w:rPr>
          <w:rFonts w:ascii="宋体" w:hAnsi="宋体" w:hint="eastAsia"/>
          <w:color w:val="000000"/>
          <w:sz w:val="24"/>
          <w:szCs w:val="24"/>
        </w:rPr>
        <w:t>负责妥善保管</w:t>
      </w:r>
      <w:r>
        <w:rPr>
          <w:rFonts w:ascii="宋体" w:hAnsi="宋体" w:hint="eastAsia"/>
          <w:sz w:val="24"/>
          <w:szCs w:val="24"/>
        </w:rPr>
        <w:t>，保管凭证由基金托管人持有</w:t>
      </w:r>
      <w:r>
        <w:rPr>
          <w:rFonts w:ascii="宋体" w:hAnsi="宋体"/>
          <w:color w:val="000000"/>
          <w:sz w:val="24"/>
          <w:szCs w:val="24"/>
        </w:rPr>
        <w:t>。实物证券的购买和转让，由基金托管人根据基金管理人的指令办理。属于基金托管人实际有效控制下的实物证券在基金托管人保管期间的损坏、灭失，由此产生的责任应由基金托管人承担。</w:t>
      </w:r>
      <w:r>
        <w:rPr>
          <w:rFonts w:ascii="宋体" w:hAnsi="宋体" w:hint="eastAsia"/>
          <w:color w:val="000000"/>
          <w:sz w:val="24"/>
          <w:szCs w:val="24"/>
        </w:rPr>
        <w:t>基金</w:t>
      </w:r>
      <w:r>
        <w:rPr>
          <w:rFonts w:ascii="宋体" w:hAnsi="宋体"/>
          <w:color w:val="000000"/>
          <w:sz w:val="24"/>
          <w:szCs w:val="24"/>
        </w:rPr>
        <w:t>托管人对</w:t>
      </w:r>
      <w:r>
        <w:rPr>
          <w:rFonts w:ascii="宋体" w:hAnsi="宋体" w:hint="eastAsia"/>
          <w:color w:val="000000"/>
          <w:sz w:val="24"/>
          <w:szCs w:val="24"/>
        </w:rPr>
        <w:t>基金</w:t>
      </w:r>
      <w:r>
        <w:rPr>
          <w:rFonts w:ascii="宋体" w:hAnsi="宋体"/>
          <w:color w:val="000000"/>
          <w:sz w:val="24"/>
          <w:szCs w:val="24"/>
        </w:rPr>
        <w:t>托管人以外机构实际有效控制的证券不承担保管责任。</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（八）与基金财产有关的重大合同的保管</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rsidR="008C0AE6" w:rsidRDefault="00392CEB">
      <w:pPr>
        <w:pStyle w:val="2"/>
        <w:spacing w:before="0" w:after="0" w:line="360" w:lineRule="auto"/>
        <w:jc w:val="center"/>
        <w:rPr>
          <w:rFonts w:ascii="宋体" w:eastAsia="宋体" w:hAnsi="宋体"/>
          <w:color w:val="000000"/>
          <w:sz w:val="24"/>
          <w:szCs w:val="24"/>
        </w:rPr>
      </w:pPr>
      <w:bookmarkStart w:id="48" w:name="_Toc89163370"/>
      <w:bookmarkStart w:id="49" w:name="_Toc110830494"/>
      <w:bookmarkStart w:id="50" w:name="_Toc120435785"/>
      <w:bookmarkStart w:id="51" w:name="_Toc110761798"/>
      <w:bookmarkStart w:id="52" w:name="_Toc118774805"/>
      <w:bookmarkStart w:id="53" w:name="_Toc118972650"/>
      <w:bookmarkStart w:id="54" w:name="_Toc145818940"/>
      <w:bookmarkStart w:id="55" w:name="_Toc84133787"/>
      <w:bookmarkStart w:id="56" w:name="_Toc86225293"/>
      <w:bookmarkStart w:id="57" w:name="_Toc86223244"/>
      <w:bookmarkStart w:id="58" w:name="_Toc86204790"/>
      <w:bookmarkStart w:id="59" w:name="_Toc86727357"/>
      <w:bookmarkStart w:id="60" w:name="_Toc86737931"/>
      <w:bookmarkStart w:id="61" w:name="_Toc84234389"/>
      <w:bookmarkStart w:id="62" w:name="_Toc84234436"/>
      <w:bookmarkStart w:id="63" w:name="_Toc86649724"/>
      <w:bookmarkStart w:id="64" w:name="_Toc119402712"/>
      <w:bookmarkStart w:id="65" w:name="_Toc110765662"/>
      <w:bookmarkStart w:id="66" w:name="_Toc108512360"/>
      <w:bookmarkStart w:id="67" w:name="_Toc118212952"/>
      <w:bookmarkStart w:id="68" w:name="_Toc86726441"/>
      <w:r>
        <w:rPr>
          <w:rFonts w:ascii="宋体" w:eastAsia="宋体" w:hAnsi="宋体"/>
          <w:color w:val="000000"/>
          <w:sz w:val="24"/>
          <w:szCs w:val="24"/>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基金管理人在运用基金财产时向基金托管人发送资金划拨及其他款项收付指令，基金托管人执行基金管理人的指令、办理基金名下的资金往来等有关事项。</w:t>
      </w:r>
      <w:r>
        <w:rPr>
          <w:rFonts w:ascii="宋体" w:hAnsi="宋体" w:hint="eastAsia"/>
          <w:sz w:val="24"/>
          <w:szCs w:val="24"/>
        </w:rPr>
        <w:t>基金管理人发送指令应采用电子指令或传真或双方共同确认的方式。</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（一）电子指令方式总体约定</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1、基金管理人通过基金托管人提供的清算管理系统客户端发送电子指令，或基金管理人通过调用基金托管人提供的数据接口发送电子指令。</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2、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一切后果由基金管理人承担。</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3、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造成的一切后果，由基金管理人承担。</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当电子指令无法正常发送时，双方按传真方式办理相关业务</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）基金管理人对</w:t>
      </w:r>
      <w:r>
        <w:rPr>
          <w:rFonts w:ascii="宋体" w:hAnsi="宋体" w:hint="eastAsia"/>
          <w:sz w:val="24"/>
          <w:szCs w:val="24"/>
        </w:rPr>
        <w:t>传真方式</w:t>
      </w:r>
      <w:r>
        <w:rPr>
          <w:rFonts w:ascii="宋体" w:hAnsi="宋体"/>
          <w:sz w:val="24"/>
          <w:szCs w:val="24"/>
        </w:rPr>
        <w:t>发送指令人员的书面授权</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基金管理人应指定专人</w:t>
      </w:r>
      <w:r>
        <w:rPr>
          <w:rFonts w:ascii="宋体" w:hAnsi="宋体" w:hint="eastAsia"/>
          <w:sz w:val="24"/>
          <w:szCs w:val="24"/>
        </w:rPr>
        <w:t>、专用传真号码</w:t>
      </w:r>
      <w:r>
        <w:rPr>
          <w:rFonts w:ascii="宋体" w:hAnsi="宋体"/>
          <w:sz w:val="24"/>
          <w:szCs w:val="24"/>
        </w:rPr>
        <w:t>向基金托管人发送指令。</w:t>
      </w:r>
    </w:p>
    <w:p w:rsidR="008C0AE6" w:rsidRDefault="00392CEB">
      <w:pPr>
        <w:adjustRightInd w:val="0"/>
        <w:snapToGrid w:val="0"/>
        <w:spacing w:line="360" w:lineRule="auto"/>
        <w:ind w:firstLine="482"/>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基金管理人应向基金托管人提供书面授权文件，</w:t>
      </w:r>
      <w:r>
        <w:rPr>
          <w:rFonts w:ascii="宋体" w:hAnsi="宋体" w:hint="eastAsia"/>
          <w:sz w:val="24"/>
          <w:szCs w:val="24"/>
        </w:rPr>
        <w:t>该文件中应含有基金管理人预留印鉴，该预留印鉴为基金托管人确定基金管理人所发送指令表面一致性的唯一依据</w:t>
      </w:r>
      <w:r>
        <w:rPr>
          <w:rFonts w:ascii="宋体" w:hAnsi="宋体"/>
          <w:sz w:val="24"/>
          <w:szCs w:val="24"/>
        </w:rPr>
        <w:t>。</w:t>
      </w:r>
      <w:r>
        <w:rPr>
          <w:rFonts w:ascii="宋体" w:hAnsi="宋体" w:hint="eastAsia"/>
          <w:sz w:val="24"/>
          <w:szCs w:val="24"/>
        </w:rPr>
        <w:t>向</w:t>
      </w:r>
      <w:r>
        <w:rPr>
          <w:rFonts w:ascii="宋体" w:hAnsi="宋体"/>
          <w:sz w:val="24"/>
          <w:szCs w:val="24"/>
        </w:rPr>
        <w:t>基金</w:t>
      </w:r>
      <w:r>
        <w:rPr>
          <w:rFonts w:ascii="宋体" w:hAnsi="宋体" w:hint="eastAsia"/>
          <w:sz w:val="24"/>
          <w:szCs w:val="24"/>
        </w:rPr>
        <w:t>托管人发送授权文件后，应及时电话确认，以保证</w:t>
      </w:r>
      <w:r>
        <w:rPr>
          <w:rFonts w:ascii="宋体" w:hAnsi="宋体"/>
          <w:sz w:val="24"/>
          <w:szCs w:val="24"/>
        </w:rPr>
        <w:t>基金</w:t>
      </w:r>
      <w:r>
        <w:rPr>
          <w:rFonts w:ascii="宋体" w:hAnsi="宋体" w:hint="eastAsia"/>
          <w:sz w:val="24"/>
          <w:szCs w:val="24"/>
        </w:rPr>
        <w:t>托管人及时查收。</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基金托管人收到授权文件</w:t>
      </w:r>
      <w:r>
        <w:rPr>
          <w:rFonts w:ascii="宋体" w:hAnsi="宋体" w:hint="eastAsia"/>
          <w:sz w:val="24"/>
          <w:szCs w:val="24"/>
        </w:rPr>
        <w:t>的</w:t>
      </w:r>
      <w:proofErr w:type="gramStart"/>
      <w:r>
        <w:rPr>
          <w:rFonts w:ascii="宋体" w:hAnsi="宋体"/>
          <w:sz w:val="24"/>
          <w:szCs w:val="24"/>
        </w:rPr>
        <w:t>传真件</w:t>
      </w:r>
      <w:r>
        <w:rPr>
          <w:rFonts w:ascii="宋体" w:hAnsi="宋体" w:hint="eastAsia"/>
          <w:sz w:val="24"/>
          <w:szCs w:val="24"/>
        </w:rPr>
        <w:t>并经</w:t>
      </w:r>
      <w:proofErr w:type="gramEnd"/>
      <w:r>
        <w:rPr>
          <w:rFonts w:ascii="宋体" w:hAnsi="宋体" w:hint="eastAsia"/>
          <w:sz w:val="24"/>
          <w:szCs w:val="24"/>
        </w:rPr>
        <w:t>基金管理人电话确认后,</w:t>
      </w:r>
      <w:r>
        <w:rPr>
          <w:rFonts w:ascii="宋体" w:hAnsi="宋体"/>
          <w:sz w:val="24"/>
          <w:szCs w:val="24"/>
        </w:rPr>
        <w:t>授权文件即生效。</w:t>
      </w:r>
      <w:r>
        <w:rPr>
          <w:rFonts w:ascii="宋体" w:hAnsi="宋体" w:hint="eastAsia"/>
          <w:sz w:val="24"/>
          <w:szCs w:val="24"/>
        </w:rPr>
        <w:t>基金管理人应与发送传真后三个工作日内将授权文件原件送达基金托管人，</w:t>
      </w:r>
      <w:proofErr w:type="gramStart"/>
      <w:r>
        <w:rPr>
          <w:rFonts w:ascii="宋体" w:hAnsi="宋体" w:hint="eastAsia"/>
          <w:sz w:val="24"/>
          <w:szCs w:val="24"/>
        </w:rPr>
        <w:t>若基金</w:t>
      </w:r>
      <w:proofErr w:type="gramEnd"/>
      <w:r>
        <w:rPr>
          <w:rFonts w:ascii="宋体" w:hAnsi="宋体" w:hint="eastAsia"/>
          <w:sz w:val="24"/>
          <w:szCs w:val="24"/>
        </w:rPr>
        <w:t>托管人收到的授权文件原件和传真件不一致，以传真件为准。</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基金管理人和基金托管人对授权文件负有保密义务，其内容不得向被授权人及相关操作人员以外的任何人泄漏。</w:t>
      </w:r>
    </w:p>
    <w:p w:rsidR="008C0AE6" w:rsidRDefault="00392CEB">
      <w:pPr>
        <w:adjustRightInd w:val="0"/>
        <w:snapToGrid w:val="0"/>
        <w:spacing w:line="360" w:lineRule="auto"/>
        <w:ind w:firstLine="482"/>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）指令的内容</w:t>
      </w:r>
    </w:p>
    <w:p w:rsidR="008C0AE6" w:rsidRDefault="00392CEB">
      <w:pPr>
        <w:adjustRightInd w:val="0"/>
        <w:snapToGrid w:val="0"/>
        <w:spacing w:line="360" w:lineRule="auto"/>
        <w:ind w:firstLine="482"/>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指令包括付款指令(含赎回、分红付款指令、</w:t>
      </w:r>
      <w:r>
        <w:rPr>
          <w:rFonts w:ascii="宋体" w:hAnsi="宋体" w:hint="eastAsia"/>
          <w:sz w:val="24"/>
          <w:szCs w:val="24"/>
        </w:rPr>
        <w:t>银行间业务划款</w:t>
      </w:r>
      <w:r>
        <w:rPr>
          <w:rFonts w:ascii="宋体" w:hAnsi="宋体"/>
          <w:sz w:val="24"/>
          <w:szCs w:val="24"/>
        </w:rPr>
        <w:t>指令）以及其他资金划拨指令等。</w:t>
      </w:r>
    </w:p>
    <w:p w:rsidR="008C0AE6" w:rsidRDefault="00392CEB">
      <w:pPr>
        <w:adjustRightInd w:val="0"/>
        <w:snapToGrid w:val="0"/>
        <w:spacing w:line="360" w:lineRule="auto"/>
        <w:ind w:firstLine="482"/>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基金管理人发给基金托管人的指令应写明款项事由、支付时间、到账时间、金额、账户</w:t>
      </w:r>
      <w:r>
        <w:rPr>
          <w:rFonts w:ascii="宋体" w:hAnsi="宋体" w:hint="eastAsia"/>
          <w:sz w:val="24"/>
          <w:szCs w:val="24"/>
        </w:rPr>
        <w:t>资料</w:t>
      </w:r>
      <w:r>
        <w:rPr>
          <w:rFonts w:ascii="宋体" w:hAnsi="宋体"/>
          <w:sz w:val="24"/>
          <w:szCs w:val="24"/>
        </w:rPr>
        <w:t>等，</w:t>
      </w:r>
      <w:r>
        <w:rPr>
          <w:rFonts w:ascii="宋体" w:hAnsi="宋体" w:hint="eastAsia"/>
          <w:sz w:val="24"/>
          <w:szCs w:val="24"/>
        </w:rPr>
        <w:t>并</w:t>
      </w:r>
      <w:r>
        <w:rPr>
          <w:rFonts w:ascii="宋体" w:hAnsi="宋体"/>
          <w:sz w:val="24"/>
          <w:szCs w:val="24"/>
        </w:rPr>
        <w:t>加盖预留印鉴。</w:t>
      </w:r>
    </w:p>
    <w:p w:rsidR="008C0AE6" w:rsidRDefault="00392CEB">
      <w:pPr>
        <w:adjustRightInd w:val="0"/>
        <w:snapToGrid w:val="0"/>
        <w:spacing w:line="360" w:lineRule="auto"/>
        <w:ind w:firstLine="482"/>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）指令的发送、确认及执行的时间和程序</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指令的发送</w:t>
      </w:r>
      <w:r>
        <w:rPr>
          <w:rFonts w:ascii="宋体" w:hAnsi="宋体" w:hint="eastAsia"/>
          <w:sz w:val="24"/>
          <w:szCs w:val="24"/>
        </w:rPr>
        <w:t>与</w:t>
      </w:r>
      <w:r>
        <w:rPr>
          <w:rFonts w:ascii="宋体" w:hAnsi="宋体"/>
          <w:sz w:val="24"/>
          <w:szCs w:val="24"/>
        </w:rPr>
        <w:t>确认</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基金管理人应按照法律法规和基金合同的规定，在其合法的经营权限和交易权限内发送指令；</w:t>
      </w:r>
      <w:r>
        <w:rPr>
          <w:rFonts w:ascii="宋体" w:hAnsi="宋体" w:hint="eastAsia"/>
          <w:sz w:val="24"/>
          <w:szCs w:val="24"/>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基金托管人通过客户端向基金管理人提供银行间成交单信息、基金申赎款信息以及管理费、托管费、销售费、席位佣金等应付款信息。基金管理人应对根据上述信息生成的电子指令进行核对或确认，基金托管人不承担由于提供上述信息造成生成指令金额错误的责任</w:t>
      </w:r>
      <w:r>
        <w:rPr>
          <w:rFonts w:ascii="宋体" w:hAnsi="宋体"/>
          <w:sz w:val="24"/>
          <w:szCs w:val="24"/>
        </w:rPr>
        <w:t>。</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基金管理人</w:t>
      </w:r>
      <w:r>
        <w:rPr>
          <w:rFonts w:ascii="宋体" w:hAnsi="宋体" w:hint="eastAsia"/>
          <w:sz w:val="24"/>
          <w:szCs w:val="24"/>
        </w:rPr>
        <w:t>通过传真方式发送加盖预留印鉴的指令后，</w:t>
      </w:r>
      <w:r>
        <w:rPr>
          <w:rFonts w:ascii="宋体" w:hAnsi="宋体"/>
          <w:sz w:val="24"/>
          <w:szCs w:val="24"/>
        </w:rPr>
        <w:t>应及时以电话方式向基金托管人确认。</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基金管理人应在交易结束后将</w:t>
      </w:r>
      <w:r>
        <w:rPr>
          <w:rFonts w:ascii="宋体" w:hAnsi="宋体" w:hint="eastAsia"/>
          <w:sz w:val="24"/>
          <w:szCs w:val="24"/>
        </w:rPr>
        <w:t>全国银行间债券</w:t>
      </w:r>
      <w:r>
        <w:rPr>
          <w:rFonts w:ascii="宋体" w:hAnsi="宋体"/>
          <w:sz w:val="24"/>
          <w:szCs w:val="24"/>
        </w:rPr>
        <w:t>交易成交单加盖</w:t>
      </w:r>
      <w:r>
        <w:rPr>
          <w:rFonts w:ascii="宋体" w:hAnsi="宋体" w:hint="eastAsia"/>
          <w:sz w:val="24"/>
          <w:szCs w:val="24"/>
        </w:rPr>
        <w:t>预留印鉴</w:t>
      </w:r>
      <w:r>
        <w:rPr>
          <w:rFonts w:ascii="宋体" w:hAnsi="宋体"/>
          <w:sz w:val="24"/>
          <w:szCs w:val="24"/>
        </w:rPr>
        <w:t>后及时传真给基金托管人，并电话确认。</w:t>
      </w:r>
      <w:r>
        <w:rPr>
          <w:rFonts w:ascii="宋体" w:hAnsi="宋体" w:hint="eastAsia"/>
          <w:sz w:val="24"/>
          <w:szCs w:val="24"/>
        </w:rPr>
        <w:t>基金托管人指定专人接收基金管理人的指令和银行间交易成交单，答复基金管理人的确认电话。指令或成交单到达基金托管人后，基金托管人应指定专人根据基金管理人提供的授权文件进行表面一致性审查，及时审慎验证有关内容及印鉴，基金托管人对指令的真实性不承担责任。如有疑问必须及时通知基金管理人。</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基金管理人在发送指令时，应为基金托管人留出执行指令</w:t>
      </w:r>
      <w:r>
        <w:rPr>
          <w:rFonts w:ascii="宋体" w:hAnsi="宋体" w:hint="eastAsia"/>
          <w:sz w:val="24"/>
          <w:szCs w:val="24"/>
        </w:rPr>
        <w:t>留出至少2个工作小时</w:t>
      </w:r>
      <w:r>
        <w:rPr>
          <w:rFonts w:ascii="宋体" w:hAnsi="宋体"/>
          <w:sz w:val="24"/>
          <w:szCs w:val="24"/>
        </w:rPr>
        <w:t>。</w:t>
      </w:r>
      <w:r>
        <w:rPr>
          <w:rFonts w:ascii="宋体" w:hAnsi="宋体" w:hint="eastAsia"/>
          <w:sz w:val="24"/>
          <w:szCs w:val="24"/>
        </w:rPr>
        <w:t>由基金管理人的原因造成的</w:t>
      </w:r>
      <w:r>
        <w:rPr>
          <w:rFonts w:ascii="宋体" w:hAnsi="宋体"/>
          <w:sz w:val="24"/>
          <w:szCs w:val="24"/>
        </w:rPr>
        <w:t>指令传输不及时、未能留出足够的划款时间</w:t>
      </w:r>
      <w:r>
        <w:rPr>
          <w:rFonts w:ascii="宋体" w:hAnsi="宋体" w:hint="eastAsia"/>
          <w:sz w:val="24"/>
          <w:szCs w:val="24"/>
        </w:rPr>
        <w:t>，未准备足够资金</w:t>
      </w:r>
      <w:r>
        <w:rPr>
          <w:rFonts w:ascii="宋体" w:hAnsi="宋体"/>
          <w:sz w:val="24"/>
          <w:szCs w:val="24"/>
        </w:rPr>
        <w:t>，致使资金未能及时到账所造成的损失由基金管理人承担。</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指令的执行</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基金托管人对指令验证后，应及时</w:t>
      </w:r>
      <w:r>
        <w:rPr>
          <w:rFonts w:ascii="宋体" w:hAnsi="宋体" w:hint="eastAsia"/>
          <w:sz w:val="24"/>
          <w:szCs w:val="24"/>
        </w:rPr>
        <w:t>执行。</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基金管理人应确保</w:t>
      </w:r>
      <w:r>
        <w:rPr>
          <w:rFonts w:ascii="宋体" w:hAnsi="宋体" w:hint="eastAsia"/>
          <w:sz w:val="24"/>
          <w:szCs w:val="24"/>
        </w:rPr>
        <w:t>基金托管人在执行指令时，</w:t>
      </w:r>
      <w:r>
        <w:rPr>
          <w:rFonts w:ascii="宋体" w:hAnsi="宋体"/>
          <w:sz w:val="24"/>
          <w:szCs w:val="24"/>
        </w:rPr>
        <w:t>基金</w:t>
      </w:r>
      <w:r>
        <w:rPr>
          <w:rFonts w:ascii="宋体" w:hAnsi="宋体" w:hint="eastAsia"/>
          <w:sz w:val="24"/>
          <w:szCs w:val="24"/>
        </w:rPr>
        <w:t>托管资金</w:t>
      </w:r>
      <w:r>
        <w:rPr>
          <w:rFonts w:ascii="宋体" w:hAnsi="宋体"/>
          <w:sz w:val="24"/>
          <w:szCs w:val="24"/>
        </w:rPr>
        <w:t>账户有足够的资金余额，</w:t>
      </w:r>
      <w:r>
        <w:rPr>
          <w:rFonts w:ascii="宋体" w:hAnsi="宋体" w:hint="eastAsia"/>
          <w:sz w:val="24"/>
          <w:szCs w:val="24"/>
        </w:rPr>
        <w:t>否则</w:t>
      </w:r>
      <w:r>
        <w:rPr>
          <w:rFonts w:ascii="宋体" w:hAnsi="宋体"/>
          <w:sz w:val="24"/>
          <w:szCs w:val="24"/>
        </w:rPr>
        <w:t>基金托管人可不予执行，但应</w:t>
      </w:r>
      <w:r>
        <w:rPr>
          <w:rFonts w:ascii="宋体" w:hAnsi="宋体" w:hint="eastAsia"/>
          <w:sz w:val="24"/>
          <w:szCs w:val="24"/>
        </w:rPr>
        <w:t>及时</w:t>
      </w:r>
      <w:r>
        <w:rPr>
          <w:rFonts w:ascii="宋体" w:hAnsi="宋体"/>
          <w:sz w:val="24"/>
          <w:szCs w:val="24"/>
        </w:rPr>
        <w:t>通知基金管理人，由基金管理人审核、查明原因，确认此交易指令无效。</w:t>
      </w:r>
      <w:r>
        <w:rPr>
          <w:rFonts w:ascii="宋体" w:hAnsi="宋体" w:hint="eastAsia"/>
          <w:sz w:val="24"/>
          <w:szCs w:val="24"/>
        </w:rPr>
        <w:t>在及时通知后，</w:t>
      </w:r>
      <w:r>
        <w:rPr>
          <w:rFonts w:ascii="宋体" w:hAnsi="宋体"/>
          <w:sz w:val="24"/>
          <w:szCs w:val="24"/>
        </w:rPr>
        <w:t>基金托管人不承担因未执行该指令造成损失的责任。</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对于发送时资金不足的指令，基金托管人有权不予执行，应当立即通知基金管理人，基金管理人确认该指令不予取消的，资金备足并通知基金托管人的时间视为指令收到时间。</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）基金管理人发送错误指令的情形和处理程序</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基金托管人发现指令错误，</w:t>
      </w:r>
      <w:r>
        <w:rPr>
          <w:rFonts w:ascii="宋体" w:hAnsi="宋体" w:hint="eastAsia"/>
          <w:sz w:val="24"/>
          <w:szCs w:val="24"/>
        </w:rPr>
        <w:t>应及时</w:t>
      </w:r>
      <w:r>
        <w:rPr>
          <w:rFonts w:ascii="宋体" w:hAnsi="宋体"/>
          <w:sz w:val="24"/>
          <w:szCs w:val="24"/>
        </w:rPr>
        <w:t>提示基金管理人改正后再予以执行</w:t>
      </w:r>
      <w:r>
        <w:rPr>
          <w:rFonts w:ascii="宋体" w:hAnsi="宋体" w:hint="eastAsia"/>
          <w:sz w:val="24"/>
          <w:szCs w:val="24"/>
        </w:rPr>
        <w:t>，若由此造成的延误损失由基金管理人承担</w:t>
      </w:r>
      <w:r>
        <w:rPr>
          <w:rFonts w:ascii="宋体" w:hAnsi="宋体"/>
          <w:sz w:val="24"/>
          <w:szCs w:val="24"/>
        </w:rPr>
        <w:t>。</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六</w:t>
      </w:r>
      <w:r>
        <w:rPr>
          <w:rFonts w:ascii="宋体" w:hAnsi="宋体"/>
          <w:sz w:val="24"/>
          <w:szCs w:val="24"/>
        </w:rPr>
        <w:t>）基金托管人依照法律法规暂缓、拒绝执行指令的情形和处理程序</w:t>
      </w:r>
    </w:p>
    <w:p w:rsidR="008C0AE6" w:rsidRDefault="00392CEB">
      <w:pPr>
        <w:adjustRightInd w:val="0"/>
        <w:snapToGrid w:val="0"/>
        <w:spacing w:line="360" w:lineRule="auto"/>
        <w:ind w:firstLine="480"/>
        <w:rPr>
          <w:rFonts w:ascii="宋体" w:hAnsi="宋体"/>
          <w:sz w:val="24"/>
          <w:szCs w:val="24"/>
        </w:rPr>
      </w:pPr>
      <w:proofErr w:type="gramStart"/>
      <w:r>
        <w:rPr>
          <w:rFonts w:ascii="宋体" w:hAnsi="宋体"/>
          <w:sz w:val="24"/>
          <w:szCs w:val="24"/>
        </w:rPr>
        <w:t>若基金</w:t>
      </w:r>
      <w:proofErr w:type="gramEnd"/>
      <w:r>
        <w:rPr>
          <w:rFonts w:ascii="宋体" w:hAnsi="宋体"/>
          <w:sz w:val="24"/>
          <w:szCs w:val="24"/>
        </w:rPr>
        <w:t>托管人发现基金管理人的指令违反法律、行政法规和其他有关规定，或者违反基金合同约定的，应当拒绝执行，</w:t>
      </w:r>
      <w:r>
        <w:rPr>
          <w:rFonts w:ascii="宋体" w:hAnsi="宋体" w:hint="eastAsia"/>
          <w:sz w:val="24"/>
          <w:szCs w:val="24"/>
        </w:rPr>
        <w:t>及时</w:t>
      </w:r>
      <w:r>
        <w:rPr>
          <w:rFonts w:ascii="宋体" w:hAnsi="宋体"/>
          <w:sz w:val="24"/>
          <w:szCs w:val="24"/>
        </w:rPr>
        <w:t>通知基金管理人。</w:t>
      </w:r>
    </w:p>
    <w:p w:rsidR="008C0AE6" w:rsidRDefault="00392CEB">
      <w:pPr>
        <w:adjustRightInd w:val="0"/>
        <w:snapToGrid w:val="0"/>
        <w:spacing w:line="360" w:lineRule="auto"/>
        <w:ind w:firstLine="480"/>
        <w:rPr>
          <w:rFonts w:ascii="宋体" w:hAnsi="宋体"/>
          <w:sz w:val="24"/>
          <w:szCs w:val="24"/>
        </w:rPr>
      </w:pPr>
      <w:proofErr w:type="gramStart"/>
      <w:r>
        <w:rPr>
          <w:rFonts w:ascii="宋体" w:hAnsi="宋体"/>
          <w:sz w:val="24"/>
          <w:szCs w:val="24"/>
        </w:rPr>
        <w:t>若基金</w:t>
      </w:r>
      <w:proofErr w:type="gramEnd"/>
      <w:r>
        <w:rPr>
          <w:rFonts w:ascii="宋体" w:hAnsi="宋体"/>
          <w:sz w:val="24"/>
          <w:szCs w:val="24"/>
        </w:rPr>
        <w:t>托管人发现基金管理人依据交易程序已经生效的指令违反法律、行政法规和其他有关规定，或者违反基金合同约定的，应当</w:t>
      </w:r>
      <w:r>
        <w:rPr>
          <w:rFonts w:ascii="宋体" w:hAnsi="宋体" w:hint="eastAsia"/>
          <w:sz w:val="24"/>
          <w:szCs w:val="24"/>
        </w:rPr>
        <w:t>及时</w:t>
      </w:r>
      <w:r>
        <w:rPr>
          <w:rFonts w:ascii="宋体" w:hAnsi="宋体"/>
          <w:sz w:val="24"/>
          <w:szCs w:val="24"/>
        </w:rPr>
        <w:t>通知基金管理人，由此造成的损失由基金管理人承担。</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七</w:t>
      </w:r>
      <w:r>
        <w:rPr>
          <w:rFonts w:ascii="宋体" w:hAnsi="宋体"/>
          <w:sz w:val="24"/>
          <w:szCs w:val="24"/>
        </w:rPr>
        <w:t>）基金托管人未按照基金管理人指令执行的处理方法</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基金托管人由于其自身原因未能执行或错误执行基金管理人指令致使本基金的利益受到损害，应在发现后，及时采取措施予以弥补，给基金份额持有人造成损失的，对由此造成的直接经济损失负赔偿责任。</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八</w:t>
      </w:r>
      <w:r>
        <w:rPr>
          <w:rFonts w:ascii="宋体" w:hAnsi="宋体"/>
          <w:sz w:val="24"/>
          <w:szCs w:val="24"/>
        </w:rPr>
        <w:t>）</w:t>
      </w:r>
      <w:r>
        <w:rPr>
          <w:rFonts w:ascii="宋体" w:hAnsi="宋体" w:hint="eastAsia"/>
          <w:sz w:val="24"/>
          <w:szCs w:val="24"/>
        </w:rPr>
        <w:t>授权通知的变更</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1、基金管理人若对授权通知的内容进行修改，应当提前至少三个工作日电话通知基金托管人。基金管理人需提供书面的变更授权通知文件，在加盖公章后以传真方式发送给基金托管人，同时以电话形式向基金托管人确认。变更授权通知文件在基金托管人收到相关文件传真件和基金管理人的电话确认时生效。基金管理人在此后三个工作日内将变更授权通知文件原件送交基金托管人。若原件与传真件不一致，以传真件为准。</w:t>
      </w:r>
    </w:p>
    <w:p w:rsidR="008C0AE6" w:rsidRDefault="00392CEB">
      <w:pPr>
        <w:adjustRightInd w:val="0"/>
        <w:snapToGrid w:val="0"/>
        <w:spacing w:line="360" w:lineRule="auto"/>
        <w:ind w:firstLine="480"/>
        <w:rPr>
          <w:rFonts w:ascii="宋体" w:hAnsi="宋体"/>
          <w:sz w:val="24"/>
          <w:szCs w:val="24"/>
        </w:rPr>
      </w:pPr>
      <w:r>
        <w:rPr>
          <w:rFonts w:ascii="宋体" w:hAnsi="宋体" w:hint="eastAsia"/>
          <w:sz w:val="24"/>
          <w:szCs w:val="24"/>
        </w:rPr>
        <w:t>2、基金托管人更改接受基金管理人指令的人员及联系方式，应至少提前1个工作日以传真方式发送基金管理人。基金托管人更改接受基金管理人指令的人员及联系方式自基金管理人电话确认后生效</w:t>
      </w:r>
      <w:r>
        <w:rPr>
          <w:rFonts w:ascii="宋体" w:hAnsi="宋体"/>
          <w:sz w:val="24"/>
          <w:szCs w:val="24"/>
        </w:rPr>
        <w:t>。</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九</w:t>
      </w:r>
      <w:r>
        <w:rPr>
          <w:rFonts w:ascii="宋体" w:hAnsi="宋体"/>
          <w:sz w:val="24"/>
          <w:szCs w:val="24"/>
        </w:rPr>
        <w:t>）其他事项</w:t>
      </w:r>
    </w:p>
    <w:p w:rsidR="008C0AE6" w:rsidRDefault="00392CEB">
      <w:pPr>
        <w:adjustRightInd w:val="0"/>
        <w:snapToGrid w:val="0"/>
        <w:spacing w:line="360" w:lineRule="auto"/>
        <w:ind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基金托管人在接收指令时，应对指令的要素是否齐全、印鉴是否与预留的授权文件内容相符进行检查，如发现问题，应及时</w:t>
      </w:r>
      <w:r>
        <w:rPr>
          <w:rFonts w:ascii="宋体" w:hAnsi="宋体" w:hint="eastAsia"/>
          <w:sz w:val="24"/>
          <w:szCs w:val="24"/>
        </w:rPr>
        <w:t>通知</w:t>
      </w:r>
      <w:r>
        <w:rPr>
          <w:rFonts w:ascii="宋体" w:hAnsi="宋体"/>
          <w:sz w:val="24"/>
          <w:szCs w:val="24"/>
        </w:rPr>
        <w:t>基金管理人。</w:t>
      </w:r>
    </w:p>
    <w:p w:rsidR="008C0AE6" w:rsidRDefault="00392CEB">
      <w:pPr>
        <w:adjustRightInd w:val="0"/>
        <w:snapToGrid w:val="0"/>
        <w:spacing w:line="360" w:lineRule="auto"/>
        <w:ind w:firstLine="480"/>
        <w:rPr>
          <w:rFonts w:ascii="宋体" w:hAnsi="宋体"/>
          <w:color w:val="000000"/>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除因</w:t>
      </w:r>
      <w:r>
        <w:rPr>
          <w:rFonts w:ascii="宋体" w:hAnsi="宋体" w:hint="eastAsia"/>
          <w:sz w:val="24"/>
          <w:szCs w:val="24"/>
        </w:rPr>
        <w:t>其自身原因</w:t>
      </w:r>
      <w:r>
        <w:rPr>
          <w:rFonts w:ascii="宋体" w:hAnsi="宋体"/>
          <w:sz w:val="24"/>
          <w:szCs w:val="24"/>
        </w:rPr>
        <w:t>致使基金的利益受到损害而负赔偿责任外，基金托管人对执行基金管理人的合法指令对基金财产造成的损失不承担赔偿责任</w:t>
      </w:r>
      <w:r>
        <w:rPr>
          <w:rFonts w:ascii="宋体" w:hAnsi="宋体"/>
          <w:color w:val="000000"/>
          <w:sz w:val="24"/>
          <w:szCs w:val="24"/>
        </w:rPr>
        <w:t>。</w:t>
      </w:r>
    </w:p>
    <w:p w:rsidR="008C0AE6" w:rsidRDefault="008C0AE6">
      <w:pPr>
        <w:adjustRightInd w:val="0"/>
        <w:snapToGrid w:val="0"/>
        <w:spacing w:line="360" w:lineRule="auto"/>
        <w:ind w:firstLine="48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69" w:name="_Toc86726442"/>
      <w:bookmarkStart w:id="70" w:name="_Toc84133788"/>
      <w:bookmarkStart w:id="71" w:name="_Toc145818941"/>
      <w:bookmarkStart w:id="72" w:name="_Toc84234390"/>
      <w:bookmarkStart w:id="73" w:name="_Toc86225294"/>
      <w:bookmarkStart w:id="74" w:name="_Toc86737932"/>
      <w:bookmarkStart w:id="75" w:name="_Toc84234437"/>
      <w:bookmarkStart w:id="76" w:name="_Toc118972651"/>
      <w:bookmarkStart w:id="77" w:name="_Toc86204791"/>
      <w:bookmarkStart w:id="78" w:name="_Toc86649725"/>
      <w:bookmarkStart w:id="79" w:name="_Toc118774806"/>
      <w:bookmarkStart w:id="80" w:name="_Toc110830495"/>
      <w:bookmarkStart w:id="81" w:name="_Toc86727358"/>
      <w:bookmarkStart w:id="82" w:name="_Toc118212953"/>
      <w:bookmarkStart w:id="83" w:name="_Toc110761799"/>
      <w:bookmarkStart w:id="84" w:name="_Toc110765663"/>
      <w:bookmarkStart w:id="85" w:name="_Toc119402713"/>
      <w:bookmarkStart w:id="86" w:name="_Toc120435786"/>
      <w:bookmarkStart w:id="87" w:name="_Toc108512361"/>
      <w:bookmarkStart w:id="88" w:name="_Toc89163371"/>
      <w:bookmarkStart w:id="89" w:name="_Toc86223245"/>
      <w:r>
        <w:rPr>
          <w:rFonts w:ascii="宋体" w:eastAsia="宋体" w:hAnsi="宋体"/>
          <w:color w:val="000000"/>
          <w:sz w:val="24"/>
          <w:szCs w:val="24"/>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（一）选择代理证券买卖</w:t>
      </w:r>
      <w:r>
        <w:rPr>
          <w:rFonts w:ascii="宋体" w:hAnsi="宋体" w:hint="eastAsia"/>
          <w:color w:val="000000"/>
          <w:sz w:val="24"/>
          <w:szCs w:val="24"/>
        </w:rPr>
        <w:t>、</w:t>
      </w:r>
      <w:r>
        <w:rPr>
          <w:rFonts w:ascii="宋体" w:hAnsi="宋体"/>
          <w:color w:val="000000"/>
          <w:sz w:val="24"/>
          <w:szCs w:val="24"/>
        </w:rPr>
        <w:t>股指期货交易的证券经营机构</w:t>
      </w:r>
      <w:r>
        <w:rPr>
          <w:rFonts w:ascii="宋体" w:hAnsi="宋体" w:hint="eastAsia"/>
          <w:color w:val="000000"/>
          <w:sz w:val="24"/>
          <w:szCs w:val="24"/>
        </w:rPr>
        <w:t>、</w:t>
      </w:r>
      <w:r>
        <w:rPr>
          <w:rFonts w:ascii="宋体" w:hAnsi="宋体"/>
          <w:color w:val="000000"/>
          <w:sz w:val="24"/>
          <w:szCs w:val="24"/>
        </w:rPr>
        <w:t>期货经纪机构</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基金管理人应设计选择代理证券买卖的证券经营机构的标准和程序。基金管理人负责选择代理本基金证券买卖的证券经营机构，使用其</w:t>
      </w:r>
      <w:r>
        <w:rPr>
          <w:rFonts w:ascii="宋体" w:hAnsi="宋体" w:hint="eastAsia"/>
          <w:color w:val="000000"/>
          <w:sz w:val="24"/>
          <w:szCs w:val="24"/>
        </w:rPr>
        <w:t>交易单元</w:t>
      </w:r>
      <w:r>
        <w:rPr>
          <w:rFonts w:ascii="宋体" w:hAnsi="宋体"/>
          <w:color w:val="000000"/>
          <w:sz w:val="24"/>
          <w:szCs w:val="24"/>
        </w:rPr>
        <w:t>作为基金的</w:t>
      </w:r>
      <w:r>
        <w:rPr>
          <w:rFonts w:ascii="宋体" w:hAnsi="宋体" w:hint="eastAsia"/>
          <w:color w:val="000000"/>
          <w:sz w:val="24"/>
          <w:szCs w:val="24"/>
        </w:rPr>
        <w:t>交易单元</w:t>
      </w:r>
      <w:r>
        <w:rPr>
          <w:rFonts w:ascii="宋体" w:hAnsi="宋体"/>
          <w:color w:val="000000"/>
          <w:sz w:val="24"/>
          <w:szCs w:val="24"/>
        </w:rPr>
        <w:t>。基金管理人和被选中的证券经营机构签订委托协议，由基金管理人提前通知基金托管人。</w:t>
      </w:r>
      <w:r>
        <w:rPr>
          <w:rFonts w:ascii="宋体" w:hAnsi="宋体" w:hint="eastAsia"/>
          <w:color w:val="000000"/>
          <w:sz w:val="24"/>
          <w:szCs w:val="24"/>
        </w:rPr>
        <w:t>交易</w:t>
      </w:r>
      <w:r>
        <w:rPr>
          <w:rFonts w:ascii="宋体" w:hAnsi="宋体"/>
          <w:color w:val="000000"/>
          <w:sz w:val="24"/>
          <w:szCs w:val="24"/>
        </w:rPr>
        <w:t>保证金由被选中的证券经营机构交付。基金管理人应根据有关规定，在基金的中期报告和年度报告中将所选证券经营机构的有关情况、基金通过该证券经营机构买卖证券的成交量、回购成交量和支付的佣金等予以披露，并将</w:t>
      </w:r>
      <w:r>
        <w:rPr>
          <w:rFonts w:ascii="宋体" w:hAnsi="宋体" w:hint="eastAsia"/>
          <w:color w:val="000000"/>
          <w:sz w:val="24"/>
          <w:szCs w:val="24"/>
        </w:rPr>
        <w:t>上述</w:t>
      </w:r>
      <w:r>
        <w:rPr>
          <w:rFonts w:ascii="宋体" w:hAnsi="宋体"/>
          <w:color w:val="000000"/>
          <w:sz w:val="24"/>
          <w:szCs w:val="24"/>
        </w:rPr>
        <w:t>情况及基金专用</w:t>
      </w:r>
      <w:r>
        <w:rPr>
          <w:rFonts w:ascii="宋体" w:hAnsi="宋体" w:hint="eastAsia"/>
          <w:color w:val="000000"/>
          <w:sz w:val="24"/>
          <w:szCs w:val="24"/>
        </w:rPr>
        <w:t>交易单元</w:t>
      </w:r>
      <w:r>
        <w:rPr>
          <w:rFonts w:ascii="宋体" w:hAnsi="宋体"/>
          <w:color w:val="000000"/>
          <w:sz w:val="24"/>
          <w:szCs w:val="24"/>
        </w:rPr>
        <w:t>号、佣金费率等基金基本信息以及变更情况及时以书面形式通知基金托管人。</w:t>
      </w:r>
      <w:r>
        <w:rPr>
          <w:rFonts w:ascii="宋体" w:hAnsi="宋体" w:hint="eastAsia"/>
          <w:color w:val="000000"/>
          <w:sz w:val="24"/>
          <w:szCs w:val="24"/>
        </w:rPr>
        <w:t>因相关法律法规或交易规则的修改带来的变化以届时有效的法律法规和相关交易规则为准。</w:t>
      </w:r>
    </w:p>
    <w:p w:rsidR="008C0AE6" w:rsidRDefault="00392CEB">
      <w:pPr>
        <w:adjustRightInd w:val="0"/>
        <w:snapToGrid w:val="0"/>
        <w:spacing w:line="360" w:lineRule="auto"/>
        <w:ind w:firstLine="480"/>
        <w:rPr>
          <w:rFonts w:ascii="宋体" w:hAnsi="宋体"/>
          <w:sz w:val="28"/>
        </w:rPr>
      </w:pPr>
      <w:r>
        <w:rPr>
          <w:rFonts w:ascii="宋体" w:hAnsi="宋体" w:hint="eastAsia"/>
          <w:color w:val="000000"/>
          <w:sz w:val="24"/>
          <w:szCs w:val="24"/>
        </w:rPr>
        <w:t>基金管理人负责选择代理本基金股指期货交易的期货经纪机构，并与其签订期货经纪合同。</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（二）基金投资证券后的清算交收安排</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清算与交割</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基金托管人负责基金买卖证券的清算交收。资金汇划由基金托管人根据基金管理人的交易成交结果具体办理。</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如果因为基金托管人自身原因在清算上造成基金资产的损失，应由基金托管人负责赔偿基金的损失；</w:t>
      </w:r>
      <w:r>
        <w:rPr>
          <w:rFonts w:ascii="宋体" w:hAnsi="宋体" w:hint="eastAsia"/>
          <w:color w:val="000000"/>
          <w:sz w:val="24"/>
          <w:szCs w:val="24"/>
        </w:rPr>
        <w:t>如果因为基金管理人未事先通知基金托管人增加交易单元，致使基金托管人接收数据不完整，造成清算差错的责任由基金管理人承担；如果因为基金管理人未事先通知需要单独结算的交易，造成基金财产损失的由基金管理人承担；</w:t>
      </w:r>
      <w:r>
        <w:rPr>
          <w:rFonts w:ascii="宋体" w:hAnsi="宋体"/>
          <w:color w:val="000000"/>
          <w:sz w:val="24"/>
          <w:szCs w:val="24"/>
        </w:rPr>
        <w:t>如果由于基金管理人违反</w:t>
      </w:r>
      <w:r>
        <w:rPr>
          <w:rFonts w:ascii="宋体" w:hAnsi="宋体" w:hint="eastAsia"/>
          <w:color w:val="000000"/>
          <w:sz w:val="24"/>
          <w:szCs w:val="24"/>
        </w:rPr>
        <w:t>法律法规、交易规则的</w:t>
      </w:r>
      <w:r>
        <w:rPr>
          <w:rFonts w:ascii="宋体" w:hAnsi="宋体"/>
          <w:color w:val="000000"/>
          <w:sz w:val="24"/>
          <w:szCs w:val="24"/>
        </w:rPr>
        <w:t>规定进行超买、超卖等原因造成基金投资清算困难和风险，基金托管人发现后应立即通知基金管理人，由基金管理人负责解决，由此给基金造成的损失由基金管理人承担。</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基金管理人应采取合理措施，</w:t>
      </w:r>
      <w:r>
        <w:rPr>
          <w:rFonts w:ascii="宋体" w:hAnsi="宋体" w:hint="eastAsia"/>
          <w:color w:val="000000"/>
          <w:sz w:val="24"/>
          <w:szCs w:val="24"/>
        </w:rPr>
        <w:t>尽量</w:t>
      </w:r>
      <w:r>
        <w:rPr>
          <w:rFonts w:ascii="宋体" w:hAnsi="宋体"/>
          <w:color w:val="000000"/>
          <w:sz w:val="24"/>
          <w:szCs w:val="24"/>
        </w:rPr>
        <w:t>在T+1日上午</w:t>
      </w:r>
      <w:r>
        <w:rPr>
          <w:rFonts w:ascii="宋体" w:hAnsi="宋体" w:hint="eastAsia"/>
          <w:color w:val="000000"/>
          <w:sz w:val="24"/>
          <w:szCs w:val="24"/>
        </w:rPr>
        <w:t>11</w:t>
      </w:r>
      <w:r>
        <w:rPr>
          <w:rFonts w:ascii="宋体" w:hAnsi="宋体"/>
          <w:color w:val="000000"/>
          <w:sz w:val="24"/>
          <w:szCs w:val="24"/>
        </w:rPr>
        <w:t>:</w:t>
      </w:r>
      <w:r>
        <w:rPr>
          <w:rFonts w:ascii="宋体" w:hAnsi="宋体" w:hint="eastAsia"/>
          <w:color w:val="000000"/>
          <w:sz w:val="24"/>
          <w:szCs w:val="24"/>
        </w:rPr>
        <w:t>3</w:t>
      </w:r>
      <w:r>
        <w:rPr>
          <w:rFonts w:ascii="宋体" w:hAnsi="宋体"/>
          <w:color w:val="000000"/>
          <w:sz w:val="24"/>
          <w:szCs w:val="24"/>
        </w:rPr>
        <w:t>0</w:t>
      </w:r>
      <w:r>
        <w:rPr>
          <w:rFonts w:ascii="宋体" w:hAnsi="宋体" w:hint="eastAsia"/>
          <w:color w:val="000000"/>
          <w:sz w:val="24"/>
          <w:szCs w:val="24"/>
        </w:rPr>
        <w:t>、最迟不能超过T+1日13</w:t>
      </w:r>
      <w:r>
        <w:rPr>
          <w:rFonts w:ascii="宋体" w:hAnsi="宋体"/>
          <w:color w:val="000000"/>
          <w:sz w:val="24"/>
          <w:szCs w:val="24"/>
        </w:rPr>
        <w:t>:00前有足够的资金头寸用于中国证券登记结算</w:t>
      </w:r>
      <w:r>
        <w:rPr>
          <w:rFonts w:ascii="宋体" w:hAnsi="宋体" w:hint="eastAsia"/>
          <w:color w:val="000000"/>
          <w:sz w:val="24"/>
          <w:szCs w:val="24"/>
        </w:rPr>
        <w:t>有限责任</w:t>
      </w:r>
      <w:r>
        <w:rPr>
          <w:rFonts w:ascii="宋体" w:hAnsi="宋体"/>
          <w:color w:val="000000"/>
          <w:sz w:val="24"/>
          <w:szCs w:val="24"/>
        </w:rPr>
        <w:t>公司上海分公司和深圳分公司的资金结算。</w:t>
      </w:r>
    </w:p>
    <w:p w:rsidR="008C0AE6" w:rsidRDefault="00392CEB">
      <w:pPr>
        <w:adjustRightInd w:val="0"/>
        <w:snapToGrid w:val="0"/>
        <w:spacing w:line="360" w:lineRule="auto"/>
        <w:ind w:firstLine="482"/>
        <w:rPr>
          <w:rFonts w:ascii="宋体" w:hAnsi="宋体"/>
          <w:color w:val="000000"/>
          <w:sz w:val="24"/>
          <w:szCs w:val="24"/>
        </w:rPr>
      </w:pPr>
      <w:r>
        <w:rPr>
          <w:rFonts w:ascii="宋体" w:hAnsi="宋体"/>
          <w:color w:val="000000"/>
          <w:sz w:val="24"/>
          <w:szCs w:val="24"/>
        </w:rPr>
        <w:t>基金管理人应保证基金托管人在执行基金管理人发送的划款指令时，基金</w:t>
      </w:r>
      <w:r>
        <w:rPr>
          <w:rFonts w:ascii="宋体" w:hAnsi="宋体" w:hint="eastAsia"/>
          <w:color w:val="000000"/>
          <w:sz w:val="24"/>
          <w:szCs w:val="24"/>
        </w:rPr>
        <w:t>托管资金</w:t>
      </w:r>
      <w:r>
        <w:rPr>
          <w:rFonts w:ascii="宋体" w:hAnsi="宋体"/>
          <w:color w:val="000000"/>
          <w:sz w:val="24"/>
          <w:szCs w:val="24"/>
        </w:rPr>
        <w:t>账户或资金交收账户上有充足的资金。基金的资金头寸不足时，基金托管人有权拒绝基金管理人发送的划款指令</w:t>
      </w:r>
      <w:r>
        <w:rPr>
          <w:rFonts w:ascii="宋体" w:hAnsi="宋体" w:hint="eastAsia"/>
          <w:color w:val="000000"/>
          <w:sz w:val="24"/>
          <w:szCs w:val="24"/>
        </w:rPr>
        <w:t>，但应及时通知基金管理人</w:t>
      </w:r>
      <w:r>
        <w:rPr>
          <w:rFonts w:ascii="宋体" w:hAnsi="宋体"/>
          <w:color w:val="000000"/>
          <w:sz w:val="24"/>
          <w:szCs w:val="24"/>
        </w:rPr>
        <w:t>。基金管理人在发送划款指令时应充分考虑基金托管人的划款处理时间。在基金资金头寸充足的情况下，基金托管人对基金管理人符合法律法规、基金合同、本协议的指令不得拖延或拒绝执行。</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、交易记录、</w:t>
      </w:r>
      <w:r>
        <w:rPr>
          <w:rFonts w:ascii="宋体" w:hAnsi="宋体"/>
          <w:color w:val="000000"/>
          <w:sz w:val="24"/>
          <w:szCs w:val="24"/>
        </w:rPr>
        <w:t>资金和证券账目核对的时间和方式</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（1）交易记录的核对</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kern w:val="0"/>
          <w:sz w:val="24"/>
          <w:szCs w:val="24"/>
        </w:rPr>
        <w:t>基金管理人</w:t>
      </w:r>
      <w:r>
        <w:rPr>
          <w:rFonts w:ascii="宋体" w:hAnsi="宋体" w:hint="eastAsia"/>
          <w:color w:val="000000"/>
          <w:kern w:val="0"/>
          <w:sz w:val="24"/>
          <w:szCs w:val="24"/>
        </w:rPr>
        <w:t>和基金托管人</w:t>
      </w:r>
      <w:r>
        <w:rPr>
          <w:rFonts w:ascii="宋体" w:hAnsi="宋体"/>
          <w:color w:val="000000"/>
          <w:kern w:val="0"/>
          <w:sz w:val="24"/>
          <w:szCs w:val="24"/>
        </w:rPr>
        <w:t>按日进行交易记录的核对。每日对外披露净值之前，必须保证当天所有实际交易记录与基金会计账簿上的交易记录完全一致。如果实际交易记录与会计账簿记录不一致，造成基金会计核算不完整或不真实，</w:t>
      </w:r>
      <w:r>
        <w:rPr>
          <w:rFonts w:ascii="宋体" w:hAnsi="宋体" w:hint="eastAsia"/>
          <w:color w:val="000000"/>
          <w:kern w:val="0"/>
          <w:sz w:val="24"/>
          <w:szCs w:val="24"/>
        </w:rPr>
        <w:t xml:space="preserve">由此给基金造成的损失由基金管理人承担。 </w:t>
      </w:r>
      <w:r>
        <w:rPr>
          <w:rFonts w:ascii="宋体" w:hAnsi="宋体"/>
          <w:color w:val="000000"/>
          <w:kern w:val="0"/>
          <w:sz w:val="24"/>
          <w:szCs w:val="24"/>
        </w:rPr>
        <w:t xml:space="preserve"> </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（2）资金账目的核对</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资金账目按日核实，账实相符。</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（3）证券账目的核对</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基金托管人应按时核对证券账户中的种类和数量</w:t>
      </w:r>
      <w:r>
        <w:rPr>
          <w:rFonts w:ascii="宋体" w:hAnsi="宋体" w:hint="eastAsia"/>
          <w:color w:val="000000"/>
          <w:sz w:val="24"/>
          <w:szCs w:val="24"/>
        </w:rPr>
        <w:t>，确保每日交易结束后证券账户</w:t>
      </w:r>
      <w:proofErr w:type="gramStart"/>
      <w:r>
        <w:rPr>
          <w:rFonts w:ascii="宋体" w:hAnsi="宋体" w:hint="eastAsia"/>
          <w:color w:val="000000"/>
          <w:sz w:val="24"/>
          <w:szCs w:val="24"/>
        </w:rPr>
        <w:t>中证券</w:t>
      </w:r>
      <w:proofErr w:type="gramEnd"/>
      <w:r>
        <w:rPr>
          <w:rFonts w:ascii="宋体" w:hAnsi="宋体" w:hint="eastAsia"/>
          <w:color w:val="000000"/>
          <w:sz w:val="24"/>
          <w:szCs w:val="24"/>
        </w:rPr>
        <w:t>的种类和数量与基金会计账簿中的记载一致。</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（4）实物</w:t>
      </w:r>
      <w:proofErr w:type="gramStart"/>
      <w:r>
        <w:rPr>
          <w:rFonts w:ascii="宋体" w:hAnsi="宋体" w:hint="eastAsia"/>
          <w:color w:val="000000"/>
          <w:sz w:val="24"/>
          <w:szCs w:val="24"/>
        </w:rPr>
        <w:t>券</w:t>
      </w:r>
      <w:proofErr w:type="gramEnd"/>
      <w:r>
        <w:rPr>
          <w:rFonts w:ascii="宋体" w:hAnsi="宋体" w:hint="eastAsia"/>
          <w:color w:val="000000"/>
          <w:sz w:val="24"/>
          <w:szCs w:val="24"/>
        </w:rPr>
        <w:t>账目</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实物</w:t>
      </w:r>
      <w:proofErr w:type="gramStart"/>
      <w:r>
        <w:rPr>
          <w:rFonts w:ascii="宋体" w:hAnsi="宋体" w:hint="eastAsia"/>
          <w:color w:val="000000"/>
          <w:sz w:val="24"/>
          <w:szCs w:val="24"/>
        </w:rPr>
        <w:t>券</w:t>
      </w:r>
      <w:proofErr w:type="gramEnd"/>
      <w:r>
        <w:rPr>
          <w:rFonts w:ascii="宋体" w:hAnsi="宋体" w:hint="eastAsia"/>
          <w:color w:val="000000"/>
          <w:sz w:val="24"/>
          <w:szCs w:val="24"/>
        </w:rPr>
        <w:t>账目，每月月</w:t>
      </w:r>
      <w:proofErr w:type="gramStart"/>
      <w:r>
        <w:rPr>
          <w:rFonts w:ascii="宋体" w:hAnsi="宋体" w:hint="eastAsia"/>
          <w:color w:val="000000"/>
          <w:sz w:val="24"/>
          <w:szCs w:val="24"/>
        </w:rPr>
        <w:t>末相关</w:t>
      </w:r>
      <w:proofErr w:type="gramEnd"/>
      <w:r>
        <w:rPr>
          <w:rFonts w:ascii="宋体" w:hAnsi="宋体" w:hint="eastAsia"/>
          <w:color w:val="000000"/>
          <w:sz w:val="24"/>
          <w:szCs w:val="24"/>
        </w:rPr>
        <w:t>各方进行账实核对。</w:t>
      </w:r>
    </w:p>
    <w:p w:rsidR="008C0AE6" w:rsidRDefault="00392CEB">
      <w:pPr>
        <w:adjustRightInd w:val="0"/>
        <w:snapToGrid w:val="0"/>
        <w:spacing w:line="360" w:lineRule="auto"/>
        <w:ind w:firstLine="480"/>
        <w:outlineLvl w:val="0"/>
        <w:rPr>
          <w:rFonts w:ascii="宋体" w:hAnsi="宋体"/>
          <w:color w:val="000000"/>
          <w:sz w:val="24"/>
          <w:szCs w:val="24"/>
        </w:rPr>
      </w:pPr>
      <w:r>
        <w:rPr>
          <w:rFonts w:ascii="宋体" w:hAnsi="宋体"/>
          <w:color w:val="000000"/>
          <w:sz w:val="24"/>
          <w:szCs w:val="24"/>
        </w:rPr>
        <w:t>（三）基金申购</w:t>
      </w:r>
      <w:r>
        <w:rPr>
          <w:rFonts w:ascii="宋体" w:hAnsi="宋体" w:hint="eastAsia"/>
          <w:color w:val="000000"/>
          <w:sz w:val="24"/>
          <w:szCs w:val="24"/>
        </w:rPr>
        <w:t>、</w:t>
      </w:r>
      <w:r>
        <w:rPr>
          <w:rFonts w:ascii="宋体" w:hAnsi="宋体"/>
          <w:color w:val="000000"/>
          <w:sz w:val="24"/>
          <w:szCs w:val="24"/>
        </w:rPr>
        <w:t>赎回</w:t>
      </w:r>
      <w:r>
        <w:rPr>
          <w:rFonts w:ascii="宋体" w:hAnsi="宋体" w:hint="eastAsia"/>
          <w:color w:val="000000"/>
          <w:sz w:val="24"/>
          <w:szCs w:val="24"/>
        </w:rPr>
        <w:t>及转换</w:t>
      </w:r>
      <w:r>
        <w:rPr>
          <w:rFonts w:ascii="宋体" w:hAnsi="宋体"/>
          <w:color w:val="000000"/>
          <w:sz w:val="24"/>
          <w:szCs w:val="24"/>
        </w:rPr>
        <w:t>业务处理的基本规定</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基金份额申购、赎回</w:t>
      </w:r>
      <w:r>
        <w:rPr>
          <w:rFonts w:ascii="宋体" w:hAnsi="宋体" w:hint="eastAsia"/>
          <w:color w:val="000000"/>
          <w:sz w:val="24"/>
          <w:szCs w:val="24"/>
        </w:rPr>
        <w:t>及转换</w:t>
      </w:r>
      <w:r>
        <w:rPr>
          <w:rFonts w:ascii="宋体" w:hAnsi="宋体"/>
          <w:color w:val="000000"/>
          <w:sz w:val="24"/>
          <w:szCs w:val="24"/>
        </w:rPr>
        <w:t>的确认、清算由基金管理人指定的注册登记机构负责。</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基金管理人应将每个开放日的申购、赎回、转换开放式基金的数据传送给基金托管人。基金管理人应对传递的申购、赎回、转换开放式基金的数据真实性负责。</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基金管理人应保证其委托的注册登记机构必须于每个工作日向基金托管人发送前一开放</w:t>
      </w:r>
      <w:proofErr w:type="gramStart"/>
      <w:r>
        <w:rPr>
          <w:rFonts w:ascii="宋体" w:hAnsi="宋体"/>
          <w:color w:val="000000"/>
          <w:sz w:val="24"/>
          <w:szCs w:val="24"/>
        </w:rPr>
        <w:t>日上述</w:t>
      </w:r>
      <w:proofErr w:type="gramEnd"/>
      <w:r>
        <w:rPr>
          <w:rFonts w:ascii="宋体" w:hAnsi="宋体"/>
          <w:color w:val="000000"/>
          <w:sz w:val="24"/>
          <w:szCs w:val="24"/>
        </w:rPr>
        <w:t>有关数据，并保证相关数据的准确、完整。</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注册登记机构应通过与基金托管人建立的</w:t>
      </w:r>
      <w:r>
        <w:rPr>
          <w:rFonts w:ascii="宋体" w:hAnsi="宋体" w:hint="eastAsia"/>
          <w:color w:val="000000"/>
          <w:sz w:val="24"/>
          <w:szCs w:val="24"/>
        </w:rPr>
        <w:t>加密</w:t>
      </w:r>
      <w:r>
        <w:rPr>
          <w:rFonts w:ascii="宋体" w:hAnsi="宋体"/>
          <w:color w:val="000000"/>
          <w:sz w:val="24"/>
          <w:szCs w:val="24"/>
        </w:rPr>
        <w:t>系统发送有关数据(包括电子数据和盖章生效的纸制清算汇总表)，如因各种原因，该系统无法正常发送，双方可协商解决处理方式。基金管理人向基金托管人发送的数据，双方各自按有关规定保存。</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如基金管理人委托其他机构办理本基金的注册登记业务，上述事宜由基金管理人负责。</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关于清算专用账户的设立和管理</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为满足申购、赎回及分红资金汇划的需要，由基金管理人开立资金清算的专用账户，该账户由注册登记机构管理。</w:t>
      </w:r>
    </w:p>
    <w:p w:rsidR="008C0AE6" w:rsidRDefault="00392CEB">
      <w:pPr>
        <w:adjustRightInd w:val="0"/>
        <w:snapToGrid w:val="0"/>
        <w:spacing w:line="360" w:lineRule="auto"/>
        <w:ind w:firstLine="480"/>
        <w:rPr>
          <w:rFonts w:ascii="宋体" w:hAnsi="宋体"/>
          <w:color w:val="000000"/>
          <w:sz w:val="24"/>
          <w:szCs w:val="24"/>
        </w:rPr>
      </w:pPr>
      <w:r>
        <w:rPr>
          <w:rFonts w:ascii="宋体" w:hAnsi="宋体"/>
          <w:color w:val="000000"/>
          <w:sz w:val="24"/>
          <w:szCs w:val="24"/>
        </w:rPr>
        <w:t>（四）</w:t>
      </w:r>
      <w:r>
        <w:rPr>
          <w:rFonts w:ascii="宋体" w:hAnsi="宋体" w:hint="eastAsia"/>
          <w:color w:val="000000"/>
          <w:sz w:val="24"/>
          <w:szCs w:val="24"/>
        </w:rPr>
        <w:t>开放式基金申购、赎回和基金转换的资金清算</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基金申购、赎回、转换等款项采用</w:t>
      </w:r>
      <w:proofErr w:type="gramStart"/>
      <w:r>
        <w:rPr>
          <w:rFonts w:ascii="宋体" w:hAnsi="宋体" w:hint="eastAsia"/>
          <w:color w:val="000000"/>
          <w:sz w:val="24"/>
          <w:szCs w:val="24"/>
        </w:rPr>
        <w:t>轧差交收</w:t>
      </w:r>
      <w:proofErr w:type="gramEnd"/>
      <w:r>
        <w:rPr>
          <w:rFonts w:ascii="宋体" w:hAnsi="宋体" w:hint="eastAsia"/>
          <w:color w:val="000000"/>
          <w:sz w:val="24"/>
          <w:szCs w:val="24"/>
        </w:rPr>
        <w:t>的结算方式。当资产托管专户交收净额为净应收额时，基金管理人应在</w:t>
      </w:r>
      <w:proofErr w:type="gramStart"/>
      <w:r>
        <w:rPr>
          <w:rFonts w:ascii="宋体" w:hAnsi="宋体" w:hint="eastAsia"/>
          <w:color w:val="000000"/>
          <w:sz w:val="24"/>
          <w:szCs w:val="24"/>
        </w:rPr>
        <w:t>交收日</w:t>
      </w:r>
      <w:proofErr w:type="gramEnd"/>
      <w:r>
        <w:rPr>
          <w:rFonts w:ascii="宋体" w:hAnsi="宋体" w:hint="eastAsia"/>
          <w:color w:val="000000"/>
          <w:sz w:val="24"/>
          <w:szCs w:val="24"/>
        </w:rPr>
        <w:t>15:00之前将净应收额从中登TA基金清算备付金账户划到资产托管专户；当资产托管专户交收净额为净应付额时，基金管理人应在T-1日将划款指令发送给基金托管人，基金托管人按基金管理人的划款指令将净应付额在</w:t>
      </w:r>
      <w:proofErr w:type="gramStart"/>
      <w:r>
        <w:rPr>
          <w:rFonts w:ascii="宋体" w:hAnsi="宋体" w:hint="eastAsia"/>
          <w:color w:val="000000"/>
          <w:sz w:val="24"/>
          <w:szCs w:val="24"/>
        </w:rPr>
        <w:t>交收日</w:t>
      </w:r>
      <w:proofErr w:type="gramEnd"/>
      <w:r>
        <w:rPr>
          <w:rFonts w:ascii="宋体" w:hAnsi="宋体" w:hint="eastAsia"/>
          <w:color w:val="000000"/>
          <w:sz w:val="24"/>
          <w:szCs w:val="24"/>
        </w:rPr>
        <w:t>1</w:t>
      </w:r>
      <w:r>
        <w:rPr>
          <w:rFonts w:ascii="宋体" w:hAnsi="宋体"/>
          <w:color w:val="000000"/>
          <w:sz w:val="24"/>
          <w:szCs w:val="24"/>
        </w:rPr>
        <w:t>2</w:t>
      </w:r>
      <w:r>
        <w:rPr>
          <w:rFonts w:ascii="宋体" w:hAnsi="宋体" w:hint="eastAsia"/>
          <w:color w:val="000000"/>
          <w:sz w:val="24"/>
          <w:szCs w:val="24"/>
        </w:rPr>
        <w:t>：00前从资产托管专户划到中登TA基金清算备付金账户。</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如果当日基金为净应收款，基金托管人应及时查收资金是否到账，对于未准时到账的资金，应及时通知基金管理人划付，由此产生的责任应由基金管理人承担。</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如果当日基金为净应付款，基金托管人应根据基金管理人的指令及时进行划付。对于未准时划付的资金，基金管理人应及时通知基金托管人划付，由此产生的责任应由基金托管人承担。</w:t>
      </w:r>
      <w:r>
        <w:rPr>
          <w:rFonts w:ascii="宋体" w:hAnsi="宋体"/>
          <w:color w:val="000000"/>
          <w:sz w:val="24"/>
          <w:szCs w:val="24"/>
        </w:rPr>
        <w:t>因基金</w:t>
      </w:r>
      <w:r>
        <w:rPr>
          <w:rFonts w:ascii="宋体" w:hAnsi="宋体" w:hint="eastAsia"/>
          <w:color w:val="000000"/>
          <w:sz w:val="24"/>
          <w:szCs w:val="24"/>
        </w:rPr>
        <w:t>托管资金</w:t>
      </w:r>
      <w:r>
        <w:rPr>
          <w:rFonts w:ascii="宋体" w:hAnsi="宋体"/>
          <w:color w:val="000000"/>
          <w:sz w:val="24"/>
          <w:szCs w:val="24"/>
        </w:rPr>
        <w:t>账户没有足够的资金，导致基金托管人不能按时拨付，基金托管人不承担垫款义务。</w:t>
      </w:r>
    </w:p>
    <w:p w:rsidR="008C0AE6" w:rsidRDefault="00392CEB">
      <w:pPr>
        <w:spacing w:line="360" w:lineRule="auto"/>
        <w:ind w:firstLine="480"/>
        <w:rPr>
          <w:rFonts w:ascii="宋体" w:hAnsi="宋体"/>
          <w:color w:val="000000"/>
          <w:sz w:val="24"/>
          <w:szCs w:val="24"/>
        </w:rPr>
      </w:pPr>
      <w:r>
        <w:rPr>
          <w:rFonts w:ascii="宋体" w:hAnsi="宋体" w:hint="eastAsia"/>
          <w:color w:val="000000"/>
          <w:sz w:val="24"/>
          <w:szCs w:val="24"/>
        </w:rPr>
        <w:t>（五）基金现金分红</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1、基金管理人确定分红方案通知基金托管人，双方核定后依照《信息披露办法》的有关规定在中国证监会规定媒介上公告。</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2、基金托管人和基金管理人对基金分红进行账务处理并核对后，基金管理人向基金托管人发送现金红利的划款指令，基金托管人应在</w:t>
      </w:r>
      <w:proofErr w:type="gramStart"/>
      <w:r>
        <w:rPr>
          <w:rFonts w:ascii="宋体" w:hAnsi="宋体" w:hint="eastAsia"/>
          <w:color w:val="000000"/>
          <w:sz w:val="24"/>
          <w:szCs w:val="24"/>
        </w:rPr>
        <w:t>交收日</w:t>
      </w:r>
      <w:proofErr w:type="gramEnd"/>
      <w:r>
        <w:rPr>
          <w:rFonts w:ascii="宋体" w:hAnsi="宋体" w:hint="eastAsia"/>
          <w:color w:val="000000"/>
          <w:sz w:val="24"/>
          <w:szCs w:val="24"/>
        </w:rPr>
        <w:t>12：00前将资金划入专用账户。基金管理人在下达指令时，应给基金托管人留出必需的划款时间。基金托管人未按约定时间拨付，给投资人造成损失的，基金托管人应承担赔偿责任；因基金托管资金账户没有足够的资金，导致基金托管人不能按时拨付，基金托管人不承担垫款义务。</w:t>
      </w:r>
    </w:p>
    <w:p w:rsidR="008C0AE6" w:rsidRDefault="00392CEB">
      <w:pPr>
        <w:spacing w:line="360" w:lineRule="auto"/>
        <w:ind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六</w:t>
      </w:r>
      <w:r>
        <w:rPr>
          <w:rFonts w:ascii="宋体" w:hAnsi="宋体"/>
          <w:color w:val="000000"/>
          <w:sz w:val="24"/>
          <w:szCs w:val="24"/>
        </w:rPr>
        <w:t>）</w:t>
      </w:r>
      <w:r>
        <w:rPr>
          <w:rFonts w:ascii="宋体" w:hAnsi="宋体" w:hint="eastAsia"/>
          <w:color w:val="000000"/>
          <w:sz w:val="24"/>
          <w:szCs w:val="24"/>
        </w:rPr>
        <w:t>基金融资</w:t>
      </w:r>
    </w:p>
    <w:p w:rsidR="008C0AE6" w:rsidRDefault="00392CEB">
      <w:pPr>
        <w:adjustRightInd w:val="0"/>
        <w:snapToGrid w:val="0"/>
        <w:spacing w:line="360" w:lineRule="auto"/>
        <w:ind w:firstLine="480"/>
        <w:rPr>
          <w:rFonts w:ascii="宋体" w:hAnsi="宋体"/>
          <w:color w:val="000000"/>
          <w:sz w:val="24"/>
          <w:szCs w:val="24"/>
        </w:rPr>
      </w:pPr>
      <w:r>
        <w:rPr>
          <w:rFonts w:ascii="宋体" w:hAnsi="宋体" w:hint="eastAsia"/>
          <w:color w:val="000000"/>
          <w:sz w:val="24"/>
          <w:szCs w:val="24"/>
        </w:rPr>
        <w:t>如本基金按国家有关规定进行融资时，基金托管人应为基金融资提供必要的协助。</w:t>
      </w:r>
    </w:p>
    <w:p w:rsidR="008C0AE6" w:rsidRDefault="008C0AE6">
      <w:pPr>
        <w:adjustRightInd w:val="0"/>
        <w:snapToGrid w:val="0"/>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90" w:name="_Toc145818942"/>
      <w:r>
        <w:rPr>
          <w:rFonts w:ascii="宋体" w:eastAsia="宋体" w:hAnsi="宋体"/>
          <w:color w:val="000000"/>
          <w:sz w:val="24"/>
          <w:szCs w:val="24"/>
        </w:rPr>
        <w:t>八、基金资产净值计算和会计核算</w:t>
      </w:r>
      <w:bookmarkEnd w:id="90"/>
    </w:p>
    <w:p w:rsidR="008C0AE6" w:rsidRDefault="00392CEB">
      <w:pPr>
        <w:adjustRightInd w:val="0"/>
        <w:snapToGrid w:val="0"/>
        <w:spacing w:line="360" w:lineRule="auto"/>
        <w:ind w:firstLineChars="200" w:firstLine="480"/>
        <w:outlineLvl w:val="0"/>
        <w:rPr>
          <w:rFonts w:ascii="宋体" w:hAnsi="宋体"/>
          <w:color w:val="000000"/>
          <w:sz w:val="24"/>
          <w:szCs w:val="24"/>
        </w:rPr>
      </w:pPr>
      <w:bookmarkStart w:id="91" w:name="_Hlk489531436"/>
      <w:r>
        <w:rPr>
          <w:rFonts w:ascii="宋体" w:hAnsi="宋体"/>
          <w:color w:val="000000"/>
          <w:sz w:val="24"/>
          <w:szCs w:val="24"/>
        </w:rPr>
        <w:t>（一）基金资产净值的计算及</w:t>
      </w:r>
      <w:r>
        <w:rPr>
          <w:rFonts w:ascii="宋体" w:hAnsi="宋体" w:hint="eastAsia"/>
          <w:color w:val="000000"/>
          <w:sz w:val="24"/>
          <w:szCs w:val="24"/>
        </w:rPr>
        <w:t>复核</w:t>
      </w:r>
      <w:r>
        <w:rPr>
          <w:rFonts w:ascii="宋体" w:hAnsi="宋体"/>
          <w:color w:val="000000"/>
          <w:sz w:val="24"/>
          <w:szCs w:val="24"/>
        </w:rPr>
        <w:t>程序</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基金资产净值</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基金资产净值是指基金资产总值减去负债后的金额。</w:t>
      </w:r>
    </w:p>
    <w:p w:rsidR="008C0AE6" w:rsidRDefault="00392CEB">
      <w:pPr>
        <w:adjustRightInd w:val="0"/>
        <w:snapToGrid w:val="0"/>
        <w:spacing w:line="360" w:lineRule="auto"/>
        <w:ind w:firstLineChars="200" w:firstLine="480"/>
        <w:outlineLvl w:val="0"/>
        <w:rPr>
          <w:rFonts w:ascii="宋体" w:hAnsi="宋体"/>
          <w:color w:val="000000"/>
          <w:sz w:val="24"/>
          <w:szCs w:val="24"/>
        </w:rPr>
      </w:pPr>
      <w:bookmarkStart w:id="92" w:name="_Hlk61365955"/>
      <w:r>
        <w:rPr>
          <w:rFonts w:ascii="宋体" w:hAnsi="宋体" w:hint="eastAsia"/>
          <w:color w:val="000000"/>
          <w:sz w:val="24"/>
          <w:szCs w:val="24"/>
        </w:rPr>
        <w:t>各类基金份额的</w:t>
      </w:r>
      <w:bookmarkEnd w:id="92"/>
      <w:r>
        <w:rPr>
          <w:rFonts w:ascii="宋体" w:hAnsi="宋体"/>
          <w:color w:val="000000"/>
          <w:sz w:val="24"/>
          <w:szCs w:val="24"/>
        </w:rPr>
        <w:t>基金份额净值</w:t>
      </w:r>
      <w:r>
        <w:rPr>
          <w:rFonts w:ascii="宋体" w:hAnsi="宋体" w:hint="eastAsia"/>
          <w:color w:val="000000"/>
          <w:sz w:val="24"/>
          <w:szCs w:val="24"/>
        </w:rPr>
        <w:t>是按照每个工作日闭市后，</w:t>
      </w:r>
      <w:bookmarkStart w:id="93" w:name="_Hlk61365965"/>
      <w:r>
        <w:rPr>
          <w:rFonts w:ascii="宋体" w:hAnsi="宋体" w:hint="eastAsia"/>
          <w:color w:val="000000"/>
          <w:sz w:val="24"/>
          <w:szCs w:val="24"/>
        </w:rPr>
        <w:t>该类基金份额的</w:t>
      </w:r>
      <w:bookmarkEnd w:id="93"/>
      <w:r>
        <w:rPr>
          <w:rFonts w:ascii="宋体" w:hAnsi="宋体" w:hint="eastAsia"/>
          <w:color w:val="000000"/>
          <w:sz w:val="24"/>
          <w:szCs w:val="24"/>
        </w:rPr>
        <w:t>基金资产净值除以当日</w:t>
      </w:r>
      <w:bookmarkStart w:id="94" w:name="_Hlk61365979"/>
      <w:r>
        <w:rPr>
          <w:rFonts w:ascii="宋体" w:hAnsi="宋体" w:hint="eastAsia"/>
          <w:color w:val="000000"/>
          <w:sz w:val="24"/>
          <w:szCs w:val="24"/>
        </w:rPr>
        <w:t>该类</w:t>
      </w:r>
      <w:bookmarkEnd w:id="94"/>
      <w:r>
        <w:rPr>
          <w:rFonts w:ascii="宋体" w:hAnsi="宋体" w:hint="eastAsia"/>
          <w:color w:val="000000"/>
          <w:sz w:val="24"/>
          <w:szCs w:val="24"/>
        </w:rPr>
        <w:t>基金份额的余额数量计算</w:t>
      </w:r>
      <w:r>
        <w:rPr>
          <w:rFonts w:ascii="宋体" w:hAnsi="宋体"/>
          <w:color w:val="000000"/>
          <w:sz w:val="24"/>
          <w:szCs w:val="24"/>
        </w:rPr>
        <w:t>基金份额净值的计算，精确到0.0001元，小数点后第</w:t>
      </w:r>
      <w:r>
        <w:rPr>
          <w:rFonts w:ascii="宋体" w:hAnsi="宋体" w:hint="eastAsia"/>
          <w:color w:val="000000"/>
          <w:sz w:val="24"/>
          <w:szCs w:val="24"/>
        </w:rPr>
        <w:t>五</w:t>
      </w:r>
      <w:r>
        <w:rPr>
          <w:rFonts w:ascii="宋体" w:hAnsi="宋体"/>
          <w:color w:val="000000"/>
          <w:sz w:val="24"/>
          <w:szCs w:val="24"/>
        </w:rPr>
        <w:t>位四舍五入，</w:t>
      </w:r>
      <w:r>
        <w:rPr>
          <w:rFonts w:ascii="宋体" w:hAnsi="宋体" w:hint="eastAsia"/>
          <w:color w:val="000000"/>
          <w:sz w:val="24"/>
          <w:szCs w:val="24"/>
        </w:rPr>
        <w:t>由此产生的误差计入基金财产。</w:t>
      </w:r>
      <w:r>
        <w:rPr>
          <w:rFonts w:ascii="宋体" w:hAnsi="宋体" w:hint="eastAsia"/>
          <w:sz w:val="24"/>
        </w:rPr>
        <w:t>基金管理人可以设立大额赎回情形下的净值精度应急调整机制，具体可参见相关公告。</w:t>
      </w:r>
      <w:r>
        <w:rPr>
          <w:rFonts w:ascii="宋体" w:hAnsi="宋体"/>
          <w:color w:val="000000"/>
          <w:sz w:val="24"/>
          <w:szCs w:val="24"/>
        </w:rPr>
        <w:t>国家另有规定的，从其规定。</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每工作日计算基金资产净值及基金份额净值，并按规定公告。</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复核程序</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基金管理人每工作日对基金资产进行估值后，将基金份额净值结果发送基金托管人，经基金托管人复核无误后，由基金管理人</w:t>
      </w:r>
      <w:r>
        <w:rPr>
          <w:rFonts w:ascii="宋体" w:hAnsi="宋体" w:hint="eastAsia"/>
          <w:color w:val="000000"/>
          <w:sz w:val="24"/>
          <w:szCs w:val="24"/>
        </w:rPr>
        <w:t>依据基金合同和有关法律法规的规定</w:t>
      </w:r>
      <w:r>
        <w:rPr>
          <w:rFonts w:ascii="宋体" w:hAnsi="宋体"/>
          <w:color w:val="000000"/>
          <w:sz w:val="24"/>
          <w:szCs w:val="24"/>
        </w:rPr>
        <w:t>对外公布。</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（二）基金资产估值方法和特殊情形的处理</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估值对象</w:t>
      </w:r>
    </w:p>
    <w:p w:rsidR="008C0AE6" w:rsidRDefault="00392CEB">
      <w:pPr>
        <w:adjustRightInd w:val="0"/>
        <w:snapToGrid w:val="0"/>
        <w:spacing w:line="360" w:lineRule="auto"/>
        <w:ind w:firstLineChars="200" w:firstLine="480"/>
        <w:rPr>
          <w:rFonts w:ascii="宋体" w:hAnsi="宋体"/>
          <w:sz w:val="24"/>
          <w:szCs w:val="24"/>
        </w:rPr>
      </w:pPr>
      <w:r>
        <w:rPr>
          <w:bCs/>
          <w:sz w:val="24"/>
        </w:rPr>
        <w:t>基金所拥有的</w:t>
      </w:r>
      <w:r>
        <w:rPr>
          <w:rFonts w:hint="eastAsia"/>
          <w:bCs/>
          <w:sz w:val="24"/>
        </w:rPr>
        <w:t>股票、债券、衍生工具和其它投资等持续以公允价值计量的金融资产及负债</w:t>
      </w:r>
      <w:r>
        <w:rPr>
          <w:rFonts w:ascii="宋体" w:hAnsi="宋体"/>
          <w:sz w:val="24"/>
          <w:szCs w:val="24"/>
        </w:rPr>
        <w:t>。</w:t>
      </w:r>
    </w:p>
    <w:p w:rsidR="008C0AE6" w:rsidRDefault="00392CEB">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估值方法</w:t>
      </w:r>
    </w:p>
    <w:p w:rsidR="008C0AE6" w:rsidRDefault="00392CE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）证券交易所上市的有价证券的估值</w:t>
      </w:r>
    </w:p>
    <w:p w:rsidR="008C0AE6" w:rsidRDefault="00392CEB">
      <w:pPr>
        <w:spacing w:line="360" w:lineRule="auto"/>
        <w:ind w:firstLineChars="200" w:firstLine="480"/>
        <w:rPr>
          <w:bCs/>
          <w:sz w:val="24"/>
        </w:rPr>
      </w:pP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C0AE6" w:rsidRDefault="00392CEB">
      <w:pPr>
        <w:spacing w:line="360" w:lineRule="auto"/>
        <w:ind w:firstLineChars="200" w:firstLine="480"/>
        <w:rPr>
          <w:bCs/>
          <w:sz w:val="24"/>
        </w:rPr>
      </w:pPr>
      <w:r>
        <w:rPr>
          <w:rFonts w:hint="eastAsia"/>
          <w:bCs/>
          <w:sz w:val="24"/>
        </w:rPr>
        <w:t>2</w:t>
      </w:r>
      <w:r>
        <w:rPr>
          <w:rFonts w:hint="eastAsia"/>
          <w:bCs/>
          <w:sz w:val="24"/>
        </w:rPr>
        <w:t>）交易所上市交易或挂牌转让的固定收益品种（另有规定的除外），选取估值日第三方估值机构提供的相应品种当日的估值净价进行估值；</w:t>
      </w:r>
    </w:p>
    <w:p w:rsidR="008C0AE6" w:rsidRDefault="00392CEB">
      <w:pPr>
        <w:spacing w:line="360" w:lineRule="auto"/>
        <w:ind w:firstLineChars="200" w:firstLine="480"/>
        <w:rPr>
          <w:bCs/>
          <w:sz w:val="24"/>
        </w:rPr>
      </w:pPr>
      <w:r>
        <w:rPr>
          <w:rFonts w:hint="eastAsia"/>
          <w:bCs/>
          <w:sz w:val="24"/>
        </w:rPr>
        <w:t>3</w:t>
      </w:r>
      <w:r>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rsidR="008C0AE6" w:rsidRDefault="00392CEB">
      <w:pPr>
        <w:spacing w:line="360" w:lineRule="auto"/>
        <w:ind w:firstLineChars="200" w:firstLine="480"/>
        <w:rPr>
          <w:bCs/>
          <w:sz w:val="24"/>
        </w:rPr>
      </w:pPr>
      <w:r>
        <w:rPr>
          <w:rFonts w:hint="eastAsia"/>
          <w:bCs/>
          <w:sz w:val="24"/>
        </w:rPr>
        <w:t>4</w:t>
      </w:r>
      <w:r>
        <w:rPr>
          <w:rFonts w:hint="eastAsia"/>
          <w:bCs/>
          <w:sz w:val="24"/>
        </w:rPr>
        <w:t>）交易所上市实行全价交易的债券（可转债除外），选取第三方估值机构提供的估值全价减去估值全价中所含的债券（税后）应收利息得到的净价进行估值；</w:t>
      </w:r>
    </w:p>
    <w:p w:rsidR="008C0AE6" w:rsidRDefault="00392CEB">
      <w:pPr>
        <w:spacing w:line="360" w:lineRule="auto"/>
        <w:ind w:firstLineChars="200" w:firstLine="480"/>
        <w:rPr>
          <w:bCs/>
          <w:sz w:val="24"/>
        </w:rPr>
      </w:pP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rsidR="008C0AE6" w:rsidRDefault="00392CEB">
      <w:pPr>
        <w:spacing w:line="360" w:lineRule="auto"/>
        <w:ind w:firstLineChars="200" w:firstLine="480"/>
        <w:rPr>
          <w:bCs/>
          <w:sz w:val="24"/>
        </w:rPr>
      </w:pP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8C0AE6" w:rsidRDefault="00392CE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）处于未上市期间的有价证券应区分如下情况处理：</w:t>
      </w:r>
    </w:p>
    <w:p w:rsidR="008C0AE6" w:rsidRDefault="00392CEB">
      <w:pPr>
        <w:spacing w:line="360" w:lineRule="auto"/>
        <w:ind w:firstLineChars="200" w:firstLine="480"/>
        <w:rPr>
          <w:bCs/>
          <w:sz w:val="24"/>
        </w:rPr>
      </w:pP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8C0AE6" w:rsidRDefault="00392CEB">
      <w:pPr>
        <w:spacing w:line="360" w:lineRule="auto"/>
        <w:ind w:firstLineChars="200" w:firstLine="480"/>
        <w:rPr>
          <w:bCs/>
          <w:sz w:val="24"/>
        </w:rPr>
      </w:pPr>
      <w:r>
        <w:rPr>
          <w:rFonts w:hint="eastAsia"/>
          <w:bCs/>
          <w:sz w:val="24"/>
        </w:rPr>
        <w:t>2</w:t>
      </w:r>
      <w:r>
        <w:rPr>
          <w:rFonts w:hint="eastAsia"/>
          <w:bCs/>
          <w:sz w:val="24"/>
        </w:rPr>
        <w:t>）首次公开发行未上市的股票和债券，采用估值技术确定公允价值，在估值技术难以可靠计量公允价值的情况下，按成本估值；</w:t>
      </w:r>
    </w:p>
    <w:p w:rsidR="008C0AE6" w:rsidRDefault="00392CEB">
      <w:pPr>
        <w:spacing w:line="360" w:lineRule="auto"/>
        <w:ind w:firstLineChars="200" w:firstLine="480"/>
        <w:rPr>
          <w:bCs/>
          <w:sz w:val="24"/>
        </w:rPr>
      </w:pP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8C0AE6" w:rsidRDefault="00392CE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C0AE6" w:rsidRDefault="00392CE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rsidR="008C0AE6" w:rsidRDefault="00392CEB">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）同一证券同时在两个或两个以上市场交易的，按证券所处的市场分别估值。</w:t>
      </w:r>
    </w:p>
    <w:p w:rsidR="008C0AE6" w:rsidRDefault="00392CEB">
      <w:pPr>
        <w:spacing w:line="360" w:lineRule="auto"/>
        <w:ind w:firstLineChars="200" w:firstLine="480"/>
        <w:rPr>
          <w:bCs/>
          <w:sz w:val="24"/>
        </w:rPr>
      </w:pPr>
      <w:r>
        <w:rPr>
          <w:rFonts w:hint="eastAsia"/>
          <w:bCs/>
          <w:sz w:val="24"/>
        </w:rPr>
        <w:t>估值计算中涉及港币对人民币汇率的，将依据下列信息提供机构所提供的汇率为基准：当日中国人民银行或其授权机构公布的人民币汇率中间价。</w:t>
      </w:r>
    </w:p>
    <w:p w:rsidR="008C0AE6" w:rsidRDefault="00392CEB">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C0AE6" w:rsidRDefault="00392CEB">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）当发生大额申购或赎回情形时，基金管理人可以采用摆动定价机制，以确保基金估值的公平性。</w:t>
      </w:r>
    </w:p>
    <w:p w:rsidR="008C0AE6" w:rsidRDefault="00392CEB">
      <w:pPr>
        <w:spacing w:line="360" w:lineRule="auto"/>
        <w:ind w:firstLineChars="200" w:firstLine="480"/>
        <w:rPr>
          <w:bCs/>
          <w:sz w:val="24"/>
        </w:rPr>
      </w:pPr>
      <w:r>
        <w:rPr>
          <w:rFonts w:hint="eastAsia"/>
          <w:bCs/>
          <w:sz w:val="24"/>
        </w:rPr>
        <w:t>（</w:t>
      </w:r>
      <w:r>
        <w:rPr>
          <w:bCs/>
          <w:sz w:val="24"/>
        </w:rPr>
        <w:t>7</w:t>
      </w:r>
      <w:r>
        <w:rPr>
          <w:rFonts w:hint="eastAsia"/>
          <w:bCs/>
          <w:sz w:val="24"/>
        </w:rPr>
        <w:t>）本基金投资存托凭证的估值核算依照境内上市交易的股票执行。</w:t>
      </w:r>
    </w:p>
    <w:p w:rsidR="008C0AE6" w:rsidRDefault="00392CEB">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）如有确凿证据表明按上述方法进行估值不能客观反映其公允价值的，基金管理人可根据具体情况与基金托管人商定后，按最能反映公允价值的价格估值。</w:t>
      </w:r>
    </w:p>
    <w:p w:rsidR="008C0AE6" w:rsidRDefault="00392CEB">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）相关法律法规以及监管部门有强制规定的，从其规定。如有新增事项，按国家最新规定估值。</w:t>
      </w:r>
    </w:p>
    <w:p w:rsidR="008C0AE6" w:rsidRDefault="00392CEB">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C0AE6" w:rsidRDefault="00392CEB">
      <w:pPr>
        <w:spacing w:line="360" w:lineRule="auto"/>
        <w:ind w:firstLineChars="200" w:firstLine="480"/>
        <w:rPr>
          <w:bCs/>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C0AE6" w:rsidRDefault="00392CEB">
      <w:pPr>
        <w:adjustRightInd w:val="0"/>
        <w:snapToGrid w:val="0"/>
        <w:spacing w:line="360" w:lineRule="auto"/>
        <w:ind w:firstLineChars="200" w:firstLine="480"/>
        <w:rPr>
          <w:rStyle w:val="read"/>
          <w:rFonts w:ascii="宋体" w:hAnsi="宋体"/>
          <w:color w:val="000000"/>
          <w:sz w:val="24"/>
          <w:szCs w:val="24"/>
        </w:rPr>
      </w:pPr>
      <w:r>
        <w:rPr>
          <w:rStyle w:val="read"/>
          <w:rFonts w:ascii="宋体" w:hAnsi="宋体"/>
          <w:color w:val="000000"/>
          <w:sz w:val="24"/>
          <w:szCs w:val="24"/>
        </w:rPr>
        <w:t>3</w:t>
      </w:r>
      <w:r>
        <w:rPr>
          <w:rStyle w:val="read"/>
          <w:rFonts w:ascii="宋体" w:hAnsi="宋体" w:hint="eastAsia"/>
          <w:color w:val="000000"/>
          <w:sz w:val="24"/>
          <w:szCs w:val="24"/>
        </w:rPr>
        <w:t>、</w:t>
      </w:r>
      <w:r>
        <w:rPr>
          <w:rStyle w:val="read"/>
          <w:rFonts w:ascii="宋体" w:hAnsi="宋体"/>
          <w:color w:val="000000"/>
          <w:sz w:val="24"/>
          <w:szCs w:val="24"/>
        </w:rPr>
        <w:t>特殊情形的处理</w:t>
      </w:r>
    </w:p>
    <w:p w:rsidR="008C0AE6" w:rsidRDefault="00392CEB">
      <w:pPr>
        <w:adjustRightInd w:val="0"/>
        <w:snapToGrid w:val="0"/>
        <w:spacing w:line="360" w:lineRule="auto"/>
        <w:ind w:firstLineChars="200" w:firstLine="480"/>
        <w:rPr>
          <w:rStyle w:val="read"/>
          <w:rFonts w:ascii="宋体" w:hAnsi="宋体"/>
          <w:color w:val="000000"/>
          <w:sz w:val="24"/>
          <w:szCs w:val="24"/>
        </w:rPr>
      </w:pPr>
      <w:r>
        <w:rPr>
          <w:rStyle w:val="read"/>
          <w:rFonts w:ascii="宋体" w:hAnsi="宋体" w:hint="eastAsia"/>
          <w:color w:val="000000"/>
          <w:sz w:val="24"/>
          <w:szCs w:val="24"/>
        </w:rPr>
        <w:t>（1）</w:t>
      </w:r>
      <w:r>
        <w:rPr>
          <w:rStyle w:val="read"/>
          <w:rFonts w:ascii="宋体" w:hAnsi="宋体"/>
          <w:color w:val="000000"/>
          <w:sz w:val="24"/>
          <w:szCs w:val="24"/>
        </w:rPr>
        <w:t>基金管理人、基金托管人按估值方法的第</w:t>
      </w:r>
      <w:r>
        <w:rPr>
          <w:rStyle w:val="read"/>
          <w:rFonts w:ascii="宋体" w:hAnsi="宋体" w:hint="eastAsia"/>
          <w:color w:val="000000"/>
          <w:sz w:val="24"/>
          <w:szCs w:val="24"/>
        </w:rPr>
        <w:t>（</w:t>
      </w:r>
      <w:r>
        <w:rPr>
          <w:rStyle w:val="read"/>
          <w:rFonts w:ascii="宋体" w:hAnsi="宋体"/>
          <w:color w:val="000000"/>
          <w:sz w:val="24"/>
          <w:szCs w:val="24"/>
        </w:rPr>
        <w:t>8</w:t>
      </w:r>
      <w:r>
        <w:rPr>
          <w:rStyle w:val="read"/>
          <w:rFonts w:ascii="宋体" w:hAnsi="宋体" w:hint="eastAsia"/>
          <w:color w:val="000000"/>
          <w:sz w:val="24"/>
          <w:szCs w:val="24"/>
        </w:rPr>
        <w:t>）项</w:t>
      </w:r>
      <w:r>
        <w:rPr>
          <w:rStyle w:val="read"/>
          <w:rFonts w:ascii="宋体" w:hAnsi="宋体"/>
          <w:color w:val="000000"/>
          <w:sz w:val="24"/>
          <w:szCs w:val="24"/>
        </w:rPr>
        <w:t>进行估值时，所造成的误差不作为基金份额净值错误处理。</w:t>
      </w:r>
    </w:p>
    <w:p w:rsidR="008C0AE6" w:rsidRDefault="00392CEB">
      <w:pPr>
        <w:adjustRightInd w:val="0"/>
        <w:snapToGrid w:val="0"/>
        <w:spacing w:line="360" w:lineRule="auto"/>
        <w:ind w:firstLineChars="200" w:firstLine="480"/>
        <w:rPr>
          <w:rStyle w:val="read"/>
          <w:rFonts w:ascii="宋体" w:hAnsi="宋体"/>
          <w:color w:val="000000"/>
          <w:sz w:val="24"/>
          <w:szCs w:val="24"/>
        </w:rPr>
      </w:pPr>
      <w:r>
        <w:rPr>
          <w:rStyle w:val="read"/>
          <w:rFonts w:ascii="宋体" w:hAnsi="宋体" w:hint="eastAsia"/>
          <w:color w:val="000000"/>
          <w:sz w:val="24"/>
          <w:szCs w:val="24"/>
        </w:rPr>
        <w:t>（2）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8C0AE6" w:rsidRDefault="00392CEB">
      <w:pPr>
        <w:adjustRightInd w:val="0"/>
        <w:snapToGrid w:val="0"/>
        <w:spacing w:line="360" w:lineRule="auto"/>
        <w:ind w:firstLineChars="200" w:firstLine="480"/>
        <w:rPr>
          <w:rStyle w:val="read"/>
          <w:rFonts w:ascii="宋体" w:hAnsi="宋体"/>
          <w:color w:val="000000"/>
          <w:sz w:val="24"/>
          <w:szCs w:val="24"/>
        </w:rPr>
      </w:pPr>
      <w:r>
        <w:rPr>
          <w:rStyle w:val="read"/>
          <w:rFonts w:ascii="宋体" w:hAnsi="宋体"/>
          <w:color w:val="000000"/>
          <w:sz w:val="24"/>
          <w:szCs w:val="24"/>
        </w:rPr>
        <w:t>（三）基金份额净值错误的处理方式</w:t>
      </w:r>
    </w:p>
    <w:p w:rsidR="008C0AE6" w:rsidRDefault="00392CEB">
      <w:pPr>
        <w:adjustRightInd w:val="0"/>
        <w:snapToGrid w:val="0"/>
        <w:spacing w:line="360" w:lineRule="auto"/>
        <w:ind w:firstLineChars="200" w:firstLine="480"/>
        <w:rPr>
          <w:rStyle w:val="read"/>
          <w:rFonts w:ascii="宋体" w:hAnsi="宋体"/>
          <w:color w:val="000000"/>
          <w:sz w:val="24"/>
          <w:szCs w:val="24"/>
        </w:rPr>
      </w:pPr>
      <w:r>
        <w:rPr>
          <w:rFonts w:ascii="宋体" w:hAnsi="宋体" w:hint="eastAsia"/>
          <w:sz w:val="24"/>
          <w:szCs w:val="24"/>
        </w:rPr>
        <w:t>1、</w:t>
      </w:r>
      <w:r>
        <w:rPr>
          <w:rStyle w:val="read"/>
          <w:rFonts w:ascii="宋体" w:hAnsi="宋体"/>
          <w:color w:val="000000"/>
          <w:sz w:val="24"/>
          <w:szCs w:val="24"/>
        </w:rPr>
        <w:t>当基金份额净值小数点后4位以内(含第4位)发生差错时，视为基金份额净值错误；基金份额净值出现错误时，基金管理人应当立即予以纠正，通报基金托管人，并采取合理的措施防止损失进一步扩大；</w:t>
      </w:r>
      <w:r>
        <w:rPr>
          <w:rFonts w:ascii="宋体" w:hAnsi="宋体" w:hint="eastAsia"/>
          <w:kern w:val="0"/>
          <w:sz w:val="24"/>
          <w:szCs w:val="24"/>
        </w:rPr>
        <w:t>错误</w:t>
      </w:r>
      <w:r>
        <w:rPr>
          <w:rStyle w:val="read"/>
          <w:rFonts w:ascii="宋体" w:hAnsi="宋体"/>
          <w:color w:val="000000"/>
          <w:sz w:val="24"/>
          <w:szCs w:val="24"/>
        </w:rPr>
        <w:t>偏差</w:t>
      </w:r>
      <w:r>
        <w:rPr>
          <w:rFonts w:ascii="宋体" w:hAnsi="宋体" w:hint="eastAsia"/>
          <w:kern w:val="0"/>
          <w:sz w:val="24"/>
          <w:szCs w:val="24"/>
        </w:rPr>
        <w:t>达到或超过</w:t>
      </w:r>
      <w:r>
        <w:rPr>
          <w:rFonts w:ascii="宋体" w:hAnsi="宋体"/>
          <w:kern w:val="0"/>
          <w:sz w:val="24"/>
          <w:szCs w:val="24"/>
        </w:rPr>
        <w:t>基金份额净值</w:t>
      </w:r>
      <w:r>
        <w:rPr>
          <w:rFonts w:ascii="宋体" w:hAnsi="宋体" w:hint="eastAsia"/>
          <w:kern w:val="0"/>
          <w:sz w:val="24"/>
          <w:szCs w:val="24"/>
        </w:rPr>
        <w:t>的0.25%时，基金管理人应当及时通知基金托管人并报中国证监会；</w:t>
      </w:r>
      <w:r>
        <w:rPr>
          <w:rFonts w:ascii="宋体" w:hAnsi="宋体"/>
          <w:kern w:val="0"/>
          <w:sz w:val="24"/>
          <w:szCs w:val="24"/>
        </w:rPr>
        <w:t>错误偏差达到基金份额净值的</w:t>
      </w:r>
      <w:r>
        <w:rPr>
          <w:rFonts w:ascii="宋体" w:hAnsi="宋体" w:hint="eastAsia"/>
          <w:kern w:val="0"/>
          <w:sz w:val="24"/>
          <w:szCs w:val="24"/>
        </w:rPr>
        <w:t>0.50%</w:t>
      </w:r>
      <w:r>
        <w:rPr>
          <w:rFonts w:ascii="宋体" w:hAnsi="宋体"/>
          <w:kern w:val="0"/>
          <w:sz w:val="24"/>
          <w:szCs w:val="24"/>
        </w:rPr>
        <w:t>时，基</w:t>
      </w:r>
      <w:r>
        <w:rPr>
          <w:rStyle w:val="read"/>
          <w:rFonts w:ascii="宋体" w:hAnsi="宋体"/>
          <w:color w:val="000000"/>
          <w:sz w:val="24"/>
          <w:szCs w:val="24"/>
        </w:rPr>
        <w:t>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8C0AE6" w:rsidRDefault="00392CEB">
      <w:pPr>
        <w:adjustRightInd w:val="0"/>
        <w:snapToGrid w:val="0"/>
        <w:spacing w:line="360" w:lineRule="auto"/>
        <w:ind w:firstLineChars="200" w:firstLine="480"/>
        <w:rPr>
          <w:rStyle w:val="read"/>
          <w:rFonts w:ascii="宋体" w:hAnsi="宋体"/>
          <w:color w:val="000000"/>
          <w:sz w:val="24"/>
          <w:szCs w:val="24"/>
        </w:rPr>
      </w:pPr>
      <w:r>
        <w:rPr>
          <w:rFonts w:ascii="宋体" w:hAnsi="宋体" w:hint="eastAsia"/>
          <w:sz w:val="24"/>
          <w:szCs w:val="24"/>
        </w:rPr>
        <w:t>2、</w:t>
      </w:r>
      <w:r>
        <w:rPr>
          <w:rStyle w:val="read"/>
          <w:rFonts w:ascii="宋体" w:hAnsi="宋体"/>
          <w:color w:val="000000"/>
          <w:sz w:val="24"/>
          <w:szCs w:val="24"/>
        </w:rPr>
        <w:t>当基金份额净值计算差错给基金和基金份额持有人造成损失需要进行赔偿时，基金管理人和基金托管人应根据实际情况界定双方承担的责任，经确认后按以下条款进行赔偿：</w:t>
      </w:r>
    </w:p>
    <w:p w:rsidR="008C0AE6" w:rsidRDefault="00392CEB">
      <w:pPr>
        <w:adjustRightInd w:val="0"/>
        <w:snapToGrid w:val="0"/>
        <w:spacing w:line="360" w:lineRule="auto"/>
        <w:rPr>
          <w:rFonts w:ascii="宋体" w:hAnsi="宋体"/>
          <w:color w:val="000000"/>
          <w:sz w:val="24"/>
          <w:szCs w:val="24"/>
        </w:rPr>
      </w:pPr>
      <w:r>
        <w:rPr>
          <w:rStyle w:val="read"/>
          <w:rFonts w:ascii="宋体" w:hAnsi="宋体" w:hint="eastAsia"/>
          <w:color w:val="000000"/>
          <w:sz w:val="24"/>
          <w:szCs w:val="24"/>
        </w:rPr>
        <w:t xml:space="preserve">  （1）</w:t>
      </w:r>
      <w:r>
        <w:rPr>
          <w:rStyle w:val="read"/>
          <w:rFonts w:ascii="宋体" w:hAnsi="宋体"/>
          <w:color w:val="000000"/>
          <w:sz w:val="24"/>
          <w:szCs w:val="24"/>
        </w:rPr>
        <w:t>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color w:val="000000"/>
          <w:sz w:val="24"/>
          <w:szCs w:val="24"/>
        </w:rPr>
        <w:t>损失，由基金管理人负责赔付。</w:t>
      </w:r>
    </w:p>
    <w:p w:rsidR="008C0AE6" w:rsidRDefault="00392CEB">
      <w:pPr>
        <w:adjustRightInd w:val="0"/>
        <w:snapToGrid w:val="0"/>
        <w:spacing w:line="360" w:lineRule="auto"/>
        <w:rPr>
          <w:rStyle w:val="read"/>
          <w:rFonts w:ascii="宋体" w:hAnsi="宋体"/>
          <w:color w:val="000000"/>
          <w:sz w:val="24"/>
          <w:szCs w:val="24"/>
        </w:rPr>
      </w:pPr>
      <w:r>
        <w:rPr>
          <w:rStyle w:val="read"/>
          <w:rFonts w:ascii="宋体" w:hAnsi="宋体" w:hint="eastAsia"/>
          <w:color w:val="000000"/>
          <w:sz w:val="24"/>
          <w:szCs w:val="24"/>
        </w:rPr>
        <w:t xml:space="preserve">  （2）</w:t>
      </w:r>
      <w:proofErr w:type="gramStart"/>
      <w:r>
        <w:rPr>
          <w:rFonts w:ascii="宋体" w:hAnsi="宋体"/>
          <w:color w:val="000000"/>
          <w:kern w:val="0"/>
          <w:sz w:val="24"/>
          <w:szCs w:val="24"/>
        </w:rPr>
        <w:t>若基金</w:t>
      </w:r>
      <w:proofErr w:type="gramEnd"/>
      <w:r>
        <w:rPr>
          <w:rFonts w:ascii="宋体" w:hAnsi="宋体"/>
          <w:color w:val="000000"/>
          <w:kern w:val="0"/>
          <w:sz w:val="24"/>
          <w:szCs w:val="24"/>
        </w:rPr>
        <w:t>管理人计算的基金份额净值已由基金托管人复核确认后公告，</w:t>
      </w:r>
      <w:r>
        <w:rPr>
          <w:rFonts w:ascii="宋体" w:hAnsi="宋体" w:hint="eastAsia"/>
          <w:color w:val="000000"/>
          <w:kern w:val="0"/>
          <w:sz w:val="24"/>
          <w:szCs w:val="24"/>
        </w:rPr>
        <w:t>基金</w:t>
      </w:r>
      <w:r>
        <w:rPr>
          <w:rFonts w:ascii="宋体" w:hAnsi="宋体"/>
          <w:color w:val="000000"/>
          <w:kern w:val="0"/>
          <w:sz w:val="24"/>
          <w:szCs w:val="24"/>
        </w:rPr>
        <w:t>份额净值出错且造成基金份额持有人损失的，应根据法律法规的规定对</w:t>
      </w:r>
      <w:r>
        <w:rPr>
          <w:rFonts w:ascii="宋体" w:hAnsi="宋体" w:hint="eastAsia"/>
          <w:color w:val="000000"/>
          <w:kern w:val="0"/>
          <w:sz w:val="24"/>
          <w:szCs w:val="24"/>
        </w:rPr>
        <w:t>基金份额持有人</w:t>
      </w:r>
      <w:r>
        <w:rPr>
          <w:rFonts w:ascii="宋体" w:hAnsi="宋体"/>
          <w:color w:val="000000"/>
          <w:kern w:val="0"/>
          <w:sz w:val="24"/>
          <w:szCs w:val="24"/>
        </w:rPr>
        <w:t>或基金支付赔偿金，就实际向</w:t>
      </w:r>
      <w:r>
        <w:rPr>
          <w:rFonts w:ascii="宋体" w:hAnsi="宋体" w:hint="eastAsia"/>
          <w:color w:val="000000"/>
          <w:kern w:val="0"/>
          <w:sz w:val="24"/>
          <w:szCs w:val="24"/>
        </w:rPr>
        <w:t>基金份额持有人</w:t>
      </w:r>
      <w:r>
        <w:rPr>
          <w:rFonts w:ascii="宋体" w:hAnsi="宋体"/>
          <w:color w:val="000000"/>
          <w:kern w:val="0"/>
          <w:sz w:val="24"/>
          <w:szCs w:val="24"/>
        </w:rPr>
        <w:t>或基金支付的赔偿金额，</w:t>
      </w:r>
      <w:r>
        <w:rPr>
          <w:rStyle w:val="read"/>
          <w:rFonts w:ascii="宋体" w:hAnsi="宋体"/>
          <w:color w:val="000000"/>
          <w:sz w:val="24"/>
          <w:szCs w:val="24"/>
        </w:rPr>
        <w:t>其中基金管理人承担</w:t>
      </w:r>
      <w:r>
        <w:rPr>
          <w:rStyle w:val="read"/>
          <w:rFonts w:ascii="宋体" w:hAnsi="宋体" w:hint="eastAsia"/>
          <w:color w:val="000000"/>
          <w:sz w:val="24"/>
          <w:szCs w:val="24"/>
        </w:rPr>
        <w:t>5</w:t>
      </w:r>
      <w:r>
        <w:rPr>
          <w:rStyle w:val="read"/>
          <w:rFonts w:ascii="宋体" w:hAnsi="宋体"/>
          <w:color w:val="000000"/>
          <w:sz w:val="24"/>
          <w:szCs w:val="24"/>
        </w:rPr>
        <w:t>0%，基金托管人承担</w:t>
      </w:r>
      <w:r>
        <w:rPr>
          <w:rStyle w:val="read"/>
          <w:rFonts w:ascii="宋体" w:hAnsi="宋体" w:hint="eastAsia"/>
          <w:color w:val="000000"/>
          <w:sz w:val="24"/>
          <w:szCs w:val="24"/>
        </w:rPr>
        <w:t>5</w:t>
      </w:r>
      <w:r>
        <w:rPr>
          <w:rStyle w:val="read"/>
          <w:rFonts w:ascii="宋体" w:hAnsi="宋体"/>
          <w:color w:val="000000"/>
          <w:sz w:val="24"/>
          <w:szCs w:val="24"/>
        </w:rPr>
        <w:t>0%。</w:t>
      </w:r>
    </w:p>
    <w:p w:rsidR="008C0AE6" w:rsidRDefault="00392CEB">
      <w:pPr>
        <w:adjustRightInd w:val="0"/>
        <w:snapToGrid w:val="0"/>
        <w:spacing w:line="360" w:lineRule="auto"/>
        <w:rPr>
          <w:rFonts w:ascii="宋体" w:hAnsi="宋体"/>
          <w:color w:val="000000"/>
          <w:sz w:val="24"/>
          <w:szCs w:val="24"/>
        </w:rPr>
      </w:pPr>
      <w:r>
        <w:rPr>
          <w:rStyle w:val="read"/>
          <w:rFonts w:ascii="宋体" w:hAnsi="宋体" w:hint="eastAsia"/>
          <w:color w:val="000000"/>
          <w:sz w:val="24"/>
          <w:szCs w:val="24"/>
        </w:rPr>
        <w:t xml:space="preserve">  （3）</w:t>
      </w:r>
      <w:r>
        <w:rPr>
          <w:rFonts w:ascii="宋体" w:hAnsi="宋体"/>
          <w:color w:val="000000"/>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C0AE6" w:rsidRDefault="00392CEB">
      <w:pPr>
        <w:adjustRightInd w:val="0"/>
        <w:snapToGrid w:val="0"/>
        <w:spacing w:line="360" w:lineRule="auto"/>
        <w:rPr>
          <w:rFonts w:ascii="宋体" w:hAnsi="宋体"/>
          <w:color w:val="000000"/>
          <w:kern w:val="0"/>
          <w:sz w:val="24"/>
          <w:szCs w:val="24"/>
        </w:rPr>
      </w:pPr>
      <w:r>
        <w:rPr>
          <w:rStyle w:val="read"/>
          <w:rFonts w:ascii="宋体" w:hAnsi="宋体" w:hint="eastAsia"/>
          <w:color w:val="000000"/>
          <w:sz w:val="24"/>
          <w:szCs w:val="24"/>
        </w:rPr>
        <w:t xml:space="preserve">  （4）</w:t>
      </w:r>
      <w:r>
        <w:rPr>
          <w:rFonts w:ascii="宋体" w:hAnsi="宋体"/>
          <w:color w:val="000000"/>
          <w:kern w:val="0"/>
          <w:sz w:val="24"/>
          <w:szCs w:val="24"/>
        </w:rPr>
        <w:t>由于基金管理人提供的信息错误（包括但不限于基金申购或赎回金额等），</w:t>
      </w:r>
      <w:r>
        <w:rPr>
          <w:rFonts w:ascii="宋体" w:hAnsi="宋体" w:hint="eastAsia"/>
          <w:color w:val="000000"/>
          <w:kern w:val="0"/>
          <w:sz w:val="24"/>
          <w:szCs w:val="24"/>
        </w:rPr>
        <w:t>基金托管人在履行了正常的复核程序后仍不能发现该错误，</w:t>
      </w:r>
      <w:r>
        <w:rPr>
          <w:rFonts w:ascii="宋体" w:hAnsi="宋体"/>
          <w:color w:val="000000"/>
          <w:kern w:val="0"/>
          <w:sz w:val="24"/>
          <w:szCs w:val="24"/>
        </w:rPr>
        <w:t>进而导致基金份额净值计算错误而引起的基金份额持有人和基金</w:t>
      </w:r>
      <w:r>
        <w:rPr>
          <w:rFonts w:ascii="宋体" w:hAnsi="宋体" w:hint="eastAsia"/>
          <w:color w:val="000000"/>
          <w:kern w:val="0"/>
          <w:sz w:val="24"/>
          <w:szCs w:val="24"/>
        </w:rPr>
        <w:t>财产</w:t>
      </w:r>
      <w:r>
        <w:rPr>
          <w:rFonts w:ascii="宋体" w:hAnsi="宋体"/>
          <w:color w:val="000000"/>
          <w:kern w:val="0"/>
          <w:sz w:val="24"/>
          <w:szCs w:val="24"/>
        </w:rPr>
        <w:t>的损失，由基金管理人负责赔付</w:t>
      </w:r>
      <w:r>
        <w:rPr>
          <w:rFonts w:ascii="宋体" w:hAnsi="宋体" w:hint="eastAsia"/>
          <w:color w:val="000000"/>
          <w:kern w:val="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基金管理人和基金托管人由于各自技术系统设置而产生的净值计算尾差，以基金管理人计算结果为准。</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前述内容如法律法规或监管机关另有规定的，从其规定处理。如果行业有通行做法，双方当事人应本着平等和保护基金份额持有人利益的原则进行协商。</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（四）暂停估值与公告基金份额净值的情形</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基金投资所涉及的证券</w:t>
      </w:r>
      <w:r>
        <w:rPr>
          <w:rFonts w:ascii="宋体" w:hAnsi="宋体" w:hint="eastAsia"/>
          <w:color w:val="000000"/>
          <w:sz w:val="24"/>
          <w:szCs w:val="24"/>
        </w:rPr>
        <w:t>、</w:t>
      </w:r>
      <w:r>
        <w:rPr>
          <w:rFonts w:ascii="宋体" w:hAnsi="宋体"/>
          <w:color w:val="000000"/>
          <w:sz w:val="24"/>
          <w:szCs w:val="24"/>
        </w:rPr>
        <w:t>期货交易</w:t>
      </w:r>
      <w:r>
        <w:rPr>
          <w:rFonts w:ascii="宋体" w:hAnsi="宋体" w:hint="eastAsia"/>
          <w:color w:val="000000"/>
          <w:sz w:val="24"/>
          <w:szCs w:val="24"/>
        </w:rPr>
        <w:t>市场</w:t>
      </w:r>
      <w:r>
        <w:rPr>
          <w:rFonts w:ascii="宋体" w:hAnsi="宋体"/>
          <w:color w:val="000000"/>
          <w:sz w:val="24"/>
          <w:szCs w:val="24"/>
        </w:rPr>
        <w:t>遇法定节假日或因其他原因暂停</w:t>
      </w:r>
      <w:r>
        <w:rPr>
          <w:rFonts w:ascii="宋体" w:hAnsi="宋体" w:hint="eastAsia"/>
          <w:color w:val="000000"/>
          <w:sz w:val="24"/>
          <w:szCs w:val="24"/>
        </w:rPr>
        <w:t>营业</w:t>
      </w:r>
      <w:r>
        <w:rPr>
          <w:rFonts w:ascii="宋体" w:hAnsi="宋体"/>
          <w:color w:val="000000"/>
          <w:sz w:val="24"/>
          <w:szCs w:val="24"/>
        </w:rPr>
        <w:t>时；</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因不可抗力致使基金管理人、基金托管人无法准确评估基金资产价值时；</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3、当特定资产占前一估值日基金资产净值50%以上的，经与基金托管人协商确认后，基金管理人应当暂停估值</w:t>
      </w:r>
      <w:r>
        <w:rPr>
          <w:rFonts w:ascii="宋体" w:hAnsi="宋体"/>
          <w:color w:val="000000"/>
          <w:sz w:val="24"/>
          <w:szCs w:val="24"/>
        </w:rPr>
        <w:t>；</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4、法律法规、</w:t>
      </w:r>
      <w:r>
        <w:rPr>
          <w:rFonts w:ascii="宋体" w:hAnsi="宋体"/>
          <w:color w:val="000000"/>
          <w:sz w:val="24"/>
          <w:szCs w:val="24"/>
        </w:rPr>
        <w:t>中国证监会和基金合同认定的其他情形。</w:t>
      </w:r>
    </w:p>
    <w:bookmarkEnd w:id="91"/>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（五）基金会计制度</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按国家有关部门规定的会计制度执行。</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（六）基金账册的建立</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sz w:val="24"/>
          <w:szCs w:val="24"/>
        </w:rPr>
        <w:t>基金管理人进行基金会计核算并编制基金财务会计报告。基金管理人独立地设置、记录和保管本基金的全套账册。基金托管人按规定制作相关账册并与基金管理人核对。</w:t>
      </w:r>
      <w:proofErr w:type="gramStart"/>
      <w:r>
        <w:rPr>
          <w:rFonts w:ascii="宋体" w:hAnsi="宋体" w:hint="eastAsia"/>
          <w:sz w:val="24"/>
          <w:szCs w:val="24"/>
        </w:rPr>
        <w:t>若基金</w:t>
      </w:r>
      <w:proofErr w:type="gramEnd"/>
      <w:r>
        <w:rPr>
          <w:rFonts w:ascii="宋体" w:hAnsi="宋体"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（七）基金财务报表与报告的编制和复核</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财务报表的编制</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基金管理人应当及时编制并对外提供真实、完整的基金财务会计报告。</w:t>
      </w:r>
      <w:r>
        <w:rPr>
          <w:rFonts w:ascii="宋体" w:hAnsi="宋体"/>
          <w:color w:val="000000"/>
          <w:sz w:val="24"/>
          <w:szCs w:val="24"/>
        </w:rPr>
        <w:t>月度报表的编制，基金管理人应于每月终了后5</w:t>
      </w:r>
      <w:r>
        <w:rPr>
          <w:rFonts w:ascii="宋体" w:hAnsi="宋体" w:hint="eastAsia"/>
          <w:color w:val="000000"/>
          <w:sz w:val="24"/>
          <w:szCs w:val="24"/>
        </w:rPr>
        <w:t>个工作</w:t>
      </w:r>
      <w:r>
        <w:rPr>
          <w:rFonts w:ascii="宋体" w:hAnsi="宋体"/>
          <w:color w:val="000000"/>
          <w:sz w:val="24"/>
          <w:szCs w:val="24"/>
        </w:rPr>
        <w:t>日内完成；季度报告应在季度结束之日起1</w:t>
      </w:r>
      <w:r>
        <w:rPr>
          <w:rFonts w:ascii="宋体" w:hAnsi="宋体" w:hint="eastAsia"/>
          <w:color w:val="000000"/>
          <w:sz w:val="24"/>
          <w:szCs w:val="24"/>
        </w:rPr>
        <w:t>5</w:t>
      </w:r>
      <w:r>
        <w:rPr>
          <w:rFonts w:ascii="宋体" w:hAnsi="宋体"/>
          <w:color w:val="000000"/>
          <w:sz w:val="24"/>
          <w:szCs w:val="24"/>
        </w:rPr>
        <w:t>个工作日内编制完毕并予以公告；</w:t>
      </w:r>
      <w:r>
        <w:rPr>
          <w:rFonts w:ascii="宋体" w:hAnsi="宋体" w:hint="eastAsia"/>
          <w:color w:val="000000"/>
          <w:sz w:val="24"/>
          <w:szCs w:val="24"/>
        </w:rPr>
        <w:t>中期</w:t>
      </w:r>
      <w:r>
        <w:rPr>
          <w:rFonts w:ascii="宋体" w:hAnsi="宋体"/>
          <w:color w:val="000000"/>
          <w:sz w:val="24"/>
          <w:szCs w:val="24"/>
        </w:rPr>
        <w:t>报告在会计年度半年终了后</w:t>
      </w:r>
      <w:r>
        <w:rPr>
          <w:rFonts w:ascii="宋体" w:hAnsi="宋体" w:hint="eastAsia"/>
          <w:color w:val="000000"/>
          <w:sz w:val="24"/>
          <w:szCs w:val="24"/>
        </w:rPr>
        <w:t>两个月</w:t>
      </w:r>
      <w:r>
        <w:rPr>
          <w:rFonts w:ascii="宋体" w:hAnsi="宋体"/>
          <w:color w:val="000000"/>
          <w:sz w:val="24"/>
          <w:szCs w:val="24"/>
        </w:rPr>
        <w:t>内编制完毕并予以公告；年度报告在会计年度结束后</w:t>
      </w:r>
      <w:r>
        <w:rPr>
          <w:rFonts w:ascii="宋体" w:hAnsi="宋体" w:hint="eastAsia"/>
          <w:color w:val="000000"/>
          <w:sz w:val="24"/>
          <w:szCs w:val="24"/>
        </w:rPr>
        <w:t>三个月</w:t>
      </w:r>
      <w:r>
        <w:rPr>
          <w:rFonts w:ascii="宋体" w:hAnsi="宋体"/>
          <w:color w:val="000000"/>
          <w:sz w:val="24"/>
          <w:szCs w:val="24"/>
        </w:rPr>
        <w:t>内编制完毕</w:t>
      </w:r>
      <w:r>
        <w:rPr>
          <w:rFonts w:ascii="宋体" w:hAnsi="宋体" w:hint="eastAsia"/>
          <w:color w:val="000000"/>
          <w:sz w:val="24"/>
          <w:szCs w:val="24"/>
        </w:rPr>
        <w:t>并</w:t>
      </w:r>
      <w:r>
        <w:rPr>
          <w:rFonts w:ascii="宋体" w:hAnsi="宋体"/>
          <w:color w:val="000000"/>
          <w:sz w:val="24"/>
          <w:szCs w:val="24"/>
        </w:rPr>
        <w:t>予以公告。</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报表复核</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基金管理人在报表或定期报告完成当日，对报表盖章后，以加密传真方式或双方书面商定的其他方式将有关报表提供基金托管人复核。</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基金管理人在月度报表完成当日，将报表盖章后提供给基金托管人复核；基金托管人在收到后应在</w:t>
      </w:r>
      <w:r>
        <w:rPr>
          <w:rFonts w:ascii="宋体" w:hAnsi="宋体" w:hint="eastAsia"/>
          <w:color w:val="000000"/>
          <w:sz w:val="24"/>
          <w:szCs w:val="24"/>
        </w:rPr>
        <w:t>3</w:t>
      </w:r>
      <w:r>
        <w:rPr>
          <w:rFonts w:ascii="宋体" w:hAnsi="宋体"/>
          <w:color w:val="000000"/>
          <w:sz w:val="24"/>
          <w:szCs w:val="24"/>
        </w:rPr>
        <w:t>日内进行复核，并将复核结果书面通知基金管理人。基金管理人在季度报告完成当日，将有关报告提供给基金托管人复核，基金托管人应在收到后7个工作日内完成复核，并将复核结果书面通知基金管理人。基金管理人在</w:t>
      </w:r>
      <w:r>
        <w:rPr>
          <w:rFonts w:ascii="宋体" w:hAnsi="宋体" w:hint="eastAsia"/>
          <w:color w:val="000000"/>
          <w:sz w:val="24"/>
          <w:szCs w:val="24"/>
        </w:rPr>
        <w:t>中期</w:t>
      </w:r>
      <w:r>
        <w:rPr>
          <w:rFonts w:ascii="宋体" w:hAnsi="宋体"/>
          <w:color w:val="000000"/>
          <w:sz w:val="24"/>
          <w:szCs w:val="24"/>
        </w:rPr>
        <w:t>报告完成当日，将有关报告提供给基金托管人复核，基金托管人应在收到后</w:t>
      </w:r>
      <w:r>
        <w:rPr>
          <w:rFonts w:ascii="宋体" w:hAnsi="宋体" w:hint="eastAsia"/>
          <w:color w:val="000000"/>
          <w:sz w:val="24"/>
          <w:szCs w:val="24"/>
        </w:rPr>
        <w:t>3</w:t>
      </w:r>
      <w:r>
        <w:rPr>
          <w:rFonts w:ascii="宋体" w:hAnsi="宋体"/>
          <w:color w:val="000000"/>
          <w:sz w:val="24"/>
          <w:szCs w:val="24"/>
        </w:rPr>
        <w:t>0日内完成复核，并将复核结果书面通知基金管理人。基金管理人在年度报告完成当日，将有关报告提供基金托管人复核，基金托管人应在收到后</w:t>
      </w:r>
      <w:r>
        <w:rPr>
          <w:rFonts w:ascii="宋体" w:hAnsi="宋体" w:hint="eastAsia"/>
          <w:color w:val="000000"/>
          <w:sz w:val="24"/>
          <w:szCs w:val="24"/>
        </w:rPr>
        <w:t>45</w:t>
      </w:r>
      <w:r>
        <w:rPr>
          <w:rFonts w:ascii="宋体" w:hAnsi="宋体"/>
          <w:color w:val="000000"/>
          <w:sz w:val="24"/>
          <w:szCs w:val="24"/>
        </w:rPr>
        <w:t>日内完成复核，并将复核结果书面通知基金管理人。基金管理人和基金托管人之间的上述文件往来均以加密传真的方式或双方商定的其他方式进行。</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w:t>
      </w:r>
      <w:proofErr w:type="gramStart"/>
      <w:r>
        <w:rPr>
          <w:rFonts w:ascii="宋体" w:hAnsi="宋体"/>
          <w:color w:val="000000"/>
          <w:sz w:val="24"/>
          <w:szCs w:val="24"/>
        </w:rPr>
        <w:t>于应当</w:t>
      </w:r>
      <w:proofErr w:type="gramEnd"/>
      <w:r>
        <w:rPr>
          <w:rFonts w:ascii="宋体" w:hAnsi="宋体"/>
          <w:color w:val="000000"/>
          <w:sz w:val="24"/>
          <w:szCs w:val="24"/>
        </w:rPr>
        <w:t>发布公告之日之前就相关报表达成一致，基金管理人有权按照其编制的报表对外发布公告，基金托管人有权就相关情况报中国证监会备案。</w:t>
      </w:r>
    </w:p>
    <w:p w:rsidR="008C0AE6" w:rsidRDefault="008C0AE6">
      <w:pPr>
        <w:adjustRightInd w:val="0"/>
        <w:snapToGrid w:val="0"/>
        <w:spacing w:line="360" w:lineRule="auto"/>
        <w:ind w:firstLineChars="200" w:firstLine="480"/>
        <w:outlineLvl w:val="0"/>
        <w:rPr>
          <w:rFonts w:ascii="宋体" w:hAnsi="宋体"/>
          <w:color w:val="000000"/>
          <w:sz w:val="24"/>
          <w:szCs w:val="24"/>
        </w:rPr>
      </w:pPr>
    </w:p>
    <w:p w:rsidR="008C0AE6" w:rsidRDefault="008C0AE6">
      <w:pPr>
        <w:adjustRightInd w:val="0"/>
        <w:snapToGrid w:val="0"/>
        <w:spacing w:line="360" w:lineRule="auto"/>
        <w:ind w:firstLineChars="200" w:firstLine="480"/>
        <w:outlineLvl w:val="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95" w:name="_Toc145818943"/>
      <w:r>
        <w:rPr>
          <w:rFonts w:ascii="宋体" w:eastAsia="宋体" w:hAnsi="宋体"/>
          <w:color w:val="000000"/>
          <w:sz w:val="24"/>
          <w:szCs w:val="24"/>
        </w:rPr>
        <w:t>九、基金收益分配</w:t>
      </w:r>
      <w:bookmarkEnd w:id="95"/>
    </w:p>
    <w:p w:rsidR="008C0AE6" w:rsidRDefault="00392CEB">
      <w:pPr>
        <w:adjustRightInd w:val="0"/>
        <w:snapToGrid w:val="0"/>
        <w:spacing w:line="360" w:lineRule="auto"/>
        <w:ind w:firstLineChars="200" w:firstLine="480"/>
        <w:rPr>
          <w:rFonts w:ascii="宋体" w:hAnsi="宋体"/>
          <w:color w:val="000000"/>
          <w:sz w:val="24"/>
          <w:szCs w:val="24"/>
        </w:rPr>
      </w:pPr>
      <w:bookmarkStart w:id="96" w:name="_Hlk489531449"/>
      <w:r>
        <w:rPr>
          <w:rFonts w:ascii="宋体" w:hAnsi="宋体"/>
          <w:color w:val="000000"/>
          <w:sz w:val="24"/>
          <w:szCs w:val="24"/>
        </w:rPr>
        <w:t>基金收益分配是指按规定将基金的可</w:t>
      </w:r>
      <w:r>
        <w:rPr>
          <w:rFonts w:ascii="宋体" w:hAnsi="宋体" w:hint="eastAsia"/>
          <w:color w:val="000000"/>
          <w:sz w:val="24"/>
          <w:szCs w:val="24"/>
        </w:rPr>
        <w:t>供</w:t>
      </w:r>
      <w:r>
        <w:rPr>
          <w:rFonts w:ascii="宋体" w:hAnsi="宋体"/>
          <w:color w:val="000000"/>
          <w:sz w:val="24"/>
          <w:szCs w:val="24"/>
        </w:rPr>
        <w:t>分配</w:t>
      </w:r>
      <w:r>
        <w:rPr>
          <w:rFonts w:ascii="宋体" w:hAnsi="宋体" w:hint="eastAsia"/>
          <w:color w:val="000000"/>
          <w:sz w:val="24"/>
          <w:szCs w:val="24"/>
        </w:rPr>
        <w:t>利润</w:t>
      </w:r>
      <w:r>
        <w:rPr>
          <w:rFonts w:ascii="宋体" w:hAnsi="宋体"/>
          <w:color w:val="000000"/>
          <w:sz w:val="24"/>
          <w:szCs w:val="24"/>
        </w:rPr>
        <w:t>按基金份额进行比例分配。</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（一）基金收益分配的原则</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基金收益分配应遵循下列原则：</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hint="eastAsia"/>
        </w:rPr>
        <w:t xml:space="preserve"> </w:t>
      </w:r>
      <w:r>
        <w:rPr>
          <w:rFonts w:ascii="宋体" w:hAnsi="宋体" w:hint="eastAsia"/>
          <w:color w:val="000000"/>
          <w:sz w:val="24"/>
          <w:szCs w:val="24"/>
        </w:rPr>
        <w:t>由于本基金A类基金份额不收取销售服务费，C类基金份额收取销售服务费，各基金份额类别对应的可供分配利润将有所不同；</w:t>
      </w:r>
      <w:r>
        <w:rPr>
          <w:rFonts w:ascii="宋体" w:hAnsi="宋体" w:hint="eastAsia"/>
          <w:bCs/>
          <w:color w:val="000000"/>
          <w:sz w:val="24"/>
          <w:szCs w:val="24"/>
        </w:rPr>
        <w:t>本基金同一基金份额类别的每一基金份额享有同等分配权；</w:t>
      </w:r>
      <w:r>
        <w:rPr>
          <w:rFonts w:ascii="宋体" w:hAnsi="宋体"/>
          <w:color w:val="000000"/>
          <w:sz w:val="24"/>
          <w:szCs w:val="24"/>
        </w:rPr>
        <w:t xml:space="preserve"> </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hint="eastAsia"/>
        </w:rPr>
        <w:t xml:space="preserve"> </w:t>
      </w:r>
      <w:r>
        <w:rPr>
          <w:rFonts w:ascii="宋体" w:hAnsi="宋体" w:hint="eastAsia"/>
          <w:color w:val="000000"/>
          <w:sz w:val="24"/>
          <w:szCs w:val="24"/>
        </w:rPr>
        <w:t>在符合有关基金分红条件的前提下，本基金管理人可以根据实际情况进行收益分配，具体分配方案以公告为准，若《基金合同》生效不满3个月可不进行收益分配；</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.基金收益分配后任一类基金份额净值不能低于面值；即基金收益分配基准日的</w:t>
      </w:r>
      <w:r>
        <w:rPr>
          <w:rFonts w:ascii="宋体" w:hAnsi="宋体" w:hint="eastAsia"/>
          <w:sz w:val="24"/>
        </w:rPr>
        <w:t>任一类</w:t>
      </w:r>
      <w:r>
        <w:rPr>
          <w:rFonts w:ascii="宋体" w:hAnsi="宋体" w:hint="eastAsia"/>
          <w:color w:val="000000"/>
          <w:sz w:val="24"/>
          <w:szCs w:val="24"/>
        </w:rPr>
        <w:t>基金份额净值减去每</w:t>
      </w:r>
      <w:r>
        <w:rPr>
          <w:rFonts w:ascii="宋体" w:hAnsi="宋体"/>
          <w:sz w:val="24"/>
        </w:rPr>
        <w:t>单位该类</w:t>
      </w:r>
      <w:r>
        <w:rPr>
          <w:rFonts w:ascii="宋体" w:hAnsi="宋体" w:hint="eastAsia"/>
          <w:color w:val="000000"/>
          <w:sz w:val="24"/>
          <w:szCs w:val="24"/>
        </w:rPr>
        <w:t>基金份额收益分配金额后不能低于面值；</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.本基金收益分配方式分为两种：现金分红与红利再投资，基金投资者可选择现金红利或将现金红利自动转为</w:t>
      </w:r>
      <w:r>
        <w:rPr>
          <w:rFonts w:ascii="宋体" w:hAnsi="宋体" w:hint="eastAsia"/>
          <w:sz w:val="24"/>
        </w:rPr>
        <w:t>相应类别的</w:t>
      </w:r>
      <w:r>
        <w:rPr>
          <w:rFonts w:ascii="宋体" w:hAnsi="宋体" w:hint="eastAsia"/>
          <w:color w:val="000000"/>
          <w:sz w:val="24"/>
          <w:szCs w:val="24"/>
        </w:rPr>
        <w:t>基金份额进行再投资；若投资者不选择，本基金默认的收益分配方式是现金分红；基金份额持有人可对其持有的A类基金份额和C类基金份额分别选择不同的收益分配方式；</w:t>
      </w:r>
    </w:p>
    <w:p w:rsidR="008C0AE6" w:rsidRDefault="00392CEB">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法律法规或监管机构另有规定的从其规定。</w:t>
      </w:r>
    </w:p>
    <w:p w:rsidR="008C0AE6" w:rsidRDefault="00392CEB">
      <w:pPr>
        <w:spacing w:line="360" w:lineRule="auto"/>
        <w:ind w:firstLineChars="200" w:firstLine="480"/>
        <w:rPr>
          <w:rFonts w:ascii="宋体" w:hAnsi="宋体"/>
          <w:sz w:val="24"/>
          <w:szCs w:val="24"/>
        </w:rPr>
      </w:pPr>
      <w:r>
        <w:rPr>
          <w:rFonts w:ascii="宋体" w:hAnsi="宋体"/>
          <w:sz w:val="24"/>
          <w:szCs w:val="24"/>
        </w:rPr>
        <w:t>（二）基金收益分配</w:t>
      </w:r>
      <w:r>
        <w:rPr>
          <w:rFonts w:ascii="宋体" w:hAnsi="宋体" w:hint="eastAsia"/>
          <w:sz w:val="24"/>
          <w:szCs w:val="24"/>
        </w:rPr>
        <w:t>方案</w:t>
      </w:r>
      <w:r>
        <w:rPr>
          <w:rFonts w:ascii="宋体" w:hAnsi="宋体"/>
          <w:sz w:val="24"/>
          <w:szCs w:val="24"/>
        </w:rPr>
        <w:t>的</w:t>
      </w:r>
      <w:r>
        <w:rPr>
          <w:rFonts w:ascii="宋体" w:hAnsi="宋体" w:hint="eastAsia"/>
          <w:sz w:val="24"/>
          <w:szCs w:val="24"/>
        </w:rPr>
        <w:t>确定、公告与实施</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本基金收益分配方案由基金管理人拟定、由基金托管人核实后确定，基金管理人按法律法规的规定公告。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.本基金收益分配的发放</w:t>
      </w:r>
      <w:proofErr w:type="gramStart"/>
      <w:r>
        <w:rPr>
          <w:rFonts w:ascii="宋体" w:hAnsi="宋体" w:hint="eastAsia"/>
          <w:color w:val="000000"/>
          <w:sz w:val="24"/>
          <w:szCs w:val="24"/>
        </w:rPr>
        <w:t>日距离</w:t>
      </w:r>
      <w:proofErr w:type="gramEnd"/>
      <w:r>
        <w:rPr>
          <w:rFonts w:ascii="宋体" w:hAnsi="宋体" w:hint="eastAsia"/>
          <w:color w:val="000000"/>
          <w:sz w:val="24"/>
          <w:szCs w:val="24"/>
        </w:rPr>
        <w:t>收益分配基准日的时间不超过15个工作日。</w:t>
      </w:r>
      <w:r>
        <w:rPr>
          <w:rFonts w:ascii="宋体" w:hAnsi="宋体"/>
          <w:color w:val="000000"/>
          <w:sz w:val="24"/>
          <w:szCs w:val="24"/>
        </w:rPr>
        <w:t>在分配方案公布后(依据具体方案的规定)，基金管理人就支付的现金红利向基金托管人发送划款指令，基金托管人按照基金管理人的指令及时进行分红资金的划付。</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3.法律法规或监管机关另有规定的，从其规定。</w:t>
      </w:r>
    </w:p>
    <w:bookmarkEnd w:id="96"/>
    <w:p w:rsidR="008C0AE6" w:rsidRDefault="008C0AE6">
      <w:pPr>
        <w:snapToGrid w:val="0"/>
        <w:spacing w:line="360" w:lineRule="auto"/>
        <w:rPr>
          <w:rFonts w:ascii="宋体" w:hAnsi="宋体"/>
          <w:color w:val="000000"/>
          <w:sz w:val="24"/>
          <w:szCs w:val="24"/>
        </w:rPr>
      </w:pPr>
    </w:p>
    <w:p w:rsidR="008C0AE6" w:rsidRDefault="00392CEB">
      <w:pPr>
        <w:pStyle w:val="2"/>
        <w:spacing w:before="0" w:after="0" w:line="360" w:lineRule="auto"/>
        <w:ind w:firstLineChars="946" w:firstLine="2279"/>
        <w:rPr>
          <w:rFonts w:ascii="宋体" w:eastAsia="宋体" w:hAnsi="宋体"/>
          <w:color w:val="000000"/>
          <w:sz w:val="24"/>
          <w:szCs w:val="24"/>
        </w:rPr>
      </w:pPr>
      <w:bookmarkStart w:id="97" w:name="_Toc145818944"/>
      <w:r>
        <w:rPr>
          <w:rFonts w:ascii="宋体" w:eastAsia="宋体" w:hAnsi="宋体"/>
          <w:color w:val="000000"/>
          <w:sz w:val="24"/>
          <w:szCs w:val="24"/>
        </w:rPr>
        <w:t>十、基金信息披露</w:t>
      </w:r>
      <w:bookmarkEnd w:id="97"/>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（一）保密义务</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基金管理人和基金托管人除了为</w:t>
      </w:r>
      <w:proofErr w:type="gramStart"/>
      <w:r>
        <w:rPr>
          <w:rFonts w:ascii="宋体" w:hAnsi="宋体" w:hint="eastAsia"/>
          <w:color w:val="000000"/>
          <w:sz w:val="24"/>
          <w:szCs w:val="24"/>
        </w:rPr>
        <w:t>合法履行</w:t>
      </w:r>
      <w:proofErr w:type="gramEnd"/>
      <w:r>
        <w:rPr>
          <w:rFonts w:ascii="宋体" w:hAnsi="宋体" w:hint="eastAsia"/>
          <w:color w:val="000000"/>
          <w:sz w:val="24"/>
          <w:szCs w:val="24"/>
        </w:rPr>
        <w:t>法律法规、基金合同及本协议规定的义务所必要之外，不得为其他目的使用、利用其所知悉的基金的保密信息，并且应当将保密信息限制在为履行前述义务而需要了解该保密信息的职员范围之内。</w:t>
      </w:r>
      <w:r>
        <w:rPr>
          <w:rFonts w:ascii="宋体" w:hAnsi="宋体"/>
          <w:color w:val="000000"/>
          <w:sz w:val="24"/>
          <w:szCs w:val="24"/>
        </w:rPr>
        <w:t>但是，如下情况不应视为基金管理人或基金托管人违反保密义务：</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（1）非因基金管理人和基金托管人的原因导致保密信息被披露、泄露或公开；</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（2）基金管理人和基金托管人为遵守和服从法院判决或裁定、仲裁裁决或中国证监会等监管机构的命令、决定所做出的信息披露或公开。</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（二）信息披露的内容</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基金的信息披露主要包括基金招募说明书、基金合同、托管协议、基金产品资料概要</w:t>
      </w:r>
      <w:r>
        <w:rPr>
          <w:rFonts w:ascii="宋体" w:hAnsi="宋体" w:hint="eastAsia"/>
          <w:color w:val="000000"/>
          <w:sz w:val="24"/>
          <w:szCs w:val="24"/>
        </w:rPr>
        <w:t>、基金</w:t>
      </w:r>
      <w:r>
        <w:rPr>
          <w:rFonts w:ascii="宋体" w:hAnsi="宋体"/>
          <w:color w:val="000000"/>
          <w:sz w:val="24"/>
          <w:szCs w:val="24"/>
        </w:rPr>
        <w:t>净值</w:t>
      </w:r>
      <w:r>
        <w:rPr>
          <w:rFonts w:ascii="宋体" w:hAnsi="宋体" w:hint="eastAsia"/>
          <w:color w:val="000000"/>
          <w:sz w:val="24"/>
          <w:szCs w:val="24"/>
        </w:rPr>
        <w:t>信息</w:t>
      </w:r>
      <w:r>
        <w:rPr>
          <w:rFonts w:ascii="宋体" w:hAnsi="宋体"/>
          <w:color w:val="000000"/>
          <w:sz w:val="24"/>
          <w:szCs w:val="24"/>
        </w:rPr>
        <w:t>、基金份额申购赎回价格、基金定期报告</w:t>
      </w:r>
      <w:r>
        <w:rPr>
          <w:rFonts w:ascii="宋体" w:hAnsi="宋体" w:hint="eastAsia"/>
          <w:color w:val="000000"/>
          <w:sz w:val="24"/>
          <w:szCs w:val="24"/>
        </w:rPr>
        <w:t>（</w:t>
      </w:r>
      <w:r>
        <w:rPr>
          <w:rFonts w:ascii="宋体" w:hAnsi="宋体"/>
          <w:color w:val="000000"/>
          <w:sz w:val="24"/>
          <w:szCs w:val="24"/>
        </w:rPr>
        <w:t>包括基金年度报告、基金</w:t>
      </w:r>
      <w:r>
        <w:rPr>
          <w:rFonts w:ascii="宋体" w:hAnsi="宋体" w:hint="eastAsia"/>
          <w:color w:val="000000"/>
          <w:sz w:val="24"/>
          <w:szCs w:val="24"/>
        </w:rPr>
        <w:t>中期</w:t>
      </w:r>
      <w:r>
        <w:rPr>
          <w:rFonts w:ascii="宋体" w:hAnsi="宋体"/>
          <w:color w:val="000000"/>
          <w:sz w:val="24"/>
          <w:szCs w:val="24"/>
        </w:rPr>
        <w:t>报告和基金季度报告</w:t>
      </w:r>
      <w:r>
        <w:rPr>
          <w:rFonts w:ascii="宋体" w:hAnsi="宋体" w:hint="eastAsia"/>
          <w:color w:val="000000"/>
          <w:sz w:val="24"/>
          <w:szCs w:val="24"/>
        </w:rPr>
        <w:t>）、</w:t>
      </w:r>
      <w:r>
        <w:rPr>
          <w:rFonts w:ascii="宋体" w:hAnsi="宋体"/>
          <w:color w:val="000000"/>
          <w:sz w:val="24"/>
          <w:szCs w:val="24"/>
        </w:rPr>
        <w:t>临时报告、澄清</w:t>
      </w:r>
      <w:r>
        <w:rPr>
          <w:rFonts w:ascii="宋体" w:hAnsi="宋体" w:hint="eastAsia"/>
          <w:color w:val="000000"/>
          <w:sz w:val="24"/>
          <w:szCs w:val="24"/>
        </w:rPr>
        <w:t>公</w:t>
      </w:r>
      <w:r>
        <w:rPr>
          <w:rFonts w:ascii="宋体" w:hAnsi="宋体"/>
          <w:color w:val="000000"/>
          <w:sz w:val="24"/>
          <w:szCs w:val="24"/>
        </w:rPr>
        <w:t>告、基金份额持有人大会决议</w:t>
      </w:r>
      <w:r>
        <w:rPr>
          <w:rFonts w:ascii="宋体" w:hAnsi="宋体" w:hint="eastAsia"/>
          <w:color w:val="000000"/>
          <w:sz w:val="24"/>
          <w:szCs w:val="24"/>
        </w:rPr>
        <w:t>、基金投资股指期货、资产支持证券、</w:t>
      </w:r>
      <w:r>
        <w:rPr>
          <w:rFonts w:ascii="宋体" w:hAnsi="宋体" w:hint="eastAsia"/>
          <w:sz w:val="24"/>
        </w:rPr>
        <w:t>港股通标的股票</w:t>
      </w:r>
      <w:r>
        <w:rPr>
          <w:rFonts w:ascii="宋体" w:hAnsi="宋体" w:hint="eastAsia"/>
          <w:color w:val="000000"/>
          <w:sz w:val="24"/>
          <w:szCs w:val="24"/>
        </w:rPr>
        <w:t>及流通受限证券情况、实施</w:t>
      </w:r>
      <w:proofErr w:type="gramStart"/>
      <w:r>
        <w:rPr>
          <w:rFonts w:ascii="宋体" w:hAnsi="宋体" w:hint="eastAsia"/>
          <w:color w:val="000000"/>
          <w:sz w:val="24"/>
          <w:szCs w:val="24"/>
        </w:rPr>
        <w:t>侧袋机制</w:t>
      </w:r>
      <w:proofErr w:type="gramEnd"/>
      <w:r>
        <w:rPr>
          <w:rFonts w:ascii="宋体" w:hAnsi="宋体" w:hint="eastAsia"/>
          <w:color w:val="000000"/>
          <w:sz w:val="24"/>
          <w:szCs w:val="24"/>
        </w:rPr>
        <w:t>期间的信息披露、</w:t>
      </w:r>
      <w:r>
        <w:rPr>
          <w:rFonts w:ascii="宋体" w:hAnsi="宋体"/>
          <w:color w:val="000000"/>
          <w:sz w:val="24"/>
          <w:szCs w:val="24"/>
        </w:rPr>
        <w:t>清算报告</w:t>
      </w:r>
      <w:r>
        <w:rPr>
          <w:rFonts w:ascii="宋体" w:hAnsi="宋体" w:hint="eastAsia"/>
          <w:color w:val="000000"/>
          <w:sz w:val="24"/>
          <w:szCs w:val="24"/>
        </w:rPr>
        <w:t>以及</w:t>
      </w:r>
      <w:r>
        <w:rPr>
          <w:rFonts w:ascii="宋体" w:hAnsi="宋体"/>
          <w:color w:val="000000"/>
          <w:sz w:val="24"/>
          <w:szCs w:val="24"/>
        </w:rPr>
        <w:t>中国证监会规定的其他信息。基金年度报告需</w:t>
      </w:r>
      <w:proofErr w:type="gramStart"/>
      <w:r>
        <w:rPr>
          <w:rFonts w:ascii="宋体" w:hAnsi="宋体"/>
          <w:color w:val="000000"/>
          <w:sz w:val="24"/>
          <w:szCs w:val="24"/>
        </w:rPr>
        <w:t>经符合</w:t>
      </w:r>
      <w:proofErr w:type="gramEnd"/>
      <w:r>
        <w:rPr>
          <w:rFonts w:ascii="宋体" w:hAnsi="宋体"/>
          <w:color w:val="000000"/>
          <w:sz w:val="24"/>
          <w:szCs w:val="24"/>
        </w:rPr>
        <w:t>《中华人民共和国证券法》规定的会计师事务所审计后，方可披露。</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（三）基金托管人和基金管理人在信息披露中的职责和信息披露程序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职责</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基金管理人应当在中国证监会规定的时间内，将应予披露的基金信息通过中国证监会规定媒介披露。根据法律法规应由基金托管人公开披露的信息，基金托管人将通过规定媒介公开披露。</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当出现下述情况时，基金管理人和基金托管人可暂停或延迟披露基金信息：</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(1)不可抗力；</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(2)法律法规、基金合同或中国证监会规定的情况。</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按有关规定须经基金托管人复核的信息披露文件，由基金管理人起草、并经基金托管人复核后由基金管理人公告。发生基金合同中规定需要披露的事项时，按基金合同规定公布。</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信息文本的存放</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基金合同、托管协议、招募说明书公布后，应当分别置备于基金管理人、基金托管人和基金</w:t>
      </w:r>
      <w:r>
        <w:rPr>
          <w:rFonts w:ascii="宋体" w:hAnsi="宋体" w:hint="eastAsia"/>
          <w:color w:val="000000"/>
          <w:sz w:val="24"/>
          <w:szCs w:val="24"/>
        </w:rPr>
        <w:t>销售</w:t>
      </w:r>
      <w:r>
        <w:rPr>
          <w:rFonts w:ascii="宋体" w:hAnsi="宋体"/>
          <w:color w:val="000000"/>
          <w:sz w:val="24"/>
          <w:szCs w:val="24"/>
        </w:rPr>
        <w:t>机构的</w:t>
      </w:r>
      <w:r>
        <w:rPr>
          <w:rFonts w:ascii="宋体" w:hAnsi="宋体" w:hint="eastAsia"/>
          <w:color w:val="000000"/>
          <w:sz w:val="24"/>
          <w:szCs w:val="24"/>
        </w:rPr>
        <w:t>办公场所</w:t>
      </w:r>
      <w:r>
        <w:rPr>
          <w:rFonts w:ascii="宋体" w:hAnsi="宋体"/>
          <w:color w:val="000000"/>
          <w:sz w:val="24"/>
          <w:szCs w:val="24"/>
        </w:rPr>
        <w:t>，供公众查阅、复制。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基金定期报告公布后，应当分别置备于基金管理人和基金托管人的</w:t>
      </w:r>
      <w:r>
        <w:rPr>
          <w:rFonts w:ascii="宋体" w:hAnsi="宋体" w:hint="eastAsia"/>
          <w:color w:val="000000"/>
          <w:sz w:val="24"/>
          <w:szCs w:val="24"/>
        </w:rPr>
        <w:t>办公场所</w:t>
      </w:r>
      <w:r>
        <w:rPr>
          <w:rFonts w:ascii="宋体" w:hAnsi="宋体"/>
          <w:color w:val="000000"/>
          <w:sz w:val="24"/>
          <w:szCs w:val="24"/>
        </w:rPr>
        <w:t>，以供公众查阅、复制。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投资者可以免费查阅</w:t>
      </w:r>
      <w:r>
        <w:rPr>
          <w:rFonts w:ascii="宋体" w:hAnsi="宋体" w:hint="eastAsia"/>
          <w:color w:val="000000"/>
          <w:sz w:val="24"/>
          <w:szCs w:val="24"/>
        </w:rPr>
        <w:t>上述文件</w:t>
      </w:r>
      <w:r>
        <w:rPr>
          <w:rFonts w:ascii="宋体" w:hAnsi="宋体"/>
          <w:color w:val="000000"/>
          <w:sz w:val="24"/>
          <w:szCs w:val="24"/>
        </w:rPr>
        <w:t>。在支付工本费后可在合理时间获得上述文件的复制件或复印件。基金管理人和基金托管人应保证文本的内容与所公告的内容完全一致。</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（四）本基金信息披露事项以法律法规及基金合同“十</w:t>
      </w:r>
      <w:r>
        <w:rPr>
          <w:rFonts w:ascii="宋体" w:hAnsi="宋体"/>
          <w:color w:val="000000"/>
          <w:sz w:val="24"/>
          <w:szCs w:val="24"/>
        </w:rPr>
        <w:t>八</w:t>
      </w:r>
      <w:r>
        <w:rPr>
          <w:rFonts w:ascii="宋体" w:hAnsi="宋体" w:hint="eastAsia"/>
          <w:color w:val="000000"/>
          <w:sz w:val="24"/>
          <w:szCs w:val="24"/>
        </w:rPr>
        <w:t>、基金的信息披露”约定的内容为准。</w:t>
      </w:r>
    </w:p>
    <w:p w:rsidR="008C0AE6" w:rsidRDefault="008C0AE6">
      <w:pPr>
        <w:adjustRightInd w:val="0"/>
        <w:snapToGrid w:val="0"/>
        <w:spacing w:line="360" w:lineRule="auto"/>
        <w:ind w:firstLineChars="200" w:firstLine="48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98" w:name="_Toc145818945"/>
      <w:r>
        <w:rPr>
          <w:rFonts w:ascii="宋体" w:eastAsia="宋体" w:hAnsi="宋体"/>
          <w:color w:val="000000"/>
          <w:sz w:val="24"/>
          <w:szCs w:val="24"/>
        </w:rPr>
        <w:t>十一、基金费用</w:t>
      </w:r>
      <w:bookmarkEnd w:id="98"/>
    </w:p>
    <w:p w:rsidR="008C0AE6" w:rsidRDefault="00392CEB">
      <w:pPr>
        <w:adjustRightInd w:val="0"/>
        <w:snapToGrid w:val="0"/>
        <w:spacing w:line="360" w:lineRule="auto"/>
        <w:ind w:firstLineChars="200" w:firstLine="480"/>
        <w:rPr>
          <w:rFonts w:ascii="宋体" w:hAnsi="宋体"/>
          <w:color w:val="000000"/>
          <w:sz w:val="24"/>
          <w:szCs w:val="24"/>
        </w:rPr>
      </w:pPr>
      <w:bookmarkStart w:id="99" w:name="_Hlk489531469"/>
      <w:r>
        <w:rPr>
          <w:rFonts w:ascii="宋体" w:hAnsi="宋体"/>
          <w:color w:val="000000"/>
          <w:sz w:val="24"/>
          <w:szCs w:val="24"/>
        </w:rPr>
        <w:t>（一）基金管理费的计提比例和计提方法</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基金管理费按基金资产净值的</w:t>
      </w:r>
      <w:r>
        <w:rPr>
          <w:rFonts w:ascii="宋体" w:hAnsi="宋体" w:hint="eastAsia"/>
          <w:color w:val="000000"/>
          <w:sz w:val="24"/>
          <w:szCs w:val="24"/>
        </w:rPr>
        <w:t>1.</w:t>
      </w:r>
      <w:r>
        <w:rPr>
          <w:rFonts w:ascii="宋体" w:hAnsi="宋体"/>
          <w:color w:val="000000"/>
          <w:sz w:val="24"/>
          <w:szCs w:val="24"/>
        </w:rPr>
        <w:t>2%年费率计提。</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在通常情况下，基金管理费按前一日基金资产净值</w:t>
      </w:r>
      <w:r>
        <w:rPr>
          <w:rFonts w:ascii="宋体" w:hAnsi="宋体" w:hint="eastAsia"/>
          <w:color w:val="000000"/>
          <w:sz w:val="24"/>
          <w:szCs w:val="24"/>
        </w:rPr>
        <w:t>1.</w:t>
      </w:r>
      <w:r>
        <w:rPr>
          <w:rFonts w:ascii="宋体" w:hAnsi="宋体"/>
          <w:color w:val="000000"/>
          <w:sz w:val="24"/>
          <w:szCs w:val="24"/>
        </w:rPr>
        <w:t>2%年费率计提。计算方法如下：</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H＝E×年管理费率÷当年天数</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H为每日应计提的基金管理费</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E为前一日的基金资产净值</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（二）基金托管费的计提比例和计提方法</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基金托管费按基金资产净值的</w:t>
      </w:r>
      <w:r>
        <w:rPr>
          <w:rFonts w:ascii="宋体" w:hAnsi="宋体" w:hint="eastAsia"/>
          <w:color w:val="000000"/>
          <w:sz w:val="24"/>
          <w:szCs w:val="24"/>
        </w:rPr>
        <w:t>0.2</w:t>
      </w:r>
      <w:r>
        <w:rPr>
          <w:rFonts w:ascii="宋体" w:hAnsi="宋体"/>
          <w:color w:val="000000"/>
          <w:sz w:val="24"/>
          <w:szCs w:val="24"/>
        </w:rPr>
        <w:t>%年费率计提。</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在通常情况下，基金托管费按前一日基金资产净值的</w:t>
      </w:r>
      <w:r>
        <w:rPr>
          <w:rFonts w:ascii="宋体" w:hAnsi="宋体" w:hint="eastAsia"/>
          <w:color w:val="000000"/>
          <w:sz w:val="24"/>
          <w:szCs w:val="24"/>
        </w:rPr>
        <w:t>0.2</w:t>
      </w:r>
      <w:r>
        <w:rPr>
          <w:rFonts w:ascii="宋体" w:hAnsi="宋体"/>
          <w:color w:val="000000"/>
          <w:sz w:val="24"/>
          <w:szCs w:val="24"/>
        </w:rPr>
        <w:t>%年费率计提。计算方法如下：</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H＝E×年托管费率÷当年天数</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H为每日应计提的基金托管费</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E为前一日的基金资产净值</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（三）C类基金份额的销售服务费</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本基金A类基金份额不收取销售服务费，C类基金份额的销售服务费按前一日C类基金资产净值的0.4%年费率计提。计算方法如下：</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H＝E×0.4%÷当年天数</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H为C类基金份额每日应计提的销售服务费</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E为C类基金份额前一日基金资产净值</w:t>
      </w:r>
    </w:p>
    <w:p w:rsidR="008C0AE6" w:rsidRDefault="00392CEB">
      <w:pPr>
        <w:adjustRightInd w:val="0"/>
        <w:snapToGrid w:val="0"/>
        <w:spacing w:line="360" w:lineRule="auto"/>
        <w:ind w:firstLineChars="200" w:firstLine="480"/>
        <w:rPr>
          <w:rFonts w:ascii="宋体" w:hAnsi="宋体"/>
          <w:color w:val="000000"/>
          <w:sz w:val="24"/>
          <w:szCs w:val="24"/>
        </w:rPr>
      </w:pPr>
      <w:r>
        <w:rPr>
          <w:sz w:val="24"/>
        </w:rPr>
        <w:t>C</w:t>
      </w:r>
      <w:r>
        <w:rPr>
          <w:rFonts w:hAnsi="宋体"/>
          <w:sz w:val="24"/>
        </w:rPr>
        <w:t>类基金份额的销售服务费将专门用于本基金的推广、销售与基金份额持有人服务。</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四</w:t>
      </w:r>
      <w:r>
        <w:rPr>
          <w:rFonts w:ascii="宋体" w:hAnsi="宋体"/>
          <w:color w:val="000000"/>
          <w:sz w:val="24"/>
          <w:szCs w:val="24"/>
        </w:rPr>
        <w:t>）</w:t>
      </w:r>
      <w:r>
        <w:rPr>
          <w:rFonts w:ascii="宋体" w:hAnsi="宋体" w:hint="eastAsia"/>
          <w:color w:val="000000"/>
          <w:sz w:val="24"/>
          <w:szCs w:val="24"/>
        </w:rPr>
        <w:t>基金管理人的管理费、基金托管人的托管费、银行汇划费用、基金的证券/</w:t>
      </w:r>
      <w:r>
        <w:rPr>
          <w:rFonts w:ascii="宋体" w:hAnsi="宋体"/>
          <w:color w:val="000000"/>
          <w:sz w:val="24"/>
          <w:szCs w:val="24"/>
        </w:rPr>
        <w:t>期货</w:t>
      </w:r>
      <w:r>
        <w:rPr>
          <w:rFonts w:ascii="宋体" w:hAnsi="宋体" w:hint="eastAsia"/>
          <w:color w:val="000000"/>
          <w:sz w:val="24"/>
          <w:szCs w:val="24"/>
        </w:rPr>
        <w:t>交易费用、</w:t>
      </w:r>
      <w:r>
        <w:rPr>
          <w:rFonts w:ascii="宋体" w:hAnsi="宋体" w:hint="eastAsia"/>
          <w:sz w:val="24"/>
        </w:rPr>
        <w:t>因投资港股通标的股票而产生的各项合理费用、</w:t>
      </w:r>
      <w:r>
        <w:rPr>
          <w:rFonts w:ascii="宋体" w:hAnsi="宋体"/>
          <w:color w:val="000000"/>
          <w:sz w:val="24"/>
          <w:szCs w:val="24"/>
        </w:rPr>
        <w:t>基金</w:t>
      </w:r>
      <w:r>
        <w:rPr>
          <w:rFonts w:ascii="宋体" w:hAnsi="宋体" w:hint="eastAsia"/>
          <w:color w:val="000000"/>
          <w:sz w:val="24"/>
          <w:szCs w:val="24"/>
        </w:rPr>
        <w:t>合同生效后的</w:t>
      </w:r>
      <w:r>
        <w:rPr>
          <w:rFonts w:ascii="宋体" w:hAnsi="宋体"/>
          <w:color w:val="000000"/>
          <w:sz w:val="24"/>
          <w:szCs w:val="24"/>
        </w:rPr>
        <w:t>信息披露费用、基金份额持有人大会费用、</w:t>
      </w:r>
      <w:r>
        <w:rPr>
          <w:rFonts w:ascii="宋体" w:hAnsi="宋体" w:hint="eastAsia"/>
          <w:color w:val="000000"/>
          <w:sz w:val="24"/>
          <w:szCs w:val="24"/>
        </w:rPr>
        <w:t>基金</w:t>
      </w:r>
      <w:r>
        <w:rPr>
          <w:rFonts w:ascii="宋体" w:hAnsi="宋体"/>
          <w:color w:val="000000"/>
          <w:sz w:val="24"/>
          <w:szCs w:val="24"/>
        </w:rPr>
        <w:t>财产投资运营过程中</w:t>
      </w:r>
      <w:r>
        <w:rPr>
          <w:rFonts w:ascii="宋体" w:hAnsi="宋体" w:hint="eastAsia"/>
          <w:color w:val="000000"/>
          <w:sz w:val="24"/>
          <w:szCs w:val="24"/>
        </w:rPr>
        <w:t>的</w:t>
      </w:r>
      <w:r>
        <w:rPr>
          <w:rFonts w:ascii="宋体" w:hAnsi="宋体"/>
          <w:color w:val="000000"/>
          <w:sz w:val="24"/>
          <w:szCs w:val="24"/>
        </w:rPr>
        <w:t>增值税、</w:t>
      </w:r>
      <w:r>
        <w:rPr>
          <w:rFonts w:ascii="宋体" w:hAnsi="宋体" w:hint="eastAsia"/>
          <w:sz w:val="24"/>
        </w:rPr>
        <w:t>基金的开户费用、账户维护费用、</w:t>
      </w:r>
      <w:r>
        <w:rPr>
          <w:rFonts w:ascii="宋体" w:hAnsi="宋体" w:hint="eastAsia"/>
          <w:color w:val="000000"/>
          <w:sz w:val="24"/>
          <w:szCs w:val="24"/>
        </w:rPr>
        <w:t>基金合同生效后与基金相关的</w:t>
      </w:r>
      <w:r>
        <w:rPr>
          <w:rFonts w:ascii="宋体" w:hAnsi="宋体"/>
          <w:color w:val="000000"/>
          <w:sz w:val="24"/>
          <w:szCs w:val="24"/>
        </w:rPr>
        <w:t>会计师费</w:t>
      </w:r>
      <w:r>
        <w:rPr>
          <w:rFonts w:ascii="宋体" w:hAnsi="宋体" w:hint="eastAsia"/>
          <w:color w:val="000000"/>
          <w:sz w:val="24"/>
          <w:szCs w:val="24"/>
        </w:rPr>
        <w:t>、</w:t>
      </w:r>
      <w:r>
        <w:rPr>
          <w:rFonts w:ascii="宋体" w:hAnsi="宋体"/>
          <w:color w:val="000000"/>
          <w:sz w:val="24"/>
          <w:szCs w:val="24"/>
        </w:rPr>
        <w:t>律师费</w:t>
      </w:r>
      <w:r>
        <w:rPr>
          <w:rFonts w:ascii="宋体" w:hAnsi="宋体" w:hint="eastAsia"/>
          <w:color w:val="000000"/>
          <w:sz w:val="24"/>
          <w:szCs w:val="24"/>
        </w:rPr>
        <w:t>、</w:t>
      </w:r>
      <w:r>
        <w:rPr>
          <w:rFonts w:ascii="宋体" w:hAnsi="宋体"/>
          <w:color w:val="000000"/>
          <w:sz w:val="24"/>
          <w:szCs w:val="24"/>
        </w:rPr>
        <w:t>仲裁费和诉讼费等根据有关法律法规、基金合同及相应协议的规定，列入当期基金费用。</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五</w:t>
      </w:r>
      <w:r>
        <w:rPr>
          <w:rFonts w:ascii="宋体" w:hAnsi="宋体"/>
          <w:color w:val="000000"/>
          <w:sz w:val="24"/>
          <w:szCs w:val="24"/>
        </w:rPr>
        <w:t>）不列入基金费用的项目</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募集期间的律师费、会计师费和信息披露费用不得从基金财产中列支。基金管理人与基金托管人因未履行或未完全履行义务导致的费用支出或基金资产的损失，以及处理与基金运作无关的事项发生的费用等不列入基金费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六</w:t>
      </w:r>
      <w:r>
        <w:rPr>
          <w:rFonts w:ascii="宋体" w:hAnsi="宋体"/>
          <w:color w:val="000000"/>
          <w:sz w:val="24"/>
          <w:szCs w:val="24"/>
        </w:rPr>
        <w:t>）</w:t>
      </w:r>
      <w:r>
        <w:rPr>
          <w:rFonts w:ascii="宋体" w:hAnsi="宋体" w:hint="eastAsia"/>
          <w:color w:val="000000"/>
          <w:sz w:val="24"/>
          <w:szCs w:val="24"/>
        </w:rPr>
        <w:t>本基金运作前产生的可以从基金财产中列支的相关费用由基金管理人垫付，运作后由</w:t>
      </w:r>
      <w:r>
        <w:rPr>
          <w:rFonts w:ascii="宋体" w:hAnsi="宋体"/>
          <w:color w:val="000000"/>
          <w:sz w:val="24"/>
          <w:szCs w:val="24"/>
        </w:rPr>
        <w:t>基金管理人向基金托管人发送划付指令,经基金托管人复核后于次日起3个工作日内从基金资产中一次性支付给基金管理人</w:t>
      </w:r>
      <w:r>
        <w:rPr>
          <w:rFonts w:ascii="宋体" w:hAnsi="宋体" w:hint="eastAsia"/>
          <w:color w:val="000000"/>
          <w:sz w:val="24"/>
          <w:szCs w:val="24"/>
        </w:rPr>
        <w:t>。</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color w:val="000000"/>
          <w:sz w:val="24"/>
          <w:szCs w:val="24"/>
        </w:rPr>
        <w:t>（七</w:t>
      </w:r>
      <w:r>
        <w:rPr>
          <w:rFonts w:ascii="宋体" w:hAnsi="宋体"/>
          <w:color w:val="000000"/>
          <w:sz w:val="24"/>
          <w:szCs w:val="24"/>
        </w:rPr>
        <w:t>）基金的税收</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hint="eastAsia"/>
          <w:sz w:val="24"/>
        </w:rPr>
        <w:t>基金和基金份额持有人根据国家法律法规的规定，履行纳税义务。基金需缴纳的增值税，以基金管理人为纳税人，按照税务机关的要求进行核算，从基金财产中支付。</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八</w:t>
      </w:r>
      <w:r>
        <w:rPr>
          <w:rFonts w:ascii="宋体" w:hAnsi="宋体"/>
          <w:color w:val="000000"/>
          <w:sz w:val="24"/>
          <w:szCs w:val="24"/>
        </w:rPr>
        <w:t>）基金管理费和基金托管费的复核程序、支付方式和时间</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复核程序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基金托管人对基金管理人计提的基金管理费</w:t>
      </w:r>
      <w:r>
        <w:rPr>
          <w:rFonts w:ascii="宋体" w:hAnsi="宋体" w:hint="eastAsia"/>
          <w:color w:val="000000"/>
          <w:sz w:val="24"/>
          <w:szCs w:val="24"/>
        </w:rPr>
        <w:t>、</w:t>
      </w:r>
      <w:r>
        <w:rPr>
          <w:rFonts w:ascii="宋体" w:hAnsi="宋体"/>
          <w:color w:val="000000"/>
          <w:sz w:val="24"/>
          <w:szCs w:val="24"/>
        </w:rPr>
        <w:t>基金托管费和销售服务费等，根据本托管协议和基金合同的有关规定进行复核。</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支付方式和时间</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基金管理费、基金托管费</w:t>
      </w:r>
      <w:r>
        <w:rPr>
          <w:rFonts w:ascii="宋体" w:hAnsi="宋体" w:hint="eastAsia"/>
          <w:color w:val="000000"/>
          <w:sz w:val="24"/>
          <w:szCs w:val="24"/>
        </w:rPr>
        <w:t>、</w:t>
      </w:r>
      <w:r>
        <w:rPr>
          <w:rFonts w:ascii="宋体" w:hAnsi="宋体"/>
          <w:color w:val="000000"/>
          <w:sz w:val="24"/>
          <w:szCs w:val="24"/>
        </w:rPr>
        <w:t>C类基金份额的销售服务费每日计提，按月支付。由基金管理人向基金托管人发送基金管理费、基金托管费</w:t>
      </w:r>
      <w:r>
        <w:rPr>
          <w:rFonts w:ascii="宋体" w:hAnsi="宋体" w:hint="eastAsia"/>
          <w:color w:val="000000"/>
          <w:sz w:val="24"/>
          <w:szCs w:val="24"/>
        </w:rPr>
        <w:t>、销售服务费</w:t>
      </w:r>
      <w:r>
        <w:rPr>
          <w:rFonts w:ascii="宋体" w:hAnsi="宋体"/>
          <w:color w:val="000000"/>
          <w:sz w:val="24"/>
          <w:szCs w:val="24"/>
        </w:rPr>
        <w:t>划付指令,经基金托管人复核后于次月首日起3个工作日内从基金</w:t>
      </w:r>
      <w:r>
        <w:rPr>
          <w:rFonts w:ascii="宋体" w:hAnsi="宋体" w:hint="eastAsia"/>
          <w:color w:val="000000"/>
          <w:sz w:val="24"/>
          <w:szCs w:val="24"/>
        </w:rPr>
        <w:t>财</w:t>
      </w:r>
      <w:r>
        <w:rPr>
          <w:rFonts w:ascii="宋体" w:hAnsi="宋体"/>
          <w:color w:val="000000"/>
          <w:sz w:val="24"/>
          <w:szCs w:val="24"/>
        </w:rPr>
        <w:t>产中一次性支付给基金管理人和基金托管人。</w:t>
      </w:r>
      <w:r>
        <w:rPr>
          <w:rFonts w:ascii="宋体" w:hAnsi="宋体" w:hint="eastAsia"/>
          <w:color w:val="000000"/>
          <w:sz w:val="24"/>
          <w:szCs w:val="24"/>
        </w:rPr>
        <w:t>其中</w:t>
      </w:r>
      <w:r>
        <w:rPr>
          <w:rFonts w:ascii="宋体" w:hAnsi="宋体"/>
          <w:color w:val="000000"/>
          <w:sz w:val="24"/>
          <w:szCs w:val="24"/>
        </w:rPr>
        <w:t>，C类基金份额的销售服务费由基金管理人代付给销售机构。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若遇法定节假日、休息日或不可抗力致使无法按时支付的，顺延至最近可支付日支付</w:t>
      </w:r>
      <w:r>
        <w:rPr>
          <w:rFonts w:ascii="宋体" w:hAnsi="宋体" w:hint="eastAsia"/>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（九）</w:t>
      </w:r>
      <w:r>
        <w:rPr>
          <w:rFonts w:ascii="宋体" w:hAnsi="宋体"/>
          <w:color w:val="000000"/>
          <w:sz w:val="24"/>
          <w:szCs w:val="24"/>
        </w:rPr>
        <w:t>违规处理方式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bookmarkEnd w:id="99"/>
    <w:p w:rsidR="008C0AE6" w:rsidRDefault="008C0AE6">
      <w:pPr>
        <w:adjustRightInd w:val="0"/>
        <w:snapToGrid w:val="0"/>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0" w:name="_Toc145818946"/>
      <w:r>
        <w:rPr>
          <w:rFonts w:ascii="宋体" w:eastAsia="宋体" w:hAnsi="宋体"/>
          <w:color w:val="000000"/>
          <w:sz w:val="24"/>
          <w:szCs w:val="24"/>
        </w:rPr>
        <w:t>十二、基金份额持有人名册的</w:t>
      </w:r>
      <w:r>
        <w:rPr>
          <w:rFonts w:ascii="宋体" w:eastAsia="宋体" w:hAnsi="宋体" w:hint="eastAsia"/>
          <w:color w:val="000000"/>
          <w:sz w:val="24"/>
          <w:szCs w:val="24"/>
        </w:rPr>
        <w:t>登记与</w:t>
      </w:r>
      <w:r>
        <w:rPr>
          <w:rFonts w:ascii="宋体" w:eastAsia="宋体" w:hAnsi="宋体"/>
          <w:color w:val="000000"/>
          <w:sz w:val="24"/>
          <w:szCs w:val="24"/>
        </w:rPr>
        <w:t>保管</w:t>
      </w:r>
      <w:bookmarkEnd w:id="100"/>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本基金的基金管理人和基金托管人须分别妥善保管的基金份额持有人名册，包括基金合同生效日、基金合同终止日、</w:t>
      </w:r>
      <w:r>
        <w:rPr>
          <w:rFonts w:ascii="宋体" w:hAnsi="宋体"/>
          <w:color w:val="000000"/>
          <w:sz w:val="24"/>
          <w:szCs w:val="24"/>
        </w:rPr>
        <w:t>基金权益登记日、</w:t>
      </w:r>
      <w:r>
        <w:rPr>
          <w:rFonts w:ascii="宋体" w:hAnsi="宋体" w:hint="eastAsia"/>
          <w:color w:val="000000"/>
          <w:sz w:val="24"/>
          <w:szCs w:val="24"/>
        </w:rPr>
        <w:t>基金份额持有人大会权益登记日、每年6月30日、12月31日的基金份额持有人名册。基金份额持有人名册的内容至少应包括持有人的名称和持有的基金份额。</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基金管理人和基金托管人应妥善保管基金份额持有人名册，保存期限</w:t>
      </w:r>
      <w:r>
        <w:rPr>
          <w:rFonts w:hint="eastAsia"/>
          <w:bCs/>
          <w:sz w:val="24"/>
        </w:rPr>
        <w:t>不低于法律法规规定的最低期限</w:t>
      </w:r>
      <w:r>
        <w:rPr>
          <w:rFonts w:ascii="宋体" w:hAnsi="宋体" w:hint="eastAsia"/>
          <w:color w:val="000000"/>
          <w:sz w:val="24"/>
          <w:szCs w:val="24"/>
        </w:rPr>
        <w:t>。基金托管人不得将所保管的基金份额持有人名册用于基金托管业务以外的其他用途，并应遵守保密义务。</w:t>
      </w:r>
      <w:proofErr w:type="gramStart"/>
      <w:r>
        <w:rPr>
          <w:rFonts w:ascii="宋体" w:hAnsi="宋体" w:hint="eastAsia"/>
          <w:color w:val="000000"/>
          <w:sz w:val="24"/>
          <w:szCs w:val="24"/>
        </w:rPr>
        <w:t>若基金</w:t>
      </w:r>
      <w:proofErr w:type="gramEnd"/>
      <w:r>
        <w:rPr>
          <w:rFonts w:ascii="宋体" w:hAnsi="宋体" w:hint="eastAsia"/>
          <w:color w:val="000000"/>
          <w:sz w:val="24"/>
          <w:szCs w:val="24"/>
        </w:rPr>
        <w:t>管理人或基金托管人由于自身原因无法妥善保管基金份额持有人名册，应按有关法规规定各自承担相应的责任。</w:t>
      </w:r>
    </w:p>
    <w:p w:rsidR="008C0AE6" w:rsidRDefault="008C0AE6">
      <w:pPr>
        <w:adjustRightInd w:val="0"/>
        <w:snapToGrid w:val="0"/>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1" w:name="_Toc145818947"/>
      <w:r>
        <w:rPr>
          <w:rFonts w:ascii="宋体" w:eastAsia="宋体" w:hAnsi="宋体"/>
          <w:color w:val="000000"/>
          <w:sz w:val="24"/>
          <w:szCs w:val="24"/>
        </w:rPr>
        <w:t>十三、基金有关文件档案的保存</w:t>
      </w:r>
      <w:bookmarkEnd w:id="101"/>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（一）档案保存</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Pr>
          <w:rFonts w:ascii="宋体" w:hAnsi="宋体" w:hint="eastAsia"/>
          <w:color w:val="000000"/>
          <w:sz w:val="24"/>
          <w:szCs w:val="24"/>
        </w:rPr>
        <w:t>不低于法律法规规定的最低期限。</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（二）合同档案的建立</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基金管理人</w:t>
      </w:r>
      <w:r>
        <w:rPr>
          <w:rFonts w:ascii="宋体" w:hAnsi="宋体" w:hint="eastAsia"/>
          <w:color w:val="000000"/>
          <w:sz w:val="24"/>
          <w:szCs w:val="24"/>
        </w:rPr>
        <w:t>代表基金</w:t>
      </w:r>
      <w:r>
        <w:rPr>
          <w:rFonts w:ascii="宋体" w:hAnsi="宋体"/>
          <w:color w:val="000000"/>
          <w:sz w:val="24"/>
          <w:szCs w:val="24"/>
        </w:rPr>
        <w:t>签署</w:t>
      </w:r>
      <w:r>
        <w:rPr>
          <w:rFonts w:ascii="宋体" w:hAnsi="宋体" w:hint="eastAsia"/>
          <w:color w:val="000000"/>
          <w:sz w:val="24"/>
          <w:szCs w:val="24"/>
        </w:rPr>
        <w:t>与基金相关的</w:t>
      </w:r>
      <w:r>
        <w:rPr>
          <w:rFonts w:ascii="宋体" w:hAnsi="宋体"/>
          <w:color w:val="000000"/>
          <w:sz w:val="24"/>
          <w:szCs w:val="24"/>
        </w:rPr>
        <w:t>重大合同文本后，应</w:t>
      </w:r>
      <w:r>
        <w:rPr>
          <w:rFonts w:ascii="宋体" w:hAnsi="宋体" w:hint="eastAsia"/>
          <w:color w:val="000000"/>
          <w:sz w:val="24"/>
          <w:szCs w:val="24"/>
        </w:rPr>
        <w:t>及时以加密方式将重大合同传真给基金托管人，并在十个工作日内</w:t>
      </w:r>
      <w:r>
        <w:rPr>
          <w:rFonts w:ascii="宋体" w:hAnsi="宋体"/>
          <w:color w:val="000000"/>
          <w:sz w:val="24"/>
          <w:szCs w:val="24"/>
        </w:rPr>
        <w:t>将合同文本正本送达基金托管人处。</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（三）变更与协助</w:t>
      </w:r>
    </w:p>
    <w:p w:rsidR="008C0AE6" w:rsidRDefault="00392CEB">
      <w:pPr>
        <w:adjustRightInd w:val="0"/>
        <w:snapToGrid w:val="0"/>
        <w:spacing w:line="360" w:lineRule="auto"/>
        <w:ind w:firstLineChars="200" w:firstLine="480"/>
        <w:rPr>
          <w:rFonts w:ascii="宋体" w:hAnsi="宋体"/>
          <w:b/>
          <w:color w:val="000000"/>
          <w:sz w:val="24"/>
          <w:szCs w:val="24"/>
        </w:rPr>
      </w:pPr>
      <w:proofErr w:type="gramStart"/>
      <w:r>
        <w:rPr>
          <w:rFonts w:ascii="宋体" w:hAnsi="宋体"/>
          <w:color w:val="000000"/>
          <w:sz w:val="24"/>
          <w:szCs w:val="24"/>
        </w:rPr>
        <w:t>若基金</w:t>
      </w:r>
      <w:proofErr w:type="gramEnd"/>
      <w:r>
        <w:rPr>
          <w:rFonts w:ascii="宋体" w:hAnsi="宋体"/>
          <w:color w:val="000000"/>
          <w:sz w:val="24"/>
          <w:szCs w:val="24"/>
        </w:rPr>
        <w:t>管理人/基金托管人发生变更，未变更的一方有义务协助变更后的接任人接收相应文件。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（四）基金管理人和基金托管人应按各自职责完整保存原始凭证、记账凭证、基金账册、交易记录和重要合同等，承担保密义务并保存</w:t>
      </w:r>
      <w:r>
        <w:rPr>
          <w:rFonts w:ascii="宋体" w:hAnsi="宋体" w:hint="eastAsia"/>
          <w:color w:val="000000"/>
          <w:sz w:val="24"/>
          <w:szCs w:val="24"/>
        </w:rPr>
        <w:t>不低于法律法规规定的最低期限。</w:t>
      </w:r>
    </w:p>
    <w:p w:rsidR="008C0AE6" w:rsidRDefault="00392CEB">
      <w:pPr>
        <w:pStyle w:val="2"/>
        <w:spacing w:before="0" w:after="0" w:line="360" w:lineRule="auto"/>
        <w:jc w:val="center"/>
        <w:rPr>
          <w:rFonts w:ascii="宋体" w:eastAsia="宋体" w:hAnsi="宋体"/>
          <w:color w:val="000000"/>
          <w:sz w:val="24"/>
          <w:szCs w:val="24"/>
        </w:rPr>
      </w:pPr>
      <w:bookmarkStart w:id="102" w:name="_Toc145818948"/>
      <w:r>
        <w:rPr>
          <w:rFonts w:ascii="宋体" w:eastAsia="宋体" w:hAnsi="宋体"/>
          <w:color w:val="000000"/>
          <w:sz w:val="24"/>
          <w:szCs w:val="24"/>
        </w:rPr>
        <w:t>十四、基金管理人和基金托管人的更换</w:t>
      </w:r>
      <w:bookmarkEnd w:id="102"/>
    </w:p>
    <w:p w:rsidR="008C0AE6" w:rsidRDefault="00392CEB">
      <w:pPr>
        <w:adjustRightInd w:val="0"/>
        <w:snapToGrid w:val="0"/>
        <w:spacing w:line="360" w:lineRule="auto"/>
        <w:ind w:firstLineChars="200" w:firstLine="480"/>
        <w:rPr>
          <w:rFonts w:ascii="宋体" w:hAnsi="宋体"/>
          <w:color w:val="000000"/>
          <w:sz w:val="24"/>
          <w:szCs w:val="24"/>
        </w:rPr>
      </w:pPr>
      <w:bookmarkStart w:id="103" w:name="_Hlk489531484"/>
      <w:r>
        <w:rPr>
          <w:rFonts w:ascii="宋体" w:hAnsi="宋体"/>
          <w:color w:val="000000"/>
          <w:sz w:val="24"/>
          <w:szCs w:val="24"/>
        </w:rPr>
        <w:t>（一）基金管理人的更换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1.基金管理人的更换条件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有下列情形之一的，基金管理人职责终止：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(1)基金管理人被依法取消其基金管理资格的；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(2)基金管理人解散、依法撤销或依法宣告破产；</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(3)基金管理人被基金份额持有人大会解任；</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(4)法律法规和基金合同规定的其他情形。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2.基金管理人的更换程序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更换基金管理人必须依照如下程序进行：</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(1)提名：</w:t>
      </w:r>
      <w:proofErr w:type="gramStart"/>
      <w:r>
        <w:rPr>
          <w:rFonts w:ascii="宋体" w:hAnsi="宋体"/>
          <w:color w:val="000000"/>
          <w:sz w:val="24"/>
          <w:szCs w:val="24"/>
        </w:rPr>
        <w:t>新任基金</w:t>
      </w:r>
      <w:proofErr w:type="gramEnd"/>
      <w:r>
        <w:rPr>
          <w:rFonts w:ascii="宋体" w:hAnsi="宋体"/>
          <w:color w:val="000000"/>
          <w:sz w:val="24"/>
          <w:szCs w:val="24"/>
        </w:rPr>
        <w:t>管理人由基金托管人</w:t>
      </w:r>
      <w:r>
        <w:rPr>
          <w:rFonts w:ascii="宋体" w:hAnsi="宋体" w:hint="eastAsia"/>
          <w:sz w:val="24"/>
          <w:szCs w:val="24"/>
        </w:rPr>
        <w:t>或者由单独或合计持有基金总份额</w:t>
      </w:r>
      <w:r>
        <w:rPr>
          <w:rFonts w:ascii="宋体" w:hAnsi="宋体"/>
          <w:sz w:val="24"/>
          <w:szCs w:val="24"/>
        </w:rPr>
        <w:t>10%</w:t>
      </w:r>
      <w:r>
        <w:rPr>
          <w:rFonts w:ascii="宋体" w:hAnsi="宋体" w:hint="eastAsia"/>
          <w:sz w:val="24"/>
          <w:szCs w:val="24"/>
        </w:rPr>
        <w:t>以上的基金份额持有人提名</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(2)决议：基金份额持有人大会在</w:t>
      </w:r>
      <w:r>
        <w:rPr>
          <w:rFonts w:ascii="宋体" w:hAnsi="宋体" w:hint="eastAsia"/>
          <w:color w:val="000000"/>
          <w:sz w:val="24"/>
          <w:szCs w:val="24"/>
        </w:rPr>
        <w:t>原任</w:t>
      </w:r>
      <w:r>
        <w:rPr>
          <w:rFonts w:ascii="宋体" w:hAnsi="宋体"/>
          <w:color w:val="000000"/>
          <w:sz w:val="24"/>
          <w:szCs w:val="24"/>
        </w:rPr>
        <w:t>基金管理人职责终止后6个月内对被提名的</w:t>
      </w:r>
      <w:proofErr w:type="gramStart"/>
      <w:r>
        <w:rPr>
          <w:rFonts w:ascii="宋体" w:hAnsi="宋体"/>
          <w:color w:val="000000"/>
          <w:sz w:val="24"/>
          <w:szCs w:val="24"/>
        </w:rPr>
        <w:t>新任基金</w:t>
      </w:r>
      <w:proofErr w:type="gramEnd"/>
      <w:r>
        <w:rPr>
          <w:rFonts w:ascii="宋体" w:hAnsi="宋体"/>
          <w:color w:val="000000"/>
          <w:sz w:val="24"/>
          <w:szCs w:val="24"/>
        </w:rPr>
        <w:t>管理人形成决议，</w:t>
      </w:r>
      <w:proofErr w:type="gramStart"/>
      <w:r>
        <w:rPr>
          <w:rFonts w:ascii="宋体" w:hAnsi="宋体"/>
          <w:color w:val="000000"/>
          <w:sz w:val="24"/>
          <w:szCs w:val="24"/>
        </w:rPr>
        <w:t>新任基金</w:t>
      </w:r>
      <w:proofErr w:type="gramEnd"/>
      <w:r>
        <w:rPr>
          <w:rFonts w:ascii="宋体" w:hAnsi="宋体"/>
          <w:color w:val="000000"/>
          <w:sz w:val="24"/>
          <w:szCs w:val="24"/>
        </w:rPr>
        <w:t>管理人应当符合法律法规及中国证监会规定的资格条件；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备案</w:t>
      </w:r>
      <w:r>
        <w:rPr>
          <w:rFonts w:ascii="宋体" w:hAnsi="宋体"/>
          <w:color w:val="000000"/>
          <w:sz w:val="24"/>
          <w:szCs w:val="24"/>
        </w:rPr>
        <w:t>：</w:t>
      </w:r>
      <w:proofErr w:type="gramStart"/>
      <w:r>
        <w:rPr>
          <w:rFonts w:ascii="宋体" w:hAnsi="宋体"/>
          <w:color w:val="000000"/>
          <w:sz w:val="24"/>
          <w:szCs w:val="24"/>
        </w:rPr>
        <w:t>新任基金</w:t>
      </w:r>
      <w:proofErr w:type="gramEnd"/>
      <w:r>
        <w:rPr>
          <w:rFonts w:ascii="宋体" w:hAnsi="宋体"/>
          <w:color w:val="000000"/>
          <w:sz w:val="24"/>
          <w:szCs w:val="24"/>
        </w:rPr>
        <w:t>管理人产生之前，由中国证监会指定临时基金管理人。</w:t>
      </w:r>
      <w:r>
        <w:rPr>
          <w:rFonts w:ascii="宋体" w:hAnsi="宋体" w:hint="eastAsia"/>
          <w:sz w:val="24"/>
          <w:szCs w:val="24"/>
        </w:rPr>
        <w:t>更换基金管理人的基金份额持有人大会决议应向中国</w:t>
      </w:r>
      <w:r>
        <w:rPr>
          <w:rFonts w:ascii="宋体" w:hAnsi="宋体"/>
          <w:sz w:val="24"/>
          <w:szCs w:val="24"/>
        </w:rPr>
        <w:t>证监会备案</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(4)交接：基金管理人职责终止的，应当妥善保管基金管理业务资料，及时办理基金管理业务的移交手续，</w:t>
      </w:r>
      <w:proofErr w:type="gramStart"/>
      <w:r>
        <w:rPr>
          <w:rFonts w:ascii="宋体" w:hAnsi="宋体"/>
          <w:color w:val="000000"/>
          <w:sz w:val="24"/>
          <w:szCs w:val="24"/>
        </w:rPr>
        <w:t>新任基金</w:t>
      </w:r>
      <w:proofErr w:type="gramEnd"/>
      <w:r>
        <w:rPr>
          <w:rFonts w:ascii="宋体" w:hAnsi="宋体"/>
          <w:color w:val="000000"/>
          <w:sz w:val="24"/>
          <w:szCs w:val="24"/>
        </w:rPr>
        <w:t>管理人</w:t>
      </w:r>
      <w:r>
        <w:rPr>
          <w:rFonts w:ascii="宋体" w:hAnsi="宋体" w:hint="eastAsia"/>
          <w:color w:val="000000"/>
          <w:sz w:val="24"/>
          <w:szCs w:val="24"/>
        </w:rPr>
        <w:t>或临时基金管理人</w:t>
      </w:r>
      <w:r>
        <w:rPr>
          <w:rFonts w:ascii="宋体" w:hAnsi="宋体"/>
          <w:color w:val="000000"/>
          <w:sz w:val="24"/>
          <w:szCs w:val="24"/>
        </w:rPr>
        <w:t>应当及时接收</w:t>
      </w:r>
      <w:r>
        <w:rPr>
          <w:rFonts w:ascii="宋体" w:hAnsi="宋体" w:hint="eastAsia"/>
          <w:sz w:val="24"/>
          <w:szCs w:val="24"/>
        </w:rPr>
        <w:t>，并与基金托管人核对基金财产的</w:t>
      </w:r>
      <w:r>
        <w:rPr>
          <w:rFonts w:ascii="宋体" w:hAnsi="宋体"/>
          <w:sz w:val="24"/>
          <w:szCs w:val="24"/>
        </w:rPr>
        <w:t>总值和净值</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(5)审计：</w:t>
      </w:r>
      <w:r>
        <w:rPr>
          <w:rFonts w:ascii="宋体" w:hAnsi="宋体" w:hint="eastAsia"/>
          <w:color w:val="000000"/>
          <w:sz w:val="24"/>
          <w:szCs w:val="24"/>
        </w:rPr>
        <w:t>原任</w:t>
      </w:r>
      <w:r>
        <w:rPr>
          <w:rFonts w:ascii="宋体" w:hAnsi="宋体"/>
          <w:color w:val="000000"/>
          <w:sz w:val="24"/>
          <w:szCs w:val="24"/>
        </w:rPr>
        <w:t>基金管理人职责终止的，应当按照法律法规规定聘请</w:t>
      </w:r>
      <w:r>
        <w:rPr>
          <w:rFonts w:ascii="宋体" w:hAnsi="宋体" w:hint="eastAsia"/>
          <w:color w:val="000000"/>
          <w:sz w:val="24"/>
          <w:szCs w:val="24"/>
        </w:rPr>
        <w:t>符合《</w:t>
      </w:r>
      <w:r>
        <w:rPr>
          <w:rFonts w:hint="eastAsia"/>
          <w:bCs/>
          <w:sz w:val="24"/>
        </w:rPr>
        <w:t>中华</w:t>
      </w:r>
      <w:r>
        <w:rPr>
          <w:bCs/>
          <w:sz w:val="24"/>
        </w:rPr>
        <w:t>人民共和国</w:t>
      </w:r>
      <w:r>
        <w:rPr>
          <w:rFonts w:ascii="宋体" w:hAnsi="宋体" w:hint="eastAsia"/>
          <w:color w:val="000000"/>
          <w:sz w:val="24"/>
          <w:szCs w:val="24"/>
        </w:rPr>
        <w:t>证券法》规定的</w:t>
      </w:r>
      <w:r>
        <w:rPr>
          <w:rFonts w:ascii="宋体" w:hAnsi="宋体"/>
          <w:color w:val="000000"/>
          <w:sz w:val="24"/>
          <w:szCs w:val="24"/>
        </w:rPr>
        <w:t>会计师事务所对基金财产进行审计，并将审计结果予以公告，同时报</w:t>
      </w:r>
      <w:r>
        <w:rPr>
          <w:rFonts w:ascii="宋体" w:hAnsi="宋体" w:hint="eastAsia"/>
          <w:sz w:val="24"/>
          <w:szCs w:val="24"/>
        </w:rPr>
        <w:t>中国证监会</w:t>
      </w:r>
      <w:r>
        <w:rPr>
          <w:rFonts w:ascii="宋体" w:hAnsi="宋体"/>
          <w:color w:val="000000"/>
          <w:sz w:val="24"/>
          <w:szCs w:val="24"/>
        </w:rPr>
        <w:t>备案；审计费用在基金财产中列支；</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(6)公告：基金管理人更换后，由基金托管人在</w:t>
      </w:r>
      <w:r>
        <w:rPr>
          <w:rFonts w:ascii="宋体" w:hAnsi="宋体" w:hint="eastAsia"/>
          <w:sz w:val="24"/>
        </w:rPr>
        <w:t>更换基金管理人的基金份额持有人大会决议生效后2日内</w:t>
      </w:r>
      <w:r>
        <w:rPr>
          <w:rFonts w:ascii="宋体" w:hAnsi="宋体" w:hint="eastAsia"/>
          <w:color w:val="000000"/>
          <w:sz w:val="24"/>
          <w:szCs w:val="24"/>
        </w:rPr>
        <w:t>在规定媒介上</w:t>
      </w:r>
      <w:r>
        <w:rPr>
          <w:rFonts w:ascii="宋体" w:hAnsi="宋体"/>
          <w:color w:val="000000"/>
          <w:sz w:val="24"/>
          <w:szCs w:val="24"/>
        </w:rPr>
        <w:t>公告；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(7)基金名称变更：基金管理人退任后，应原任</w:t>
      </w:r>
      <w:r>
        <w:rPr>
          <w:rFonts w:ascii="宋体" w:hAnsi="宋体" w:hint="eastAsia"/>
          <w:color w:val="000000"/>
          <w:sz w:val="24"/>
          <w:szCs w:val="24"/>
        </w:rPr>
        <w:t>或</w:t>
      </w:r>
      <w:proofErr w:type="gramStart"/>
      <w:r>
        <w:rPr>
          <w:rFonts w:ascii="宋体" w:hAnsi="宋体" w:hint="eastAsia"/>
          <w:color w:val="000000"/>
          <w:sz w:val="24"/>
          <w:szCs w:val="24"/>
        </w:rPr>
        <w:t>新任</w:t>
      </w:r>
      <w:r>
        <w:rPr>
          <w:rFonts w:ascii="宋体" w:hAnsi="宋体"/>
          <w:color w:val="000000"/>
          <w:sz w:val="24"/>
          <w:szCs w:val="24"/>
        </w:rPr>
        <w:t>基金</w:t>
      </w:r>
      <w:proofErr w:type="gramEnd"/>
      <w:r>
        <w:rPr>
          <w:rFonts w:ascii="宋体" w:hAnsi="宋体"/>
          <w:color w:val="000000"/>
          <w:sz w:val="24"/>
          <w:szCs w:val="24"/>
        </w:rPr>
        <w:t>管理人要求，本基金应替换或删除基金名称中</w:t>
      </w:r>
      <w:r>
        <w:rPr>
          <w:rFonts w:ascii="宋体" w:hAnsi="宋体" w:hint="eastAsia"/>
          <w:sz w:val="24"/>
          <w:szCs w:val="24"/>
        </w:rPr>
        <w:t>与原任基金管理人有关</w:t>
      </w:r>
      <w:r>
        <w:rPr>
          <w:rFonts w:ascii="宋体" w:hAnsi="宋体"/>
          <w:color w:val="000000"/>
          <w:sz w:val="24"/>
          <w:szCs w:val="24"/>
        </w:rPr>
        <w:t>的</w:t>
      </w:r>
      <w:r>
        <w:rPr>
          <w:rFonts w:ascii="宋体" w:hAnsi="宋体" w:hint="eastAsia"/>
          <w:sz w:val="24"/>
          <w:szCs w:val="24"/>
        </w:rPr>
        <w:t>名称</w:t>
      </w:r>
      <w:r>
        <w:rPr>
          <w:rFonts w:ascii="宋体" w:hAnsi="宋体"/>
          <w:color w:val="000000"/>
          <w:sz w:val="24"/>
          <w:szCs w:val="24"/>
        </w:rPr>
        <w:t>字样。</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（二）基金托管人的更换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基金托管人的更换条件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有下列情形之一的，基金托管人职责终止：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(1)基金托管人被依法取消其基金托管资格的；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(2)基金托管人解散、依法撤销或依法宣布破产；</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(3)基金托管人被基金份额持有人大会解任；</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(4)法律法规和基金合同规定的其他情形。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基金托管人的更换程序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(1)提名：</w:t>
      </w:r>
      <w:proofErr w:type="gramStart"/>
      <w:r>
        <w:rPr>
          <w:rFonts w:ascii="宋体" w:hAnsi="宋体"/>
          <w:color w:val="000000"/>
          <w:sz w:val="24"/>
          <w:szCs w:val="24"/>
        </w:rPr>
        <w:t>新任基金</w:t>
      </w:r>
      <w:proofErr w:type="gramEnd"/>
      <w:r>
        <w:rPr>
          <w:rFonts w:ascii="宋体" w:hAnsi="宋体"/>
          <w:color w:val="000000"/>
          <w:sz w:val="24"/>
          <w:szCs w:val="24"/>
        </w:rPr>
        <w:t>托管人由基金管理人</w:t>
      </w:r>
      <w:r>
        <w:rPr>
          <w:rFonts w:ascii="宋体" w:hAnsi="宋体" w:hint="eastAsia"/>
          <w:sz w:val="24"/>
          <w:szCs w:val="24"/>
        </w:rPr>
        <w:t>或者由单独或合计持有基金总份额</w:t>
      </w:r>
      <w:r>
        <w:rPr>
          <w:rFonts w:ascii="宋体" w:hAnsi="宋体"/>
          <w:sz w:val="24"/>
          <w:szCs w:val="24"/>
        </w:rPr>
        <w:t>10%</w:t>
      </w:r>
      <w:r>
        <w:rPr>
          <w:rFonts w:ascii="宋体" w:hAnsi="宋体" w:hint="eastAsia"/>
          <w:sz w:val="24"/>
          <w:szCs w:val="24"/>
        </w:rPr>
        <w:t>以上的基金份额持有人</w:t>
      </w:r>
      <w:r>
        <w:rPr>
          <w:rFonts w:ascii="宋体" w:hAnsi="宋体"/>
          <w:color w:val="000000"/>
          <w:sz w:val="24"/>
          <w:szCs w:val="24"/>
        </w:rPr>
        <w:t>提名；</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(2)决议：基金份额持有人大会在基金托管人职责终止后6个月内对被提名的</w:t>
      </w:r>
      <w:proofErr w:type="gramStart"/>
      <w:r>
        <w:rPr>
          <w:rFonts w:ascii="宋体" w:hAnsi="宋体"/>
          <w:color w:val="000000"/>
          <w:sz w:val="24"/>
          <w:szCs w:val="24"/>
        </w:rPr>
        <w:t>新任基金</w:t>
      </w:r>
      <w:proofErr w:type="gramEnd"/>
      <w:r>
        <w:rPr>
          <w:rFonts w:ascii="宋体" w:hAnsi="宋体"/>
          <w:color w:val="000000"/>
          <w:sz w:val="24"/>
          <w:szCs w:val="24"/>
        </w:rPr>
        <w:t>托管人形成决议</w:t>
      </w:r>
      <w:r>
        <w:rPr>
          <w:rFonts w:ascii="宋体" w:hAnsi="宋体" w:hint="eastAsia"/>
          <w:color w:val="000000"/>
          <w:sz w:val="24"/>
          <w:szCs w:val="24"/>
        </w:rPr>
        <w:t>，</w:t>
      </w:r>
      <w:proofErr w:type="gramStart"/>
      <w:r>
        <w:rPr>
          <w:rFonts w:ascii="宋体" w:hAnsi="宋体" w:hint="eastAsia"/>
          <w:color w:val="000000"/>
          <w:sz w:val="24"/>
          <w:szCs w:val="24"/>
        </w:rPr>
        <w:t>新任基金</w:t>
      </w:r>
      <w:proofErr w:type="gramEnd"/>
      <w:r>
        <w:rPr>
          <w:rFonts w:ascii="宋体" w:hAnsi="宋体" w:hint="eastAsia"/>
          <w:color w:val="000000"/>
          <w:sz w:val="24"/>
          <w:szCs w:val="24"/>
        </w:rPr>
        <w:t>托管人应当符合法律法规及中国证监会规定的资格条件</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备案</w:t>
      </w:r>
      <w:r>
        <w:rPr>
          <w:rFonts w:ascii="宋体" w:hAnsi="宋体"/>
          <w:color w:val="000000"/>
          <w:sz w:val="24"/>
          <w:szCs w:val="24"/>
        </w:rPr>
        <w:t>：</w:t>
      </w:r>
      <w:proofErr w:type="gramStart"/>
      <w:r>
        <w:rPr>
          <w:rFonts w:ascii="宋体" w:hAnsi="宋体"/>
          <w:color w:val="000000"/>
          <w:sz w:val="24"/>
          <w:szCs w:val="24"/>
        </w:rPr>
        <w:t>新任基金</w:t>
      </w:r>
      <w:proofErr w:type="gramEnd"/>
      <w:r>
        <w:rPr>
          <w:rFonts w:ascii="宋体" w:hAnsi="宋体"/>
          <w:color w:val="000000"/>
          <w:sz w:val="24"/>
          <w:szCs w:val="24"/>
        </w:rPr>
        <w:t>托管人产生之前，由中国证监会指定临时基金托管人。</w:t>
      </w:r>
      <w:r>
        <w:rPr>
          <w:rFonts w:ascii="宋体" w:hAnsi="宋体" w:hint="eastAsia"/>
          <w:sz w:val="24"/>
          <w:szCs w:val="24"/>
        </w:rPr>
        <w:t>更换基金托管人的基金份额持有人大会决议应向中国</w:t>
      </w:r>
      <w:r>
        <w:rPr>
          <w:rFonts w:ascii="宋体" w:hAnsi="宋体"/>
          <w:sz w:val="24"/>
          <w:szCs w:val="24"/>
        </w:rPr>
        <w:t>证监会备案</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(4)交接：</w:t>
      </w:r>
      <w:r>
        <w:rPr>
          <w:rFonts w:ascii="宋体" w:hAnsi="宋体" w:hint="eastAsia"/>
          <w:color w:val="000000"/>
          <w:sz w:val="24"/>
          <w:szCs w:val="24"/>
        </w:rPr>
        <w:t>原任</w:t>
      </w:r>
      <w:r>
        <w:rPr>
          <w:rFonts w:ascii="宋体" w:hAnsi="宋体"/>
          <w:color w:val="000000"/>
          <w:sz w:val="24"/>
          <w:szCs w:val="24"/>
        </w:rPr>
        <w:t>基金托管人职责终止的，应当妥善保管基金财产和基金托管业务资料，及时与</w:t>
      </w:r>
      <w:proofErr w:type="gramStart"/>
      <w:r>
        <w:rPr>
          <w:rFonts w:ascii="宋体" w:hAnsi="宋体"/>
          <w:color w:val="000000"/>
          <w:sz w:val="24"/>
          <w:szCs w:val="24"/>
        </w:rPr>
        <w:t>新任基金</w:t>
      </w:r>
      <w:proofErr w:type="gramEnd"/>
      <w:r>
        <w:rPr>
          <w:rFonts w:ascii="宋体" w:hAnsi="宋体"/>
          <w:color w:val="000000"/>
          <w:sz w:val="24"/>
          <w:szCs w:val="24"/>
        </w:rPr>
        <w:t>托管人</w:t>
      </w:r>
      <w:r>
        <w:rPr>
          <w:rFonts w:ascii="宋体" w:hAnsi="宋体" w:hint="eastAsia"/>
          <w:color w:val="000000"/>
          <w:sz w:val="24"/>
          <w:szCs w:val="24"/>
        </w:rPr>
        <w:t>或临时基金托管人</w:t>
      </w:r>
      <w:r>
        <w:rPr>
          <w:rFonts w:ascii="宋体" w:hAnsi="宋体"/>
          <w:color w:val="000000"/>
          <w:sz w:val="24"/>
          <w:szCs w:val="24"/>
        </w:rPr>
        <w:t>办理基金财产和托管业务移交手续，</w:t>
      </w:r>
      <w:proofErr w:type="gramStart"/>
      <w:r>
        <w:rPr>
          <w:rFonts w:ascii="宋体" w:hAnsi="宋体"/>
          <w:color w:val="000000"/>
          <w:sz w:val="24"/>
          <w:szCs w:val="24"/>
        </w:rPr>
        <w:t>新任基金</w:t>
      </w:r>
      <w:proofErr w:type="gramEnd"/>
      <w:r>
        <w:rPr>
          <w:rFonts w:ascii="宋体" w:hAnsi="宋体"/>
          <w:color w:val="000000"/>
          <w:sz w:val="24"/>
          <w:szCs w:val="24"/>
        </w:rPr>
        <w:t>托管人</w:t>
      </w:r>
      <w:r>
        <w:rPr>
          <w:rFonts w:ascii="宋体" w:hAnsi="宋体" w:hint="eastAsia"/>
          <w:color w:val="000000"/>
          <w:sz w:val="24"/>
          <w:szCs w:val="24"/>
        </w:rPr>
        <w:t>或临时基金托管人</w:t>
      </w:r>
      <w:r>
        <w:rPr>
          <w:rFonts w:ascii="宋体" w:hAnsi="宋体"/>
          <w:color w:val="000000"/>
          <w:sz w:val="24"/>
          <w:szCs w:val="24"/>
        </w:rPr>
        <w:t>应当及时接收</w:t>
      </w:r>
      <w:r>
        <w:rPr>
          <w:rFonts w:ascii="宋体" w:hAnsi="宋体" w:hint="eastAsia"/>
          <w:sz w:val="24"/>
          <w:szCs w:val="24"/>
        </w:rPr>
        <w:t>，并与基金管理人核对基金财产的</w:t>
      </w:r>
      <w:r>
        <w:rPr>
          <w:rFonts w:ascii="宋体" w:hAnsi="宋体"/>
          <w:sz w:val="24"/>
          <w:szCs w:val="24"/>
        </w:rPr>
        <w:t>总值和净值</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(5)审计：</w:t>
      </w:r>
      <w:r>
        <w:rPr>
          <w:rFonts w:ascii="宋体" w:hAnsi="宋体" w:hint="eastAsia"/>
          <w:color w:val="000000"/>
          <w:sz w:val="24"/>
          <w:szCs w:val="24"/>
        </w:rPr>
        <w:t>原任</w:t>
      </w:r>
      <w:r>
        <w:rPr>
          <w:rFonts w:ascii="宋体" w:hAnsi="宋体"/>
          <w:color w:val="000000"/>
          <w:sz w:val="24"/>
          <w:szCs w:val="24"/>
        </w:rPr>
        <w:t>基金托管人职责终止的，应当按照规定聘请</w:t>
      </w:r>
      <w:r>
        <w:rPr>
          <w:rFonts w:ascii="宋体" w:hAnsi="宋体" w:hint="eastAsia"/>
          <w:color w:val="000000"/>
          <w:sz w:val="24"/>
          <w:szCs w:val="24"/>
        </w:rPr>
        <w:t>符合《</w:t>
      </w:r>
      <w:r>
        <w:rPr>
          <w:rFonts w:hint="eastAsia"/>
          <w:bCs/>
          <w:sz w:val="24"/>
        </w:rPr>
        <w:t>中华</w:t>
      </w:r>
      <w:r>
        <w:rPr>
          <w:bCs/>
          <w:sz w:val="24"/>
        </w:rPr>
        <w:t>人民共和国</w:t>
      </w:r>
      <w:r>
        <w:rPr>
          <w:rFonts w:ascii="宋体" w:hAnsi="宋体" w:hint="eastAsia"/>
          <w:color w:val="000000"/>
          <w:sz w:val="24"/>
          <w:szCs w:val="24"/>
        </w:rPr>
        <w:t>证券法》规定的</w:t>
      </w:r>
      <w:r>
        <w:rPr>
          <w:rFonts w:ascii="宋体" w:hAnsi="宋体"/>
          <w:color w:val="000000"/>
          <w:sz w:val="24"/>
          <w:szCs w:val="24"/>
        </w:rPr>
        <w:t>会计师事务所对基金财产进行审计，并予以公告，同时报</w:t>
      </w:r>
      <w:r>
        <w:rPr>
          <w:rFonts w:ascii="宋体" w:hAnsi="宋体" w:hint="eastAsia"/>
          <w:sz w:val="24"/>
          <w:szCs w:val="24"/>
        </w:rPr>
        <w:t>中国证监会</w:t>
      </w:r>
      <w:r>
        <w:rPr>
          <w:rFonts w:ascii="宋体" w:hAnsi="宋体"/>
          <w:color w:val="000000"/>
          <w:sz w:val="24"/>
          <w:szCs w:val="24"/>
        </w:rPr>
        <w:t>备案；审计费用从基金财产中列支；</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(6)公告：基金托管人更换后，由基金管理人在</w:t>
      </w:r>
      <w:r>
        <w:rPr>
          <w:rFonts w:ascii="宋体" w:hAnsi="宋体" w:hint="eastAsia"/>
          <w:sz w:val="24"/>
        </w:rPr>
        <w:t>更换基金托管人的基金份额持有人大会决议生效后2日内</w:t>
      </w:r>
      <w:r>
        <w:rPr>
          <w:rFonts w:ascii="宋体" w:hAnsi="宋体" w:hint="eastAsia"/>
          <w:color w:val="000000"/>
          <w:sz w:val="24"/>
          <w:szCs w:val="24"/>
        </w:rPr>
        <w:t>在规定媒介上</w:t>
      </w:r>
      <w:r>
        <w:rPr>
          <w:rFonts w:ascii="宋体" w:hAnsi="宋体"/>
          <w:color w:val="000000"/>
          <w:sz w:val="24"/>
          <w:szCs w:val="24"/>
        </w:rPr>
        <w:t>公告。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基金管理人与基金托管人同时更换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（1）提名：如果基金管理人和基金托管人同时更换，由单独或合计持有基金总份额10%以上的基金份额持有人提名新的基金管理人和基金托管人；</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（2）基金管理人和基金托管人的更换分别按上述程序进行；</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（3）公告：</w:t>
      </w:r>
      <w:proofErr w:type="gramStart"/>
      <w:r>
        <w:rPr>
          <w:rFonts w:ascii="宋体" w:hAnsi="宋体"/>
          <w:color w:val="000000"/>
          <w:sz w:val="24"/>
          <w:szCs w:val="24"/>
        </w:rPr>
        <w:t>新任基金</w:t>
      </w:r>
      <w:proofErr w:type="gramEnd"/>
      <w:r>
        <w:rPr>
          <w:rFonts w:ascii="宋体" w:hAnsi="宋体"/>
          <w:color w:val="000000"/>
          <w:sz w:val="24"/>
          <w:szCs w:val="24"/>
        </w:rPr>
        <w:t>管理人和</w:t>
      </w:r>
      <w:proofErr w:type="gramStart"/>
      <w:r>
        <w:rPr>
          <w:rFonts w:ascii="宋体" w:hAnsi="宋体"/>
          <w:color w:val="000000"/>
          <w:sz w:val="24"/>
          <w:szCs w:val="24"/>
        </w:rPr>
        <w:t>新任基金</w:t>
      </w:r>
      <w:proofErr w:type="gramEnd"/>
      <w:r>
        <w:rPr>
          <w:rFonts w:ascii="宋体" w:hAnsi="宋体"/>
          <w:color w:val="000000"/>
          <w:sz w:val="24"/>
          <w:szCs w:val="24"/>
        </w:rPr>
        <w:t>托管人</w:t>
      </w:r>
      <w:r>
        <w:rPr>
          <w:rFonts w:ascii="宋体" w:hAnsi="宋体" w:hint="eastAsia"/>
          <w:sz w:val="24"/>
          <w:szCs w:val="24"/>
        </w:rPr>
        <w:t>应</w:t>
      </w:r>
      <w:r>
        <w:rPr>
          <w:rFonts w:ascii="宋体" w:hAnsi="宋体"/>
          <w:color w:val="000000"/>
          <w:sz w:val="24"/>
          <w:szCs w:val="24"/>
        </w:rPr>
        <w:t>在</w:t>
      </w:r>
      <w:r>
        <w:rPr>
          <w:rFonts w:ascii="宋体" w:hAnsi="宋体" w:hint="eastAsia"/>
          <w:sz w:val="24"/>
          <w:szCs w:val="24"/>
        </w:rPr>
        <w:t>更换基金管理人和基金托管人的基金份额持有人大会决议</w:t>
      </w:r>
      <w:r>
        <w:rPr>
          <w:rFonts w:ascii="宋体" w:hAnsi="宋体" w:hint="eastAsia"/>
          <w:color w:val="000000"/>
          <w:sz w:val="24"/>
          <w:szCs w:val="24"/>
        </w:rPr>
        <w:t>生效后2</w:t>
      </w:r>
      <w:r>
        <w:rPr>
          <w:rFonts w:ascii="宋体" w:hAnsi="宋体"/>
          <w:color w:val="000000"/>
          <w:sz w:val="24"/>
          <w:szCs w:val="24"/>
        </w:rPr>
        <w:t>日内在规定媒介上联合公告。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（三）</w:t>
      </w:r>
      <w:proofErr w:type="gramStart"/>
      <w:r>
        <w:rPr>
          <w:rFonts w:ascii="宋体" w:hAnsi="宋体"/>
          <w:color w:val="000000"/>
          <w:sz w:val="24"/>
          <w:szCs w:val="24"/>
        </w:rPr>
        <w:t>新</w:t>
      </w:r>
      <w:r>
        <w:rPr>
          <w:rFonts w:ascii="宋体" w:hAnsi="宋体" w:hint="eastAsia"/>
          <w:color w:val="000000"/>
          <w:sz w:val="24"/>
          <w:szCs w:val="24"/>
        </w:rPr>
        <w:t>任</w:t>
      </w:r>
      <w:r>
        <w:rPr>
          <w:rFonts w:ascii="宋体" w:hAnsi="宋体"/>
          <w:color w:val="000000"/>
          <w:sz w:val="24"/>
          <w:szCs w:val="24"/>
        </w:rPr>
        <w:t>基金</w:t>
      </w:r>
      <w:proofErr w:type="gramEnd"/>
      <w:r>
        <w:rPr>
          <w:rFonts w:ascii="宋体" w:hAnsi="宋体"/>
          <w:color w:val="000000"/>
          <w:sz w:val="24"/>
          <w:szCs w:val="24"/>
        </w:rPr>
        <w:t>管理人接受基金管理</w:t>
      </w:r>
      <w:r>
        <w:rPr>
          <w:rFonts w:ascii="宋体" w:hAnsi="宋体" w:hint="eastAsia"/>
          <w:color w:val="000000"/>
          <w:sz w:val="24"/>
          <w:szCs w:val="24"/>
        </w:rPr>
        <w:t>业务</w:t>
      </w:r>
      <w:r>
        <w:rPr>
          <w:rFonts w:ascii="宋体" w:hAnsi="宋体"/>
          <w:color w:val="000000"/>
          <w:sz w:val="24"/>
          <w:szCs w:val="24"/>
        </w:rPr>
        <w:t>或</w:t>
      </w:r>
      <w:proofErr w:type="gramStart"/>
      <w:r>
        <w:rPr>
          <w:rFonts w:ascii="宋体" w:hAnsi="宋体"/>
          <w:color w:val="000000"/>
          <w:sz w:val="24"/>
          <w:szCs w:val="24"/>
        </w:rPr>
        <w:t>新</w:t>
      </w:r>
      <w:r>
        <w:rPr>
          <w:rFonts w:ascii="宋体" w:hAnsi="宋体" w:hint="eastAsia"/>
          <w:color w:val="000000"/>
          <w:sz w:val="24"/>
          <w:szCs w:val="24"/>
        </w:rPr>
        <w:t>任</w:t>
      </w:r>
      <w:r>
        <w:rPr>
          <w:rFonts w:ascii="宋体" w:hAnsi="宋体"/>
          <w:color w:val="000000"/>
          <w:sz w:val="24"/>
          <w:szCs w:val="24"/>
        </w:rPr>
        <w:t>基金</w:t>
      </w:r>
      <w:proofErr w:type="gramEnd"/>
      <w:r>
        <w:rPr>
          <w:rFonts w:ascii="宋体" w:hAnsi="宋体"/>
          <w:color w:val="000000"/>
          <w:sz w:val="24"/>
          <w:szCs w:val="24"/>
        </w:rPr>
        <w:t>托管人</w:t>
      </w:r>
      <w:r>
        <w:rPr>
          <w:rFonts w:ascii="宋体" w:hAnsi="宋体" w:hint="eastAsia"/>
          <w:color w:val="000000"/>
          <w:sz w:val="24"/>
          <w:szCs w:val="24"/>
        </w:rPr>
        <w:t>接受</w:t>
      </w:r>
      <w:r>
        <w:rPr>
          <w:rFonts w:ascii="宋体" w:hAnsi="宋体"/>
          <w:color w:val="000000"/>
          <w:sz w:val="24"/>
          <w:szCs w:val="24"/>
        </w:rPr>
        <w:t>基金托管业务前，原</w:t>
      </w:r>
      <w:r>
        <w:rPr>
          <w:rFonts w:ascii="宋体" w:hAnsi="宋体" w:hint="eastAsia"/>
          <w:color w:val="000000"/>
          <w:sz w:val="24"/>
          <w:szCs w:val="24"/>
        </w:rPr>
        <w:t>任</w:t>
      </w:r>
      <w:r>
        <w:rPr>
          <w:rFonts w:ascii="宋体" w:hAnsi="宋体"/>
          <w:color w:val="000000"/>
          <w:sz w:val="24"/>
          <w:szCs w:val="24"/>
        </w:rPr>
        <w:t>基金管理人或原</w:t>
      </w:r>
      <w:r>
        <w:rPr>
          <w:rFonts w:ascii="宋体" w:hAnsi="宋体" w:hint="eastAsia"/>
          <w:color w:val="000000"/>
          <w:sz w:val="24"/>
          <w:szCs w:val="24"/>
        </w:rPr>
        <w:t>任</w:t>
      </w:r>
      <w:r>
        <w:rPr>
          <w:rFonts w:ascii="宋体" w:hAnsi="宋体"/>
          <w:color w:val="000000"/>
          <w:sz w:val="24"/>
          <w:szCs w:val="24"/>
        </w:rPr>
        <w:t>基金托管人应</w:t>
      </w:r>
      <w:r>
        <w:rPr>
          <w:rFonts w:ascii="宋体" w:hAnsi="宋体" w:hint="eastAsia"/>
          <w:sz w:val="24"/>
          <w:szCs w:val="24"/>
        </w:rPr>
        <w:t>依据法律法规和基金合同的规定</w:t>
      </w:r>
      <w:r>
        <w:rPr>
          <w:rFonts w:ascii="宋体" w:hAnsi="宋体"/>
          <w:color w:val="000000"/>
          <w:sz w:val="24"/>
          <w:szCs w:val="24"/>
        </w:rPr>
        <w:t>继续履行相关职责，并保证不对基金份额持有人的利益造成损害。</w:t>
      </w:r>
      <w:bookmarkEnd w:id="103"/>
    </w:p>
    <w:p w:rsidR="008C0AE6" w:rsidRDefault="00392CEB">
      <w:pPr>
        <w:pStyle w:val="2"/>
        <w:spacing w:before="0" w:after="0" w:line="360" w:lineRule="auto"/>
        <w:jc w:val="center"/>
        <w:rPr>
          <w:rFonts w:ascii="宋体" w:eastAsia="宋体" w:hAnsi="宋体"/>
          <w:color w:val="000000"/>
          <w:sz w:val="24"/>
          <w:szCs w:val="24"/>
        </w:rPr>
      </w:pPr>
      <w:bookmarkStart w:id="104" w:name="_Toc145818949"/>
      <w:r>
        <w:rPr>
          <w:rFonts w:ascii="宋体" w:eastAsia="宋体" w:hAnsi="宋体"/>
          <w:color w:val="000000"/>
          <w:sz w:val="24"/>
          <w:szCs w:val="24"/>
        </w:rPr>
        <w:t>十五、禁止行为</w:t>
      </w:r>
      <w:bookmarkEnd w:id="104"/>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托管协议当事人禁止从事的行为，包括但不限于：</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（一）基金管理人、基金托管人将其固有财产或者他人财产混同于基金财产从事证券投资。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（二）基金管理人不公平地对待其管理的不同基金财产</w:t>
      </w:r>
      <w:r>
        <w:rPr>
          <w:rFonts w:ascii="宋体" w:hAnsi="宋体" w:hint="eastAsia"/>
          <w:color w:val="000000"/>
          <w:sz w:val="24"/>
          <w:szCs w:val="24"/>
        </w:rPr>
        <w:t>。基金托管人不公平地对待其托管的不同基金财产。</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（三）基金管理人、基金托管人利用基金财产为基金份额持有人以外的第三人牟取利益。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（四）基金管理人、基金托管人向基金份额持有人违规承诺收益或者承担损失。</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（五）基金管理人、基金托管人对他人泄漏基金经营过程中任何尚未按法律法规规定的方式公开披露的信息。</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（六）基金管理人在没有充足资金的情况下向基金托管人发出投资指令和</w:t>
      </w:r>
      <w:r>
        <w:rPr>
          <w:rFonts w:ascii="宋体" w:hAnsi="宋体" w:hint="eastAsia"/>
          <w:color w:val="000000"/>
          <w:sz w:val="24"/>
          <w:szCs w:val="24"/>
        </w:rPr>
        <w:t>付款</w:t>
      </w:r>
      <w:r>
        <w:rPr>
          <w:rFonts w:ascii="宋体" w:hAnsi="宋体"/>
          <w:color w:val="000000"/>
          <w:sz w:val="24"/>
          <w:szCs w:val="24"/>
        </w:rPr>
        <w:t>指令，或违规向基金托管人发出指令。</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七</w:t>
      </w:r>
      <w:r>
        <w:rPr>
          <w:rFonts w:ascii="宋体" w:hAnsi="宋体"/>
          <w:color w:val="000000"/>
          <w:sz w:val="24"/>
          <w:szCs w:val="24"/>
        </w:rPr>
        <w:t>）基金管理人、基金托管人在行政上、财务上不</w:t>
      </w:r>
      <w:proofErr w:type="gramStart"/>
      <w:r>
        <w:rPr>
          <w:rFonts w:ascii="宋体" w:hAnsi="宋体"/>
          <w:color w:val="000000"/>
          <w:sz w:val="24"/>
          <w:szCs w:val="24"/>
        </w:rPr>
        <w:t>独立,</w:t>
      </w:r>
      <w:proofErr w:type="gramEnd"/>
      <w:r>
        <w:rPr>
          <w:rFonts w:ascii="宋体" w:hAnsi="宋体"/>
          <w:color w:val="000000"/>
          <w:sz w:val="24"/>
          <w:szCs w:val="24"/>
        </w:rPr>
        <w:t>其高级管理人员和其他从业人员相互兼职。</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（八）基金托管人私自动用或处分基金资产，根据基金管理人的合法指令、基金合同或托管协议的规定进行处分的除外。</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（九）基金财产用于下列投资或者活动：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承销证券；</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、违反规定</w:t>
      </w:r>
      <w:r>
        <w:rPr>
          <w:rFonts w:ascii="宋体" w:hAnsi="宋体"/>
          <w:color w:val="000000"/>
          <w:sz w:val="24"/>
          <w:szCs w:val="24"/>
        </w:rPr>
        <w:t>向他人贷款或者提供担保；</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从事承担无限责任的投资；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买卖其他基金份额，但是</w:t>
      </w:r>
      <w:r>
        <w:rPr>
          <w:rFonts w:ascii="宋体" w:hAnsi="宋体" w:hint="eastAsia"/>
          <w:color w:val="000000"/>
          <w:sz w:val="24"/>
          <w:szCs w:val="24"/>
        </w:rPr>
        <w:t>中国证监会</w:t>
      </w:r>
      <w:r>
        <w:rPr>
          <w:rFonts w:ascii="宋体" w:hAnsi="宋体"/>
          <w:color w:val="000000"/>
          <w:sz w:val="24"/>
          <w:szCs w:val="24"/>
        </w:rPr>
        <w:t>另有规定的除外；</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向基金管理人、基金托管人出资；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从事内幕交易、操纵证券交易价格及其他不正当的证券交易活动；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7</w:t>
      </w:r>
      <w:r>
        <w:rPr>
          <w:rFonts w:ascii="宋体" w:hAnsi="宋体" w:hint="eastAsia"/>
          <w:color w:val="000000"/>
          <w:sz w:val="24"/>
          <w:szCs w:val="24"/>
        </w:rPr>
        <w:t>、</w:t>
      </w:r>
      <w:r>
        <w:rPr>
          <w:rFonts w:ascii="宋体" w:hAnsi="宋体"/>
          <w:color w:val="000000"/>
          <w:sz w:val="24"/>
          <w:szCs w:val="24"/>
        </w:rPr>
        <w:t>法律</w:t>
      </w:r>
      <w:r>
        <w:rPr>
          <w:rFonts w:ascii="宋体" w:hAnsi="宋体" w:hint="eastAsia"/>
          <w:color w:val="000000"/>
          <w:sz w:val="24"/>
          <w:szCs w:val="24"/>
        </w:rPr>
        <w:t>、</w:t>
      </w:r>
      <w:r>
        <w:rPr>
          <w:rFonts w:ascii="宋体" w:hAnsi="宋体"/>
          <w:color w:val="000000"/>
          <w:sz w:val="24"/>
          <w:szCs w:val="24"/>
        </w:rPr>
        <w:t>行政法规</w:t>
      </w:r>
      <w:r>
        <w:rPr>
          <w:rFonts w:ascii="宋体" w:hAnsi="宋体" w:hint="eastAsia"/>
          <w:color w:val="000000"/>
          <w:sz w:val="24"/>
          <w:szCs w:val="24"/>
        </w:rPr>
        <w:t>和</w:t>
      </w:r>
      <w:r>
        <w:rPr>
          <w:rFonts w:ascii="宋体" w:hAnsi="宋体"/>
          <w:color w:val="000000"/>
          <w:sz w:val="24"/>
          <w:szCs w:val="24"/>
        </w:rPr>
        <w:t>中国证监会规定禁止的其他活动</w:t>
      </w:r>
      <w:r>
        <w:rPr>
          <w:rFonts w:ascii="宋体" w:hAnsi="宋体" w:hint="eastAsia"/>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若法律、</w:t>
      </w:r>
      <w:r>
        <w:rPr>
          <w:rFonts w:ascii="宋体" w:hAnsi="宋体"/>
          <w:color w:val="000000"/>
          <w:sz w:val="24"/>
          <w:szCs w:val="24"/>
        </w:rPr>
        <w:t>行政</w:t>
      </w:r>
      <w:r>
        <w:rPr>
          <w:rFonts w:ascii="宋体" w:hAnsi="宋体" w:hint="eastAsia"/>
          <w:color w:val="000000"/>
          <w:sz w:val="24"/>
          <w:szCs w:val="24"/>
        </w:rPr>
        <w:t>法规或监管部门取消上述禁止性规定的，</w:t>
      </w:r>
      <w:r>
        <w:rPr>
          <w:rFonts w:ascii="宋体" w:hAnsi="宋体" w:hint="eastAsia"/>
          <w:sz w:val="24"/>
        </w:rPr>
        <w:t>如适用于本基金，基金管理人在</w:t>
      </w:r>
      <w:r>
        <w:rPr>
          <w:rFonts w:ascii="宋体" w:hAnsi="宋体" w:hint="eastAsia"/>
          <w:color w:val="000000"/>
          <w:sz w:val="24"/>
          <w:szCs w:val="24"/>
        </w:rPr>
        <w:t>履行适当程序后，本基金投资可不受上述相关限制。</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（十）法律法规和基金合同禁止的其他行为，以及依照法律、行政法规有关规定，由中国证监会规定禁止基金管理人、基金托管人从事的其他行为。</w:t>
      </w:r>
    </w:p>
    <w:p w:rsidR="008C0AE6" w:rsidRDefault="008C0AE6">
      <w:pPr>
        <w:adjustRightInd w:val="0"/>
        <w:snapToGrid w:val="0"/>
        <w:spacing w:line="360" w:lineRule="auto"/>
        <w:ind w:firstLineChars="200" w:firstLine="48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5" w:name="_Toc145818950"/>
      <w:r>
        <w:rPr>
          <w:rFonts w:ascii="宋体" w:eastAsia="宋体" w:hAnsi="宋体"/>
          <w:color w:val="000000"/>
          <w:sz w:val="24"/>
          <w:szCs w:val="24"/>
        </w:rPr>
        <w:t>十六、托管协议的变更、终止与基金财产的清算</w:t>
      </w:r>
      <w:bookmarkEnd w:id="105"/>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（一）托管协议的变更程序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本协议双方当事人经协商一致，可以对协议进行修改。修改后的新协议，其内容不得与基金合同的规定有任何冲突。基金托管协议的变更报</w:t>
      </w:r>
      <w:r>
        <w:rPr>
          <w:rFonts w:ascii="宋体" w:hAnsi="宋体" w:hint="eastAsia"/>
          <w:color w:val="000000"/>
          <w:sz w:val="24"/>
          <w:szCs w:val="24"/>
        </w:rPr>
        <w:t>应报中国证监会备案。</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（二）基金托管协议终止的情形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基金合同终止；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基金托管人解散、依法被撤销、破产或由其他基金托管人接管基金资产；</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基金管理人解散、依法被撤销、破产或由其他基金管理人接管基金管理权；</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发生法律法规或基金合同规定的终止事项。</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（三）基金财产的清算</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基金财产清算小组</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bCs/>
          <w:sz w:val="24"/>
        </w:rPr>
        <w:t xml:space="preserve"> </w:t>
      </w:r>
      <w:r>
        <w:rPr>
          <w:bCs/>
          <w:sz w:val="24"/>
        </w:rPr>
        <w:t>自出现《基金合同》终止事由之日起</w:t>
      </w:r>
      <w:r>
        <w:rPr>
          <w:bCs/>
          <w:sz w:val="24"/>
        </w:rPr>
        <w:t>30</w:t>
      </w:r>
      <w:r>
        <w:rPr>
          <w:bCs/>
          <w:sz w:val="24"/>
        </w:rPr>
        <w:t>个工作日内</w:t>
      </w:r>
      <w:r>
        <w:rPr>
          <w:rFonts w:ascii="宋体" w:hAnsi="宋体"/>
          <w:color w:val="000000"/>
          <w:sz w:val="24"/>
          <w:szCs w:val="24"/>
        </w:rPr>
        <w:t>，成立基金清算小组，基金清算小组在中国证监会的监督下进行基金清算。</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(2)基金清算小组成员由基金管理人、基金托管人、符合《中华人民共和国证券法》规定的注册会计师、律师以及中国证监会指定的人员组成。基金清算小组可以聘用必要的工作人员。</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(3)在基金财产清算过程中，基金管理人和基金托管人应各自履行职责，继续忠实、勤勉、尽责地履行基金合同和本托管协议规定的义务，维护基金份额持有人的合法权益。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(4)基金清算小组负责基金财产的保管、清理、估价、变现和分配。基金清算小组可以依法进行必要的民事活动。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基金财产清算程序</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(1)基金合同终止时，由基金清算小组统一接管基金财产；</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(2)对基金财产进行清理和确认；</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(3)对基金财产进行估价和变现；</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(4)编制清算报告；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5</w:t>
      </w:r>
      <w:r>
        <w:rPr>
          <w:rFonts w:ascii="宋体" w:hAnsi="宋体"/>
          <w:color w:val="000000"/>
          <w:sz w:val="24"/>
          <w:szCs w:val="24"/>
        </w:rPr>
        <w:t>)聘请会计师事务所对清算报告进行审计；</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6</w:t>
      </w:r>
      <w:r>
        <w:rPr>
          <w:rFonts w:ascii="宋体" w:hAnsi="宋体"/>
          <w:color w:val="000000"/>
          <w:sz w:val="24"/>
          <w:szCs w:val="24"/>
        </w:rPr>
        <w:t>)聘请律师事务所</w:t>
      </w:r>
      <w:r>
        <w:rPr>
          <w:rFonts w:ascii="宋体" w:hAnsi="宋体" w:hint="eastAsia"/>
          <w:color w:val="000000"/>
          <w:sz w:val="24"/>
          <w:szCs w:val="24"/>
        </w:rPr>
        <w:t>对清算报告</w:t>
      </w:r>
      <w:r>
        <w:rPr>
          <w:rFonts w:ascii="宋体" w:hAnsi="宋体"/>
          <w:color w:val="000000"/>
          <w:sz w:val="24"/>
          <w:szCs w:val="24"/>
        </w:rPr>
        <w:t>出具法律意见书；</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7</w:t>
      </w:r>
      <w:r>
        <w:rPr>
          <w:rFonts w:ascii="宋体" w:hAnsi="宋体"/>
          <w:color w:val="000000"/>
          <w:sz w:val="24"/>
          <w:szCs w:val="24"/>
        </w:rPr>
        <w:t>)将基金清算结果报告中国证监会；</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8</w:t>
      </w:r>
      <w:r>
        <w:rPr>
          <w:rFonts w:ascii="宋体" w:hAnsi="宋体"/>
          <w:color w:val="000000"/>
          <w:sz w:val="24"/>
          <w:szCs w:val="24"/>
        </w:rPr>
        <w:t>)公布基金清算</w:t>
      </w:r>
      <w:r>
        <w:rPr>
          <w:rFonts w:ascii="宋体" w:hAnsi="宋体" w:hint="eastAsia"/>
          <w:color w:val="000000"/>
          <w:sz w:val="24"/>
          <w:szCs w:val="24"/>
        </w:rPr>
        <w:t>报告</w:t>
      </w:r>
      <w:r>
        <w:rPr>
          <w:rFonts w:ascii="宋体" w:hAnsi="宋体"/>
          <w:color w:val="000000"/>
          <w:sz w:val="24"/>
          <w:szCs w:val="24"/>
        </w:rPr>
        <w:t>；</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9</w:t>
      </w:r>
      <w:r>
        <w:rPr>
          <w:rFonts w:ascii="宋体" w:hAnsi="宋体"/>
          <w:color w:val="000000"/>
          <w:sz w:val="24"/>
          <w:szCs w:val="24"/>
        </w:rPr>
        <w:t>)对基金剩余财产进行分配。</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清算费用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清算费用是指基金清算小组在进行基金清算过程中发生的所有合理费用，清算费用由基金清算小组优先从基金财产中支付。</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基金财产按下列顺序清偿：</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(1)支付清算费用；</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(2)交纳所欠税款；</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(3)清偿基金债务；</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(4)按基金份额持有人持有的基金份额比例进行分配。</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基金财产未按前款(1)－(3)项规定清偿前，不分配给基金份额持有人。</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基金财产清算的公告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清算过程中的有关重大事项须及时公告；</w:t>
      </w:r>
      <w:r>
        <w:rPr>
          <w:rFonts w:ascii="宋体" w:hAnsi="宋体" w:hint="eastAsia"/>
          <w:color w:val="000000"/>
          <w:sz w:val="24"/>
          <w:szCs w:val="24"/>
        </w:rPr>
        <w:t>基金财产清算结果经会计师事务所审计，律师事务所出具法律意见书后，由基金财产清算小组报中国证监会备案并公告。</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基金财产清算账册及文件的保存</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基金财产清算账册及有关文件由基金托管人保存</w:t>
      </w:r>
      <w:r>
        <w:rPr>
          <w:rFonts w:hint="eastAsia"/>
          <w:bCs/>
          <w:sz w:val="24"/>
        </w:rPr>
        <w:t>不低于法律法规规定的最低期限</w:t>
      </w:r>
      <w:r>
        <w:rPr>
          <w:rFonts w:ascii="宋体" w:hAnsi="宋体"/>
          <w:color w:val="000000"/>
          <w:sz w:val="24"/>
          <w:szCs w:val="24"/>
        </w:rPr>
        <w:t>。</w:t>
      </w:r>
    </w:p>
    <w:p w:rsidR="008C0AE6" w:rsidRDefault="008C0AE6">
      <w:pPr>
        <w:adjustRightInd w:val="0"/>
        <w:snapToGrid w:val="0"/>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6" w:name="_Toc145818951"/>
      <w:r>
        <w:rPr>
          <w:rFonts w:ascii="宋体" w:eastAsia="宋体" w:hAnsi="宋体"/>
          <w:color w:val="000000"/>
          <w:sz w:val="24"/>
          <w:szCs w:val="24"/>
        </w:rPr>
        <w:t>十七、违约责任</w:t>
      </w:r>
      <w:bookmarkEnd w:id="106"/>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（一）基金管理人、基金托管人不履行本协议或履行本协议不符合约定的，应当承担违约责任。</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8C0AE6" w:rsidRDefault="00392CEB">
      <w:pPr>
        <w:adjustRightInd w:val="0"/>
        <w:snapToGrid w:val="0"/>
        <w:spacing w:line="360" w:lineRule="auto"/>
        <w:ind w:firstLineChars="200" w:firstLine="480"/>
        <w:outlineLvl w:val="0"/>
        <w:rPr>
          <w:rFonts w:ascii="宋体" w:hAnsi="宋体"/>
          <w:color w:val="000000"/>
          <w:sz w:val="24"/>
          <w:szCs w:val="24"/>
        </w:rPr>
      </w:pPr>
      <w:r>
        <w:rPr>
          <w:rFonts w:ascii="宋体" w:hAnsi="宋体"/>
          <w:color w:val="000000"/>
          <w:sz w:val="24"/>
          <w:szCs w:val="24"/>
        </w:rPr>
        <w:t>（三）当事人违约，给另一方当事人造成损失的，应就直接损失进行赔偿；给基金资产造成损失的，应就直接损失进行赔偿，另一方当事人有权利及义务代表基金向违约方追偿。如发生下列情况，当事人免责：</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不可抗力；</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基金管理人</w:t>
      </w:r>
      <w:r>
        <w:rPr>
          <w:rFonts w:ascii="宋体" w:hAnsi="宋体" w:hint="eastAsia"/>
          <w:color w:val="000000"/>
          <w:sz w:val="24"/>
          <w:szCs w:val="24"/>
        </w:rPr>
        <w:t>和</w:t>
      </w:r>
      <w:r>
        <w:rPr>
          <w:rFonts w:ascii="宋体" w:hAnsi="宋体"/>
          <w:color w:val="000000"/>
          <w:sz w:val="24"/>
          <w:szCs w:val="24"/>
        </w:rPr>
        <w:t>/</w:t>
      </w:r>
      <w:r>
        <w:rPr>
          <w:rFonts w:ascii="宋体" w:hAnsi="宋体" w:hint="eastAsia"/>
          <w:color w:val="000000"/>
          <w:sz w:val="24"/>
          <w:szCs w:val="24"/>
        </w:rPr>
        <w:t>或</w:t>
      </w:r>
      <w:r>
        <w:rPr>
          <w:rFonts w:ascii="宋体" w:hAnsi="宋体"/>
          <w:color w:val="000000"/>
          <w:sz w:val="24"/>
          <w:szCs w:val="24"/>
        </w:rPr>
        <w:t>基金托管人按照当时有效的法律法规或中国证监会的规定作为或不作为而造成的损失等；</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基金管理人由于按照基金合同规定的投资原则</w:t>
      </w:r>
      <w:r>
        <w:rPr>
          <w:rFonts w:ascii="宋体" w:hAnsi="宋体" w:hint="eastAsia"/>
          <w:color w:val="000000"/>
          <w:sz w:val="24"/>
          <w:szCs w:val="24"/>
        </w:rPr>
        <w:t>行使或不行使其投资权</w:t>
      </w:r>
      <w:r>
        <w:rPr>
          <w:rFonts w:ascii="宋体" w:hAnsi="宋体"/>
          <w:color w:val="000000"/>
          <w:sz w:val="24"/>
          <w:szCs w:val="24"/>
        </w:rPr>
        <w:t>造成的损失等；</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（四）当事人违约，另一方当事人在职责范围内有义务及时采取必要的措施，尽力防止损失的扩大。</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（五）违约行为虽已发生，但本托管协议能够继续履行的，在最大限度地保护基金份额持有人利益的前提下，基金管理人和基金托管人应当继续履行本协议。</w:t>
      </w:r>
      <w:proofErr w:type="gramStart"/>
      <w:r>
        <w:rPr>
          <w:rFonts w:ascii="宋体" w:hAnsi="宋体"/>
          <w:color w:val="000000"/>
          <w:sz w:val="24"/>
          <w:szCs w:val="24"/>
        </w:rPr>
        <w:t>若基金</w:t>
      </w:r>
      <w:proofErr w:type="gramEnd"/>
      <w:r>
        <w:rPr>
          <w:rFonts w:ascii="宋体" w:hAnsi="宋体"/>
          <w:color w:val="000000"/>
          <w:sz w:val="24"/>
          <w:szCs w:val="24"/>
        </w:rPr>
        <w:t>管理人或基金托管人因履行本协议而被起诉，另一方应提供合理的必要支持。</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（六）由于</w:t>
      </w:r>
      <w:r>
        <w:rPr>
          <w:rFonts w:ascii="宋体" w:hAnsi="宋体" w:hint="eastAsia"/>
          <w:color w:val="000000"/>
          <w:sz w:val="24"/>
          <w:szCs w:val="22"/>
        </w:rPr>
        <w:t>基金管理人、基金托管人不可控制的因素导致业务出现差错</w:t>
      </w:r>
      <w:r>
        <w:rPr>
          <w:rFonts w:ascii="宋体" w:hAnsi="宋体" w:hint="eastAsia"/>
          <w:color w:val="000000"/>
          <w:sz w:val="24"/>
          <w:szCs w:val="24"/>
        </w:rPr>
        <w:t>，基金管理人和基金托管人虽然已经采取必要、适当、合理的措施进行检查，但是未能发现该错误的，由此造成基金财产或基金投资者损失，基金管理人和基金托管人免除赔偿责任。但基金管理人和基金托管人应当积极采取必要的措施减轻</w:t>
      </w:r>
      <w:r>
        <w:rPr>
          <w:rFonts w:ascii="宋体" w:hAnsi="宋体"/>
          <w:color w:val="000000"/>
          <w:sz w:val="24"/>
          <w:szCs w:val="24"/>
        </w:rPr>
        <w:t>或</w:t>
      </w:r>
      <w:r>
        <w:rPr>
          <w:rFonts w:ascii="宋体" w:hAnsi="宋体" w:hint="eastAsia"/>
          <w:color w:val="000000"/>
          <w:sz w:val="24"/>
          <w:szCs w:val="24"/>
        </w:rPr>
        <w:t>消除由此造成的影响。</w:t>
      </w:r>
    </w:p>
    <w:p w:rsidR="008C0AE6" w:rsidRDefault="008C0AE6">
      <w:pPr>
        <w:adjustRightInd w:val="0"/>
        <w:snapToGrid w:val="0"/>
        <w:spacing w:line="360" w:lineRule="auto"/>
        <w:outlineLvl w:val="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7" w:name="_Toc145818952"/>
      <w:r>
        <w:rPr>
          <w:rFonts w:ascii="宋体" w:eastAsia="宋体" w:hAnsi="宋体"/>
          <w:color w:val="000000"/>
          <w:sz w:val="24"/>
          <w:szCs w:val="24"/>
        </w:rPr>
        <w:t>十八、争议解决方式</w:t>
      </w:r>
      <w:bookmarkEnd w:id="107"/>
    </w:p>
    <w:p w:rsidR="008C0AE6" w:rsidRPr="00B013EC" w:rsidRDefault="00392CEB">
      <w:pPr>
        <w:adjustRightInd w:val="0"/>
        <w:snapToGrid w:val="0"/>
        <w:spacing w:line="360" w:lineRule="auto"/>
        <w:ind w:firstLineChars="200" w:firstLine="482"/>
        <w:rPr>
          <w:rFonts w:ascii="宋体" w:hAnsi="宋体"/>
          <w:b/>
          <w:bCs/>
          <w:color w:val="000000"/>
          <w:sz w:val="24"/>
          <w:szCs w:val="24"/>
        </w:rPr>
      </w:pPr>
      <w:r w:rsidRPr="00B013EC">
        <w:rPr>
          <w:rFonts w:ascii="宋体" w:hAnsi="宋体"/>
          <w:b/>
          <w:bCs/>
          <w:color w:val="000000"/>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B013EC">
        <w:rPr>
          <w:rFonts w:ascii="宋体" w:hAnsi="宋体" w:hint="eastAsia"/>
          <w:b/>
          <w:bCs/>
          <w:color w:val="000000"/>
          <w:sz w:val="24"/>
          <w:szCs w:val="24"/>
        </w:rPr>
        <w:t>除非仲裁裁决另有规定，仲裁费由败诉方承担。</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争议处理期间，双方当事人应恪守基金管理人和基金托管人职责，各自继续忠实、勤勉、尽责地履行基金合同和本托管协议规定的义务，维护基金份额持有人的合法权益。</w:t>
      </w:r>
    </w:p>
    <w:p w:rsidR="008C0AE6" w:rsidRDefault="00392CEB">
      <w:pPr>
        <w:adjustRightInd w:val="0"/>
        <w:snapToGrid w:val="0"/>
        <w:spacing w:line="360" w:lineRule="auto"/>
        <w:ind w:firstLineChars="225" w:firstLine="540"/>
        <w:rPr>
          <w:rFonts w:ascii="宋体" w:hAnsi="宋体"/>
          <w:sz w:val="24"/>
          <w:szCs w:val="24"/>
        </w:rPr>
      </w:pPr>
      <w:r>
        <w:rPr>
          <w:rFonts w:ascii="宋体" w:hAnsi="宋体" w:hint="eastAsia"/>
          <w:sz w:val="24"/>
          <w:szCs w:val="24"/>
        </w:rPr>
        <w:t>本协议适用中华人民共和国法律（不含港澳台地区法律）并从其解释。</w:t>
      </w:r>
    </w:p>
    <w:p w:rsidR="008C0AE6" w:rsidRDefault="008C0AE6">
      <w:pPr>
        <w:adjustRightInd w:val="0"/>
        <w:snapToGrid w:val="0"/>
        <w:spacing w:line="360" w:lineRule="auto"/>
        <w:ind w:firstLineChars="225" w:firstLine="540"/>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8" w:name="_Toc145818953"/>
      <w:r>
        <w:rPr>
          <w:rFonts w:ascii="宋体" w:eastAsia="宋体" w:hAnsi="宋体"/>
          <w:color w:val="000000"/>
          <w:sz w:val="24"/>
          <w:szCs w:val="24"/>
        </w:rPr>
        <w:t>十九、托管协议的效力</w:t>
      </w:r>
      <w:bookmarkEnd w:id="108"/>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双方对托管协议的效力约定如下：</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（一）基金管理人在向中国证监会申请</w:t>
      </w:r>
      <w:r>
        <w:rPr>
          <w:rFonts w:ascii="宋体" w:hAnsi="宋体" w:hint="eastAsia"/>
          <w:color w:val="000000"/>
          <w:sz w:val="24"/>
          <w:szCs w:val="24"/>
        </w:rPr>
        <w:t>变更注册</w:t>
      </w:r>
      <w:r>
        <w:rPr>
          <w:rFonts w:ascii="宋体" w:hAnsi="宋体"/>
          <w:color w:val="000000"/>
          <w:sz w:val="24"/>
          <w:szCs w:val="24"/>
        </w:rPr>
        <w:t>时提交的托管协议草案，应经托管协议当事人双方盖章以及双方法定代表人或授权代表签字，协议当事人双方根据中国证监会的意见修改托管协议草案。托管协议以中国证监会</w:t>
      </w:r>
      <w:r>
        <w:rPr>
          <w:rFonts w:ascii="宋体" w:hAnsi="宋体" w:hint="eastAsia"/>
          <w:color w:val="000000"/>
          <w:sz w:val="24"/>
          <w:szCs w:val="24"/>
        </w:rPr>
        <w:t>注册</w:t>
      </w:r>
      <w:r>
        <w:rPr>
          <w:rFonts w:ascii="宋体" w:hAnsi="宋体"/>
          <w:color w:val="000000"/>
          <w:sz w:val="24"/>
          <w:szCs w:val="24"/>
        </w:rPr>
        <w:t>的文本为正式文本。</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（二）托管协议自基金合同成立之日起成立，自基金合同生效之日起生效。托管协议的有效期自其生效之日起至该基金财产清算结果报中国证监会</w:t>
      </w:r>
      <w:r>
        <w:rPr>
          <w:rFonts w:ascii="宋体" w:hAnsi="宋体" w:hint="eastAsia"/>
          <w:color w:val="000000"/>
          <w:sz w:val="24"/>
          <w:szCs w:val="24"/>
        </w:rPr>
        <w:t>备案</w:t>
      </w:r>
      <w:r>
        <w:rPr>
          <w:rFonts w:ascii="宋体" w:hAnsi="宋体"/>
          <w:color w:val="000000"/>
          <w:sz w:val="24"/>
          <w:szCs w:val="24"/>
        </w:rPr>
        <w:t>并公告之日止。</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（三）托管协议自生效之日对托管协议当事人具有同等的法律约束力。</w:t>
      </w:r>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（四）本协议一式</w:t>
      </w:r>
      <w:r>
        <w:rPr>
          <w:rFonts w:ascii="宋体" w:hAnsi="宋体" w:hint="eastAsia"/>
          <w:color w:val="000000"/>
          <w:sz w:val="24"/>
          <w:szCs w:val="24"/>
        </w:rPr>
        <w:t>六</w:t>
      </w:r>
      <w:r>
        <w:rPr>
          <w:rFonts w:ascii="宋体" w:hAnsi="宋体"/>
          <w:color w:val="000000"/>
          <w:sz w:val="24"/>
          <w:szCs w:val="24"/>
        </w:rPr>
        <w:t>份，协议双方各持</w:t>
      </w:r>
      <w:r>
        <w:rPr>
          <w:rFonts w:ascii="宋体" w:hAnsi="宋体" w:hint="eastAsia"/>
          <w:color w:val="000000"/>
          <w:sz w:val="24"/>
          <w:szCs w:val="24"/>
        </w:rPr>
        <w:t>二</w:t>
      </w:r>
      <w:r>
        <w:rPr>
          <w:rFonts w:ascii="宋体" w:hAnsi="宋体"/>
          <w:color w:val="000000"/>
          <w:sz w:val="24"/>
          <w:szCs w:val="24"/>
        </w:rPr>
        <w:t>份，上报</w:t>
      </w:r>
      <w:r>
        <w:rPr>
          <w:rFonts w:ascii="宋体" w:hAnsi="宋体" w:hint="eastAsia"/>
          <w:color w:val="000000"/>
          <w:sz w:val="24"/>
          <w:szCs w:val="24"/>
        </w:rPr>
        <w:t>有关监管部门两</w:t>
      </w:r>
      <w:r>
        <w:rPr>
          <w:rFonts w:ascii="宋体" w:hAnsi="宋体"/>
          <w:color w:val="000000"/>
          <w:sz w:val="24"/>
          <w:szCs w:val="24"/>
        </w:rPr>
        <w:t>份，每份具有同等法律效力。</w:t>
      </w:r>
    </w:p>
    <w:p w:rsidR="008C0AE6" w:rsidRDefault="008C0AE6">
      <w:pPr>
        <w:adjustRightInd w:val="0"/>
        <w:snapToGrid w:val="0"/>
        <w:spacing w:line="360" w:lineRule="auto"/>
        <w:rPr>
          <w:rFonts w:ascii="宋体" w:hAnsi="宋体"/>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09" w:name="_Toc145818954"/>
      <w:r>
        <w:rPr>
          <w:rFonts w:ascii="宋体" w:eastAsia="宋体" w:hAnsi="宋体"/>
          <w:color w:val="000000"/>
          <w:sz w:val="24"/>
          <w:szCs w:val="24"/>
        </w:rPr>
        <w:t>二十、其他事项</w:t>
      </w:r>
      <w:bookmarkEnd w:id="109"/>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除本协议有明确定义外，本协议的用语定义适用基金合同的约定。本协议未尽事宜，当事人依据基金合同、有关法律法规等规定协商办理。</w:t>
      </w:r>
    </w:p>
    <w:p w:rsidR="008C0AE6" w:rsidRDefault="008C0AE6">
      <w:pPr>
        <w:adjustRightInd w:val="0"/>
        <w:snapToGrid w:val="0"/>
        <w:spacing w:line="360" w:lineRule="auto"/>
        <w:rPr>
          <w:rFonts w:ascii="宋体" w:hAnsi="宋体"/>
          <w:b/>
          <w:color w:val="000000"/>
          <w:sz w:val="24"/>
          <w:szCs w:val="24"/>
        </w:rPr>
      </w:pPr>
    </w:p>
    <w:p w:rsidR="008C0AE6" w:rsidRDefault="00392CEB">
      <w:pPr>
        <w:pStyle w:val="2"/>
        <w:spacing w:before="0" w:after="0" w:line="360" w:lineRule="auto"/>
        <w:jc w:val="center"/>
        <w:rPr>
          <w:rFonts w:ascii="宋体" w:eastAsia="宋体" w:hAnsi="宋体"/>
          <w:color w:val="000000"/>
          <w:sz w:val="24"/>
          <w:szCs w:val="24"/>
        </w:rPr>
      </w:pPr>
      <w:bookmarkStart w:id="110" w:name="_Toc145818955"/>
      <w:r>
        <w:rPr>
          <w:rFonts w:ascii="宋体" w:eastAsia="宋体" w:hAnsi="宋体"/>
          <w:color w:val="000000"/>
          <w:sz w:val="24"/>
          <w:szCs w:val="24"/>
        </w:rPr>
        <w:t>二十一、托管协议的签订</w:t>
      </w:r>
      <w:bookmarkEnd w:id="110"/>
    </w:p>
    <w:p w:rsidR="008C0AE6" w:rsidRDefault="00392CEB">
      <w:pPr>
        <w:adjustRightInd w:val="0"/>
        <w:snapToGrid w:val="0"/>
        <w:spacing w:line="360" w:lineRule="auto"/>
        <w:ind w:firstLineChars="200" w:firstLine="480"/>
        <w:rPr>
          <w:rFonts w:ascii="宋体" w:hAnsi="宋体"/>
          <w:color w:val="000000"/>
          <w:sz w:val="24"/>
          <w:szCs w:val="24"/>
        </w:rPr>
      </w:pPr>
      <w:r>
        <w:rPr>
          <w:rFonts w:ascii="宋体" w:hAnsi="宋体"/>
          <w:color w:val="000000"/>
          <w:sz w:val="24"/>
          <w:szCs w:val="24"/>
        </w:rPr>
        <w:t>本协议双方法定代表人或授权代表签章、签订地、签订日</w:t>
      </w:r>
      <w:r>
        <w:rPr>
          <w:rFonts w:ascii="宋体" w:hAnsi="宋体" w:hint="eastAsia"/>
          <w:color w:val="000000"/>
          <w:sz w:val="24"/>
          <w:szCs w:val="24"/>
        </w:rPr>
        <w:t>。</w:t>
      </w:r>
    </w:p>
    <w:p w:rsidR="008C0AE6" w:rsidRDefault="008C0AE6">
      <w:pPr>
        <w:adjustRightInd w:val="0"/>
        <w:snapToGrid w:val="0"/>
        <w:spacing w:line="360" w:lineRule="auto"/>
        <w:rPr>
          <w:rFonts w:ascii="宋体"/>
          <w:sz w:val="28"/>
        </w:rPr>
        <w:sectPr w:rsidR="008C0AE6">
          <w:headerReference w:type="default" r:id="rId10"/>
          <w:footerReference w:type="default" r:id="rId11"/>
          <w:type w:val="continuous"/>
          <w:pgSz w:w="11906" w:h="16838"/>
          <w:pgMar w:top="1440" w:right="1800" w:bottom="1440" w:left="1800" w:header="851" w:footer="992" w:gutter="0"/>
          <w:cols w:space="720"/>
          <w:titlePg/>
          <w:docGrid w:type="lines" w:linePitch="312"/>
        </w:sectPr>
      </w:pPr>
    </w:p>
    <w:p w:rsidR="008C0AE6" w:rsidRDefault="00392CEB">
      <w:pPr>
        <w:adjustRightInd w:val="0"/>
        <w:snapToGrid w:val="0"/>
        <w:spacing w:line="360" w:lineRule="auto"/>
        <w:rPr>
          <w:rFonts w:ascii="宋体" w:hAnsi="宋体"/>
          <w:color w:val="000000"/>
          <w:sz w:val="24"/>
          <w:szCs w:val="24"/>
        </w:rPr>
      </w:pPr>
      <w:r>
        <w:rPr>
          <w:rFonts w:ascii="宋体"/>
          <w:sz w:val="28"/>
        </w:rPr>
        <w:br w:type="page"/>
      </w:r>
      <w:r>
        <w:rPr>
          <w:rFonts w:ascii="宋体" w:hAnsi="宋体"/>
          <w:color w:val="000000"/>
          <w:sz w:val="24"/>
          <w:szCs w:val="24"/>
        </w:rPr>
        <w:t>本页无正文，为《交银施罗德</w:t>
      </w:r>
      <w:r>
        <w:rPr>
          <w:rFonts w:ascii="宋体" w:hAnsi="宋体" w:hint="eastAsia"/>
          <w:color w:val="000000"/>
          <w:sz w:val="24"/>
          <w:szCs w:val="24"/>
        </w:rPr>
        <w:t>先进制造混合型</w:t>
      </w:r>
      <w:r>
        <w:rPr>
          <w:rFonts w:ascii="宋体" w:hAnsi="宋体"/>
          <w:color w:val="000000"/>
          <w:sz w:val="24"/>
          <w:szCs w:val="24"/>
        </w:rPr>
        <w:t>证券投资基金</w:t>
      </w:r>
      <w:r>
        <w:rPr>
          <w:rFonts w:ascii="宋体" w:hAnsi="宋体" w:hint="eastAsia"/>
          <w:color w:val="000000"/>
          <w:sz w:val="24"/>
          <w:szCs w:val="24"/>
        </w:rPr>
        <w:t>托管协议</w:t>
      </w:r>
      <w:r>
        <w:rPr>
          <w:rFonts w:ascii="宋体" w:hAnsi="宋体"/>
          <w:color w:val="000000"/>
          <w:sz w:val="24"/>
          <w:szCs w:val="24"/>
        </w:rPr>
        <w:t>》的签字盖章页。</w:t>
      </w:r>
    </w:p>
    <w:p w:rsidR="008C0AE6" w:rsidRDefault="008C0AE6"/>
    <w:p w:rsidR="008C0AE6" w:rsidRDefault="008C0AE6"/>
    <w:p w:rsidR="008C0AE6" w:rsidRDefault="00392CEB">
      <w:pPr>
        <w:spacing w:line="360" w:lineRule="auto"/>
        <w:rPr>
          <w:rFonts w:ascii="宋体" w:hAnsi="宋体"/>
          <w:b/>
          <w:sz w:val="24"/>
        </w:rPr>
      </w:pPr>
      <w:r>
        <w:rPr>
          <w:rFonts w:ascii="宋体" w:hAnsi="宋体" w:hint="eastAsia"/>
          <w:b/>
          <w:sz w:val="24"/>
        </w:rPr>
        <w:t>基金管理人：交银施罗德基金管理有限公司（法人盖章）</w:t>
      </w:r>
    </w:p>
    <w:p w:rsidR="008C0AE6" w:rsidRDefault="008C0AE6">
      <w:pPr>
        <w:pStyle w:val="af7"/>
        <w:spacing w:after="0" w:line="360" w:lineRule="auto"/>
        <w:ind w:leftChars="0" w:left="0"/>
        <w:rPr>
          <w:rFonts w:ascii="宋体" w:hAnsi="宋体"/>
          <w:b/>
          <w:sz w:val="24"/>
        </w:rPr>
      </w:pPr>
    </w:p>
    <w:p w:rsidR="008C0AE6" w:rsidRDefault="008C0AE6">
      <w:pPr>
        <w:pStyle w:val="af7"/>
        <w:spacing w:after="0" w:line="360" w:lineRule="auto"/>
        <w:ind w:leftChars="0" w:left="0"/>
        <w:jc w:val="center"/>
        <w:rPr>
          <w:rFonts w:ascii="宋体" w:hAnsi="宋体"/>
          <w:b/>
          <w:sz w:val="24"/>
        </w:rPr>
      </w:pPr>
    </w:p>
    <w:p w:rsidR="008C0AE6" w:rsidRDefault="008C0AE6">
      <w:pPr>
        <w:pStyle w:val="af7"/>
        <w:spacing w:after="0" w:line="360" w:lineRule="auto"/>
        <w:ind w:leftChars="0" w:left="0"/>
        <w:rPr>
          <w:rFonts w:ascii="宋体" w:hAnsi="宋体"/>
          <w:b/>
          <w:sz w:val="24"/>
        </w:rPr>
      </w:pPr>
    </w:p>
    <w:p w:rsidR="008C0AE6" w:rsidRDefault="00392CEB">
      <w:pPr>
        <w:pStyle w:val="af7"/>
        <w:spacing w:after="0" w:line="360" w:lineRule="auto"/>
        <w:ind w:leftChars="0" w:left="0"/>
        <w:rPr>
          <w:rFonts w:ascii="宋体" w:hAnsi="宋体"/>
          <w:b/>
          <w:sz w:val="24"/>
        </w:rPr>
      </w:pPr>
      <w:r>
        <w:rPr>
          <w:rFonts w:ascii="宋体" w:hAnsi="宋体" w:hint="eastAsia"/>
          <w:b/>
          <w:sz w:val="24"/>
        </w:rPr>
        <w:t>法定代表人或授权代表（签章）：</w:t>
      </w:r>
      <w:r>
        <w:rPr>
          <w:rFonts w:ascii="宋体" w:hAnsi="宋体"/>
          <w:b/>
          <w:sz w:val="24"/>
        </w:rPr>
        <w:t xml:space="preserve"> </w:t>
      </w:r>
    </w:p>
    <w:p w:rsidR="008C0AE6" w:rsidRDefault="008C0AE6">
      <w:pPr>
        <w:pStyle w:val="af7"/>
        <w:spacing w:after="0" w:line="360" w:lineRule="auto"/>
        <w:ind w:leftChars="0" w:left="0"/>
        <w:rPr>
          <w:rFonts w:ascii="宋体" w:hAnsi="宋体"/>
          <w:b/>
          <w:sz w:val="24"/>
        </w:rPr>
      </w:pPr>
    </w:p>
    <w:p w:rsidR="008C0AE6" w:rsidRDefault="008C0AE6">
      <w:pPr>
        <w:pStyle w:val="3"/>
        <w:rPr>
          <w:lang w:val="en-US"/>
        </w:rPr>
      </w:pPr>
    </w:p>
    <w:p w:rsidR="008C0AE6" w:rsidRDefault="008C0AE6">
      <w:pPr>
        <w:pStyle w:val="3"/>
        <w:rPr>
          <w:lang w:val="en-US"/>
        </w:rPr>
      </w:pPr>
    </w:p>
    <w:p w:rsidR="008C0AE6" w:rsidRDefault="00392CEB">
      <w:pPr>
        <w:pStyle w:val="af7"/>
        <w:spacing w:after="0" w:line="360" w:lineRule="auto"/>
        <w:ind w:leftChars="0" w:left="0"/>
        <w:rPr>
          <w:rFonts w:ascii="宋体" w:hAnsi="宋体"/>
          <w:b/>
          <w:sz w:val="24"/>
        </w:rPr>
      </w:pPr>
      <w:r>
        <w:rPr>
          <w:rFonts w:ascii="宋体" w:hAnsi="宋体" w:hint="eastAsia"/>
          <w:b/>
          <w:sz w:val="24"/>
        </w:rPr>
        <w:t>基金托管人</w:t>
      </w:r>
      <w:r>
        <w:rPr>
          <w:rFonts w:ascii="宋体" w:hAnsi="宋体"/>
          <w:b/>
          <w:sz w:val="24"/>
        </w:rPr>
        <w:t>:</w:t>
      </w:r>
      <w:r>
        <w:rPr>
          <w:rFonts w:ascii="宋体" w:hAnsi="宋体" w:hint="eastAsia"/>
          <w:b/>
          <w:sz w:val="24"/>
        </w:rPr>
        <w:t>中国农业银行股份有限公司（法人盖章）</w:t>
      </w:r>
    </w:p>
    <w:p w:rsidR="008C0AE6" w:rsidRDefault="008C0AE6">
      <w:pPr>
        <w:pStyle w:val="af7"/>
        <w:spacing w:after="0" w:line="360" w:lineRule="auto"/>
        <w:ind w:leftChars="0" w:left="0"/>
        <w:rPr>
          <w:rFonts w:ascii="宋体" w:hAnsi="宋体"/>
          <w:b/>
          <w:sz w:val="24"/>
        </w:rPr>
      </w:pPr>
    </w:p>
    <w:p w:rsidR="008C0AE6" w:rsidRDefault="008C0AE6">
      <w:pPr>
        <w:pStyle w:val="af7"/>
        <w:spacing w:after="0" w:line="360" w:lineRule="auto"/>
        <w:ind w:leftChars="0" w:left="0"/>
        <w:jc w:val="center"/>
        <w:rPr>
          <w:rFonts w:ascii="宋体" w:hAnsi="宋体"/>
          <w:b/>
          <w:sz w:val="24"/>
        </w:rPr>
      </w:pPr>
    </w:p>
    <w:p w:rsidR="008C0AE6" w:rsidRDefault="008C0AE6">
      <w:pPr>
        <w:pStyle w:val="af7"/>
        <w:spacing w:after="0" w:line="360" w:lineRule="auto"/>
        <w:ind w:leftChars="0" w:left="0"/>
        <w:rPr>
          <w:rFonts w:ascii="宋体" w:hAnsi="宋体"/>
          <w:b/>
          <w:sz w:val="24"/>
        </w:rPr>
      </w:pPr>
    </w:p>
    <w:p w:rsidR="008C0AE6" w:rsidRDefault="00392CEB">
      <w:pPr>
        <w:pStyle w:val="af7"/>
        <w:spacing w:after="0" w:line="360" w:lineRule="auto"/>
        <w:ind w:leftChars="0" w:left="0"/>
        <w:rPr>
          <w:rFonts w:ascii="宋体" w:hAnsi="宋体"/>
          <w:b/>
          <w:sz w:val="24"/>
        </w:rPr>
      </w:pPr>
      <w:r>
        <w:rPr>
          <w:rFonts w:ascii="宋体" w:hAnsi="宋体" w:hint="eastAsia"/>
          <w:b/>
          <w:sz w:val="24"/>
        </w:rPr>
        <w:t>法定代表人或授权代表（签章）：</w:t>
      </w:r>
      <w:r>
        <w:rPr>
          <w:rFonts w:ascii="宋体" w:hAnsi="宋体"/>
          <w:b/>
          <w:sz w:val="24"/>
        </w:rPr>
        <w:t xml:space="preserve"> </w:t>
      </w:r>
    </w:p>
    <w:p w:rsidR="008C0AE6" w:rsidRDefault="008C0AE6">
      <w:pPr>
        <w:pStyle w:val="af7"/>
        <w:spacing w:after="0" w:line="360" w:lineRule="auto"/>
        <w:ind w:leftChars="0" w:left="0"/>
        <w:rPr>
          <w:rFonts w:ascii="宋体" w:hAnsi="宋体"/>
          <w:b/>
          <w:sz w:val="24"/>
        </w:rPr>
      </w:pPr>
    </w:p>
    <w:p w:rsidR="008C0AE6" w:rsidRDefault="008C0AE6">
      <w:pPr>
        <w:pStyle w:val="3"/>
        <w:spacing w:after="0" w:line="360" w:lineRule="auto"/>
        <w:rPr>
          <w:b/>
        </w:rPr>
      </w:pPr>
    </w:p>
    <w:p w:rsidR="008C0AE6" w:rsidRDefault="008C0AE6">
      <w:pPr>
        <w:pStyle w:val="3"/>
        <w:spacing w:after="0" w:line="360" w:lineRule="auto"/>
        <w:rPr>
          <w:b/>
        </w:rPr>
      </w:pPr>
    </w:p>
    <w:p w:rsidR="008C0AE6" w:rsidRDefault="008C0AE6">
      <w:pPr>
        <w:pStyle w:val="3"/>
        <w:spacing w:after="0" w:line="360" w:lineRule="auto"/>
        <w:rPr>
          <w:b/>
        </w:rPr>
      </w:pPr>
    </w:p>
    <w:p w:rsidR="008C0AE6" w:rsidRDefault="008C0AE6">
      <w:pPr>
        <w:pStyle w:val="3"/>
        <w:spacing w:after="0" w:line="360" w:lineRule="auto"/>
        <w:rPr>
          <w:b/>
        </w:rPr>
      </w:pPr>
    </w:p>
    <w:p w:rsidR="008C0AE6" w:rsidRDefault="00392CEB">
      <w:pPr>
        <w:pStyle w:val="af7"/>
        <w:spacing w:after="0" w:line="360" w:lineRule="auto"/>
        <w:ind w:leftChars="0" w:left="0"/>
        <w:rPr>
          <w:rFonts w:ascii="宋体" w:hAnsi="宋体"/>
          <w:sz w:val="24"/>
        </w:rPr>
      </w:pPr>
      <w:r>
        <w:rPr>
          <w:rFonts w:ascii="宋体" w:hAnsi="宋体" w:hint="eastAsia"/>
          <w:sz w:val="24"/>
        </w:rPr>
        <w:t xml:space="preserve">签订地： </w:t>
      </w:r>
    </w:p>
    <w:p w:rsidR="008C0AE6" w:rsidRDefault="008C0AE6">
      <w:pPr>
        <w:pStyle w:val="af7"/>
        <w:spacing w:after="0" w:line="360" w:lineRule="auto"/>
        <w:ind w:firstLine="540"/>
        <w:rPr>
          <w:rFonts w:ascii="宋体" w:hAnsi="宋体"/>
          <w:sz w:val="24"/>
        </w:rPr>
      </w:pPr>
    </w:p>
    <w:p w:rsidR="008C0AE6" w:rsidRDefault="00392CEB">
      <w:pPr>
        <w:pStyle w:val="af7"/>
        <w:spacing w:after="0" w:line="360" w:lineRule="auto"/>
        <w:ind w:leftChars="0" w:left="0"/>
        <w:rPr>
          <w:rFonts w:ascii="宋体" w:hAnsi="宋体"/>
          <w:sz w:val="24"/>
        </w:rPr>
      </w:pPr>
      <w:r>
        <w:rPr>
          <w:rFonts w:ascii="宋体" w:hAnsi="宋体" w:hint="eastAsia"/>
          <w:sz w:val="24"/>
        </w:rPr>
        <w:t>签订日：    年</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p>
    <w:p w:rsidR="008C0AE6" w:rsidRDefault="008C0AE6">
      <w:pPr>
        <w:pStyle w:val="af7"/>
        <w:spacing w:after="0" w:line="360" w:lineRule="auto"/>
        <w:ind w:leftChars="0" w:left="0"/>
        <w:rPr>
          <w:rFonts w:ascii="宋体" w:hAnsi="宋体"/>
          <w:b/>
          <w:sz w:val="24"/>
        </w:rPr>
      </w:pPr>
    </w:p>
    <w:p w:rsidR="008C0AE6" w:rsidRDefault="008C0AE6">
      <w:pPr>
        <w:pStyle w:val="3"/>
      </w:pPr>
    </w:p>
    <w:sectPr w:rsidR="008C0AE6">
      <w:headerReference w:type="default" r:id="rId12"/>
      <w:type w:val="continuous"/>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C0" w:rsidRDefault="00FE3BC0">
      <w:r>
        <w:separator/>
      </w:r>
    </w:p>
  </w:endnote>
  <w:endnote w:type="continuationSeparator" w:id="0">
    <w:p w:rsidR="00FE3BC0" w:rsidRDefault="00FE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E6" w:rsidRDefault="00392CEB">
    <w:pPr>
      <w:pStyle w:val="ac"/>
      <w:jc w:val="center"/>
    </w:pPr>
    <w:r>
      <w:fldChar w:fldCharType="begin"/>
    </w:r>
    <w:r>
      <w:instrText xml:space="preserve"> PAGE   \* MERGEFORMAT </w:instrText>
    </w:r>
    <w:r>
      <w:fldChar w:fldCharType="separate"/>
    </w:r>
    <w:r w:rsidR="00B013EC">
      <w:rPr>
        <w:noProof/>
      </w:rPr>
      <w:t>2</w:t>
    </w:r>
    <w:r>
      <w:fldChar w:fldCharType="end"/>
    </w:r>
  </w:p>
  <w:p w:rsidR="008C0AE6" w:rsidRDefault="008C0AE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C0" w:rsidRDefault="00FE3BC0">
      <w:r>
        <w:separator/>
      </w:r>
    </w:p>
  </w:footnote>
  <w:footnote w:type="continuationSeparator" w:id="0">
    <w:p w:rsidR="00FE3BC0" w:rsidRDefault="00FE3B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E6" w:rsidRDefault="00392CEB">
    <w:pPr>
      <w:pStyle w:val="ae"/>
      <w:jc w:val="right"/>
    </w:pPr>
    <w:r>
      <w:rPr>
        <w:rFonts w:hint="eastAsia"/>
      </w:rPr>
      <w:t>交银施罗德</w:t>
    </w:r>
    <w:r>
      <w:t>先进制造混合型</w:t>
    </w:r>
    <w:r>
      <w:rPr>
        <w:rFonts w:ascii="宋体" w:hAnsi="宋体"/>
        <w:noProof/>
      </w:rPr>
      <w:drawing>
        <wp:anchor distT="0" distB="0" distL="114300" distR="114300" simplePos="0" relativeHeight="251659264" behindDoc="0" locked="0" layoutInCell="1" allowOverlap="1">
          <wp:simplePos x="0" y="0"/>
          <wp:positionH relativeFrom="column">
            <wp:posOffset>-21590</wp:posOffset>
          </wp:positionH>
          <wp:positionV relativeFrom="paragraph">
            <wp:posOffset>-121285</wp:posOffset>
          </wp:positionV>
          <wp:extent cx="1828800" cy="273050"/>
          <wp:effectExtent l="0" t="0" r="0" b="0"/>
          <wp:wrapNone/>
          <wp:docPr id="5" name="图片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800" cy="273050"/>
                  </a:xfrm>
                  <a:prstGeom prst="rect">
                    <a:avLst/>
                  </a:prstGeom>
                  <a:noFill/>
                  <a:ln>
                    <a:noFill/>
                  </a:ln>
                </pic:spPr>
              </pic:pic>
            </a:graphicData>
          </a:graphic>
        </wp:anchor>
      </w:drawing>
    </w:r>
    <w:r>
      <w:rPr>
        <w:rFonts w:hint="eastAsia"/>
      </w:rPr>
      <w:t>证券投资</w:t>
    </w:r>
    <w:r>
      <w:t>基金</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E6" w:rsidRDefault="00392CEB">
    <w:pPr>
      <w:pStyle w:val="ae"/>
      <w:jc w:val="right"/>
    </w:pPr>
    <w:r>
      <w:rPr>
        <w:rFonts w:hint="eastAsia"/>
      </w:rPr>
      <w:t>交银施罗德</w:t>
    </w:r>
    <w:r>
      <w:t>先进制造混合型</w:t>
    </w:r>
    <w:r>
      <w:rPr>
        <w:rFonts w:ascii="宋体" w:hAnsi="宋体"/>
        <w:noProof/>
      </w:rPr>
      <w:drawing>
        <wp:anchor distT="0" distB="0" distL="114300" distR="114300" simplePos="0" relativeHeight="251660288" behindDoc="0" locked="0" layoutInCell="1" allowOverlap="1">
          <wp:simplePos x="0" y="0"/>
          <wp:positionH relativeFrom="column">
            <wp:posOffset>-21590</wp:posOffset>
          </wp:positionH>
          <wp:positionV relativeFrom="paragraph">
            <wp:posOffset>-121285</wp:posOffset>
          </wp:positionV>
          <wp:extent cx="1828800" cy="273050"/>
          <wp:effectExtent l="0" t="0" r="0" b="0"/>
          <wp:wrapNone/>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800" cy="273050"/>
                  </a:xfrm>
                  <a:prstGeom prst="rect">
                    <a:avLst/>
                  </a:prstGeom>
                  <a:noFill/>
                  <a:ln>
                    <a:noFill/>
                  </a:ln>
                </pic:spPr>
              </pic:pic>
            </a:graphicData>
          </a:graphic>
        </wp:anchor>
      </w:drawing>
    </w:r>
    <w:r>
      <w:rPr>
        <w:rFonts w:hint="eastAsia"/>
      </w:rPr>
      <w:t>证券投资</w:t>
    </w:r>
    <w:r>
      <w:t>基金</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F"/>
    <w:rsid w:val="000058B7"/>
    <w:rsid w:val="00011F2D"/>
    <w:rsid w:val="00015328"/>
    <w:rsid w:val="00021CF7"/>
    <w:rsid w:val="0002389E"/>
    <w:rsid w:val="000263EB"/>
    <w:rsid w:val="00033179"/>
    <w:rsid w:val="0003428B"/>
    <w:rsid w:val="00040D54"/>
    <w:rsid w:val="00047DF1"/>
    <w:rsid w:val="00062B38"/>
    <w:rsid w:val="000654AB"/>
    <w:rsid w:val="000665DE"/>
    <w:rsid w:val="000704A3"/>
    <w:rsid w:val="00073CF8"/>
    <w:rsid w:val="00080401"/>
    <w:rsid w:val="00083242"/>
    <w:rsid w:val="00083371"/>
    <w:rsid w:val="00086A7D"/>
    <w:rsid w:val="00087A98"/>
    <w:rsid w:val="000A4A14"/>
    <w:rsid w:val="000A6A3C"/>
    <w:rsid w:val="000B5F2C"/>
    <w:rsid w:val="000C6079"/>
    <w:rsid w:val="000C6C17"/>
    <w:rsid w:val="000D1E3A"/>
    <w:rsid w:val="000D69B1"/>
    <w:rsid w:val="000E1407"/>
    <w:rsid w:val="000F1A9B"/>
    <w:rsid w:val="00103A00"/>
    <w:rsid w:val="00105337"/>
    <w:rsid w:val="0010566E"/>
    <w:rsid w:val="00107EAF"/>
    <w:rsid w:val="00112FF3"/>
    <w:rsid w:val="00117316"/>
    <w:rsid w:val="00126B03"/>
    <w:rsid w:val="0013102D"/>
    <w:rsid w:val="00136C10"/>
    <w:rsid w:val="00136DE4"/>
    <w:rsid w:val="00147C17"/>
    <w:rsid w:val="001517F6"/>
    <w:rsid w:val="00152F06"/>
    <w:rsid w:val="001560E1"/>
    <w:rsid w:val="001601E2"/>
    <w:rsid w:val="00162F9E"/>
    <w:rsid w:val="001656B2"/>
    <w:rsid w:val="00167523"/>
    <w:rsid w:val="00172A27"/>
    <w:rsid w:val="00176C3B"/>
    <w:rsid w:val="00176E4C"/>
    <w:rsid w:val="0018335E"/>
    <w:rsid w:val="001903C9"/>
    <w:rsid w:val="00191512"/>
    <w:rsid w:val="001A1418"/>
    <w:rsid w:val="001A2B7D"/>
    <w:rsid w:val="001A3563"/>
    <w:rsid w:val="001A486F"/>
    <w:rsid w:val="001B4828"/>
    <w:rsid w:val="001B52B9"/>
    <w:rsid w:val="001C37C5"/>
    <w:rsid w:val="001D0B95"/>
    <w:rsid w:val="001D2AEE"/>
    <w:rsid w:val="001D635A"/>
    <w:rsid w:val="001D66A6"/>
    <w:rsid w:val="001E4257"/>
    <w:rsid w:val="001F753C"/>
    <w:rsid w:val="002105E6"/>
    <w:rsid w:val="00217B51"/>
    <w:rsid w:val="00222073"/>
    <w:rsid w:val="00224014"/>
    <w:rsid w:val="00227CAA"/>
    <w:rsid w:val="00230CF2"/>
    <w:rsid w:val="002323DB"/>
    <w:rsid w:val="0023291E"/>
    <w:rsid w:val="00233B1B"/>
    <w:rsid w:val="00242512"/>
    <w:rsid w:val="0024318D"/>
    <w:rsid w:val="0024381B"/>
    <w:rsid w:val="00245051"/>
    <w:rsid w:val="0024619D"/>
    <w:rsid w:val="00247B6B"/>
    <w:rsid w:val="002566AD"/>
    <w:rsid w:val="00276704"/>
    <w:rsid w:val="00281E1A"/>
    <w:rsid w:val="002A576F"/>
    <w:rsid w:val="002B3543"/>
    <w:rsid w:val="002C6101"/>
    <w:rsid w:val="002D45E9"/>
    <w:rsid w:val="002D7F24"/>
    <w:rsid w:val="002E02A7"/>
    <w:rsid w:val="002E59ED"/>
    <w:rsid w:val="002F5697"/>
    <w:rsid w:val="0030090C"/>
    <w:rsid w:val="00302EDA"/>
    <w:rsid w:val="00304DF9"/>
    <w:rsid w:val="00305953"/>
    <w:rsid w:val="00316106"/>
    <w:rsid w:val="003169EA"/>
    <w:rsid w:val="00321EA3"/>
    <w:rsid w:val="00325010"/>
    <w:rsid w:val="00325B53"/>
    <w:rsid w:val="00335D6B"/>
    <w:rsid w:val="00335FDD"/>
    <w:rsid w:val="00340788"/>
    <w:rsid w:val="00345AF7"/>
    <w:rsid w:val="00347C78"/>
    <w:rsid w:val="00354C7F"/>
    <w:rsid w:val="00360150"/>
    <w:rsid w:val="00365640"/>
    <w:rsid w:val="003745C9"/>
    <w:rsid w:val="003842CD"/>
    <w:rsid w:val="00386009"/>
    <w:rsid w:val="00392CEB"/>
    <w:rsid w:val="0039795C"/>
    <w:rsid w:val="003A1BDE"/>
    <w:rsid w:val="003B08FC"/>
    <w:rsid w:val="003C2A4C"/>
    <w:rsid w:val="003C53AE"/>
    <w:rsid w:val="003C6091"/>
    <w:rsid w:val="003D0519"/>
    <w:rsid w:val="003D2FC7"/>
    <w:rsid w:val="003D3A79"/>
    <w:rsid w:val="003E0027"/>
    <w:rsid w:val="003E0CC2"/>
    <w:rsid w:val="003E1405"/>
    <w:rsid w:val="003E63B4"/>
    <w:rsid w:val="003E734A"/>
    <w:rsid w:val="003E7FBA"/>
    <w:rsid w:val="00401CEE"/>
    <w:rsid w:val="004205F8"/>
    <w:rsid w:val="004268FA"/>
    <w:rsid w:val="00426EA2"/>
    <w:rsid w:val="0043222C"/>
    <w:rsid w:val="004453F5"/>
    <w:rsid w:val="004465C8"/>
    <w:rsid w:val="004665BA"/>
    <w:rsid w:val="004840FE"/>
    <w:rsid w:val="00486581"/>
    <w:rsid w:val="00487498"/>
    <w:rsid w:val="004927C2"/>
    <w:rsid w:val="00494C57"/>
    <w:rsid w:val="004A33D9"/>
    <w:rsid w:val="004A511C"/>
    <w:rsid w:val="004A7A12"/>
    <w:rsid w:val="004B7D0C"/>
    <w:rsid w:val="004C6ECE"/>
    <w:rsid w:val="004D0A0C"/>
    <w:rsid w:val="004D4096"/>
    <w:rsid w:val="004E0837"/>
    <w:rsid w:val="004E529C"/>
    <w:rsid w:val="004E66B2"/>
    <w:rsid w:val="004E6981"/>
    <w:rsid w:val="004E7FC2"/>
    <w:rsid w:val="004F04A9"/>
    <w:rsid w:val="004F0A13"/>
    <w:rsid w:val="004F7EB6"/>
    <w:rsid w:val="0050008B"/>
    <w:rsid w:val="00500154"/>
    <w:rsid w:val="005060EA"/>
    <w:rsid w:val="00507E92"/>
    <w:rsid w:val="00524417"/>
    <w:rsid w:val="0052774B"/>
    <w:rsid w:val="005373EF"/>
    <w:rsid w:val="00541BB6"/>
    <w:rsid w:val="00544973"/>
    <w:rsid w:val="00551785"/>
    <w:rsid w:val="00553E12"/>
    <w:rsid w:val="00556515"/>
    <w:rsid w:val="0056634C"/>
    <w:rsid w:val="00571DDD"/>
    <w:rsid w:val="00575418"/>
    <w:rsid w:val="005820D3"/>
    <w:rsid w:val="00585DF1"/>
    <w:rsid w:val="005A1271"/>
    <w:rsid w:val="005A5556"/>
    <w:rsid w:val="005C1C0D"/>
    <w:rsid w:val="005D1A7F"/>
    <w:rsid w:val="005D3BC2"/>
    <w:rsid w:val="005F48A1"/>
    <w:rsid w:val="0060296C"/>
    <w:rsid w:val="0061228F"/>
    <w:rsid w:val="006160E9"/>
    <w:rsid w:val="006166DB"/>
    <w:rsid w:val="00620716"/>
    <w:rsid w:val="006214A9"/>
    <w:rsid w:val="0062319F"/>
    <w:rsid w:val="006240D9"/>
    <w:rsid w:val="00634CD6"/>
    <w:rsid w:val="00640DEE"/>
    <w:rsid w:val="006552D9"/>
    <w:rsid w:val="006557B7"/>
    <w:rsid w:val="00660895"/>
    <w:rsid w:val="00663806"/>
    <w:rsid w:val="00665478"/>
    <w:rsid w:val="00686160"/>
    <w:rsid w:val="006974AA"/>
    <w:rsid w:val="006B1135"/>
    <w:rsid w:val="006B321B"/>
    <w:rsid w:val="006B3F75"/>
    <w:rsid w:val="006C0035"/>
    <w:rsid w:val="006C335F"/>
    <w:rsid w:val="006C36E1"/>
    <w:rsid w:val="006C3BD2"/>
    <w:rsid w:val="006C5083"/>
    <w:rsid w:val="006D24DD"/>
    <w:rsid w:val="006D33BA"/>
    <w:rsid w:val="006E1173"/>
    <w:rsid w:val="006E243A"/>
    <w:rsid w:val="006E2E6F"/>
    <w:rsid w:val="006E71C6"/>
    <w:rsid w:val="006F0B91"/>
    <w:rsid w:val="006F30AC"/>
    <w:rsid w:val="006F39CB"/>
    <w:rsid w:val="0070049F"/>
    <w:rsid w:val="00720F6B"/>
    <w:rsid w:val="007221C2"/>
    <w:rsid w:val="00722CEF"/>
    <w:rsid w:val="00723389"/>
    <w:rsid w:val="00727DE3"/>
    <w:rsid w:val="00734599"/>
    <w:rsid w:val="007353F5"/>
    <w:rsid w:val="00740DD6"/>
    <w:rsid w:val="0076175C"/>
    <w:rsid w:val="00774BC2"/>
    <w:rsid w:val="00777939"/>
    <w:rsid w:val="00780E8C"/>
    <w:rsid w:val="00782BDE"/>
    <w:rsid w:val="0078515F"/>
    <w:rsid w:val="0079723E"/>
    <w:rsid w:val="007A3ABE"/>
    <w:rsid w:val="007A475C"/>
    <w:rsid w:val="007B23E5"/>
    <w:rsid w:val="007B2B95"/>
    <w:rsid w:val="007B36AA"/>
    <w:rsid w:val="007C31C6"/>
    <w:rsid w:val="007D0637"/>
    <w:rsid w:val="007D2C02"/>
    <w:rsid w:val="007F5F24"/>
    <w:rsid w:val="008003B1"/>
    <w:rsid w:val="00816BD2"/>
    <w:rsid w:val="00826786"/>
    <w:rsid w:val="00826868"/>
    <w:rsid w:val="00834D01"/>
    <w:rsid w:val="0083574C"/>
    <w:rsid w:val="008468B0"/>
    <w:rsid w:val="0085467C"/>
    <w:rsid w:val="00855742"/>
    <w:rsid w:val="00855894"/>
    <w:rsid w:val="00855A4B"/>
    <w:rsid w:val="008569D7"/>
    <w:rsid w:val="00857238"/>
    <w:rsid w:val="008625FC"/>
    <w:rsid w:val="0087143A"/>
    <w:rsid w:val="00875D48"/>
    <w:rsid w:val="00880412"/>
    <w:rsid w:val="008833FC"/>
    <w:rsid w:val="00884625"/>
    <w:rsid w:val="00892E79"/>
    <w:rsid w:val="00894075"/>
    <w:rsid w:val="008A0375"/>
    <w:rsid w:val="008A1934"/>
    <w:rsid w:val="008A7893"/>
    <w:rsid w:val="008B0CB0"/>
    <w:rsid w:val="008B3643"/>
    <w:rsid w:val="008B41E4"/>
    <w:rsid w:val="008B6CA0"/>
    <w:rsid w:val="008C02D0"/>
    <w:rsid w:val="008C0AE6"/>
    <w:rsid w:val="008C135D"/>
    <w:rsid w:val="008C2F83"/>
    <w:rsid w:val="008C7D59"/>
    <w:rsid w:val="008D0EB6"/>
    <w:rsid w:val="008D2A09"/>
    <w:rsid w:val="008F6221"/>
    <w:rsid w:val="00901AFA"/>
    <w:rsid w:val="00902D0F"/>
    <w:rsid w:val="009038AC"/>
    <w:rsid w:val="00904D77"/>
    <w:rsid w:val="0090640B"/>
    <w:rsid w:val="00914220"/>
    <w:rsid w:val="009159F1"/>
    <w:rsid w:val="00916E9A"/>
    <w:rsid w:val="009217AE"/>
    <w:rsid w:val="00921A61"/>
    <w:rsid w:val="00944AD6"/>
    <w:rsid w:val="009538B9"/>
    <w:rsid w:val="009545CC"/>
    <w:rsid w:val="00956FBD"/>
    <w:rsid w:val="00963D80"/>
    <w:rsid w:val="00971C82"/>
    <w:rsid w:val="00973E17"/>
    <w:rsid w:val="00973EBF"/>
    <w:rsid w:val="00975943"/>
    <w:rsid w:val="00984ED5"/>
    <w:rsid w:val="0099370F"/>
    <w:rsid w:val="00993858"/>
    <w:rsid w:val="00994AF2"/>
    <w:rsid w:val="00995062"/>
    <w:rsid w:val="009A143E"/>
    <w:rsid w:val="009A4BBA"/>
    <w:rsid w:val="009A5E8A"/>
    <w:rsid w:val="009A76DF"/>
    <w:rsid w:val="009B0FB3"/>
    <w:rsid w:val="009B1C91"/>
    <w:rsid w:val="009C03D0"/>
    <w:rsid w:val="009C053C"/>
    <w:rsid w:val="009D15BE"/>
    <w:rsid w:val="009D67DF"/>
    <w:rsid w:val="009E62C9"/>
    <w:rsid w:val="009F55E4"/>
    <w:rsid w:val="00A0030F"/>
    <w:rsid w:val="00A11604"/>
    <w:rsid w:val="00A159DA"/>
    <w:rsid w:val="00A23A46"/>
    <w:rsid w:val="00A25870"/>
    <w:rsid w:val="00A33FCC"/>
    <w:rsid w:val="00A351A2"/>
    <w:rsid w:val="00A450FE"/>
    <w:rsid w:val="00A452A6"/>
    <w:rsid w:val="00A45ECC"/>
    <w:rsid w:val="00A4644A"/>
    <w:rsid w:val="00A51167"/>
    <w:rsid w:val="00A53836"/>
    <w:rsid w:val="00A54250"/>
    <w:rsid w:val="00A55F8B"/>
    <w:rsid w:val="00A712E8"/>
    <w:rsid w:val="00A82434"/>
    <w:rsid w:val="00A85D9D"/>
    <w:rsid w:val="00A916AD"/>
    <w:rsid w:val="00A93B61"/>
    <w:rsid w:val="00A971AA"/>
    <w:rsid w:val="00AA0354"/>
    <w:rsid w:val="00AA11AE"/>
    <w:rsid w:val="00AA40D8"/>
    <w:rsid w:val="00AA5736"/>
    <w:rsid w:val="00AA5A5D"/>
    <w:rsid w:val="00AA75D4"/>
    <w:rsid w:val="00AB0D70"/>
    <w:rsid w:val="00AC3593"/>
    <w:rsid w:val="00AC4422"/>
    <w:rsid w:val="00AC60FF"/>
    <w:rsid w:val="00AE27CD"/>
    <w:rsid w:val="00AE3EE2"/>
    <w:rsid w:val="00AE4A7D"/>
    <w:rsid w:val="00AF5B0A"/>
    <w:rsid w:val="00B013EC"/>
    <w:rsid w:val="00B0470B"/>
    <w:rsid w:val="00B059C6"/>
    <w:rsid w:val="00B1780E"/>
    <w:rsid w:val="00B21006"/>
    <w:rsid w:val="00B27B5A"/>
    <w:rsid w:val="00B447D6"/>
    <w:rsid w:val="00B5021A"/>
    <w:rsid w:val="00B543BF"/>
    <w:rsid w:val="00B57E50"/>
    <w:rsid w:val="00B731AF"/>
    <w:rsid w:val="00B735CE"/>
    <w:rsid w:val="00B76BBC"/>
    <w:rsid w:val="00B805D1"/>
    <w:rsid w:val="00B8190D"/>
    <w:rsid w:val="00B82CF7"/>
    <w:rsid w:val="00B84278"/>
    <w:rsid w:val="00B931ED"/>
    <w:rsid w:val="00B93575"/>
    <w:rsid w:val="00B938EB"/>
    <w:rsid w:val="00B957D7"/>
    <w:rsid w:val="00BA0A86"/>
    <w:rsid w:val="00BA1CEB"/>
    <w:rsid w:val="00BA33C7"/>
    <w:rsid w:val="00BA4748"/>
    <w:rsid w:val="00BA78DA"/>
    <w:rsid w:val="00BB1E7C"/>
    <w:rsid w:val="00BB27B6"/>
    <w:rsid w:val="00BB3427"/>
    <w:rsid w:val="00BB5C5E"/>
    <w:rsid w:val="00BB5F8E"/>
    <w:rsid w:val="00BC068C"/>
    <w:rsid w:val="00BC2116"/>
    <w:rsid w:val="00BC7D50"/>
    <w:rsid w:val="00BD519E"/>
    <w:rsid w:val="00BD66B9"/>
    <w:rsid w:val="00BF2B66"/>
    <w:rsid w:val="00BF544E"/>
    <w:rsid w:val="00BF585A"/>
    <w:rsid w:val="00BF5FFA"/>
    <w:rsid w:val="00C06B6B"/>
    <w:rsid w:val="00C412DB"/>
    <w:rsid w:val="00C44AEA"/>
    <w:rsid w:val="00C625AC"/>
    <w:rsid w:val="00C6349A"/>
    <w:rsid w:val="00C67B75"/>
    <w:rsid w:val="00C714E0"/>
    <w:rsid w:val="00C71BD2"/>
    <w:rsid w:val="00C77B09"/>
    <w:rsid w:val="00C8657A"/>
    <w:rsid w:val="00C907C9"/>
    <w:rsid w:val="00C9301B"/>
    <w:rsid w:val="00C936E0"/>
    <w:rsid w:val="00C97C06"/>
    <w:rsid w:val="00CA05B9"/>
    <w:rsid w:val="00CA2DBC"/>
    <w:rsid w:val="00CA5144"/>
    <w:rsid w:val="00CA76E1"/>
    <w:rsid w:val="00CC08B7"/>
    <w:rsid w:val="00CC4627"/>
    <w:rsid w:val="00CC7DE9"/>
    <w:rsid w:val="00CD0880"/>
    <w:rsid w:val="00CD3C94"/>
    <w:rsid w:val="00CD5814"/>
    <w:rsid w:val="00CE0B34"/>
    <w:rsid w:val="00CE37E9"/>
    <w:rsid w:val="00CE4581"/>
    <w:rsid w:val="00CE7794"/>
    <w:rsid w:val="00CF11C5"/>
    <w:rsid w:val="00CF6041"/>
    <w:rsid w:val="00CF77AD"/>
    <w:rsid w:val="00D0544C"/>
    <w:rsid w:val="00D06B91"/>
    <w:rsid w:val="00D1303F"/>
    <w:rsid w:val="00D16AFA"/>
    <w:rsid w:val="00D22397"/>
    <w:rsid w:val="00D26CC2"/>
    <w:rsid w:val="00D32E36"/>
    <w:rsid w:val="00D35CDC"/>
    <w:rsid w:val="00D378D6"/>
    <w:rsid w:val="00D533D5"/>
    <w:rsid w:val="00D5563A"/>
    <w:rsid w:val="00D721F0"/>
    <w:rsid w:val="00D769E4"/>
    <w:rsid w:val="00D82CBC"/>
    <w:rsid w:val="00D83299"/>
    <w:rsid w:val="00D85717"/>
    <w:rsid w:val="00D862A3"/>
    <w:rsid w:val="00D92D4F"/>
    <w:rsid w:val="00D933E9"/>
    <w:rsid w:val="00DA040E"/>
    <w:rsid w:val="00DA2034"/>
    <w:rsid w:val="00DB2A94"/>
    <w:rsid w:val="00DB321E"/>
    <w:rsid w:val="00DD1099"/>
    <w:rsid w:val="00DD1999"/>
    <w:rsid w:val="00DD2ED8"/>
    <w:rsid w:val="00DD3AC5"/>
    <w:rsid w:val="00DE3BC8"/>
    <w:rsid w:val="00DF402C"/>
    <w:rsid w:val="00DF6563"/>
    <w:rsid w:val="00E000B1"/>
    <w:rsid w:val="00E01A7E"/>
    <w:rsid w:val="00E150C2"/>
    <w:rsid w:val="00E15833"/>
    <w:rsid w:val="00E22076"/>
    <w:rsid w:val="00E2406A"/>
    <w:rsid w:val="00E24F0C"/>
    <w:rsid w:val="00E26292"/>
    <w:rsid w:val="00E4620B"/>
    <w:rsid w:val="00E51FE2"/>
    <w:rsid w:val="00E6712A"/>
    <w:rsid w:val="00E67AE7"/>
    <w:rsid w:val="00E70E7A"/>
    <w:rsid w:val="00E7752C"/>
    <w:rsid w:val="00E82733"/>
    <w:rsid w:val="00E860DE"/>
    <w:rsid w:val="00E90B97"/>
    <w:rsid w:val="00E90BE4"/>
    <w:rsid w:val="00E91610"/>
    <w:rsid w:val="00E966BE"/>
    <w:rsid w:val="00EA44D8"/>
    <w:rsid w:val="00EA5A58"/>
    <w:rsid w:val="00EA5A5F"/>
    <w:rsid w:val="00EB5CBD"/>
    <w:rsid w:val="00EC165D"/>
    <w:rsid w:val="00ED13DC"/>
    <w:rsid w:val="00ED31E4"/>
    <w:rsid w:val="00ED502C"/>
    <w:rsid w:val="00ED5114"/>
    <w:rsid w:val="00EE0618"/>
    <w:rsid w:val="00EF0965"/>
    <w:rsid w:val="00EF5C77"/>
    <w:rsid w:val="00F04FDC"/>
    <w:rsid w:val="00F10B44"/>
    <w:rsid w:val="00F24A80"/>
    <w:rsid w:val="00F357E6"/>
    <w:rsid w:val="00F3632E"/>
    <w:rsid w:val="00F36E96"/>
    <w:rsid w:val="00F4467B"/>
    <w:rsid w:val="00F52277"/>
    <w:rsid w:val="00F54A82"/>
    <w:rsid w:val="00F57E04"/>
    <w:rsid w:val="00F6261C"/>
    <w:rsid w:val="00F63729"/>
    <w:rsid w:val="00F64457"/>
    <w:rsid w:val="00F66940"/>
    <w:rsid w:val="00F71382"/>
    <w:rsid w:val="00F7608A"/>
    <w:rsid w:val="00F93C4F"/>
    <w:rsid w:val="00F95632"/>
    <w:rsid w:val="00FA03ED"/>
    <w:rsid w:val="00FA169A"/>
    <w:rsid w:val="00FA46EC"/>
    <w:rsid w:val="00FA702F"/>
    <w:rsid w:val="00FB20FB"/>
    <w:rsid w:val="00FB6AD2"/>
    <w:rsid w:val="00FC2776"/>
    <w:rsid w:val="00FC2DFF"/>
    <w:rsid w:val="00FC56BA"/>
    <w:rsid w:val="00FD5E14"/>
    <w:rsid w:val="00FD6F18"/>
    <w:rsid w:val="00FE100E"/>
    <w:rsid w:val="00FE3BC0"/>
    <w:rsid w:val="00FE3C3F"/>
    <w:rsid w:val="00FE780E"/>
    <w:rsid w:val="00FF3302"/>
    <w:rsid w:val="1B624736"/>
    <w:rsid w:val="4A866969"/>
    <w:rsid w:val="78E4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B35C28-BEB0-4D4F-A8ED-EFFAF4EC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qFormat="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text"/>
    <w:basedOn w:val="a"/>
    <w:link w:val="a5"/>
    <w:qFormat/>
    <w:pPr>
      <w:jc w:val="left"/>
    </w:pPr>
  </w:style>
  <w:style w:type="paragraph" w:styleId="a6">
    <w:name w:val="Body Text"/>
    <w:basedOn w:val="a"/>
    <w:link w:val="a7"/>
    <w:qFormat/>
    <w:pPr>
      <w:spacing w:after="120"/>
    </w:pPr>
    <w:rPr>
      <w:lang w:val="zh-CN"/>
    </w:rPr>
  </w:style>
  <w:style w:type="paragraph" w:styleId="a8">
    <w:name w:val="Body Text Indent"/>
    <w:basedOn w:val="a"/>
    <w:pPr>
      <w:spacing w:after="120"/>
      <w:ind w:leftChars="200" w:left="420"/>
    </w:pPr>
  </w:style>
  <w:style w:type="paragraph" w:styleId="a9">
    <w:name w:val="Date"/>
    <w:basedOn w:val="a"/>
    <w:next w:val="a"/>
    <w:link w:val="aa"/>
    <w:uiPriority w:val="99"/>
    <w:semiHidden/>
    <w:unhideWhenUsed/>
    <w:qFormat/>
    <w:pPr>
      <w:ind w:leftChars="2500" w:left="100"/>
    </w:pPr>
  </w:style>
  <w:style w:type="paragraph" w:styleId="20">
    <w:name w:val="Body Text Indent 2"/>
    <w:basedOn w:val="a"/>
    <w:qFormat/>
    <w:pPr>
      <w:spacing w:after="120" w:line="480" w:lineRule="auto"/>
      <w:ind w:leftChars="200" w:left="420"/>
    </w:p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lang w:val="zh-CN"/>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3">
    <w:name w:val="Body Text Indent 3"/>
    <w:basedOn w:val="a"/>
    <w:link w:val="30"/>
    <w:qFormat/>
    <w:pPr>
      <w:spacing w:after="120"/>
      <w:ind w:leftChars="200" w:left="420"/>
    </w:pPr>
    <w:rPr>
      <w:sz w:val="16"/>
      <w:lang w:val="zh-CN"/>
    </w:rPr>
  </w:style>
  <w:style w:type="paragraph" w:styleId="21">
    <w:name w:val="toc 2"/>
    <w:basedOn w:val="a"/>
    <w:next w:val="a"/>
    <w:qFormat/>
    <w:pPr>
      <w:ind w:leftChars="200" w:left="420"/>
    </w:pPr>
  </w:style>
  <w:style w:type="paragraph" w:styleId="af">
    <w:name w:val="Normal (Web)"/>
    <w:basedOn w:val="a"/>
    <w:qFormat/>
    <w:rPr>
      <w:sz w:val="24"/>
    </w:rPr>
  </w:style>
  <w:style w:type="paragraph" w:styleId="af0">
    <w:name w:val="annotation subject"/>
    <w:basedOn w:val="a4"/>
    <w:next w:val="a4"/>
    <w:qFormat/>
    <w:rPr>
      <w:b/>
    </w:rPr>
  </w:style>
  <w:style w:type="paragraph" w:styleId="af1">
    <w:name w:val="Body Text First Indent"/>
    <w:basedOn w:val="a6"/>
    <w:link w:val="af2"/>
    <w:qFormat/>
    <w:pPr>
      <w:ind w:firstLineChars="100" w:firstLine="420"/>
    </w:pPr>
  </w:style>
  <w:style w:type="character" w:styleId="af3">
    <w:name w:val="Strong"/>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rPr>
      <w:sz w:val="21"/>
    </w:rPr>
  </w:style>
  <w:style w:type="character" w:customStyle="1" w:styleId="a7">
    <w:name w:val="正文文本 字符"/>
    <w:link w:val="a6"/>
    <w:qFormat/>
    <w:rPr>
      <w:kern w:val="2"/>
      <w:sz w:val="21"/>
    </w:rPr>
  </w:style>
  <w:style w:type="character" w:customStyle="1" w:styleId="af2">
    <w:name w:val="正文首行缩进 字符"/>
    <w:basedOn w:val="a7"/>
    <w:link w:val="af1"/>
    <w:qFormat/>
    <w:rPr>
      <w:kern w:val="2"/>
      <w:sz w:val="21"/>
    </w:rPr>
  </w:style>
  <w:style w:type="character" w:customStyle="1" w:styleId="ad">
    <w:name w:val="页脚 字符"/>
    <w:link w:val="ac"/>
    <w:uiPriority w:val="99"/>
    <w:qFormat/>
    <w:rPr>
      <w:kern w:val="2"/>
      <w:sz w:val="18"/>
    </w:rPr>
  </w:style>
  <w:style w:type="character" w:customStyle="1" w:styleId="1">
    <w:name w:val="已访问的超链接1"/>
    <w:rPr>
      <w:color w:val="800080"/>
      <w:u w:val="single"/>
    </w:rPr>
  </w:style>
  <w:style w:type="character" w:customStyle="1" w:styleId="read">
    <w:name w:val="read"/>
    <w:basedOn w:val="a1"/>
    <w:qFormat/>
  </w:style>
  <w:style w:type="paragraph" w:customStyle="1" w:styleId="CharCharChar1">
    <w:name w:val="Char Char Char1"/>
    <w:basedOn w:val="a"/>
    <w:qFormat/>
  </w:style>
  <w:style w:type="paragraph" w:customStyle="1" w:styleId="CharChar1">
    <w:name w:val="Char Char1"/>
    <w:basedOn w:val="a"/>
    <w:qFormat/>
  </w:style>
  <w:style w:type="paragraph" w:customStyle="1" w:styleId="10">
    <w:name w:val="1"/>
    <w:basedOn w:val="a"/>
    <w:next w:val="3"/>
    <w:qFormat/>
    <w:pPr>
      <w:adjustRightInd w:val="0"/>
      <w:snapToGrid w:val="0"/>
      <w:ind w:firstLineChars="200" w:firstLine="480"/>
    </w:pPr>
    <w:rPr>
      <w:rFonts w:ascii="仿宋_GB2312" w:eastAsia="仿宋_GB2312" w:hAnsi="宋体"/>
      <w:color w:val="000000"/>
      <w:sz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CharChar">
    <w:name w:val="Char Char"/>
    <w:basedOn w:val="a"/>
    <w:qFormat/>
  </w:style>
  <w:style w:type="paragraph" w:customStyle="1" w:styleId="22">
    <w:name w:val="2"/>
    <w:basedOn w:val="a"/>
    <w:next w:val="3"/>
    <w:qFormat/>
    <w:pPr>
      <w:adjustRightInd w:val="0"/>
      <w:snapToGrid w:val="0"/>
      <w:ind w:firstLineChars="200" w:firstLine="480"/>
    </w:pPr>
    <w:rPr>
      <w:rFonts w:ascii="仿宋_GB2312" w:eastAsia="仿宋_GB2312" w:hAnsi="宋体"/>
      <w:color w:val="000000"/>
      <w:sz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af7">
    <w:name w:val="特点"/>
    <w:basedOn w:val="a"/>
    <w:next w:val="3"/>
    <w:pPr>
      <w:spacing w:after="120"/>
      <w:ind w:leftChars="200" w:left="420"/>
    </w:pPr>
    <w:rPr>
      <w:sz w:val="16"/>
    </w:rPr>
  </w:style>
  <w:style w:type="character" w:customStyle="1" w:styleId="30">
    <w:name w:val="正文文本缩进 3 字符"/>
    <w:link w:val="3"/>
    <w:qFormat/>
    <w:rPr>
      <w:kern w:val="2"/>
      <w:sz w:val="16"/>
    </w:rPr>
  </w:style>
  <w:style w:type="character" w:customStyle="1" w:styleId="aa">
    <w:name w:val="日期 字符"/>
    <w:link w:val="a9"/>
    <w:uiPriority w:val="99"/>
    <w:semiHidden/>
    <w:qFormat/>
    <w:rPr>
      <w:kern w:val="2"/>
      <w:sz w:val="21"/>
    </w:rPr>
  </w:style>
  <w:style w:type="paragraph" w:customStyle="1" w:styleId="11">
    <w:name w:val="修订1"/>
    <w:hidden/>
    <w:uiPriority w:val="99"/>
    <w:semiHidden/>
    <w:qFormat/>
    <w:rPr>
      <w:kern w:val="2"/>
      <w:sz w:val="21"/>
    </w:rPr>
  </w:style>
  <w:style w:type="character" w:customStyle="1" w:styleId="a5">
    <w:name w:val="批注文字 字符"/>
    <w:link w:val="a4"/>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aike.baidu.com/view/240503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aike.baidu.com/view/1126539.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9D90-A1EA-4754-BBB2-7A93F9E8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28179</Words>
  <Characters>2579</Characters>
  <Application>Microsoft Office Word</Application>
  <DocSecurity>0</DocSecurity>
  <Lines>21</Lines>
  <Paragraphs>61</Paragraphs>
  <ScaleCrop>false</ScaleCrop>
  <Company>JJTG</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******股票型证券投资基金</dc:title>
  <dc:creator>贺倩/证券投资基金托管处/托管业务部/总行机关/ABC</dc:creator>
  <cp:lastModifiedBy>张婧</cp:lastModifiedBy>
  <cp:revision>6</cp:revision>
  <cp:lastPrinted>2021-03-18T08:26:00Z</cp:lastPrinted>
  <dcterms:created xsi:type="dcterms:W3CDTF">2025-08-27T06:21:00Z</dcterms:created>
  <dcterms:modified xsi:type="dcterms:W3CDTF">2025-10-17T10:17:00Z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EA2656DEF29040E7A669A703C0276672</vt:lpwstr>
  </property>
</Properties>
</file>