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701" w:rsidRDefault="009A4701">
      <w:pPr>
        <w:rPr>
          <w:rFonts w:ascii="Times New Roman" w:hAnsi="Times New Roman"/>
          <w:sz w:val="32"/>
        </w:rPr>
      </w:pPr>
    </w:p>
    <w:p w:rsidR="009A4701" w:rsidRDefault="009A4701">
      <w:pPr>
        <w:rPr>
          <w:rFonts w:ascii="Times New Roman" w:hAnsi="Times New Roman"/>
          <w:sz w:val="32"/>
        </w:rPr>
      </w:pPr>
    </w:p>
    <w:p w:rsidR="009A4701" w:rsidRDefault="009A4701">
      <w:pPr>
        <w:rPr>
          <w:rFonts w:ascii="Times New Roman" w:hAnsi="Times New Roman"/>
          <w:sz w:val="32"/>
        </w:rPr>
      </w:pPr>
    </w:p>
    <w:p w:rsidR="009A4701" w:rsidRDefault="00677B65">
      <w:pPr>
        <w:jc w:val="center"/>
        <w:rPr>
          <w:rFonts w:ascii="Times New Roman" w:hAnsi="Times New Roman"/>
          <w:sz w:val="32"/>
        </w:rPr>
      </w:pPr>
      <w:r>
        <w:rPr>
          <w:rFonts w:ascii="Times New Roman" w:hAnsi="Times New Roman"/>
          <w:noProof/>
        </w:rPr>
        <w:drawing>
          <wp:inline distT="0" distB="0" distL="0" distR="0">
            <wp:extent cx="4343400" cy="577850"/>
            <wp:effectExtent l="0" t="0" r="0" b="0"/>
            <wp:docPr id="8"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43400" cy="577850"/>
                    </a:xfrm>
                    <a:prstGeom prst="rect">
                      <a:avLst/>
                    </a:prstGeom>
                    <a:noFill/>
                    <a:ln>
                      <a:noFill/>
                    </a:ln>
                  </pic:spPr>
                </pic:pic>
              </a:graphicData>
            </a:graphic>
          </wp:inline>
        </w:drawing>
      </w:r>
    </w:p>
    <w:p w:rsidR="009A4701" w:rsidRDefault="009A4701">
      <w:pPr>
        <w:autoSpaceDE w:val="0"/>
        <w:autoSpaceDN w:val="0"/>
        <w:adjustRightInd w:val="0"/>
        <w:snapToGrid w:val="0"/>
        <w:spacing w:before="63" w:line="360" w:lineRule="auto"/>
        <w:ind w:rightChars="6" w:right="13"/>
        <w:jc w:val="center"/>
        <w:rPr>
          <w:rFonts w:ascii="Times New Roman" w:hAnsi="Times New Roman"/>
          <w:b/>
          <w:spacing w:val="2"/>
          <w:w w:val="99"/>
          <w:kern w:val="0"/>
          <w:position w:val="-4"/>
          <w:sz w:val="44"/>
          <w:szCs w:val="44"/>
        </w:rPr>
      </w:pPr>
    </w:p>
    <w:p w:rsidR="009A4701" w:rsidRDefault="009A4701">
      <w:pPr>
        <w:autoSpaceDE w:val="0"/>
        <w:autoSpaceDN w:val="0"/>
        <w:adjustRightInd w:val="0"/>
        <w:snapToGrid w:val="0"/>
        <w:spacing w:before="63" w:line="360" w:lineRule="auto"/>
        <w:ind w:rightChars="6" w:right="13"/>
        <w:jc w:val="center"/>
        <w:rPr>
          <w:rFonts w:ascii="Times New Roman" w:hAnsi="Times New Roman"/>
          <w:b/>
          <w:spacing w:val="2"/>
          <w:w w:val="99"/>
          <w:kern w:val="0"/>
          <w:position w:val="-4"/>
          <w:sz w:val="44"/>
          <w:szCs w:val="44"/>
        </w:rPr>
      </w:pPr>
    </w:p>
    <w:p w:rsidR="009A4701" w:rsidRDefault="00677B65">
      <w:pPr>
        <w:snapToGrid w:val="0"/>
        <w:spacing w:line="360" w:lineRule="auto"/>
        <w:jc w:val="center"/>
        <w:rPr>
          <w:rFonts w:ascii="Times New Roman" w:hAnsi="Times New Roman"/>
          <w:b/>
          <w:spacing w:val="2"/>
          <w:w w:val="99"/>
          <w:kern w:val="0"/>
          <w:position w:val="-4"/>
          <w:sz w:val="44"/>
          <w:szCs w:val="44"/>
        </w:rPr>
      </w:pPr>
      <w:r>
        <w:rPr>
          <w:rFonts w:ascii="Times New Roman" w:hAnsi="Times New Roman"/>
          <w:b/>
          <w:spacing w:val="2"/>
          <w:w w:val="99"/>
          <w:kern w:val="0"/>
          <w:position w:val="-4"/>
          <w:sz w:val="44"/>
          <w:szCs w:val="44"/>
        </w:rPr>
        <w:t>交银施罗德中证港股</w:t>
      </w:r>
      <w:proofErr w:type="gramStart"/>
      <w:r>
        <w:rPr>
          <w:rFonts w:ascii="Times New Roman" w:hAnsi="Times New Roman"/>
          <w:b/>
          <w:spacing w:val="2"/>
          <w:w w:val="99"/>
          <w:kern w:val="0"/>
          <w:position w:val="-4"/>
          <w:sz w:val="44"/>
          <w:szCs w:val="44"/>
        </w:rPr>
        <w:t>通央企</w:t>
      </w:r>
      <w:proofErr w:type="gramEnd"/>
      <w:r>
        <w:rPr>
          <w:rFonts w:ascii="Times New Roman" w:hAnsi="Times New Roman"/>
          <w:b/>
          <w:spacing w:val="2"/>
          <w:w w:val="99"/>
          <w:kern w:val="0"/>
          <w:position w:val="-4"/>
          <w:sz w:val="44"/>
          <w:szCs w:val="44"/>
        </w:rPr>
        <w:t>红利指数型证券投资基金招募说明书</w:t>
      </w: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677B65">
      <w:pPr>
        <w:autoSpaceDE w:val="0"/>
        <w:autoSpaceDN w:val="0"/>
        <w:adjustRightInd w:val="0"/>
        <w:snapToGrid w:val="0"/>
        <w:spacing w:line="360" w:lineRule="auto"/>
        <w:ind w:firstLineChars="500" w:firstLine="1405"/>
        <w:rPr>
          <w:rFonts w:ascii="Times New Roman" w:hAnsi="Times New Roman"/>
          <w:b/>
          <w:w w:val="99"/>
          <w:kern w:val="0"/>
          <w:sz w:val="28"/>
          <w:szCs w:val="32"/>
        </w:rPr>
      </w:pPr>
      <w:r>
        <w:rPr>
          <w:rFonts w:ascii="Times New Roman" w:hAnsi="Times New Roman"/>
          <w:b/>
          <w:spacing w:val="2"/>
          <w:w w:val="99"/>
          <w:kern w:val="0"/>
          <w:sz w:val="28"/>
          <w:szCs w:val="32"/>
        </w:rPr>
        <w:t>基金管理人：交银施罗德基金管理有限公司</w:t>
      </w:r>
    </w:p>
    <w:p w:rsidR="009A4701" w:rsidRDefault="00677B65">
      <w:pPr>
        <w:autoSpaceDE w:val="0"/>
        <w:autoSpaceDN w:val="0"/>
        <w:adjustRightInd w:val="0"/>
        <w:snapToGrid w:val="0"/>
        <w:spacing w:line="360" w:lineRule="auto"/>
        <w:ind w:firstLineChars="500" w:firstLine="1405"/>
        <w:rPr>
          <w:rFonts w:ascii="Times New Roman" w:hAnsi="Times New Roman"/>
          <w:b/>
          <w:w w:val="99"/>
          <w:kern w:val="0"/>
          <w:sz w:val="28"/>
          <w:szCs w:val="32"/>
        </w:rPr>
      </w:pPr>
      <w:r>
        <w:rPr>
          <w:rFonts w:ascii="Times New Roman" w:hAnsi="Times New Roman"/>
          <w:b/>
          <w:spacing w:val="2"/>
          <w:w w:val="99"/>
          <w:kern w:val="0"/>
          <w:sz w:val="28"/>
          <w:szCs w:val="32"/>
        </w:rPr>
        <w:t>基金托管人：中</w:t>
      </w:r>
      <w:proofErr w:type="gramStart"/>
      <w:r>
        <w:rPr>
          <w:rFonts w:ascii="Times New Roman" w:hAnsi="Times New Roman"/>
          <w:b/>
          <w:spacing w:val="2"/>
          <w:w w:val="99"/>
          <w:kern w:val="0"/>
          <w:sz w:val="28"/>
          <w:szCs w:val="32"/>
        </w:rPr>
        <w:t>信建投证券</w:t>
      </w:r>
      <w:proofErr w:type="gramEnd"/>
      <w:r>
        <w:rPr>
          <w:rFonts w:ascii="Times New Roman" w:hAnsi="Times New Roman"/>
          <w:b/>
          <w:spacing w:val="2"/>
          <w:w w:val="99"/>
          <w:kern w:val="0"/>
          <w:sz w:val="28"/>
          <w:szCs w:val="32"/>
        </w:rPr>
        <w:t>股份有限公司</w:t>
      </w: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9A4701">
      <w:pPr>
        <w:autoSpaceDE w:val="0"/>
        <w:autoSpaceDN w:val="0"/>
        <w:adjustRightInd w:val="0"/>
        <w:snapToGrid w:val="0"/>
        <w:spacing w:line="360" w:lineRule="auto"/>
        <w:ind w:rightChars="6" w:right="13"/>
        <w:jc w:val="center"/>
        <w:rPr>
          <w:rFonts w:ascii="Times New Roman" w:hAnsi="Times New Roman"/>
          <w:spacing w:val="2"/>
          <w:w w:val="99"/>
          <w:kern w:val="0"/>
          <w:sz w:val="32"/>
          <w:szCs w:val="32"/>
        </w:rPr>
      </w:pPr>
    </w:p>
    <w:p w:rsidR="009A4701" w:rsidRDefault="00677B65">
      <w:pPr>
        <w:autoSpaceDE w:val="0"/>
        <w:autoSpaceDN w:val="0"/>
        <w:adjustRightInd w:val="0"/>
        <w:snapToGrid w:val="0"/>
        <w:spacing w:line="360" w:lineRule="auto"/>
        <w:ind w:rightChars="6" w:right="13"/>
        <w:jc w:val="center"/>
        <w:rPr>
          <w:rFonts w:ascii="Times New Roman" w:hAnsi="Times New Roman"/>
          <w:b/>
          <w:kern w:val="0"/>
          <w:sz w:val="28"/>
          <w:szCs w:val="32"/>
        </w:rPr>
      </w:pPr>
      <w:r>
        <w:rPr>
          <w:rFonts w:ascii="Times New Roman" w:hAnsi="Times New Roman"/>
          <w:b/>
          <w:spacing w:val="2"/>
          <w:w w:val="99"/>
          <w:kern w:val="0"/>
          <w:sz w:val="28"/>
          <w:szCs w:val="32"/>
        </w:rPr>
        <w:t>二〇二</w:t>
      </w:r>
      <w:r>
        <w:rPr>
          <w:rFonts w:ascii="Times New Roman" w:hAnsi="Times New Roman" w:hint="eastAsia"/>
          <w:b/>
          <w:spacing w:val="2"/>
          <w:w w:val="99"/>
          <w:kern w:val="0"/>
          <w:sz w:val="28"/>
          <w:szCs w:val="32"/>
        </w:rPr>
        <w:t>五</w:t>
      </w:r>
      <w:r>
        <w:rPr>
          <w:rFonts w:ascii="Times New Roman" w:hAnsi="Times New Roman"/>
          <w:b/>
          <w:spacing w:val="2"/>
          <w:w w:val="99"/>
          <w:kern w:val="0"/>
          <w:sz w:val="28"/>
          <w:szCs w:val="32"/>
        </w:rPr>
        <w:t>年</w:t>
      </w:r>
      <w:r>
        <w:rPr>
          <w:rFonts w:ascii="Times New Roman" w:hAnsi="Times New Roman" w:hint="eastAsia"/>
          <w:b/>
          <w:spacing w:val="2"/>
          <w:w w:val="99"/>
          <w:kern w:val="0"/>
          <w:sz w:val="28"/>
          <w:szCs w:val="32"/>
        </w:rPr>
        <w:t>十</w:t>
      </w:r>
      <w:r>
        <w:rPr>
          <w:rFonts w:ascii="Times New Roman" w:hAnsi="Times New Roman"/>
          <w:b/>
          <w:spacing w:val="2"/>
          <w:w w:val="99"/>
          <w:kern w:val="0"/>
          <w:sz w:val="28"/>
          <w:szCs w:val="32"/>
        </w:rPr>
        <w:t>月</w:t>
      </w:r>
    </w:p>
    <w:p w:rsidR="009A4701" w:rsidRDefault="009A4701">
      <w:pPr>
        <w:autoSpaceDE w:val="0"/>
        <w:autoSpaceDN w:val="0"/>
        <w:adjustRightInd w:val="0"/>
        <w:snapToGrid w:val="0"/>
        <w:spacing w:line="360" w:lineRule="auto"/>
        <w:ind w:left="1347" w:rightChars="6" w:right="13"/>
        <w:rPr>
          <w:rFonts w:ascii="Times New Roman" w:hAnsi="Times New Roman"/>
          <w:kern w:val="0"/>
          <w:sz w:val="32"/>
          <w:szCs w:val="32"/>
        </w:rPr>
        <w:sectPr w:rsidR="009A4701">
          <w:headerReference w:type="default" r:id="rId10"/>
          <w:footerReference w:type="default" r:id="rId11"/>
          <w:headerReference w:type="first" r:id="rId12"/>
          <w:pgSz w:w="11920" w:h="16840"/>
          <w:pgMar w:top="1560" w:right="1680" w:bottom="280" w:left="1680" w:header="0" w:footer="1073" w:gutter="0"/>
          <w:pgNumType w:start="1"/>
          <w:cols w:space="720"/>
          <w:titlePg/>
          <w:docGrid w:linePitch="286"/>
        </w:sectPr>
      </w:pPr>
    </w:p>
    <w:p w:rsidR="009A4701" w:rsidRDefault="00677B65">
      <w:pPr>
        <w:pStyle w:val="1"/>
        <w:snapToGrid w:val="0"/>
        <w:spacing w:beforeLines="0" w:before="240" w:after="240"/>
        <w:rPr>
          <w:rFonts w:ascii="Times New Roman" w:hAnsi="Times New Roman"/>
          <w:kern w:val="0"/>
        </w:rPr>
      </w:pPr>
      <w:bookmarkStart w:id="0" w:name="_Toc324920538"/>
      <w:bookmarkStart w:id="1" w:name="_Toc147840618"/>
      <w:bookmarkStart w:id="2" w:name="_Toc496884613"/>
      <w:r>
        <w:rPr>
          <w:rFonts w:ascii="Times New Roman" w:hAnsi="Times New Roman"/>
          <w:kern w:val="0"/>
        </w:rPr>
        <w:lastRenderedPageBreak/>
        <w:t>重要提示</w:t>
      </w:r>
      <w:bookmarkEnd w:id="0"/>
      <w:bookmarkEnd w:id="1"/>
      <w:bookmarkEnd w:id="2"/>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交银施罗德中证港股</w:t>
      </w:r>
      <w:proofErr w:type="gramStart"/>
      <w:r>
        <w:rPr>
          <w:rFonts w:ascii="Times New Roman" w:hAnsi="Times New Roman"/>
          <w:kern w:val="0"/>
          <w:sz w:val="24"/>
        </w:rPr>
        <w:t>通央企</w:t>
      </w:r>
      <w:proofErr w:type="gramEnd"/>
      <w:r>
        <w:rPr>
          <w:rFonts w:ascii="Times New Roman" w:hAnsi="Times New Roman"/>
          <w:kern w:val="0"/>
          <w:sz w:val="24"/>
        </w:rPr>
        <w:t>红利指数型证券投资基金（以下简称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kern w:val="0"/>
          <w:sz w:val="24"/>
        </w:rPr>
        <w:t>24</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2025</w:t>
      </w:r>
      <w:r>
        <w:rPr>
          <w:rFonts w:ascii="Times New Roman" w:hAnsi="Times New Roman"/>
          <w:kern w:val="0"/>
          <w:sz w:val="24"/>
        </w:rPr>
        <w:t>】</w:t>
      </w:r>
      <w:r>
        <w:rPr>
          <w:rFonts w:ascii="Times New Roman" w:hAnsi="Times New Roman"/>
          <w:kern w:val="0"/>
          <w:sz w:val="24"/>
        </w:rPr>
        <w:t>1600</w:t>
      </w:r>
      <w:r>
        <w:rPr>
          <w:rFonts w:ascii="Times New Roman" w:hAnsi="Times New Roman"/>
          <w:kern w:val="0"/>
          <w:sz w:val="24"/>
        </w:rPr>
        <w:t>号文准予募集注册。</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w:t>
      </w:r>
      <w:r>
        <w:rPr>
          <w:rFonts w:ascii="Times New Roman" w:hAnsi="Times New Roman" w:hint="eastAsia"/>
          <w:kern w:val="0"/>
          <w:sz w:val="24"/>
        </w:rPr>
        <w:t>基金</w:t>
      </w:r>
      <w:r>
        <w:rPr>
          <w:rFonts w:ascii="Times New Roman" w:hAnsi="Times New Roman"/>
          <w:kern w:val="0"/>
          <w:sz w:val="24"/>
        </w:rPr>
        <w:t>份额享受基金的收益，但同时也需承担相应的投资风险。投资本基金可能遇到的风险包括：因受到经济因素、政治因素、投资心理和交易制度等各种因素的影响而引起的市场风险；基金管理人在基金管理</w:t>
      </w:r>
      <w:r>
        <w:rPr>
          <w:rFonts w:ascii="Times New Roman" w:hAnsi="Times New Roman" w:hint="eastAsia"/>
          <w:kern w:val="0"/>
          <w:sz w:val="24"/>
        </w:rPr>
        <w:t>运作</w:t>
      </w:r>
      <w:r>
        <w:rPr>
          <w:rFonts w:ascii="Times New Roman" w:hAnsi="Times New Roman"/>
          <w:kern w:val="0"/>
          <w:sz w:val="24"/>
        </w:rPr>
        <w:t>过程中产生的基金管理风险；流动性风险</w:t>
      </w:r>
      <w:r>
        <w:rPr>
          <w:rFonts w:ascii="Times New Roman" w:hAnsi="Times New Roman" w:hint="eastAsia"/>
          <w:kern w:val="0"/>
          <w:sz w:val="24"/>
        </w:rPr>
        <w:t>（包括实施</w:t>
      </w:r>
      <w:proofErr w:type="gramStart"/>
      <w:r>
        <w:rPr>
          <w:rFonts w:ascii="Times New Roman" w:hAnsi="Times New Roman"/>
          <w:kern w:val="0"/>
          <w:sz w:val="24"/>
        </w:rPr>
        <w:t>侧袋机制</w:t>
      </w:r>
      <w:proofErr w:type="gramEnd"/>
      <w:r>
        <w:rPr>
          <w:rFonts w:ascii="Times New Roman" w:hAnsi="Times New Roman"/>
          <w:kern w:val="0"/>
          <w:sz w:val="24"/>
        </w:rPr>
        <w:t>时的特定风险）；信用风险；本基金的特有风险</w:t>
      </w:r>
      <w:r>
        <w:rPr>
          <w:rFonts w:ascii="Times New Roman" w:hAnsi="Times New Roman" w:hint="eastAsia"/>
          <w:kern w:val="0"/>
          <w:sz w:val="24"/>
        </w:rPr>
        <w:t>；本基金法律文件风险收益特征表述与销售机构基金风险评价可能不一致的风险；</w:t>
      </w:r>
      <w:r>
        <w:rPr>
          <w:rFonts w:ascii="Times New Roman" w:hAnsi="Times New Roman"/>
          <w:kern w:val="0"/>
          <w:sz w:val="24"/>
        </w:rPr>
        <w:t>投资本基金</w:t>
      </w:r>
      <w:r>
        <w:rPr>
          <w:rFonts w:ascii="Times New Roman" w:hAnsi="Times New Roman" w:hint="eastAsia"/>
          <w:kern w:val="0"/>
          <w:sz w:val="24"/>
        </w:rPr>
        <w:t>的</w:t>
      </w:r>
      <w:r>
        <w:rPr>
          <w:rFonts w:ascii="Times New Roman" w:hAnsi="Times New Roman"/>
          <w:kern w:val="0"/>
          <w:sz w:val="24"/>
        </w:rPr>
        <w:t>其他风险等等。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本基金是一只股票型基金，其预期风险和预期收益理论上高于混合型基金、债券型基金和货币市场基金。</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本基金为指数型基金，主要采用完全复制法跟踪中证港股</w:t>
      </w:r>
      <w:proofErr w:type="gramStart"/>
      <w:r>
        <w:rPr>
          <w:rFonts w:ascii="Times New Roman" w:hAnsi="Times New Roman" w:hint="eastAsia"/>
          <w:kern w:val="0"/>
          <w:sz w:val="24"/>
        </w:rPr>
        <w:t>通央企</w:t>
      </w:r>
      <w:proofErr w:type="gramEnd"/>
      <w:r>
        <w:rPr>
          <w:rFonts w:ascii="Times New Roman" w:hAnsi="Times New Roman" w:hint="eastAsia"/>
          <w:kern w:val="0"/>
          <w:sz w:val="24"/>
        </w:rPr>
        <w:t>红利指数，具有与标的指数相似的风险收益特征。</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本基金为指数基金，投资者投资于本基金面临跟踪误差控制未达约定目标、指数编制机构停止服务、成份</w:t>
      </w:r>
      <w:r>
        <w:rPr>
          <w:rFonts w:ascii="Times New Roman" w:hAnsi="Times New Roman" w:hint="eastAsia"/>
          <w:kern w:val="0"/>
          <w:sz w:val="24"/>
        </w:rPr>
        <w:t>股</w:t>
      </w:r>
      <w:r>
        <w:rPr>
          <w:rFonts w:ascii="Times New Roman" w:hAnsi="Times New Roman"/>
          <w:kern w:val="0"/>
          <w:sz w:val="24"/>
        </w:rPr>
        <w:t>停牌等潜在风险。</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本基金标的指数为</w:t>
      </w:r>
      <w:r>
        <w:rPr>
          <w:rFonts w:ascii="Times New Roman" w:hAnsi="Times New Roman" w:hint="eastAsia"/>
          <w:kern w:val="0"/>
          <w:sz w:val="24"/>
        </w:rPr>
        <w:t>中证港股</w:t>
      </w:r>
      <w:proofErr w:type="gramStart"/>
      <w:r>
        <w:rPr>
          <w:rFonts w:ascii="Times New Roman" w:hAnsi="Times New Roman" w:hint="eastAsia"/>
          <w:kern w:val="0"/>
          <w:sz w:val="24"/>
        </w:rPr>
        <w:t>通央企</w:t>
      </w:r>
      <w:proofErr w:type="gramEnd"/>
      <w:r>
        <w:rPr>
          <w:rFonts w:ascii="Times New Roman" w:hAnsi="Times New Roman" w:hint="eastAsia"/>
          <w:kern w:val="0"/>
          <w:sz w:val="24"/>
        </w:rPr>
        <w:t>红利指数</w:t>
      </w:r>
      <w:r>
        <w:rPr>
          <w:rFonts w:ascii="Times New Roman" w:hAnsi="Times New Roman"/>
          <w:kern w:val="0"/>
          <w:sz w:val="24"/>
        </w:rPr>
        <w:t>。</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1</w:t>
      </w:r>
      <w:r>
        <w:rPr>
          <w:rFonts w:ascii="Times New Roman" w:hAnsi="Times New Roman"/>
          <w:kern w:val="0"/>
          <w:sz w:val="24"/>
        </w:rPr>
        <w:t>、</w:t>
      </w:r>
      <w:r>
        <w:rPr>
          <w:rFonts w:ascii="Times New Roman" w:hAnsi="Times New Roman" w:hint="eastAsia"/>
          <w:kern w:val="0"/>
          <w:sz w:val="24"/>
        </w:rPr>
        <w:t>样本</w:t>
      </w:r>
      <w:r>
        <w:rPr>
          <w:rFonts w:ascii="Times New Roman" w:hAnsi="Times New Roman"/>
          <w:kern w:val="0"/>
          <w:sz w:val="24"/>
        </w:rPr>
        <w:t>空间</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中证港股</w:t>
      </w:r>
      <w:proofErr w:type="gramStart"/>
      <w:r>
        <w:rPr>
          <w:rFonts w:ascii="Times New Roman" w:hAnsi="Times New Roman" w:hint="eastAsia"/>
          <w:kern w:val="0"/>
          <w:sz w:val="24"/>
        </w:rPr>
        <w:t>通综合</w:t>
      </w:r>
      <w:proofErr w:type="gramEnd"/>
      <w:r>
        <w:rPr>
          <w:rFonts w:ascii="Times New Roman" w:hAnsi="Times New Roman" w:hint="eastAsia"/>
          <w:kern w:val="0"/>
          <w:sz w:val="24"/>
        </w:rPr>
        <w:t>指数样本</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、可投资性筛选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lastRenderedPageBreak/>
        <w:t>对样本空间内证券，计算每月的日换手率中位数作为月换手率，剔除过去</w:t>
      </w:r>
      <w:r>
        <w:rPr>
          <w:rFonts w:ascii="Times New Roman" w:hAnsi="Times New Roman" w:hint="eastAsia"/>
          <w:kern w:val="0"/>
          <w:sz w:val="24"/>
        </w:rPr>
        <w:t xml:space="preserve"> 1</w:t>
      </w:r>
      <w:r>
        <w:rPr>
          <w:rFonts w:ascii="Times New Roman" w:hAnsi="Times New Roman"/>
          <w:kern w:val="0"/>
          <w:sz w:val="24"/>
        </w:rPr>
        <w:t>2</w:t>
      </w:r>
      <w:r>
        <w:rPr>
          <w:rFonts w:ascii="Times New Roman" w:hAnsi="Times New Roman" w:hint="eastAsia"/>
          <w:kern w:val="0"/>
          <w:sz w:val="24"/>
        </w:rPr>
        <w:t>个月或过去</w:t>
      </w:r>
      <w:r>
        <w:rPr>
          <w:rFonts w:ascii="Times New Roman" w:hAnsi="Times New Roman" w:hint="eastAsia"/>
          <w:kern w:val="0"/>
          <w:sz w:val="24"/>
        </w:rPr>
        <w:t xml:space="preserve"> 3 </w:t>
      </w:r>
      <w:proofErr w:type="gramStart"/>
      <w:r>
        <w:rPr>
          <w:rFonts w:ascii="Times New Roman" w:hAnsi="Times New Roman" w:hint="eastAsia"/>
          <w:kern w:val="0"/>
          <w:sz w:val="24"/>
        </w:rPr>
        <w:t>个</w:t>
      </w:r>
      <w:proofErr w:type="gramEnd"/>
      <w:r>
        <w:rPr>
          <w:rFonts w:ascii="Times New Roman" w:hAnsi="Times New Roman" w:hint="eastAsia"/>
          <w:kern w:val="0"/>
          <w:sz w:val="24"/>
        </w:rPr>
        <w:t>月平均月换手率不足</w:t>
      </w:r>
      <w:r>
        <w:rPr>
          <w:rFonts w:ascii="Times New Roman" w:hAnsi="Times New Roman" w:hint="eastAsia"/>
          <w:kern w:val="0"/>
          <w:sz w:val="24"/>
        </w:rPr>
        <w:t xml:space="preserve"> 0.1%</w:t>
      </w:r>
      <w:r>
        <w:rPr>
          <w:rFonts w:ascii="Times New Roman" w:hAnsi="Times New Roman" w:hint="eastAsia"/>
          <w:kern w:val="0"/>
          <w:sz w:val="24"/>
        </w:rPr>
        <w:t>的证券，除非该证券过去一年日均成交金额大于</w:t>
      </w:r>
      <w:r>
        <w:rPr>
          <w:rFonts w:ascii="Times New Roman" w:hAnsi="Times New Roman" w:hint="eastAsia"/>
          <w:kern w:val="0"/>
          <w:sz w:val="24"/>
        </w:rPr>
        <w:t xml:space="preserve"> 5000 </w:t>
      </w:r>
      <w:r>
        <w:rPr>
          <w:rFonts w:ascii="Times New Roman" w:hAnsi="Times New Roman" w:hint="eastAsia"/>
          <w:kern w:val="0"/>
          <w:sz w:val="24"/>
        </w:rPr>
        <w:t>万港元。</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3</w:t>
      </w:r>
      <w:r>
        <w:rPr>
          <w:rFonts w:ascii="Times New Roman" w:hAnsi="Times New Roman"/>
          <w:kern w:val="0"/>
          <w:sz w:val="24"/>
        </w:rPr>
        <w:t>、选样方法</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）对于样本空间内符合流动性筛选条件的证券，选取中央企业实际控制的上市公司证券；</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）选取过去三年连续分红且过去三年股利支付率的均值和过去一年股利支付率均大于</w:t>
      </w:r>
      <w:r>
        <w:rPr>
          <w:rFonts w:ascii="Times New Roman" w:hAnsi="Times New Roman" w:hint="eastAsia"/>
          <w:kern w:val="0"/>
          <w:sz w:val="24"/>
        </w:rPr>
        <w:t xml:space="preserve"> 0 </w:t>
      </w:r>
      <w:r>
        <w:rPr>
          <w:rFonts w:ascii="Times New Roman" w:hAnsi="Times New Roman" w:hint="eastAsia"/>
          <w:kern w:val="0"/>
          <w:sz w:val="24"/>
        </w:rPr>
        <w:t>且小于</w:t>
      </w:r>
      <w:r>
        <w:rPr>
          <w:rFonts w:ascii="Times New Roman" w:hAnsi="Times New Roman" w:hint="eastAsia"/>
          <w:kern w:val="0"/>
          <w:sz w:val="24"/>
        </w:rPr>
        <w:t xml:space="preserve"> 1 </w:t>
      </w:r>
      <w:r>
        <w:rPr>
          <w:rFonts w:ascii="Times New Roman" w:hAnsi="Times New Roman" w:hint="eastAsia"/>
          <w:kern w:val="0"/>
          <w:sz w:val="24"/>
        </w:rPr>
        <w:t>的上市公司证券作为待选样本；</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3</w:t>
      </w:r>
      <w:r>
        <w:rPr>
          <w:rFonts w:ascii="Times New Roman" w:hAnsi="Times New Roman" w:hint="eastAsia"/>
          <w:kern w:val="0"/>
          <w:sz w:val="24"/>
        </w:rPr>
        <w:t>）在上述待选样本中，按照过去三年平均股息率由高到低排名，选取排名靠前的</w:t>
      </w:r>
      <w:r>
        <w:rPr>
          <w:rFonts w:ascii="Times New Roman" w:hAnsi="Times New Roman" w:hint="eastAsia"/>
          <w:kern w:val="0"/>
          <w:sz w:val="24"/>
        </w:rPr>
        <w:t xml:space="preserve"> 50 </w:t>
      </w:r>
      <w:r>
        <w:rPr>
          <w:rFonts w:ascii="Times New Roman" w:hAnsi="Times New Roman" w:hint="eastAsia"/>
          <w:kern w:val="0"/>
          <w:sz w:val="24"/>
        </w:rPr>
        <w:t>只证券作为指数样本。</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4</w:t>
      </w:r>
      <w:r>
        <w:rPr>
          <w:rFonts w:ascii="Times New Roman" w:hAnsi="Times New Roman"/>
          <w:kern w:val="0"/>
          <w:sz w:val="24"/>
        </w:rPr>
        <w:t>、指数计算</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指数计算公式为：</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m:oMathPara>
        <m:oMath>
          <m:r>
            <m:rPr>
              <m:sty m:val="p"/>
            </m:rPr>
            <w:rPr>
              <w:rFonts w:ascii="Cambria Math" w:hAnsi="Cambria Math" w:hint="eastAsia"/>
              <w:kern w:val="0"/>
              <w:sz w:val="24"/>
              <w:szCs w:val="24"/>
            </w:rPr>
            <m:t>报告期指数</m:t>
          </m:r>
          <m:r>
            <m:rPr>
              <m:sty m:val="p"/>
            </m:rPr>
            <w:rPr>
              <w:rFonts w:ascii="Cambria Math" w:hAnsi="Cambria Math"/>
              <w:kern w:val="0"/>
              <w:sz w:val="24"/>
              <w:szCs w:val="24"/>
            </w:rPr>
            <m:t>=</m:t>
          </m:r>
          <m:f>
            <m:fPr>
              <m:ctrlPr>
                <w:rPr>
                  <w:rFonts w:ascii="Cambria Math" w:hAnsi="Cambria Math"/>
                  <w:kern w:val="0"/>
                  <w:sz w:val="24"/>
                  <w:szCs w:val="24"/>
                </w:rPr>
              </m:ctrlPr>
            </m:fPr>
            <m:num>
              <m:r>
                <m:rPr>
                  <m:sty m:val="p"/>
                </m:rPr>
                <w:rPr>
                  <w:rFonts w:ascii="Cambria Math" w:hAnsi="Cambria Math" w:hint="eastAsia"/>
                  <w:kern w:val="0"/>
                  <w:sz w:val="24"/>
                  <w:szCs w:val="24"/>
                </w:rPr>
                <m:t>报告期样本的调整市值</m:t>
              </m:r>
            </m:num>
            <m:den>
              <m:r>
                <m:rPr>
                  <m:sty m:val="p"/>
                </m:rPr>
                <w:rPr>
                  <w:rFonts w:ascii="Cambria Math" w:hAnsi="Cambria Math" w:hint="eastAsia"/>
                  <w:kern w:val="0"/>
                  <w:sz w:val="24"/>
                  <w:szCs w:val="24"/>
                </w:rPr>
                <m:t>除数</m:t>
              </m:r>
            </m:den>
          </m:f>
          <m:r>
            <m:rPr>
              <m:sty m:val="p"/>
            </m:rPr>
            <w:rPr>
              <w:rFonts w:ascii="Cambria Math" w:hAnsi="Cambria Math"/>
              <w:kern w:val="0"/>
              <w:sz w:val="24"/>
              <w:szCs w:val="24"/>
            </w:rPr>
            <m:t>×1000</m:t>
          </m:r>
        </m:oMath>
      </m:oMathPara>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其中，调整市值＝∑</w:t>
      </w:r>
      <w:r>
        <w:rPr>
          <w:rFonts w:ascii="Times New Roman" w:hAnsi="Times New Roman" w:hint="eastAsia"/>
          <w:kern w:val="0"/>
          <w:sz w:val="24"/>
        </w:rPr>
        <w:t>(</w:t>
      </w:r>
      <w:r>
        <w:rPr>
          <w:rFonts w:ascii="Times New Roman" w:hAnsi="Times New Roman" w:hint="eastAsia"/>
          <w:kern w:val="0"/>
          <w:sz w:val="24"/>
        </w:rPr>
        <w:t>证券价格×调整股本数×权重因子×汇率</w:t>
      </w:r>
      <w:r>
        <w:rPr>
          <w:rFonts w:ascii="Times New Roman" w:hAnsi="Times New Roman" w:hint="eastAsia"/>
          <w:kern w:val="0"/>
          <w:sz w:val="24"/>
        </w:rPr>
        <w:t>)</w:t>
      </w:r>
      <w:r>
        <w:rPr>
          <w:rFonts w:ascii="Times New Roman" w:hAnsi="Times New Roman" w:hint="eastAsia"/>
          <w:kern w:val="0"/>
          <w:sz w:val="24"/>
        </w:rPr>
        <w:t>。汇率、调整股本数的计算方法、除数修正方法参见计算与维护细则。权重因子介于</w:t>
      </w:r>
      <w:r>
        <w:rPr>
          <w:rFonts w:ascii="Times New Roman" w:hAnsi="Times New Roman" w:hint="eastAsia"/>
          <w:kern w:val="0"/>
          <w:sz w:val="24"/>
        </w:rPr>
        <w:t xml:space="preserve"> 0 </w:t>
      </w:r>
      <w:r>
        <w:rPr>
          <w:rFonts w:ascii="Times New Roman" w:hAnsi="Times New Roman" w:hint="eastAsia"/>
          <w:kern w:val="0"/>
          <w:sz w:val="24"/>
        </w:rPr>
        <w:t>和</w:t>
      </w:r>
      <w:r>
        <w:rPr>
          <w:rFonts w:ascii="Times New Roman" w:hAnsi="Times New Roman" w:hint="eastAsia"/>
          <w:kern w:val="0"/>
          <w:sz w:val="24"/>
        </w:rPr>
        <w:t xml:space="preserve"> 1 </w:t>
      </w:r>
      <w:r>
        <w:rPr>
          <w:rFonts w:ascii="Times New Roman" w:hAnsi="Times New Roman" w:hint="eastAsia"/>
          <w:kern w:val="0"/>
          <w:sz w:val="24"/>
        </w:rPr>
        <w:t>之间，以使样本采用股息率加权，同时单个样本权重不超过</w:t>
      </w:r>
      <w:r>
        <w:rPr>
          <w:rFonts w:ascii="Times New Roman" w:hAnsi="Times New Roman" w:hint="eastAsia"/>
          <w:kern w:val="0"/>
          <w:sz w:val="24"/>
        </w:rPr>
        <w:t>10%</w:t>
      </w:r>
      <w:r>
        <w:rPr>
          <w:rFonts w:ascii="Times New Roman" w:hAnsi="Times New Roman" w:hint="eastAsia"/>
          <w:kern w:val="0"/>
          <w:sz w:val="24"/>
        </w:rPr>
        <w:t>。</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、指数样本和权重调整</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）定期调整</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指数样本每年调整一次，样本调整实施时间分别为每年</w:t>
      </w:r>
      <w:r>
        <w:rPr>
          <w:rFonts w:ascii="Times New Roman" w:hAnsi="Times New Roman" w:hint="eastAsia"/>
          <w:kern w:val="0"/>
          <w:sz w:val="24"/>
        </w:rPr>
        <w:t xml:space="preserve"> 12 </w:t>
      </w:r>
      <w:r>
        <w:rPr>
          <w:rFonts w:ascii="Times New Roman" w:hAnsi="Times New Roman" w:hint="eastAsia"/>
          <w:kern w:val="0"/>
          <w:sz w:val="24"/>
        </w:rPr>
        <w:t>月的第二个星期五的下一交易日。</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权重因子随样本股定期调整而调整，调整时间与指数样本定期调整实施时间相同。在下一个定期调整日前，权重因子一般固定不变。</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）临时调整</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当特殊情况下将对指数进行临时调整。当样本退市时，将其从指数样本中剔除。样本公司发生收购、合并、分拆等情形的处理，参照计算与维护细则处理。当港股通证券范围发生变动导致样本不再满足互联互通资格时，指数将相应调整。</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有关标的指数具体编制方案及成份股信息详见</w:t>
      </w:r>
      <w:r>
        <w:rPr>
          <w:rFonts w:ascii="Times New Roman" w:hAnsi="Times New Roman" w:hint="eastAsia"/>
          <w:kern w:val="0"/>
          <w:sz w:val="24"/>
        </w:rPr>
        <w:t>中证指数有限公司网站，网址：</w:t>
      </w:r>
      <w:hyperlink r:id="rId13" w:history="1">
        <w:r>
          <w:rPr>
            <w:rStyle w:val="af3"/>
            <w:rFonts w:ascii="Times New Roman" w:hAnsi="Times New Roman"/>
            <w:kern w:val="0"/>
            <w:sz w:val="24"/>
            <w:szCs w:val="24"/>
          </w:rPr>
          <w:t>www.csindex.com.cn</w:t>
        </w:r>
      </w:hyperlink>
      <w:r>
        <w:rPr>
          <w:rFonts w:ascii="Times New Roman" w:hAnsi="Times New Roman" w:hint="eastAsia"/>
          <w:kern w:val="0"/>
          <w:sz w:val="24"/>
          <w:szCs w:val="24"/>
        </w:rPr>
        <w:t>。</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kern w:val="0"/>
          <w:sz w:val="24"/>
        </w:rPr>
        <w:t>本基金投资内地与香港股票市场交易互联互通机制允许买卖的规定范围内的</w:t>
      </w:r>
      <w:r>
        <w:rPr>
          <w:rFonts w:ascii="Times New Roman" w:hAnsi="Times New Roman" w:hint="eastAsia"/>
          <w:kern w:val="0"/>
          <w:sz w:val="24"/>
        </w:rPr>
        <w:lastRenderedPageBreak/>
        <w:t>香港联合交易所有限公司（以下简称“香港联合交易所”）上市的股票（以下简称“港股通标的股票”）的，会面临港股</w:t>
      </w:r>
      <w:proofErr w:type="gramStart"/>
      <w:r>
        <w:rPr>
          <w:rFonts w:ascii="Times New Roman" w:hAnsi="Times New Roman" w:hint="eastAsia"/>
          <w:kern w:val="0"/>
          <w:sz w:val="24"/>
        </w:rPr>
        <w:t>通机制</w:t>
      </w:r>
      <w:proofErr w:type="gramEnd"/>
      <w:r>
        <w:rPr>
          <w:rFonts w:ascii="Times New Roman" w:hAnsi="Times New Roman" w:hint="eastAsia"/>
          <w:kern w:val="0"/>
          <w:sz w:val="24"/>
        </w:rPr>
        <w:t>下因投资环境、投资标的、市场制度以及交易规则等差异带来的特有风险，包括但不限于汇率风险（汇率波动可能对基金的投资收益造成损失）、港股市场股价波动较大的风险（港股市</w:t>
      </w:r>
      <w:proofErr w:type="gramStart"/>
      <w:r>
        <w:rPr>
          <w:rFonts w:ascii="Times New Roman" w:hAnsi="Times New Roman" w:hint="eastAsia"/>
          <w:kern w:val="0"/>
          <w:sz w:val="24"/>
        </w:rPr>
        <w:t>场实行</w:t>
      </w:r>
      <w:proofErr w:type="gramEnd"/>
      <w:r>
        <w:rPr>
          <w:rFonts w:ascii="Times New Roman" w:hAnsi="Times New Roman" w:hint="eastAsia"/>
          <w:kern w:val="0"/>
          <w:sz w:val="24"/>
        </w:rPr>
        <w:t>T+0</w:t>
      </w:r>
      <w:r>
        <w:rPr>
          <w:rFonts w:ascii="Times New Roman" w:hAnsi="Times New Roman" w:hint="eastAsia"/>
          <w:kern w:val="0"/>
          <w:sz w:val="24"/>
        </w:rPr>
        <w:t>回转交易，且对个股不设涨跌幅限制，港股股价可能表现出比</w:t>
      </w:r>
      <w:r>
        <w:rPr>
          <w:rFonts w:ascii="Times New Roman" w:hAnsi="Times New Roman" w:hint="eastAsia"/>
          <w:kern w:val="0"/>
          <w:sz w:val="24"/>
        </w:rPr>
        <w:t>A</w:t>
      </w:r>
      <w:r>
        <w:rPr>
          <w:rFonts w:ascii="Times New Roman" w:hAnsi="Times New Roman" w:hint="eastAsia"/>
          <w:kern w:val="0"/>
          <w:sz w:val="24"/>
        </w:rPr>
        <w:t>股更为剧烈的股价波动）、港股</w:t>
      </w:r>
      <w:proofErr w:type="gramStart"/>
      <w:r>
        <w:rPr>
          <w:rFonts w:ascii="Times New Roman" w:hAnsi="Times New Roman" w:hint="eastAsia"/>
          <w:kern w:val="0"/>
          <w:sz w:val="24"/>
        </w:rPr>
        <w:t>通机制</w:t>
      </w:r>
      <w:proofErr w:type="gramEnd"/>
      <w:r>
        <w:rPr>
          <w:rFonts w:ascii="Times New Roman" w:hAnsi="Times New Roman" w:hint="eastAsia"/>
          <w:kern w:val="0"/>
          <w:sz w:val="24"/>
        </w:rPr>
        <w:t>下交易日不连贯可能带来的风险（在内地开市香港休市的情形下，港股</w:t>
      </w:r>
      <w:proofErr w:type="gramStart"/>
      <w:r>
        <w:rPr>
          <w:rFonts w:ascii="Times New Roman" w:hAnsi="Times New Roman" w:hint="eastAsia"/>
          <w:kern w:val="0"/>
          <w:sz w:val="24"/>
        </w:rPr>
        <w:t>通不能</w:t>
      </w:r>
      <w:proofErr w:type="gramEnd"/>
      <w:r>
        <w:rPr>
          <w:rFonts w:ascii="Times New Roman" w:hAnsi="Times New Roman" w:hint="eastAsia"/>
          <w:kern w:val="0"/>
          <w:sz w:val="24"/>
        </w:rPr>
        <w:t>正常交易，港股不能及时卖出，可能带来一定的流动性风险）等。具体风险请查阅本基金招募说明书“风险揭示”章节的具体内容。</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rFonts w:ascii="Times New Roman" w:hAnsi="Times New Roman"/>
          <w:kern w:val="0"/>
          <w:sz w:val="24"/>
        </w:rPr>
        <w:t>基差风险</w:t>
      </w:r>
      <w:proofErr w:type="gramEnd"/>
      <w:r>
        <w:rPr>
          <w:rFonts w:ascii="Times New Roman" w:hAnsi="Times New Roman"/>
          <w:kern w:val="0"/>
          <w:sz w:val="24"/>
        </w:rPr>
        <w:t>、保证金风险、信用风险和操作风险，以及不适当的估值使基金资产面临损失的风险等。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kern w:val="0"/>
          <w:sz w:val="24"/>
        </w:rPr>
        <w:t>请基金</w:t>
      </w:r>
      <w:proofErr w:type="gramEnd"/>
      <w:r>
        <w:rPr>
          <w:rFonts w:ascii="Times New Roman" w:hAnsi="Times New Roman"/>
          <w:kern w:val="0"/>
          <w:sz w:val="24"/>
        </w:rPr>
        <w:t>份额持有人关注包括投资资产支持证券可能导致的基金净值波动在内的各项风险。</w:t>
      </w:r>
    </w:p>
    <w:p w:rsidR="009A4701" w:rsidRDefault="00677B65">
      <w:pPr>
        <w:widowControl/>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Pr>
          <w:rFonts w:ascii="Times New Roman" w:hAnsi="Times New Roman" w:hint="eastAsia"/>
          <w:sz w:val="24"/>
        </w:rPr>
        <w:t>券</w:t>
      </w:r>
      <w:proofErr w:type="gramEnd"/>
      <w:r>
        <w:rPr>
          <w:rFonts w:ascii="Times New Roman" w:hAnsi="Times New Roman" w:hint="eastAsia"/>
          <w:sz w:val="24"/>
        </w:rPr>
        <w:t>和个股的流动性风险等。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9A4701" w:rsidRDefault="00677B65">
      <w:pPr>
        <w:widowControl/>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本基金可投资</w:t>
      </w:r>
      <w:proofErr w:type="gramStart"/>
      <w:r>
        <w:rPr>
          <w:rFonts w:ascii="Times New Roman" w:hAnsi="Times New Roman" w:hint="eastAsia"/>
          <w:bCs/>
          <w:sz w:val="24"/>
        </w:rPr>
        <w:t>科创板</w:t>
      </w:r>
      <w:proofErr w:type="gramEnd"/>
      <w:r>
        <w:rPr>
          <w:rFonts w:ascii="Times New Roman" w:hAnsi="Times New Roman" w:hint="eastAsia"/>
          <w:bCs/>
          <w:sz w:val="24"/>
        </w:rPr>
        <w:t>股票，会</w:t>
      </w:r>
      <w:proofErr w:type="gramStart"/>
      <w:r>
        <w:rPr>
          <w:rFonts w:ascii="Times New Roman" w:hAnsi="Times New Roman" w:hint="eastAsia"/>
          <w:bCs/>
          <w:sz w:val="24"/>
        </w:rPr>
        <w:t>面临科创板机制</w:t>
      </w:r>
      <w:proofErr w:type="gramEnd"/>
      <w:r>
        <w:rPr>
          <w:rFonts w:ascii="Times New Roman" w:hAnsi="Times New Roman" w:hint="eastAsia"/>
          <w:bCs/>
          <w:sz w:val="24"/>
        </w:rPr>
        <w:t>下因投资标的、市场制度以及交易规则等差异带来的特有风险，包括但不限于市场风险、流动性风险、退市风险、系统性风险、政策风险等。具体风险请查阅本基金招募说明书“风险揭示”章节的具体内容。</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bCs/>
          <w:sz w:val="24"/>
        </w:rPr>
        <w:lastRenderedPageBreak/>
        <w:t>本基金可根据投资策略需要或市场环境的变化，选择将部分基金资产投资于</w:t>
      </w:r>
      <w:proofErr w:type="gramStart"/>
      <w:r>
        <w:rPr>
          <w:rFonts w:ascii="Times New Roman" w:hAnsi="Times New Roman" w:hint="eastAsia"/>
          <w:bCs/>
          <w:sz w:val="24"/>
        </w:rPr>
        <w:t>科创板股票</w:t>
      </w:r>
      <w:proofErr w:type="gramEnd"/>
      <w:r>
        <w:rPr>
          <w:rFonts w:ascii="Times New Roman" w:hAnsi="Times New Roman" w:hint="eastAsia"/>
          <w:bCs/>
          <w:sz w:val="24"/>
        </w:rPr>
        <w:t>或选择不将基金资产投资于</w:t>
      </w:r>
      <w:proofErr w:type="gramStart"/>
      <w:r>
        <w:rPr>
          <w:rFonts w:ascii="Times New Roman" w:hAnsi="Times New Roman" w:hint="eastAsia"/>
          <w:bCs/>
          <w:sz w:val="24"/>
        </w:rPr>
        <w:t>科创板</w:t>
      </w:r>
      <w:proofErr w:type="gramEnd"/>
      <w:r>
        <w:rPr>
          <w:rFonts w:ascii="Times New Roman" w:hAnsi="Times New Roman" w:hint="eastAsia"/>
          <w:bCs/>
          <w:sz w:val="24"/>
        </w:rPr>
        <w:t>股票，基金资产并非必然投资于</w:t>
      </w:r>
      <w:proofErr w:type="gramStart"/>
      <w:r>
        <w:rPr>
          <w:rFonts w:ascii="Times New Roman" w:hAnsi="Times New Roman" w:hint="eastAsia"/>
          <w:bCs/>
          <w:sz w:val="24"/>
        </w:rPr>
        <w:t>科创板</w:t>
      </w:r>
      <w:proofErr w:type="gramEnd"/>
      <w:r>
        <w:rPr>
          <w:rFonts w:ascii="Times New Roman" w:hAnsi="Times New Roman" w:hint="eastAsia"/>
          <w:bCs/>
          <w:sz w:val="24"/>
        </w:rPr>
        <w:t>股票。</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bCs/>
          <w:kern w:val="0"/>
          <w:sz w:val="24"/>
        </w:rPr>
      </w:pPr>
      <w:r>
        <w:rPr>
          <w:rFonts w:ascii="Times New Roman" w:hAnsi="Times New Roman" w:hint="eastAsia"/>
          <w:bCs/>
          <w:kern w:val="0"/>
          <w:sz w:val="24"/>
        </w:rPr>
        <w:t>本基金可参与融资业务，面临的风险包括但不限于市场风险、流动性风险、信用风险等。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bCs/>
          <w:kern w:val="0"/>
          <w:sz w:val="24"/>
        </w:rPr>
      </w:pPr>
      <w:r>
        <w:rPr>
          <w:rFonts w:ascii="Times New Roman" w:hAnsi="Times New Roman" w:hint="eastAsia"/>
          <w:bCs/>
          <w:kern w:val="0"/>
          <w:sz w:val="24"/>
        </w:rPr>
        <w:t>本基金可参与转融通证券出借业务，面临的风险包括但不限于流动性风险、信用风险、市场风险、其他风险等。</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hint="eastAsia"/>
          <w:bCs/>
          <w:kern w:val="0"/>
          <w:sz w:val="24"/>
        </w:rPr>
        <w:t>基金合同提前终止风险。</w:t>
      </w:r>
      <w:r>
        <w:rPr>
          <w:rFonts w:ascii="Times New Roman" w:hAnsi="Times New Roman"/>
          <w:bCs/>
          <w:kern w:val="0"/>
          <w:sz w:val="24"/>
        </w:rPr>
        <w:t>《基金合同》生效后，</w:t>
      </w:r>
      <w:r>
        <w:rPr>
          <w:rFonts w:ascii="Times New Roman" w:hAnsi="Times New Roman"/>
          <w:kern w:val="0"/>
          <w:sz w:val="24"/>
        </w:rPr>
        <w:t>连续</w:t>
      </w:r>
      <w:r>
        <w:rPr>
          <w:rFonts w:ascii="Times New Roman" w:hAnsi="Times New Roman" w:hint="eastAsia"/>
          <w:kern w:val="0"/>
          <w:sz w:val="24"/>
        </w:rPr>
        <w:t>5</w:t>
      </w:r>
      <w:r>
        <w:rPr>
          <w:rFonts w:ascii="Times New Roman" w:hAnsi="Times New Roman"/>
          <w:kern w:val="0"/>
          <w:sz w:val="24"/>
        </w:rPr>
        <w:t>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w:t>
      </w:r>
      <w:r>
        <w:rPr>
          <w:rFonts w:ascii="Times New Roman" w:hAnsi="Times New Roman" w:hint="eastAsia"/>
          <w:kern w:val="0"/>
          <w:sz w:val="24"/>
        </w:rPr>
        <w:t>的</w:t>
      </w:r>
      <w:r>
        <w:rPr>
          <w:rFonts w:ascii="Times New Roman" w:hAnsi="Times New Roman"/>
          <w:kern w:val="0"/>
          <w:sz w:val="24"/>
        </w:rPr>
        <w:t>，</w:t>
      </w:r>
      <w:r>
        <w:rPr>
          <w:rFonts w:ascii="Times New Roman" w:hAnsi="Times New Roman" w:hint="eastAsia"/>
          <w:sz w:val="24"/>
        </w:rPr>
        <w:t>基金合同终止，不需召开基金份额持有人大会。因此，</w:t>
      </w:r>
      <w:r>
        <w:rPr>
          <w:rFonts w:ascii="Times New Roman" w:hAnsi="Times New Roman" w:hint="eastAsia"/>
          <w:kern w:val="0"/>
          <w:sz w:val="24"/>
        </w:rPr>
        <w:t>投资者可能面临基金合同提前终止的风险。</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w:t>
      </w:r>
      <w:proofErr w:type="gramStart"/>
      <w:r>
        <w:rPr>
          <w:rFonts w:ascii="Times New Roman" w:hAnsi="Times New Roman"/>
          <w:kern w:val="0"/>
          <w:sz w:val="24"/>
        </w:rPr>
        <w:t>作出</w:t>
      </w:r>
      <w:proofErr w:type="gramEnd"/>
      <w:r>
        <w:rPr>
          <w:rFonts w:ascii="Times New Roman" w:hAnsi="Times New Roman"/>
          <w:kern w:val="0"/>
          <w:sz w:val="24"/>
        </w:rPr>
        <w:t>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rsidR="009A4701" w:rsidRDefault="00677B65">
      <w:pPr>
        <w:autoSpaceDE w:val="0"/>
        <w:autoSpaceDN w:val="0"/>
        <w:adjustRightInd w:val="0"/>
        <w:snapToGrid w:val="0"/>
        <w:spacing w:line="360" w:lineRule="auto"/>
        <w:ind w:leftChars="50" w:left="105" w:firstLineChars="200" w:firstLine="480"/>
        <w:rPr>
          <w:rFonts w:ascii="Times New Roman" w:hAnsi="Times New Roman"/>
          <w:kern w:val="0"/>
          <w:szCs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rsidR="009A4701" w:rsidRDefault="00677B65">
      <w:pPr>
        <w:autoSpaceDE w:val="0"/>
        <w:autoSpaceDN w:val="0"/>
        <w:adjustRightInd w:val="0"/>
        <w:snapToGrid w:val="0"/>
        <w:spacing w:before="51" w:line="360" w:lineRule="auto"/>
        <w:ind w:left="120" w:rightChars="6" w:right="13" w:firstLine="480"/>
        <w:rPr>
          <w:rFonts w:ascii="Times New Roman" w:hAnsi="Times New Roman"/>
          <w:kern w:val="0"/>
          <w:szCs w:val="24"/>
        </w:rPr>
        <w:sectPr w:rsidR="009A4701">
          <w:headerReference w:type="default" r:id="rId14"/>
          <w:pgSz w:w="11920" w:h="16840"/>
          <w:pgMar w:top="1440" w:right="1680" w:bottom="280" w:left="1680" w:header="0" w:footer="1073" w:gutter="0"/>
          <w:pgNumType w:start="1"/>
          <w:cols w:space="720"/>
        </w:sectPr>
      </w:pPr>
      <w:r>
        <w:rPr>
          <w:rFonts w:ascii="Times New Roman" w:hAnsi="Times New Roman" w:hint="eastAsia"/>
          <w:kern w:val="0"/>
          <w:sz w:val="24"/>
        </w:rPr>
        <w:t>当本基金持有特定资产且存在或潜在大额赎回申请时，基金管理人履行相应程序后，可以</w:t>
      </w:r>
      <w:proofErr w:type="gramStart"/>
      <w:r>
        <w:rPr>
          <w:rFonts w:ascii="Times New Roman" w:hAnsi="Times New Roman" w:hint="eastAsia"/>
          <w:kern w:val="0"/>
          <w:sz w:val="24"/>
        </w:rPr>
        <w:t>启动侧袋机制</w:t>
      </w:r>
      <w:proofErr w:type="gramEnd"/>
      <w:r>
        <w:rPr>
          <w:rFonts w:ascii="Times New Roman" w:hAnsi="Times New Roman" w:hint="eastAsia"/>
          <w:kern w:val="0"/>
          <w:sz w:val="24"/>
        </w:rPr>
        <w:t>，具体详见基金合同和招募说明书的有关章节。</w:t>
      </w:r>
      <w:proofErr w:type="gramStart"/>
      <w:r>
        <w:rPr>
          <w:rFonts w:ascii="Times New Roman" w:hAnsi="Times New Roman" w:hint="eastAsia"/>
          <w:kern w:val="0"/>
          <w:sz w:val="24"/>
        </w:rPr>
        <w:t>侧袋机制</w:t>
      </w:r>
      <w:proofErr w:type="gramEnd"/>
      <w:r>
        <w:rPr>
          <w:rFonts w:ascii="Times New Roman" w:hAnsi="Times New Roman" w:hint="eastAsia"/>
          <w:kern w:val="0"/>
          <w:sz w:val="24"/>
        </w:rPr>
        <w:t>实施期间，基金管理人将对基金简称进行特殊标识，并不</w:t>
      </w:r>
      <w:proofErr w:type="gramStart"/>
      <w:r>
        <w:rPr>
          <w:rFonts w:ascii="Times New Roman" w:hAnsi="Times New Roman" w:hint="eastAsia"/>
          <w:kern w:val="0"/>
          <w:sz w:val="24"/>
        </w:rPr>
        <w:t>办理侧袋账户</w:t>
      </w:r>
      <w:proofErr w:type="gramEnd"/>
      <w:r>
        <w:rPr>
          <w:rFonts w:ascii="Times New Roman" w:hAnsi="Times New Roman" w:hint="eastAsia"/>
          <w:kern w:val="0"/>
          <w:sz w:val="24"/>
        </w:rPr>
        <w:t>的申购赎回。</w:t>
      </w:r>
      <w:proofErr w:type="gramStart"/>
      <w:r>
        <w:rPr>
          <w:rFonts w:ascii="Times New Roman" w:hAnsi="Times New Roman" w:hint="eastAsia"/>
          <w:kern w:val="0"/>
          <w:sz w:val="24"/>
        </w:rPr>
        <w:t>请基金</w:t>
      </w:r>
      <w:proofErr w:type="gramEnd"/>
      <w:r>
        <w:rPr>
          <w:rFonts w:ascii="Times New Roman" w:hAnsi="Times New Roman" w:hint="eastAsia"/>
          <w:kern w:val="0"/>
          <w:sz w:val="24"/>
        </w:rPr>
        <w:t>份额持有人仔细阅读相关内容并关注本基金启用</w:t>
      </w:r>
      <w:proofErr w:type="gramStart"/>
      <w:r>
        <w:rPr>
          <w:rFonts w:ascii="Times New Roman" w:hAnsi="Times New Roman" w:hint="eastAsia"/>
          <w:kern w:val="0"/>
          <w:sz w:val="24"/>
        </w:rPr>
        <w:t>侧袋机制</w:t>
      </w:r>
      <w:proofErr w:type="gramEnd"/>
      <w:r>
        <w:rPr>
          <w:rFonts w:ascii="Times New Roman" w:hAnsi="Times New Roman" w:hint="eastAsia"/>
          <w:kern w:val="0"/>
          <w:sz w:val="24"/>
        </w:rPr>
        <w:t>时的特定风险。</w:t>
      </w:r>
    </w:p>
    <w:p w:rsidR="009A4701" w:rsidRDefault="00677B65">
      <w:pPr>
        <w:keepNext/>
        <w:keepLines/>
        <w:widowControl/>
        <w:snapToGrid w:val="0"/>
        <w:spacing w:before="480" w:afterLines="100" w:after="240" w:line="360" w:lineRule="auto"/>
        <w:jc w:val="center"/>
        <w:rPr>
          <w:rFonts w:ascii="Times New Roman" w:hAnsi="Times New Roman"/>
          <w:b/>
          <w:bCs/>
          <w:color w:val="000000"/>
          <w:kern w:val="0"/>
          <w:position w:val="-4"/>
          <w:sz w:val="24"/>
          <w:szCs w:val="30"/>
        </w:rPr>
      </w:pPr>
      <w:r>
        <w:rPr>
          <w:rFonts w:ascii="Times New Roman" w:hAnsi="Times New Roman"/>
          <w:b/>
          <w:bCs/>
          <w:color w:val="000000"/>
          <w:kern w:val="0"/>
          <w:position w:val="-4"/>
          <w:sz w:val="24"/>
          <w:szCs w:val="30"/>
        </w:rPr>
        <w:lastRenderedPageBreak/>
        <w:t>目</w:t>
      </w:r>
      <w:r>
        <w:rPr>
          <w:rFonts w:ascii="Times New Roman" w:hAnsi="Times New Roman"/>
          <w:b/>
          <w:bCs/>
          <w:color w:val="000000"/>
          <w:kern w:val="0"/>
          <w:position w:val="-4"/>
          <w:sz w:val="24"/>
          <w:szCs w:val="30"/>
        </w:rPr>
        <w:tab/>
      </w:r>
      <w:r>
        <w:rPr>
          <w:rFonts w:ascii="Times New Roman" w:hAnsi="Times New Roman"/>
          <w:b/>
          <w:bCs/>
          <w:color w:val="000000"/>
          <w:kern w:val="0"/>
          <w:position w:val="-4"/>
          <w:sz w:val="24"/>
          <w:szCs w:val="30"/>
        </w:rPr>
        <w:t>录</w:t>
      </w:r>
    </w:p>
    <w:p w:rsidR="009A4701" w:rsidRDefault="00677B65">
      <w:pPr>
        <w:pStyle w:val="11"/>
        <w:tabs>
          <w:tab w:val="right" w:leader="dot" w:pos="8550"/>
        </w:tabs>
        <w:spacing w:line="360" w:lineRule="auto"/>
        <w:rPr>
          <w:rStyle w:val="af3"/>
          <w:rFonts w:ascii="Times New Roman" w:hAnsi="Times New Roman"/>
          <w:noProof/>
          <w:sz w:val="24"/>
        </w:rPr>
      </w:pPr>
      <w:r>
        <w:rPr>
          <w:rStyle w:val="af3"/>
          <w:rFonts w:ascii="Times New Roman" w:hAnsi="Times New Roman"/>
          <w:sz w:val="24"/>
        </w:rPr>
        <w:fldChar w:fldCharType="begin"/>
      </w:r>
      <w:r>
        <w:rPr>
          <w:rStyle w:val="af3"/>
          <w:rFonts w:ascii="Times New Roman" w:hAnsi="Times New Roman"/>
          <w:sz w:val="24"/>
        </w:rPr>
        <w:instrText xml:space="preserve"> TOC \o "1-3" \f - \h \t "-1" </w:instrText>
      </w:r>
      <w:r>
        <w:rPr>
          <w:rStyle w:val="af3"/>
          <w:rFonts w:ascii="Times New Roman" w:hAnsi="Times New Roman"/>
          <w:sz w:val="24"/>
        </w:rPr>
        <w:fldChar w:fldCharType="separate"/>
      </w:r>
      <w:hyperlink w:anchor="_Toc147840618" w:history="1">
        <w:r>
          <w:rPr>
            <w:rStyle w:val="af3"/>
            <w:rFonts w:ascii="Times New Roman" w:hAnsi="Times New Roman"/>
            <w:noProof/>
            <w:sz w:val="24"/>
          </w:rPr>
          <w:t>重要提示</w:t>
        </w:r>
        <w:r>
          <w:rPr>
            <w:rStyle w:val="af3"/>
            <w:rFonts w:ascii="Times New Roman" w:hAnsi="Times New Roman"/>
            <w:noProof/>
            <w:sz w:val="24"/>
          </w:rPr>
          <w:tab/>
        </w:r>
        <w:r>
          <w:rPr>
            <w:rStyle w:val="af3"/>
            <w:rFonts w:ascii="Times New Roman" w:hAnsi="Times New Roman"/>
            <w:noProof/>
            <w:sz w:val="24"/>
          </w:rPr>
          <w:fldChar w:fldCharType="begin"/>
        </w:r>
        <w:r>
          <w:rPr>
            <w:rStyle w:val="af3"/>
            <w:rFonts w:ascii="Times New Roman" w:hAnsi="Times New Roman"/>
            <w:noProof/>
            <w:sz w:val="24"/>
          </w:rPr>
          <w:instrText xml:space="preserve"> PAGEREF _Toc147840618 \h </w:instrText>
        </w:r>
        <w:r>
          <w:rPr>
            <w:rStyle w:val="af3"/>
            <w:rFonts w:ascii="Times New Roman" w:hAnsi="Times New Roman"/>
            <w:noProof/>
            <w:sz w:val="24"/>
          </w:rPr>
        </w:r>
        <w:r>
          <w:rPr>
            <w:rStyle w:val="af3"/>
            <w:rFonts w:ascii="Times New Roman" w:hAnsi="Times New Roman"/>
            <w:noProof/>
            <w:sz w:val="24"/>
          </w:rPr>
          <w:fldChar w:fldCharType="separate"/>
        </w:r>
        <w:r w:rsidR="0072584D">
          <w:rPr>
            <w:rStyle w:val="af3"/>
            <w:rFonts w:ascii="Times New Roman" w:hAnsi="Times New Roman"/>
            <w:noProof/>
            <w:sz w:val="24"/>
          </w:rPr>
          <w:t>1</w:t>
        </w:r>
        <w:r>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19" w:history="1">
        <w:r w:rsidR="00677B65">
          <w:rPr>
            <w:rStyle w:val="af3"/>
            <w:rFonts w:ascii="Times New Roman" w:hAnsi="Times New Roman"/>
            <w:noProof/>
            <w:sz w:val="24"/>
          </w:rPr>
          <w:t>一、绪言</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_Toc147840619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6</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0" w:history="1">
        <w:r w:rsidR="00677B65">
          <w:rPr>
            <w:rStyle w:val="af3"/>
            <w:rFonts w:ascii="Times New Roman" w:hAnsi="Times New Roman"/>
            <w:noProof/>
            <w:sz w:val="24"/>
          </w:rPr>
          <w:t>二、释义</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_Toc147840620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7</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1" w:history="1">
        <w:r w:rsidR="00677B65">
          <w:rPr>
            <w:rStyle w:val="af3"/>
            <w:rFonts w:ascii="Times New Roman" w:hAnsi="Times New Roman"/>
            <w:noProof/>
            <w:sz w:val="24"/>
          </w:rPr>
          <w:t>三、基金管</w:t>
        </w:r>
        <w:r w:rsidR="00677B65">
          <w:rPr>
            <w:rStyle w:val="af3"/>
            <w:rFonts w:ascii="Times New Roman" w:hAnsi="Times New Roman"/>
            <w:noProof/>
            <w:sz w:val="24"/>
          </w:rPr>
          <w:t>理</w:t>
        </w:r>
        <w:r w:rsidR="00677B65">
          <w:rPr>
            <w:rStyle w:val="af3"/>
            <w:rFonts w:ascii="Times New Roman" w:hAnsi="Times New Roman"/>
            <w:noProof/>
            <w:sz w:val="24"/>
          </w:rPr>
          <w:t>人</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_Toc147840621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12</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2" w:history="1">
        <w:r w:rsidR="00677B65">
          <w:rPr>
            <w:rStyle w:val="af3"/>
            <w:rFonts w:ascii="Times New Roman" w:hAnsi="Times New Roman"/>
            <w:noProof/>
            <w:sz w:val="24"/>
          </w:rPr>
          <w:t>四、基金托管人</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_Toc147840622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20</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3" w:history="1">
        <w:r w:rsidR="00677B65">
          <w:rPr>
            <w:rStyle w:val="af3"/>
            <w:rFonts w:ascii="Times New Roman" w:hAnsi="Times New Roman"/>
            <w:noProof/>
            <w:sz w:val="24"/>
          </w:rPr>
          <w:t>五、相关服务机构</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_Toc147840623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23</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4" w:history="1">
        <w:r w:rsidR="00677B65">
          <w:rPr>
            <w:rStyle w:val="af3"/>
            <w:rFonts w:ascii="Times New Roman" w:hAnsi="Times New Roman"/>
            <w:noProof/>
            <w:sz w:val="24"/>
          </w:rPr>
          <w:t>六、基金的募集</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_Toc147840624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26</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5" w:history="1">
        <w:r w:rsidR="00677B65">
          <w:rPr>
            <w:rStyle w:val="af3"/>
            <w:rFonts w:ascii="Times New Roman" w:hAnsi="Times New Roman"/>
            <w:noProof/>
            <w:sz w:val="24"/>
          </w:rPr>
          <w:t>七、基金合同的生效</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_Toc147840625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32</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6" w:history="1">
        <w:r w:rsidR="00677B65">
          <w:rPr>
            <w:rStyle w:val="af3"/>
            <w:rFonts w:ascii="Times New Roman" w:hAnsi="Times New Roman"/>
            <w:noProof/>
            <w:sz w:val="24"/>
          </w:rPr>
          <w:t>八、基金份额的申购与赎回</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_Toc147840626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33</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7" w:history="1">
        <w:r w:rsidR="00677B65">
          <w:rPr>
            <w:rStyle w:val="af3"/>
            <w:rFonts w:ascii="Times New Roman" w:hAnsi="Times New Roman"/>
            <w:noProof/>
            <w:sz w:val="24"/>
          </w:rPr>
          <w:t>九、基金的投资</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_Toc147840627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47</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8" w:history="1">
        <w:r w:rsidR="00677B65">
          <w:rPr>
            <w:rStyle w:val="af3"/>
            <w:rFonts w:ascii="Times New Roman" w:hAnsi="Times New Roman"/>
            <w:noProof/>
            <w:sz w:val="24"/>
          </w:rPr>
          <w:t>十、基金的财产</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_Toc147840628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54</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29" w:history="1">
        <w:r w:rsidR="00677B65">
          <w:rPr>
            <w:rStyle w:val="af3"/>
            <w:rFonts w:ascii="Times New Roman" w:hAnsi="Times New Roman"/>
            <w:noProof/>
            <w:sz w:val="24"/>
          </w:rPr>
          <w:t>十一、基金资产的估值</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_Toc147840629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55</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0" w:history="1">
        <w:r w:rsidR="00677B65">
          <w:rPr>
            <w:rStyle w:val="af3"/>
            <w:rFonts w:ascii="Times New Roman" w:hAnsi="Times New Roman"/>
            <w:noProof/>
            <w:sz w:val="24"/>
          </w:rPr>
          <w:t>十二、基金收益与分配</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_Toc147840630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61</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1" w:history="1">
        <w:r w:rsidR="00677B65">
          <w:rPr>
            <w:rStyle w:val="af3"/>
            <w:rFonts w:ascii="Times New Roman" w:hAnsi="Times New Roman"/>
            <w:noProof/>
            <w:sz w:val="24"/>
          </w:rPr>
          <w:t>十三、基金的费用与税收</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_Toc147840631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63</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2" w:history="1">
        <w:r w:rsidR="00677B65">
          <w:rPr>
            <w:rStyle w:val="af3"/>
            <w:rFonts w:ascii="Times New Roman" w:hAnsi="Times New Roman"/>
            <w:noProof/>
            <w:sz w:val="24"/>
          </w:rPr>
          <w:t>十四、基金的会计与审计</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_Toc147840632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66</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3" w:history="1">
        <w:r w:rsidR="00677B65">
          <w:rPr>
            <w:rStyle w:val="af3"/>
            <w:rFonts w:ascii="Times New Roman" w:hAnsi="Times New Roman"/>
            <w:noProof/>
            <w:sz w:val="24"/>
          </w:rPr>
          <w:t>十五、基金的信息披露</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_Toc147840633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67</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4" w:history="1">
        <w:r w:rsidR="00677B65">
          <w:rPr>
            <w:rStyle w:val="af3"/>
            <w:rFonts w:ascii="Times New Roman" w:hAnsi="Times New Roman"/>
            <w:noProof/>
            <w:sz w:val="24"/>
          </w:rPr>
          <w:t>十六、侧袋机制</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_Toc147840634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74</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5" w:history="1">
        <w:r w:rsidR="00677B65">
          <w:rPr>
            <w:rStyle w:val="af3"/>
            <w:rFonts w:ascii="Times New Roman" w:hAnsi="Times New Roman"/>
            <w:noProof/>
            <w:sz w:val="24"/>
          </w:rPr>
          <w:t>十七、风险揭示</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_Toc147840635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76</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6" w:history="1">
        <w:r w:rsidR="00677B65">
          <w:rPr>
            <w:rStyle w:val="af3"/>
            <w:rFonts w:ascii="Times New Roman" w:hAnsi="Times New Roman"/>
            <w:noProof/>
            <w:sz w:val="24"/>
          </w:rPr>
          <w:t>十八、基金合同的变更、终止与基金财产的清算</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_Toc147840636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90</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7" w:history="1">
        <w:r w:rsidR="00677B65">
          <w:rPr>
            <w:rStyle w:val="af3"/>
            <w:rFonts w:ascii="Times New Roman" w:hAnsi="Times New Roman"/>
            <w:noProof/>
            <w:sz w:val="24"/>
          </w:rPr>
          <w:t>十九、基金合同内容摘要</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_Toc147840637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92</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8" w:history="1">
        <w:r w:rsidR="00677B65">
          <w:rPr>
            <w:rStyle w:val="af3"/>
            <w:rFonts w:ascii="Times New Roman" w:hAnsi="Times New Roman"/>
            <w:noProof/>
            <w:sz w:val="24"/>
          </w:rPr>
          <w:t>二十、托管协议的内容摘要</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_Toc147840638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109</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39" w:history="1">
        <w:r w:rsidR="00677B65">
          <w:rPr>
            <w:rStyle w:val="af3"/>
            <w:rFonts w:ascii="Times New Roman" w:hAnsi="Times New Roman"/>
            <w:noProof/>
            <w:sz w:val="24"/>
          </w:rPr>
          <w:t>二十一、对基金份额持有人的服务</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_Toc147840639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125</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40" w:history="1">
        <w:r w:rsidR="00677B65">
          <w:rPr>
            <w:rStyle w:val="af3"/>
            <w:rFonts w:ascii="Times New Roman" w:hAnsi="Times New Roman"/>
            <w:noProof/>
            <w:sz w:val="24"/>
          </w:rPr>
          <w:t>二十二、其他应披露事项</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_Toc147840640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127</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41" w:history="1">
        <w:r w:rsidR="00677B65">
          <w:rPr>
            <w:rStyle w:val="af3"/>
            <w:rFonts w:ascii="Times New Roman" w:hAnsi="Times New Roman"/>
            <w:noProof/>
            <w:sz w:val="24"/>
          </w:rPr>
          <w:t>二十三、招募说明书的存放及查阅方式</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_Toc147840641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128</w:t>
        </w:r>
        <w:r w:rsidR="00677B65">
          <w:rPr>
            <w:rStyle w:val="af3"/>
            <w:rFonts w:ascii="Times New Roman" w:hAnsi="Times New Roman"/>
            <w:noProof/>
            <w:sz w:val="24"/>
          </w:rPr>
          <w:fldChar w:fldCharType="end"/>
        </w:r>
      </w:hyperlink>
    </w:p>
    <w:p w:rsidR="009A4701" w:rsidRDefault="002023E5">
      <w:pPr>
        <w:pStyle w:val="11"/>
        <w:tabs>
          <w:tab w:val="right" w:leader="dot" w:pos="8550"/>
        </w:tabs>
        <w:spacing w:line="360" w:lineRule="auto"/>
        <w:rPr>
          <w:rStyle w:val="af3"/>
          <w:rFonts w:ascii="Times New Roman" w:hAnsi="Times New Roman"/>
          <w:noProof/>
          <w:sz w:val="24"/>
        </w:rPr>
      </w:pPr>
      <w:hyperlink w:anchor="_Toc147840642" w:history="1">
        <w:r w:rsidR="00677B65">
          <w:rPr>
            <w:rStyle w:val="af3"/>
            <w:rFonts w:ascii="Times New Roman" w:hAnsi="Times New Roman"/>
            <w:noProof/>
            <w:sz w:val="24"/>
          </w:rPr>
          <w:t>二十四、备查文件</w:t>
        </w:r>
        <w:r w:rsidR="00677B65">
          <w:rPr>
            <w:rStyle w:val="af3"/>
            <w:rFonts w:ascii="Times New Roman" w:hAnsi="Times New Roman"/>
            <w:noProof/>
            <w:sz w:val="24"/>
          </w:rPr>
          <w:tab/>
        </w:r>
        <w:r w:rsidR="00677B65">
          <w:rPr>
            <w:rStyle w:val="af3"/>
            <w:rFonts w:ascii="Times New Roman" w:hAnsi="Times New Roman"/>
            <w:noProof/>
            <w:sz w:val="24"/>
          </w:rPr>
          <w:fldChar w:fldCharType="begin"/>
        </w:r>
        <w:r w:rsidR="00677B65">
          <w:rPr>
            <w:rStyle w:val="af3"/>
            <w:rFonts w:ascii="Times New Roman" w:hAnsi="Times New Roman"/>
            <w:noProof/>
            <w:sz w:val="24"/>
          </w:rPr>
          <w:instrText xml:space="preserve"> PAGEREF _Toc147840642 \h </w:instrText>
        </w:r>
        <w:r w:rsidR="00677B65">
          <w:rPr>
            <w:rStyle w:val="af3"/>
            <w:rFonts w:ascii="Times New Roman" w:hAnsi="Times New Roman"/>
            <w:noProof/>
            <w:sz w:val="24"/>
          </w:rPr>
        </w:r>
        <w:r w:rsidR="00677B65">
          <w:rPr>
            <w:rStyle w:val="af3"/>
            <w:rFonts w:ascii="Times New Roman" w:hAnsi="Times New Roman"/>
            <w:noProof/>
            <w:sz w:val="24"/>
          </w:rPr>
          <w:fldChar w:fldCharType="separate"/>
        </w:r>
        <w:r w:rsidR="0072584D">
          <w:rPr>
            <w:rStyle w:val="af3"/>
            <w:rFonts w:ascii="Times New Roman" w:hAnsi="Times New Roman"/>
            <w:noProof/>
            <w:sz w:val="24"/>
          </w:rPr>
          <w:t>129</w:t>
        </w:r>
        <w:r w:rsidR="00677B65">
          <w:rPr>
            <w:rStyle w:val="af3"/>
            <w:rFonts w:ascii="Times New Roman" w:hAnsi="Times New Roman"/>
            <w:noProof/>
            <w:sz w:val="24"/>
          </w:rPr>
          <w:fldChar w:fldCharType="end"/>
        </w:r>
      </w:hyperlink>
    </w:p>
    <w:p w:rsidR="009A4701" w:rsidRDefault="00677B65">
      <w:pPr>
        <w:pStyle w:val="11"/>
        <w:tabs>
          <w:tab w:val="right" w:leader="dot" w:pos="8550"/>
        </w:tabs>
        <w:spacing w:line="360" w:lineRule="auto"/>
        <w:rPr>
          <w:rStyle w:val="af3"/>
          <w:rFonts w:ascii="Times New Roman" w:hAnsi="Times New Roman"/>
          <w:sz w:val="24"/>
        </w:rPr>
        <w:sectPr w:rsidR="009A4701">
          <w:headerReference w:type="default" r:id="rId15"/>
          <w:pgSz w:w="11920" w:h="16840"/>
          <w:pgMar w:top="1480" w:right="1680" w:bottom="280" w:left="1680" w:header="0" w:footer="1073" w:gutter="0"/>
          <w:cols w:space="720"/>
        </w:sectPr>
      </w:pPr>
      <w:r>
        <w:rPr>
          <w:rStyle w:val="af3"/>
          <w:rFonts w:ascii="Times New Roman" w:hAnsi="Times New Roman"/>
        </w:rPr>
        <w:fldChar w:fldCharType="end"/>
      </w:r>
    </w:p>
    <w:p w:rsidR="009A4701" w:rsidRDefault="00677B65">
      <w:pPr>
        <w:pStyle w:val="1"/>
        <w:snapToGrid w:val="0"/>
        <w:spacing w:beforeLines="0" w:before="240" w:after="240"/>
        <w:rPr>
          <w:rFonts w:ascii="Times New Roman" w:hAnsi="Times New Roman"/>
          <w:szCs w:val="30"/>
        </w:rPr>
      </w:pPr>
      <w:bookmarkStart w:id="3" w:name="_Toc147840619"/>
      <w:r>
        <w:rPr>
          <w:rFonts w:ascii="Times New Roman" w:hAnsi="Times New Roman"/>
          <w:sz w:val="30"/>
        </w:rPr>
        <w:lastRenderedPageBreak/>
        <w:t>一、绪言</w:t>
      </w:r>
      <w:bookmarkEnd w:id="3"/>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《交银施罗德中证港股通央企红利指数型证券投资基金招募说明书》（以下简称</w:t>
      </w:r>
      <w:r>
        <w:rPr>
          <w:rFonts w:ascii="Times New Roman" w:hAnsi="Times New Roman"/>
          <w:sz w:val="24"/>
        </w:rPr>
        <w:t>“</w:t>
      </w:r>
      <w:r>
        <w:rPr>
          <w:rFonts w:ascii="Times New Roman" w:hAnsi="Times New Roman"/>
          <w:sz w:val="24"/>
        </w:rPr>
        <w:t>本招募说明书</w:t>
      </w:r>
      <w:r>
        <w:rPr>
          <w:rFonts w:ascii="Times New Roman" w:hAnsi="Times New Roman"/>
          <w:sz w:val="24"/>
        </w:rPr>
        <w:t>”</w:t>
      </w:r>
      <w:r>
        <w:rPr>
          <w:rFonts w:ascii="Times New Roman" w:hAnsi="Times New Roman"/>
          <w:sz w:val="24"/>
        </w:rPr>
        <w:t>）依据《中华人民共和国证券投资基金法》（以下简称</w:t>
      </w:r>
      <w:r>
        <w:rPr>
          <w:rFonts w:ascii="Times New Roman" w:hAnsi="Times New Roman"/>
          <w:sz w:val="24"/>
        </w:rPr>
        <w:t>“</w:t>
      </w:r>
      <w:r>
        <w:rPr>
          <w:rFonts w:ascii="Times New Roman" w:hAnsi="Times New Roman"/>
          <w:sz w:val="24"/>
        </w:rPr>
        <w:t>《基金法》</w:t>
      </w:r>
      <w:r>
        <w:rPr>
          <w:rFonts w:ascii="Times New Roman" w:hAnsi="Times New Roman"/>
          <w:sz w:val="24"/>
        </w:rPr>
        <w:t>”</w:t>
      </w:r>
      <w:r>
        <w:rPr>
          <w:rFonts w:ascii="Times New Roman" w:hAnsi="Times New Roman"/>
          <w:sz w:val="24"/>
        </w:rPr>
        <w:t>）、《公开募集证券投资基金运作管理办法》（以下简称</w:t>
      </w:r>
      <w:r>
        <w:rPr>
          <w:rFonts w:ascii="Times New Roman" w:hAnsi="Times New Roman"/>
          <w:sz w:val="24"/>
        </w:rPr>
        <w:t>“</w:t>
      </w:r>
      <w:r>
        <w:rPr>
          <w:rFonts w:ascii="Times New Roman" w:hAnsi="Times New Roman"/>
          <w:sz w:val="24"/>
        </w:rPr>
        <w:t>《运作办法》</w:t>
      </w:r>
      <w:r>
        <w:rPr>
          <w:rFonts w:ascii="Times New Roman" w:hAnsi="Times New Roman"/>
          <w:sz w:val="24"/>
        </w:rPr>
        <w:t>”</w:t>
      </w:r>
      <w:r>
        <w:rPr>
          <w:rFonts w:ascii="Times New Roman" w:hAnsi="Times New Roman"/>
          <w:sz w:val="24"/>
        </w:rPr>
        <w:t>）、《</w:t>
      </w:r>
      <w:r>
        <w:rPr>
          <w:rFonts w:ascii="Times New Roman" w:hAnsi="Times New Roman"/>
          <w:kern w:val="0"/>
          <w:sz w:val="24"/>
        </w:rPr>
        <w:t>公开募集证券投资基金销售机构监督管理办法</w:t>
      </w:r>
      <w:r>
        <w:rPr>
          <w:rFonts w:ascii="Times New Roman" w:hAnsi="Times New Roman"/>
          <w:sz w:val="24"/>
        </w:rPr>
        <w:t>》（以下简称</w:t>
      </w:r>
      <w:r>
        <w:rPr>
          <w:rFonts w:ascii="Times New Roman" w:hAnsi="Times New Roman"/>
          <w:sz w:val="24"/>
        </w:rPr>
        <w:t>“</w:t>
      </w:r>
      <w:r>
        <w:rPr>
          <w:rFonts w:ascii="Times New Roman" w:hAnsi="Times New Roman"/>
          <w:sz w:val="24"/>
        </w:rPr>
        <w:t>《销售办法》</w:t>
      </w:r>
      <w:r>
        <w:rPr>
          <w:rFonts w:ascii="Times New Roman" w:hAnsi="Times New Roman"/>
          <w:sz w:val="24"/>
        </w:rPr>
        <w:t>”</w:t>
      </w:r>
      <w:r>
        <w:rPr>
          <w:rFonts w:ascii="Times New Roman" w:hAnsi="Times New Roman"/>
          <w:sz w:val="24"/>
        </w:rPr>
        <w:t>）、《公开募集证券投资基金信息披露管理办法》（以下简称</w:t>
      </w:r>
      <w:r>
        <w:rPr>
          <w:rFonts w:ascii="Times New Roman" w:hAnsi="Times New Roman"/>
          <w:sz w:val="24"/>
        </w:rPr>
        <w:t>“</w:t>
      </w:r>
      <w:r>
        <w:rPr>
          <w:rFonts w:ascii="Times New Roman" w:hAnsi="Times New Roman"/>
          <w:sz w:val="24"/>
        </w:rPr>
        <w:t>《信息披露办法》</w:t>
      </w:r>
      <w:r>
        <w:rPr>
          <w:rFonts w:ascii="Times New Roman" w:hAnsi="Times New Roman"/>
          <w:sz w:val="24"/>
        </w:rPr>
        <w:t>”</w:t>
      </w:r>
      <w:r>
        <w:rPr>
          <w:rFonts w:ascii="Times New Roman" w:hAnsi="Times New Roman"/>
          <w:sz w:val="24"/>
        </w:rPr>
        <w:t>）、《公开募集开放式证券投资基金流动性风险管理规定》（以下简称</w:t>
      </w:r>
      <w:r>
        <w:rPr>
          <w:rFonts w:ascii="Times New Roman" w:hAnsi="Times New Roman"/>
          <w:sz w:val="24"/>
        </w:rPr>
        <w:t>“</w:t>
      </w:r>
      <w:r>
        <w:rPr>
          <w:rFonts w:ascii="Times New Roman" w:hAnsi="Times New Roman"/>
          <w:sz w:val="24"/>
        </w:rPr>
        <w:t>《流动性风险管理规定》</w:t>
      </w:r>
      <w:r>
        <w:rPr>
          <w:rFonts w:ascii="Times New Roman" w:hAnsi="Times New Roman"/>
          <w:sz w:val="24"/>
        </w:rPr>
        <w:t>”</w:t>
      </w:r>
      <w:r>
        <w:rPr>
          <w:rFonts w:ascii="Times New Roman" w:hAnsi="Times New Roman"/>
          <w:sz w:val="24"/>
        </w:rPr>
        <w:t>）、《公开募集证券投资基金运作指引第</w:t>
      </w:r>
      <w:r>
        <w:rPr>
          <w:rFonts w:ascii="Times New Roman" w:hAnsi="Times New Roman"/>
          <w:sz w:val="24"/>
        </w:rPr>
        <w:t>3</w:t>
      </w:r>
      <w:r>
        <w:rPr>
          <w:rFonts w:ascii="Times New Roman" w:hAnsi="Times New Roman"/>
          <w:sz w:val="24"/>
        </w:rPr>
        <w:t>号</w:t>
      </w:r>
      <w:r>
        <w:rPr>
          <w:rFonts w:ascii="Times New Roman" w:hAnsi="Times New Roman"/>
          <w:sz w:val="24"/>
        </w:rPr>
        <w:t>——</w:t>
      </w:r>
      <w:r>
        <w:rPr>
          <w:rFonts w:ascii="Times New Roman" w:hAnsi="Times New Roman"/>
          <w:sz w:val="24"/>
        </w:rPr>
        <w:t>指数基金指引》和其他相关法律法规的规定以及《交银施罗德中证港股通央企红利指数型证券投资基金基金合同》（以下简称</w:t>
      </w:r>
      <w:r>
        <w:rPr>
          <w:rFonts w:ascii="Times New Roman" w:hAnsi="Times New Roman"/>
          <w:sz w:val="24"/>
        </w:rPr>
        <w:t>“</w:t>
      </w:r>
      <w:r>
        <w:rPr>
          <w:rFonts w:ascii="Times New Roman" w:hAnsi="Times New Roman"/>
          <w:sz w:val="24"/>
        </w:rPr>
        <w:t>基金合同</w:t>
      </w:r>
      <w:r>
        <w:rPr>
          <w:rFonts w:ascii="Times New Roman" w:hAnsi="Times New Roman"/>
          <w:sz w:val="24"/>
        </w:rPr>
        <w:t>”</w:t>
      </w:r>
      <w:r>
        <w:rPr>
          <w:rFonts w:ascii="Times New Roman" w:hAnsi="Times New Roman"/>
          <w:sz w:val="24"/>
        </w:rPr>
        <w:t>）编写。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本招募说明书根据本基金的基金合同编写，并经中国证监会注册。基金合同是约定基金合同当事人之间权利、义务的法律文件。基金</w:t>
      </w:r>
      <w:proofErr w:type="gramStart"/>
      <w:r>
        <w:rPr>
          <w:rFonts w:ascii="Times New Roman" w:hAnsi="Times New Roman"/>
          <w:sz w:val="24"/>
        </w:rPr>
        <w:t>投资人自依基金</w:t>
      </w:r>
      <w:proofErr w:type="gramEnd"/>
      <w:r>
        <w:rPr>
          <w:rFonts w:ascii="Times New Roman" w:hAnsi="Times New Roman"/>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A4701" w:rsidRDefault="00677B65">
      <w:pPr>
        <w:autoSpaceDE w:val="0"/>
        <w:autoSpaceDN w:val="0"/>
        <w:adjustRightInd w:val="0"/>
        <w:spacing w:line="360" w:lineRule="auto"/>
        <w:ind w:firstLineChars="200" w:firstLine="480"/>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4" w:name="_Toc147840620"/>
      <w:r>
        <w:rPr>
          <w:rFonts w:ascii="Times New Roman" w:hAnsi="Times New Roman"/>
          <w:sz w:val="30"/>
        </w:rPr>
        <w:lastRenderedPageBreak/>
        <w:t>二、释义</w:t>
      </w:r>
      <w:bookmarkEnd w:id="4"/>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在本招募说明书中，除非文意另有所指，下列词语或简称具有如下含义：</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、基金或本基金：指</w:t>
      </w:r>
      <w:proofErr w:type="gramStart"/>
      <w:r>
        <w:rPr>
          <w:rFonts w:ascii="Times New Roman" w:hAnsi="Times New Roman"/>
          <w:sz w:val="24"/>
        </w:rPr>
        <w:t>交银施罗</w:t>
      </w:r>
      <w:proofErr w:type="gramEnd"/>
      <w:r>
        <w:rPr>
          <w:rFonts w:ascii="Times New Roman" w:hAnsi="Times New Roman"/>
          <w:sz w:val="24"/>
        </w:rPr>
        <w:t>德中证港股</w:t>
      </w:r>
      <w:proofErr w:type="gramStart"/>
      <w:r>
        <w:rPr>
          <w:rFonts w:ascii="Times New Roman" w:hAnsi="Times New Roman"/>
          <w:sz w:val="24"/>
        </w:rPr>
        <w:t>通央企</w:t>
      </w:r>
      <w:proofErr w:type="gramEnd"/>
      <w:r>
        <w:rPr>
          <w:rFonts w:ascii="Times New Roman" w:hAnsi="Times New Roman"/>
          <w:sz w:val="24"/>
        </w:rPr>
        <w:t>红利指数型证券投资基金</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、基金管理人：指交银施罗德基金管理有限公司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、基金托管人：指中</w:t>
      </w:r>
      <w:proofErr w:type="gramStart"/>
      <w:r>
        <w:rPr>
          <w:rFonts w:ascii="Times New Roman" w:hAnsi="Times New Roman"/>
          <w:sz w:val="24"/>
        </w:rPr>
        <w:t>信建投证券</w:t>
      </w:r>
      <w:proofErr w:type="gramEnd"/>
      <w:r>
        <w:rPr>
          <w:rFonts w:ascii="Times New Roman" w:hAnsi="Times New Roman"/>
          <w:sz w:val="24"/>
        </w:rPr>
        <w:t>股份有限公司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、基金合同或《基金合同》：指《交银施罗德中证港股通央企红利指数型证券投资</w:t>
      </w:r>
      <w:proofErr w:type="gramStart"/>
      <w:r>
        <w:rPr>
          <w:rFonts w:ascii="Times New Roman" w:hAnsi="Times New Roman"/>
          <w:sz w:val="24"/>
        </w:rPr>
        <w:t>基金基金</w:t>
      </w:r>
      <w:proofErr w:type="gramEnd"/>
      <w:r>
        <w:rPr>
          <w:rFonts w:ascii="Times New Roman" w:hAnsi="Times New Roman"/>
          <w:sz w:val="24"/>
        </w:rPr>
        <w:t>合同</w:t>
      </w:r>
      <w:proofErr w:type="gramStart"/>
      <w:r>
        <w:rPr>
          <w:rFonts w:ascii="Times New Roman" w:hAnsi="Times New Roman"/>
          <w:sz w:val="24"/>
        </w:rPr>
        <w:t>》</w:t>
      </w:r>
      <w:proofErr w:type="gramEnd"/>
      <w:r>
        <w:rPr>
          <w:rFonts w:ascii="Times New Roman" w:hAnsi="Times New Roman"/>
          <w:sz w:val="24"/>
        </w:rPr>
        <w:t>及对基金合同的任何有效修订和补充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、托管协议：指基金管理人与基金托管人就本基金签订之《交银施罗德中证港股通央企红利指数型证券投资基金托管协议》及对该托管协议的任何有效修订和补充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、招募说明书、《招募说明书》或本招募说明书：指《交银施罗德中证港股通央企红利指数型证券投资基金招募说明书》及其更新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、基金份额发售公告：指《交银施罗德中证港股通央企红利指数型证券投资基金基金份额发售公告》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、基金产品资料概要：指《交银施罗德中证港股通央企红利指数型证券投资基金基金产品资料概要》及其更新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、法律法规：指中国现行有效并公布实施的法律、行政法规、规范性文件、司法解释、行政规章以及其他对基金合同当事人有约束力的决定、决议、通知等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10</w:t>
      </w:r>
      <w:r>
        <w:rPr>
          <w:rFonts w:ascii="Times New Roman" w:hAnsi="Times New Roman" w:hint="eastAsia"/>
          <w:sz w:val="24"/>
        </w:rPr>
        <w:t>、《基金法》：指《中华人民共和国证券投资基金法》及颁布机关对其不时做出的修订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11</w:t>
      </w:r>
      <w:r>
        <w:rPr>
          <w:rFonts w:ascii="Times New Roman" w:hAnsi="Times New Roman" w:hint="eastAsia"/>
          <w:sz w:val="24"/>
        </w:rPr>
        <w:t>、《销售办法》：指《公开募集证券投资基金销售机构监督管理办法》及颁布机关对其不时做出的修订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12</w:t>
      </w:r>
      <w:r>
        <w:rPr>
          <w:rFonts w:ascii="Times New Roman" w:hAnsi="Times New Roman" w:hint="eastAsia"/>
          <w:sz w:val="24"/>
        </w:rPr>
        <w:t>、《信息披露办法》：指《公开募集证券投资基金信息披露管理办法》及颁布机关对其不时做出的修订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13</w:t>
      </w:r>
      <w:r>
        <w:rPr>
          <w:rFonts w:ascii="Times New Roman" w:hAnsi="Times New Roman" w:hint="eastAsia"/>
          <w:sz w:val="24"/>
        </w:rPr>
        <w:t>、《运作办法》：指《公开募集证券投资基金运作管理办法》及颁布机关对其不时做出的修订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14</w:t>
      </w:r>
      <w:r>
        <w:rPr>
          <w:rFonts w:ascii="Times New Roman" w:hAnsi="Times New Roman" w:hint="eastAsia"/>
          <w:sz w:val="24"/>
        </w:rPr>
        <w:t>、《流动性风险管理规定》：指《公开募集开放式证券投资基金流动性风险管理规定》及颁布机关对其不时做出的修订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15</w:t>
      </w:r>
      <w:r>
        <w:rPr>
          <w:rFonts w:ascii="Times New Roman" w:hAnsi="Times New Roman"/>
          <w:sz w:val="24"/>
        </w:rPr>
        <w:t>、《指数基金指引》：指《公开募集证券投资基金运作指引第</w:t>
      </w:r>
      <w:r>
        <w:rPr>
          <w:rFonts w:ascii="Times New Roman" w:hAnsi="Times New Roman"/>
          <w:sz w:val="24"/>
        </w:rPr>
        <w:t>3</w:t>
      </w:r>
      <w:r>
        <w:rPr>
          <w:rFonts w:ascii="Times New Roman" w:hAnsi="Times New Roman"/>
          <w:sz w:val="24"/>
        </w:rPr>
        <w:t>号</w:t>
      </w:r>
      <w:r>
        <w:rPr>
          <w:rFonts w:ascii="Times New Roman" w:hAnsi="Times New Roman"/>
          <w:sz w:val="24"/>
        </w:rPr>
        <w:t>——</w:t>
      </w:r>
      <w:r>
        <w:rPr>
          <w:rFonts w:ascii="Times New Roman" w:hAnsi="Times New Roman"/>
          <w:sz w:val="24"/>
        </w:rPr>
        <w:t>指数基</w:t>
      </w:r>
      <w:r>
        <w:rPr>
          <w:rFonts w:ascii="Times New Roman" w:hAnsi="Times New Roman"/>
          <w:sz w:val="24"/>
        </w:rPr>
        <w:lastRenderedPageBreak/>
        <w:t>金指引》及颁布机关对其不时做出的修订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16</w:t>
      </w:r>
      <w:r>
        <w:rPr>
          <w:rFonts w:ascii="Times New Roman" w:hAnsi="Times New Roman"/>
          <w:sz w:val="24"/>
        </w:rPr>
        <w:t>、中国证监会：指中国证券监督管理委员会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17</w:t>
      </w:r>
      <w:r>
        <w:rPr>
          <w:rFonts w:ascii="Times New Roman" w:hAnsi="Times New Roman"/>
          <w:sz w:val="24"/>
        </w:rPr>
        <w:t>、基金合同当事人：指受基金合同约束，根据基金合同享有权利并承担义务的法律主体，包括基金管理人、基金托管人和基金份额持有人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18</w:t>
      </w:r>
      <w:r>
        <w:rPr>
          <w:rFonts w:ascii="Times New Roman" w:hAnsi="Times New Roman"/>
          <w:sz w:val="24"/>
        </w:rPr>
        <w:t>、个人投资者：指依据有关法律法规规定可投资于证券投资基金的自然人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19</w:t>
      </w:r>
      <w:r>
        <w:rPr>
          <w:rFonts w:ascii="Times New Roman" w:hAnsi="Times New Roman"/>
          <w:sz w:val="24"/>
        </w:rPr>
        <w:t>、机构投资者：指依法可以投资证券投资基金的、在中华人民共和国境内合法登记并存续或经有关政府部门批准设立并存续的企业法人、事业法人、社会团体或其他组织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20</w:t>
      </w:r>
      <w:r>
        <w:rPr>
          <w:rFonts w:ascii="Times New Roman" w:hAnsi="Times New Roman"/>
          <w:sz w:val="24"/>
        </w:rPr>
        <w:t>、</w:t>
      </w:r>
      <w:r>
        <w:rPr>
          <w:rFonts w:ascii="Times New Roman" w:hAnsi="Times New Roman" w:hint="eastAsia"/>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21</w:t>
      </w:r>
      <w:r>
        <w:rPr>
          <w:rFonts w:ascii="Times New Roman" w:hAnsi="Times New Roman"/>
          <w:sz w:val="24"/>
        </w:rPr>
        <w:t>、投资人、投资者：指个人投资者、机构投资者、合格境外投资者以及法律法规或中国证监会允许购买证券投资基金的其他投资人的合称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22</w:t>
      </w:r>
      <w:r>
        <w:rPr>
          <w:rFonts w:ascii="Times New Roman" w:hAnsi="Times New Roman"/>
          <w:sz w:val="24"/>
        </w:rPr>
        <w:t>、基金份额持有人：指依基金合同和招募说明书合法取得基金份额的投资人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23</w:t>
      </w:r>
      <w:r>
        <w:rPr>
          <w:rFonts w:ascii="Times New Roman" w:hAnsi="Times New Roman"/>
          <w:sz w:val="24"/>
        </w:rPr>
        <w:t>、基金销售业务：指基金管理人或销售机构宣传推介基金，发售基金份额，办理基金份额的申购、赎回、转换、转托管及定期定额投资等业务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24</w:t>
      </w:r>
      <w:r>
        <w:rPr>
          <w:rFonts w:ascii="Times New Roman" w:hAnsi="Times New Roman"/>
          <w:sz w:val="24"/>
        </w:rPr>
        <w:t>、销售机构：指交银施罗德基金管理有限公司以及符合《销售办法》和中国证监会规定的其他条件，取得基金销售业务资格并与基金管理人签订了基金销售服务协议，办理基金销售业务的机构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25</w:t>
      </w:r>
      <w:r>
        <w:rPr>
          <w:rFonts w:ascii="Times New Roman" w:hAnsi="Times New Roman"/>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imes New Roman" w:hAnsi="Times New Roman"/>
          <w:sz w:val="24"/>
        </w:rPr>
        <w:t>非交易</w:t>
      </w:r>
      <w:proofErr w:type="gramEnd"/>
      <w:r>
        <w:rPr>
          <w:rFonts w:ascii="Times New Roman" w:hAnsi="Times New Roman"/>
          <w:sz w:val="24"/>
        </w:rPr>
        <w:t>过户等</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26</w:t>
      </w:r>
      <w:r>
        <w:rPr>
          <w:rFonts w:ascii="Times New Roman" w:hAnsi="Times New Roman"/>
          <w:sz w:val="24"/>
        </w:rPr>
        <w:t>、登记机构：</w:t>
      </w:r>
      <w:proofErr w:type="gramStart"/>
      <w:r>
        <w:rPr>
          <w:rFonts w:ascii="Times New Roman" w:hAnsi="Times New Roman"/>
          <w:sz w:val="24"/>
        </w:rPr>
        <w:t>指办理</w:t>
      </w:r>
      <w:proofErr w:type="gramEnd"/>
      <w:r>
        <w:rPr>
          <w:rFonts w:ascii="Times New Roman" w:hAnsi="Times New Roman"/>
          <w:sz w:val="24"/>
        </w:rPr>
        <w:t>登记业务的机构。基金的登记机构为交银施罗德基金管理有限公司或接受交银施罗德基金管理有限公司委托代为办理登记业务的机构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27</w:t>
      </w:r>
      <w:r>
        <w:rPr>
          <w:rFonts w:ascii="Times New Roman" w:hAnsi="Times New Roman"/>
          <w:sz w:val="24"/>
        </w:rPr>
        <w:t>、基金账户：指登记机构为投资人开立的、记录其持有的、基金管理人所管理的基金份额余额及其变动情况的账户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28</w:t>
      </w:r>
      <w:r>
        <w:rPr>
          <w:rFonts w:ascii="Times New Roman" w:hAnsi="Times New Roman"/>
          <w:sz w:val="24"/>
        </w:rPr>
        <w:t>、基金交易账户：指销售机构为投资人开立的、记录投资人通过该销售机构办理认购、申购、赎回、转换及转托管等业务而引起的基金份额变动及结余情况的账户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29</w:t>
      </w:r>
      <w:r>
        <w:rPr>
          <w:rFonts w:ascii="Times New Roman" w:hAnsi="Times New Roman"/>
          <w:sz w:val="24"/>
        </w:rPr>
        <w:t>、基金合同生效日：指基金募集达到法律法规规定及基金合同规定的条件，基金管理人向中国证监会办理基金备案手续完毕，并获得中国证监会书面确认的日期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30</w:t>
      </w:r>
      <w:r>
        <w:rPr>
          <w:rFonts w:ascii="Times New Roman" w:hAnsi="Times New Roman"/>
          <w:sz w:val="24"/>
        </w:rPr>
        <w:t>、基金合同终止日：指基金合同规定的基金合同终止事由出现后，基金财产清算完毕，清算结果报中国证监会备案并予以公告的日期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31</w:t>
      </w:r>
      <w:r>
        <w:rPr>
          <w:rFonts w:ascii="Times New Roman" w:hAnsi="Times New Roman"/>
          <w:sz w:val="24"/>
        </w:rPr>
        <w:t>、基金募集期：指自基金份额发售之日起至发售结束之日止的期间，最长不得超过</w:t>
      </w:r>
      <w:r>
        <w:rPr>
          <w:rFonts w:ascii="Times New Roman" w:hAnsi="Times New Roman"/>
          <w:sz w:val="24"/>
        </w:rPr>
        <w:t>3</w:t>
      </w:r>
      <w:r>
        <w:rPr>
          <w:rFonts w:ascii="Times New Roman" w:hAnsi="Times New Roman"/>
          <w:sz w:val="24"/>
        </w:rPr>
        <w:t>个月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32</w:t>
      </w:r>
      <w:r>
        <w:rPr>
          <w:rFonts w:ascii="Times New Roman" w:hAnsi="Times New Roman"/>
          <w:sz w:val="24"/>
        </w:rPr>
        <w:t>、存续期：指基金合同生效至终止之间的不定期期限</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33</w:t>
      </w:r>
      <w:r>
        <w:rPr>
          <w:rFonts w:ascii="Times New Roman" w:hAnsi="Times New Roman"/>
          <w:sz w:val="24"/>
        </w:rPr>
        <w:t>、工作日：指上海证券交易所、深圳证券交易所的正常交易日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34</w:t>
      </w:r>
      <w:r>
        <w:rPr>
          <w:rFonts w:ascii="Times New Roman" w:hAnsi="Times New Roman"/>
          <w:sz w:val="24"/>
        </w:rPr>
        <w:t>、</w:t>
      </w:r>
      <w:r>
        <w:rPr>
          <w:rFonts w:ascii="Times New Roman" w:hAnsi="Times New Roman"/>
          <w:sz w:val="24"/>
        </w:rPr>
        <w:t>T</w:t>
      </w:r>
      <w:r>
        <w:rPr>
          <w:rFonts w:ascii="Times New Roman" w:hAnsi="Times New Roman"/>
          <w:sz w:val="24"/>
        </w:rPr>
        <w:t>日：指销售机构在规定时间受理投资人申购、赎回或其他业务申请的开放日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35</w:t>
      </w:r>
      <w:r>
        <w:rPr>
          <w:rFonts w:ascii="Times New Roman" w:hAnsi="Times New Roman"/>
          <w:sz w:val="24"/>
        </w:rPr>
        <w:t>、</w:t>
      </w:r>
      <w:r>
        <w:rPr>
          <w:rFonts w:ascii="Times New Roman" w:hAnsi="Times New Roman"/>
          <w:sz w:val="24"/>
        </w:rPr>
        <w:t>T+n</w:t>
      </w:r>
      <w:r>
        <w:rPr>
          <w:rFonts w:ascii="Times New Roman" w:hAnsi="Times New Roman"/>
          <w:sz w:val="24"/>
        </w:rPr>
        <w:t>日：指自</w:t>
      </w:r>
      <w:r>
        <w:rPr>
          <w:rFonts w:ascii="Times New Roman" w:hAnsi="Times New Roman"/>
          <w:sz w:val="24"/>
        </w:rPr>
        <w:t>T</w:t>
      </w:r>
      <w:r>
        <w:rPr>
          <w:rFonts w:ascii="Times New Roman" w:hAnsi="Times New Roman"/>
          <w:sz w:val="24"/>
        </w:rPr>
        <w:t>日起第</w:t>
      </w:r>
      <w:r>
        <w:rPr>
          <w:rFonts w:ascii="Times New Roman" w:hAnsi="Times New Roman"/>
          <w:sz w:val="24"/>
        </w:rPr>
        <w:t>n</w:t>
      </w:r>
      <w:proofErr w:type="gramStart"/>
      <w:r>
        <w:rPr>
          <w:rFonts w:ascii="Times New Roman" w:hAnsi="Times New Roman"/>
          <w:sz w:val="24"/>
        </w:rPr>
        <w:t>个</w:t>
      </w:r>
      <w:proofErr w:type="gramEnd"/>
      <w:r>
        <w:rPr>
          <w:rFonts w:ascii="Times New Roman" w:hAnsi="Times New Roman"/>
          <w:sz w:val="24"/>
        </w:rPr>
        <w:t>工作日（不包含</w:t>
      </w:r>
      <w:r>
        <w:rPr>
          <w:rFonts w:ascii="Times New Roman" w:hAnsi="Times New Roman"/>
          <w:sz w:val="24"/>
        </w:rPr>
        <w:t>T</w:t>
      </w:r>
      <w:r>
        <w:rPr>
          <w:rFonts w:ascii="Times New Roman" w:hAnsi="Times New Roman"/>
          <w:sz w:val="24"/>
        </w:rPr>
        <w:t>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36</w:t>
      </w:r>
      <w:r>
        <w:rPr>
          <w:rFonts w:ascii="Times New Roman" w:hAnsi="Times New Roman"/>
          <w:sz w:val="24"/>
        </w:rPr>
        <w:t>、开放日：指为投资人办理基金份额申购、赎回或其他业务的工作日</w:t>
      </w:r>
      <w:r>
        <w:rPr>
          <w:rFonts w:ascii="Times New Roman" w:hAnsi="Times New Roman" w:hint="eastAsia"/>
          <w:sz w:val="24"/>
        </w:rPr>
        <w:t>（若该工作日为非港股</w:t>
      </w:r>
      <w:proofErr w:type="gramStart"/>
      <w:r>
        <w:rPr>
          <w:rFonts w:ascii="Times New Roman" w:hAnsi="Times New Roman" w:hint="eastAsia"/>
          <w:sz w:val="24"/>
        </w:rPr>
        <w:t>通交易</w:t>
      </w:r>
      <w:proofErr w:type="gramEnd"/>
      <w:r>
        <w:rPr>
          <w:rFonts w:ascii="Times New Roman" w:hAnsi="Times New Roman" w:hint="eastAsia"/>
          <w:sz w:val="24"/>
        </w:rPr>
        <w:t>日，则本基金不开放）</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37</w:t>
      </w:r>
      <w:r>
        <w:rPr>
          <w:rFonts w:ascii="Times New Roman" w:hAnsi="Times New Roman"/>
          <w:sz w:val="24"/>
        </w:rPr>
        <w:t>、开放时间：指开放日基金接受申购、赎回或其他交易的时间段</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38</w:t>
      </w:r>
      <w:r>
        <w:rPr>
          <w:rFonts w:ascii="Times New Roman" w:hAnsi="Times New Roman"/>
          <w:sz w:val="24"/>
        </w:rPr>
        <w:t>、《业务规则》：</w:t>
      </w:r>
      <w:r>
        <w:rPr>
          <w:rFonts w:ascii="Times New Roman" w:hAnsi="Times New Roman" w:hint="eastAsia"/>
          <w:sz w:val="24"/>
        </w:rPr>
        <w:t>指《交银施罗德基金管理有限公司开放式基金业务规则》，是规范基金管理人所管理的开放式证券投资基金登记方面的业务规则，由基金管理人和投资人共同遵守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39</w:t>
      </w:r>
      <w:r>
        <w:rPr>
          <w:rFonts w:ascii="Times New Roman" w:hAnsi="Times New Roman"/>
          <w:sz w:val="24"/>
        </w:rPr>
        <w:t>、认购：指在基金募集期内，投资人根据基金合同和招募说明书的规定申请购买基金份额的行为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40</w:t>
      </w:r>
      <w:r>
        <w:rPr>
          <w:rFonts w:ascii="Times New Roman" w:hAnsi="Times New Roman"/>
          <w:sz w:val="24"/>
        </w:rPr>
        <w:t>、申购：指基金合同生效后，投资人根据基金合同和招募说明书的规定申请购买基金份额的行为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41</w:t>
      </w:r>
      <w:r>
        <w:rPr>
          <w:rFonts w:ascii="Times New Roman" w:hAnsi="Times New Roman"/>
          <w:sz w:val="24"/>
        </w:rPr>
        <w:t>、赎回：指基金合同生效后，基金份额持有人按基金合同和招募说明书规定的条件要求将基金份额兑换为现金的行为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42</w:t>
      </w:r>
      <w:r>
        <w:rPr>
          <w:rFonts w:ascii="Times New Roman" w:hAnsi="Times New Roman"/>
          <w:sz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imes New Roman" w:hAnsi="Times New Roman"/>
          <w:sz w:val="24"/>
        </w:rPr>
        <w:t>基金基金</w:t>
      </w:r>
      <w:proofErr w:type="gramEnd"/>
      <w:r>
        <w:rPr>
          <w:rFonts w:ascii="Times New Roman" w:hAnsi="Times New Roman"/>
          <w:sz w:val="24"/>
        </w:rPr>
        <w:t>份额的行为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43</w:t>
      </w:r>
      <w:r>
        <w:rPr>
          <w:rFonts w:ascii="Times New Roman" w:hAnsi="Times New Roman"/>
          <w:sz w:val="24"/>
        </w:rPr>
        <w:t>、转托管：指基金份额持有人在本基金的不同销售机构之间实施的变更所持基金份额销售机构的操作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44</w:t>
      </w:r>
      <w:r>
        <w:rPr>
          <w:rFonts w:ascii="Times New Roman" w:hAnsi="Times New Roman"/>
          <w:sz w:val="24"/>
        </w:rPr>
        <w:t>、定期定额投资计划：指投资人通过有关销售机构提出申请，约定每期申购</w:t>
      </w:r>
      <w:r>
        <w:rPr>
          <w:rFonts w:ascii="Times New Roman" w:hAnsi="Times New Roman"/>
          <w:sz w:val="24"/>
        </w:rPr>
        <w:lastRenderedPageBreak/>
        <w:t>日、扣款金额及扣款方式，由指定的销售机构在投资人指定银行账户内自动完成扣款并于每期约定的申购日受理基金申购申请的一种投资方式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45</w:t>
      </w:r>
      <w:r>
        <w:rPr>
          <w:rFonts w:ascii="Times New Roman" w:hAnsi="Times New Roman"/>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hAnsi="Times New Roman"/>
          <w:sz w:val="24"/>
        </w:rPr>
        <w:t>10%</w:t>
      </w:r>
      <w:r>
        <w:rPr>
          <w:rFonts w:ascii="Times New Roman" w:hAnsi="Times New Roman"/>
          <w:sz w:val="24"/>
        </w:rPr>
        <w:t>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46</w:t>
      </w:r>
      <w:r>
        <w:rPr>
          <w:rFonts w:ascii="Times New Roman" w:hAnsi="Times New Roman"/>
          <w:sz w:val="24"/>
        </w:rPr>
        <w:t>、元：指人民币元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47</w:t>
      </w:r>
      <w:r>
        <w:rPr>
          <w:rFonts w:ascii="Times New Roman" w:hAnsi="Times New Roman"/>
          <w:sz w:val="24"/>
        </w:rPr>
        <w:t>、基金收益：指基金投资所得红利、股息、债券利息、买卖证券价差、银行存款利息、已实现的其他合法收入及因运用基金财产带来的成本和费用的节约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48</w:t>
      </w:r>
      <w:r>
        <w:rPr>
          <w:rFonts w:ascii="Times New Roman" w:hAnsi="Times New Roman"/>
          <w:sz w:val="24"/>
        </w:rPr>
        <w:t>、基金资产总值：</w:t>
      </w:r>
      <w:r>
        <w:rPr>
          <w:rFonts w:ascii="Times New Roman" w:hAnsi="Times New Roman" w:hint="eastAsia"/>
          <w:sz w:val="24"/>
        </w:rPr>
        <w:t>指基金拥有的各类有价证券、股指期货合约、银行存款本息、基金应收款项及其他资产的价值总和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49</w:t>
      </w:r>
      <w:r>
        <w:rPr>
          <w:rFonts w:ascii="Times New Roman" w:hAnsi="Times New Roman"/>
          <w:sz w:val="24"/>
        </w:rPr>
        <w:t>、基金资产净值：指基金资产总值减去基金负债后的价值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50</w:t>
      </w:r>
      <w:r>
        <w:rPr>
          <w:rFonts w:ascii="Times New Roman" w:hAnsi="Times New Roman"/>
          <w:sz w:val="24"/>
        </w:rPr>
        <w:t>、基金份额净值：指计算日基金资产净值除以计算日基金份额总数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51</w:t>
      </w:r>
      <w:r>
        <w:rPr>
          <w:rFonts w:ascii="Times New Roman" w:hAnsi="Times New Roman"/>
          <w:sz w:val="24"/>
        </w:rPr>
        <w:t>、基金资产估值：指计算评估基金资产和负债的价值，以确定基金资产净值和基金份额净值的过程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52</w:t>
      </w:r>
      <w:r>
        <w:rPr>
          <w:rFonts w:ascii="Times New Roman" w:hAnsi="Times New Roman" w:hint="eastAsia"/>
          <w:sz w:val="24"/>
        </w:rPr>
        <w:t>、港股通标的股票：指内地投资者委托内地证券公司，经由内地证券交易所在香港设立的证券交易服务公司，向香港联合交易所进行申报，买卖规定范围内的香港联合交易所上市的股票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53</w:t>
      </w:r>
      <w:r>
        <w:rPr>
          <w:rFonts w:ascii="Times New Roman" w:hAnsi="Times New Roman"/>
          <w:sz w:val="24"/>
        </w:rPr>
        <w:t>、规定媒介：指符合中国证监会规定条件的用以进行信息披露的全国性报刊及《信息披露办法》规定的互联网网站（包括基金管理人网站、基金托管人网站、中国证监会基金电子披露网站）等媒介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54</w:t>
      </w:r>
      <w:r>
        <w:rPr>
          <w:rFonts w:ascii="Times New Roman" w:hAnsi="Times New Roman"/>
          <w:sz w:val="24"/>
        </w:rPr>
        <w:t>、销售服务费：指从基金财产中计提的，用于本基金市场推广、销售以及基金份额持有人服务的费用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55</w:t>
      </w:r>
      <w:r>
        <w:rPr>
          <w:rFonts w:ascii="Times New Roman" w:hAnsi="Times New Roman"/>
          <w:sz w:val="24"/>
        </w:rPr>
        <w:t>、</w:t>
      </w:r>
      <w:r>
        <w:rPr>
          <w:rFonts w:ascii="Times New Roman" w:hAnsi="Times New Roman"/>
          <w:sz w:val="24"/>
        </w:rPr>
        <w:t>A</w:t>
      </w:r>
      <w:r>
        <w:rPr>
          <w:rFonts w:ascii="Times New Roman" w:hAnsi="Times New Roman"/>
          <w:sz w:val="24"/>
        </w:rPr>
        <w:t>类基金份额：指在投资人认购</w:t>
      </w:r>
      <w:r>
        <w:rPr>
          <w:rFonts w:ascii="Times New Roman" w:hAnsi="Times New Roman"/>
          <w:sz w:val="24"/>
        </w:rPr>
        <w:t>/</w:t>
      </w:r>
      <w:r>
        <w:rPr>
          <w:rFonts w:ascii="Times New Roman" w:hAnsi="Times New Roman"/>
          <w:sz w:val="24"/>
        </w:rPr>
        <w:t>申购时收取认购</w:t>
      </w:r>
      <w:r>
        <w:rPr>
          <w:rFonts w:ascii="Times New Roman" w:hAnsi="Times New Roman"/>
          <w:sz w:val="24"/>
        </w:rPr>
        <w:t>/</w:t>
      </w:r>
      <w:r>
        <w:rPr>
          <w:rFonts w:ascii="Times New Roman" w:hAnsi="Times New Roman"/>
          <w:sz w:val="24"/>
        </w:rPr>
        <w:t>申购费用、不从本类别基金资产中计</w:t>
      </w:r>
      <w:proofErr w:type="gramStart"/>
      <w:r>
        <w:rPr>
          <w:rFonts w:ascii="Times New Roman" w:hAnsi="Times New Roman"/>
          <w:sz w:val="24"/>
        </w:rPr>
        <w:t>提销售</w:t>
      </w:r>
      <w:proofErr w:type="gramEnd"/>
      <w:r>
        <w:rPr>
          <w:rFonts w:ascii="Times New Roman" w:hAnsi="Times New Roman"/>
          <w:sz w:val="24"/>
        </w:rPr>
        <w:t>服务费的基金份额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56</w:t>
      </w:r>
      <w:r>
        <w:rPr>
          <w:rFonts w:ascii="Times New Roman" w:hAnsi="Times New Roman"/>
          <w:sz w:val="24"/>
        </w:rPr>
        <w:t>、</w:t>
      </w:r>
      <w:r>
        <w:rPr>
          <w:rFonts w:ascii="Times New Roman" w:hAnsi="Times New Roman"/>
          <w:sz w:val="24"/>
        </w:rPr>
        <w:t>C</w:t>
      </w:r>
      <w:r>
        <w:rPr>
          <w:rFonts w:ascii="Times New Roman" w:hAnsi="Times New Roman"/>
          <w:sz w:val="24"/>
        </w:rPr>
        <w:t>类基金份额：指在投资人认购</w:t>
      </w:r>
      <w:r>
        <w:rPr>
          <w:rFonts w:ascii="Times New Roman" w:hAnsi="Times New Roman"/>
          <w:sz w:val="24"/>
        </w:rPr>
        <w:t>/</w:t>
      </w:r>
      <w:r>
        <w:rPr>
          <w:rFonts w:ascii="Times New Roman" w:hAnsi="Times New Roman"/>
          <w:sz w:val="24"/>
        </w:rPr>
        <w:t>申购时不收取认购</w:t>
      </w:r>
      <w:r>
        <w:rPr>
          <w:rFonts w:ascii="Times New Roman" w:hAnsi="Times New Roman"/>
          <w:sz w:val="24"/>
        </w:rPr>
        <w:t>/</w:t>
      </w:r>
      <w:r>
        <w:rPr>
          <w:rFonts w:ascii="Times New Roman" w:hAnsi="Times New Roman"/>
          <w:sz w:val="24"/>
        </w:rPr>
        <w:t>申购费用、从本类别基金资产中计</w:t>
      </w:r>
      <w:proofErr w:type="gramStart"/>
      <w:r>
        <w:rPr>
          <w:rFonts w:ascii="Times New Roman" w:hAnsi="Times New Roman"/>
          <w:sz w:val="24"/>
        </w:rPr>
        <w:t>提销售</w:t>
      </w:r>
      <w:proofErr w:type="gramEnd"/>
      <w:r>
        <w:rPr>
          <w:rFonts w:ascii="Times New Roman" w:hAnsi="Times New Roman"/>
          <w:sz w:val="24"/>
        </w:rPr>
        <w:t>服务费的基金份额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57</w:t>
      </w:r>
      <w:r>
        <w:rPr>
          <w:rFonts w:ascii="Times New Roman" w:hAnsi="Times New Roman"/>
          <w:sz w:val="24"/>
        </w:rPr>
        <w:t>、标的指数：指</w:t>
      </w:r>
      <w:r>
        <w:rPr>
          <w:rFonts w:ascii="Times New Roman" w:hAnsi="Times New Roman" w:hint="eastAsia"/>
          <w:bCs/>
          <w:sz w:val="24"/>
        </w:rPr>
        <w:t>中证</w:t>
      </w:r>
      <w:r>
        <w:rPr>
          <w:rFonts w:ascii="Times New Roman" w:hAnsi="Times New Roman"/>
          <w:bCs/>
          <w:sz w:val="24"/>
        </w:rPr>
        <w:t>港股</w:t>
      </w:r>
      <w:proofErr w:type="gramStart"/>
      <w:r>
        <w:rPr>
          <w:rFonts w:ascii="Times New Roman" w:hAnsi="Times New Roman"/>
          <w:bCs/>
          <w:sz w:val="24"/>
        </w:rPr>
        <w:t>通央企</w:t>
      </w:r>
      <w:proofErr w:type="gramEnd"/>
      <w:r>
        <w:rPr>
          <w:rFonts w:ascii="Times New Roman" w:hAnsi="Times New Roman"/>
          <w:bCs/>
          <w:sz w:val="24"/>
        </w:rPr>
        <w:t>红利</w:t>
      </w:r>
      <w:r>
        <w:rPr>
          <w:rFonts w:ascii="Times New Roman" w:hAnsi="Times New Roman" w:hint="eastAsia"/>
          <w:bCs/>
          <w:sz w:val="24"/>
        </w:rPr>
        <w:t>指数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58</w:t>
      </w:r>
      <w:r>
        <w:rPr>
          <w:rFonts w:ascii="Times New Roman" w:hAnsi="Times New Roman"/>
          <w:sz w:val="24"/>
        </w:rPr>
        <w:t>、流动性受限资产：指由于法律法规、监管、合同或操作障碍等原因无法以合理价格予以变现的资产，包括但不限于到期日在</w:t>
      </w:r>
      <w:r>
        <w:rPr>
          <w:rFonts w:ascii="Times New Roman" w:hAnsi="Times New Roman"/>
          <w:sz w:val="24"/>
        </w:rPr>
        <w:t>10</w:t>
      </w:r>
      <w:r>
        <w:rPr>
          <w:rFonts w:ascii="Times New Roman" w:hAnsi="Times New Roman"/>
          <w:sz w:val="24"/>
        </w:rPr>
        <w:t>个交易日以上的逆回购与银行定期存款（</w:t>
      </w:r>
      <w:proofErr w:type="gramStart"/>
      <w:r>
        <w:rPr>
          <w:rFonts w:ascii="Times New Roman" w:hAnsi="Times New Roman"/>
          <w:sz w:val="24"/>
        </w:rPr>
        <w:t>含协议</w:t>
      </w:r>
      <w:proofErr w:type="gramEnd"/>
      <w:r>
        <w:rPr>
          <w:rFonts w:ascii="Times New Roman" w:hAnsi="Times New Roman"/>
          <w:sz w:val="24"/>
        </w:rPr>
        <w:t>约定有条件提前支取的银行存款）、停牌股票、流通受限的新股</w:t>
      </w:r>
      <w:r>
        <w:rPr>
          <w:rFonts w:ascii="Times New Roman" w:hAnsi="Times New Roman"/>
          <w:sz w:val="24"/>
        </w:rPr>
        <w:lastRenderedPageBreak/>
        <w:t>及非公开发行股票、资产支持证券、因发行人债务违约无法进行转让或交易的债券等</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59</w:t>
      </w:r>
      <w:r>
        <w:rPr>
          <w:rFonts w:ascii="Times New Roman" w:hAnsi="Times New Roman"/>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60</w:t>
      </w:r>
      <w:r>
        <w:rPr>
          <w:rFonts w:ascii="Times New Roman" w:hAnsi="Times New Roman" w:hint="eastAsia"/>
          <w:sz w:val="24"/>
        </w:rPr>
        <w:t>、</w:t>
      </w:r>
      <w:proofErr w:type="gramStart"/>
      <w:r>
        <w:rPr>
          <w:rFonts w:ascii="Times New Roman" w:hAnsi="Times New Roman" w:hint="eastAsia"/>
          <w:sz w:val="24"/>
        </w:rPr>
        <w:t>侧袋机制</w:t>
      </w:r>
      <w:proofErr w:type="gramEnd"/>
      <w:r>
        <w:rPr>
          <w:rFonts w:ascii="Times New Roman" w:hAnsi="Times New Roman" w:hint="eastAsia"/>
          <w:sz w:val="24"/>
        </w:rPr>
        <w:t>：指将基金投资组合中的特定资产从原有账户分离至一个专门账户进行处置清算，目的在于有效隔离并化解风险，确保投资者得到公平对待，属于流动性风险管理工具。</w:t>
      </w:r>
      <w:proofErr w:type="gramStart"/>
      <w:r>
        <w:rPr>
          <w:rFonts w:ascii="Times New Roman" w:hAnsi="Times New Roman" w:hint="eastAsia"/>
          <w:sz w:val="24"/>
        </w:rPr>
        <w:t>侧袋机制</w:t>
      </w:r>
      <w:proofErr w:type="gramEnd"/>
      <w:r>
        <w:rPr>
          <w:rFonts w:ascii="Times New Roman" w:hAnsi="Times New Roman" w:hint="eastAsia"/>
          <w:sz w:val="24"/>
        </w:rPr>
        <w:t>实施期间，原有账户称为主袋账户，专门账户</w:t>
      </w:r>
      <w:proofErr w:type="gramStart"/>
      <w:r>
        <w:rPr>
          <w:rFonts w:ascii="Times New Roman" w:hAnsi="Times New Roman" w:hint="eastAsia"/>
          <w:sz w:val="24"/>
        </w:rPr>
        <w:t>称为侧袋账户</w:t>
      </w:r>
      <w:proofErr w:type="gramEnd"/>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61</w:t>
      </w:r>
      <w:r>
        <w:rPr>
          <w:rFonts w:ascii="Times New Roman" w:hAnsi="Times New Roman" w:hint="eastAsia"/>
          <w:sz w:val="24"/>
        </w:rPr>
        <w:t>、特定资产：包括：（一）无可参考的活跃市场价格且采用估值技术</w:t>
      </w:r>
      <w:proofErr w:type="gramStart"/>
      <w:r>
        <w:rPr>
          <w:rFonts w:ascii="Times New Roman" w:hAnsi="Times New Roman" w:hint="eastAsia"/>
          <w:sz w:val="24"/>
        </w:rPr>
        <w:t>仍导致</w:t>
      </w:r>
      <w:proofErr w:type="gramEnd"/>
      <w:r>
        <w:rPr>
          <w:rFonts w:ascii="Times New Roman" w:hAnsi="Times New Roman" w:hint="eastAsia"/>
          <w:sz w:val="24"/>
        </w:rPr>
        <w:t>公允价值存在重大不确定性的资产；（二）</w:t>
      </w:r>
      <w:proofErr w:type="gramStart"/>
      <w:r>
        <w:rPr>
          <w:rFonts w:ascii="Times New Roman" w:hAnsi="Times New Roman" w:hint="eastAsia"/>
          <w:sz w:val="24"/>
        </w:rPr>
        <w:t>按摊余成本</w:t>
      </w:r>
      <w:proofErr w:type="gramEnd"/>
      <w:r>
        <w:rPr>
          <w:rFonts w:ascii="Times New Roman" w:hAnsi="Times New Roman" w:hint="eastAsia"/>
          <w:sz w:val="24"/>
        </w:rPr>
        <w:t>计量且计提资产减值</w:t>
      </w:r>
      <w:proofErr w:type="gramStart"/>
      <w:r>
        <w:rPr>
          <w:rFonts w:ascii="Times New Roman" w:hAnsi="Times New Roman" w:hint="eastAsia"/>
          <w:sz w:val="24"/>
        </w:rPr>
        <w:t>准备仍导致</w:t>
      </w:r>
      <w:proofErr w:type="gramEnd"/>
      <w:r>
        <w:rPr>
          <w:rFonts w:ascii="Times New Roman" w:hAnsi="Times New Roman" w:hint="eastAsia"/>
          <w:sz w:val="24"/>
        </w:rPr>
        <w:t>资产价值存在重大不确定性的资产；（三）其他资产价值存在重大不确定性的资产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62</w:t>
      </w:r>
      <w:r>
        <w:rPr>
          <w:rFonts w:ascii="Times New Roman" w:hAnsi="Times New Roman" w:hint="eastAsia"/>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63</w:t>
      </w:r>
      <w:r>
        <w:rPr>
          <w:rFonts w:ascii="Times New Roman" w:hAnsi="Times New Roman" w:hint="eastAsia"/>
          <w:sz w:val="24"/>
        </w:rPr>
        <w:t>、</w:t>
      </w:r>
      <w:r>
        <w:rPr>
          <w:rFonts w:ascii="Times New Roman" w:hAnsi="Times New Roman"/>
          <w:sz w:val="24"/>
        </w:rPr>
        <w:t>不可抗力：指基金合同当事人不能预见、不能避免且不能克服的客观事件</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5" w:name="_Toc147840621"/>
      <w:bookmarkStart w:id="6" w:name="_GoBack"/>
      <w:bookmarkEnd w:id="6"/>
      <w:r>
        <w:rPr>
          <w:rFonts w:ascii="Times New Roman" w:hAnsi="Times New Roman"/>
          <w:sz w:val="30"/>
        </w:rPr>
        <w:lastRenderedPageBreak/>
        <w:t>三、基金管理人</w:t>
      </w:r>
      <w:bookmarkEnd w:id="5"/>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（一）基金管理人概况</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名称：交银施罗德基金管理有限公司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办公地址：上海市浦东</w:t>
      </w:r>
      <w:proofErr w:type="gramStart"/>
      <w:r>
        <w:rPr>
          <w:rFonts w:ascii="Times New Roman" w:hAnsi="Times New Roman"/>
          <w:sz w:val="24"/>
        </w:rPr>
        <w:t>新区世纪</w:t>
      </w:r>
      <w:proofErr w:type="gramEnd"/>
      <w:r>
        <w:rPr>
          <w:rFonts w:ascii="Times New Roman" w:hAnsi="Times New Roman"/>
          <w:sz w:val="24"/>
        </w:rPr>
        <w:t>大道</w:t>
      </w:r>
      <w:r>
        <w:rPr>
          <w:rFonts w:ascii="Times New Roman" w:hAnsi="Times New Roman"/>
          <w:sz w:val="24"/>
        </w:rPr>
        <w:t>8</w:t>
      </w:r>
      <w:r>
        <w:rPr>
          <w:rFonts w:ascii="Times New Roman" w:hAnsi="Times New Roman"/>
          <w:sz w:val="24"/>
        </w:rPr>
        <w:t>号国</w:t>
      </w:r>
      <w:proofErr w:type="gramStart"/>
      <w:r>
        <w:rPr>
          <w:rFonts w:ascii="Times New Roman" w:hAnsi="Times New Roman"/>
          <w:sz w:val="24"/>
        </w:rPr>
        <w:t>金中心</w:t>
      </w:r>
      <w:proofErr w:type="gramEnd"/>
      <w:r>
        <w:rPr>
          <w:rFonts w:ascii="Times New Roman" w:hAnsi="Times New Roman"/>
          <w:sz w:val="24"/>
        </w:rPr>
        <w:t>二期</w:t>
      </w:r>
      <w:r>
        <w:rPr>
          <w:rFonts w:ascii="Times New Roman" w:hAnsi="Times New Roman"/>
          <w:sz w:val="24"/>
        </w:rPr>
        <w:t>21-22</w:t>
      </w:r>
      <w:r>
        <w:rPr>
          <w:rFonts w:ascii="Times New Roman" w:hAnsi="Times New Roman"/>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邮政编码：</w:t>
      </w:r>
      <w:r>
        <w:rPr>
          <w:rFonts w:ascii="Times New Roman" w:hAnsi="Times New Roman"/>
          <w:sz w:val="24"/>
        </w:rPr>
        <w:t>200120</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法定代表人：</w:t>
      </w:r>
      <w:r>
        <w:rPr>
          <w:rFonts w:ascii="Times New Roman" w:hAnsi="Times New Roman" w:hint="eastAsia"/>
          <w:sz w:val="24"/>
        </w:rPr>
        <w:t>张宏良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成立时间：</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注册资本：</w:t>
      </w:r>
      <w:r>
        <w:rPr>
          <w:rFonts w:ascii="Times New Roman" w:hAnsi="Times New Roman"/>
          <w:sz w:val="24"/>
        </w:rPr>
        <w:t>2</w:t>
      </w:r>
      <w:r>
        <w:rPr>
          <w:rFonts w:ascii="Times New Roman" w:hAnsi="Times New Roman"/>
          <w:sz w:val="24"/>
        </w:rPr>
        <w:t>亿元人民币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存续期间：持续经营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联系人：</w:t>
      </w:r>
      <w:r>
        <w:rPr>
          <w:rFonts w:ascii="Times New Roman" w:hAnsi="Times New Roman" w:hint="eastAsia"/>
          <w:sz w:val="24"/>
        </w:rPr>
        <w:t>何佳妮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61055050</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61055034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交银施罗德基金管理有限公司（以下简称</w:t>
      </w:r>
      <w:r>
        <w:rPr>
          <w:rFonts w:ascii="Times New Roman" w:hAnsi="Times New Roman"/>
          <w:sz w:val="24"/>
        </w:rPr>
        <w:t>“</w:t>
      </w:r>
      <w:r>
        <w:rPr>
          <w:rFonts w:ascii="Times New Roman" w:hAnsi="Times New Roman"/>
          <w:sz w:val="24"/>
        </w:rPr>
        <w:t>公司</w:t>
      </w:r>
      <w:r>
        <w:rPr>
          <w:rFonts w:ascii="Times New Roman" w:hAnsi="Times New Roman"/>
          <w:sz w:val="24"/>
        </w:rPr>
        <w:t>”</w:t>
      </w:r>
      <w:r>
        <w:rPr>
          <w:rFonts w:ascii="Times New Roman" w:hAnsi="Times New Roman"/>
          <w:sz w:val="24"/>
        </w:rPr>
        <w:t>）经中国证监会证</w:t>
      </w:r>
      <w:proofErr w:type="gramStart"/>
      <w:r>
        <w:rPr>
          <w:rFonts w:ascii="Times New Roman" w:hAnsi="Times New Roman"/>
          <w:sz w:val="24"/>
        </w:rPr>
        <w:t>监基金字</w:t>
      </w:r>
      <w:proofErr w:type="gramEnd"/>
      <w:r>
        <w:rPr>
          <w:rFonts w:ascii="Times New Roman" w:hAnsi="Times New Roman"/>
          <w:sz w:val="24"/>
        </w:rPr>
        <w:t>[2005]128</w:t>
      </w:r>
      <w:r>
        <w:rPr>
          <w:rFonts w:ascii="Times New Roman" w:hAnsi="Times New Roman"/>
          <w:sz w:val="24"/>
        </w:rPr>
        <w:t>号文批准设立。公司股权结构如下：</w:t>
      </w:r>
    </w:p>
    <w:tbl>
      <w:tblPr>
        <w:tblW w:w="5000" w:type="pct"/>
        <w:tblCellMar>
          <w:left w:w="0" w:type="dxa"/>
          <w:right w:w="0" w:type="dxa"/>
        </w:tblCellMar>
        <w:tblLook w:val="04A0" w:firstRow="1" w:lastRow="0" w:firstColumn="1" w:lastColumn="0" w:noHBand="0" w:noVBand="1"/>
      </w:tblPr>
      <w:tblGrid>
        <w:gridCol w:w="4325"/>
        <w:gridCol w:w="4325"/>
      </w:tblGrid>
      <w:tr w:rsidR="009A470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股权比例</w:t>
            </w:r>
          </w:p>
        </w:tc>
      </w:tr>
      <w:tr w:rsidR="009A470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65%</w:t>
            </w:r>
          </w:p>
        </w:tc>
      </w:tr>
      <w:tr w:rsidR="009A470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30%</w:t>
            </w:r>
          </w:p>
        </w:tc>
      </w:tr>
      <w:tr w:rsidR="009A470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5%</w:t>
            </w:r>
          </w:p>
        </w:tc>
      </w:tr>
    </w:tbl>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（二）主要成员情况</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 w:val="24"/>
        </w:rPr>
      </w:pPr>
      <w:r w:rsidRPr="00EB004A">
        <w:rPr>
          <w:rFonts w:ascii="Times New Roman" w:hAnsi="Times New Roman"/>
          <w:sz w:val="24"/>
        </w:rPr>
        <w:t>1</w:t>
      </w:r>
      <w:r w:rsidRPr="00EB004A">
        <w:rPr>
          <w:rFonts w:ascii="Times New Roman" w:hAnsi="Times New Roman" w:hint="eastAsia"/>
          <w:sz w:val="24"/>
        </w:rPr>
        <w:t>、基金管理人董事会成员</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张宏良先生，董事长，硕士，高级经济师。历任中国太平洋人寿保险公司乌鲁木齐分公司、河南（郑州）分公司、上海分公司党委书记、总经理，交银人寿保险有限公司党委书记、董事长、总裁，兼任交银康</w:t>
      </w:r>
      <w:proofErr w:type="gramStart"/>
      <w:r w:rsidRPr="00DB3E79">
        <w:rPr>
          <w:rFonts w:ascii="Times New Roman" w:hAnsi="Times New Roman" w:hint="eastAsia"/>
          <w:kern w:val="0"/>
          <w:sz w:val="24"/>
        </w:rPr>
        <w:t>联资产</w:t>
      </w:r>
      <w:proofErr w:type="gramEnd"/>
      <w:r w:rsidRPr="00DB3E79">
        <w:rPr>
          <w:rFonts w:ascii="Times New Roman" w:hAnsi="Times New Roman" w:hint="eastAsia"/>
          <w:kern w:val="0"/>
          <w:sz w:val="24"/>
        </w:rPr>
        <w:t>管理有限公司董事长，交银理财有限责任公司党委书记、董事长。</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夏华龙先生，董事，博士，现任交通银行选派子公司股权董事，历任交通银行</w:t>
      </w:r>
      <w:r w:rsidRPr="00DB3E79">
        <w:rPr>
          <w:rFonts w:ascii="Times New Roman" w:hAnsi="Times New Roman" w:hint="eastAsia"/>
          <w:kern w:val="0"/>
          <w:sz w:val="24"/>
        </w:rPr>
        <w:lastRenderedPageBreak/>
        <w:t>总行托管部基金业务部内控综合处副处长、资产委托高级经理、保险及养老金高级经理、资产托管部副总经理，交银施罗德基金管理有限公司党委委员、副总经理、首席信息官，交通银行总行养老金融部总经理。</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杜伟麒（</w:t>
      </w:r>
      <w:r w:rsidRPr="00DB3E79">
        <w:rPr>
          <w:rFonts w:ascii="Times New Roman" w:hAnsi="Times New Roman"/>
          <w:kern w:val="0"/>
          <w:sz w:val="24"/>
        </w:rPr>
        <w:t>Chris Durack</w:t>
      </w:r>
      <w:r w:rsidRPr="00DB3E79">
        <w:rPr>
          <w:rFonts w:ascii="Times New Roman" w:hAnsi="Times New Roman" w:hint="eastAsia"/>
          <w:kern w:val="0"/>
          <w:sz w:val="24"/>
        </w:rPr>
        <w:t>）先生，董事，硕士。现任施罗德投资亚太区行政总裁。历任施罗德投资澳大利亚董事</w:t>
      </w:r>
      <w:proofErr w:type="gramStart"/>
      <w:r w:rsidRPr="00DB3E79">
        <w:rPr>
          <w:rFonts w:ascii="Times New Roman" w:hAnsi="Times New Roman" w:hint="eastAsia"/>
          <w:kern w:val="0"/>
          <w:sz w:val="24"/>
        </w:rPr>
        <w:t>兼产品</w:t>
      </w:r>
      <w:proofErr w:type="gramEnd"/>
      <w:r w:rsidRPr="00DB3E79">
        <w:rPr>
          <w:rFonts w:ascii="Times New Roman" w:hAnsi="Times New Roman" w:hint="eastAsia"/>
          <w:kern w:val="0"/>
          <w:sz w:val="24"/>
        </w:rPr>
        <w:t>及分销主管、香港行政总裁兼亚太区机构业务主管、澳大利亚行政总裁兼亚太区联席主管等职。</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章骏翔先生，副董事长，硕士，美国特许金融分析师</w:t>
      </w:r>
      <w:r w:rsidRPr="00DB3E79">
        <w:rPr>
          <w:rFonts w:ascii="Times New Roman" w:hAnsi="Times New Roman"/>
          <w:kern w:val="0"/>
          <w:sz w:val="24"/>
        </w:rPr>
        <w:t>(CFA)</w:t>
      </w:r>
      <w:r w:rsidRPr="00DB3E79">
        <w:rPr>
          <w:rFonts w:ascii="Times New Roman" w:hAnsi="Times New Roman" w:hint="eastAsia"/>
          <w:kern w:val="0"/>
          <w:sz w:val="24"/>
        </w:rPr>
        <w:t>持证人。现任施罗德投资管理</w:t>
      </w:r>
      <w:r w:rsidRPr="00DB3E79">
        <w:rPr>
          <w:rFonts w:ascii="Times New Roman" w:hAnsi="Times New Roman"/>
          <w:kern w:val="0"/>
          <w:sz w:val="24"/>
        </w:rPr>
        <w:t>(</w:t>
      </w:r>
      <w:r w:rsidRPr="00DB3E79">
        <w:rPr>
          <w:rFonts w:ascii="Times New Roman" w:hAnsi="Times New Roman" w:hint="eastAsia"/>
          <w:kern w:val="0"/>
          <w:sz w:val="24"/>
        </w:rPr>
        <w:t>香港</w:t>
      </w:r>
      <w:r w:rsidRPr="00DB3E79">
        <w:rPr>
          <w:rFonts w:ascii="Times New Roman" w:hAnsi="Times New Roman"/>
          <w:kern w:val="0"/>
          <w:sz w:val="24"/>
        </w:rPr>
        <w:t>)</w:t>
      </w:r>
      <w:r w:rsidRPr="00DB3E79">
        <w:rPr>
          <w:rFonts w:ascii="Times New Roman" w:hAnsi="Times New Roman" w:hint="eastAsia"/>
          <w:kern w:val="0"/>
          <w:sz w:val="24"/>
        </w:rPr>
        <w:t>有限公司亚洲投资风险主管。历任渣打银行（香港）交易风险监控，华宝兴业基金管理有限公司风险管理部总经理，法国安盛投资管理（香港）有限公司亚洲风险经理等职。</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郝爱群女士，独立董事，学士。历任人民银行稽核司副处长、处长，合作司调研员，</w:t>
      </w:r>
      <w:proofErr w:type="gramStart"/>
      <w:r w:rsidRPr="00DB3E79">
        <w:rPr>
          <w:rFonts w:ascii="Times New Roman" w:hAnsi="Times New Roman" w:hint="eastAsia"/>
          <w:kern w:val="0"/>
          <w:sz w:val="24"/>
        </w:rPr>
        <w:t>非银司副</w:t>
      </w:r>
      <w:proofErr w:type="gramEnd"/>
      <w:r w:rsidRPr="00DB3E79">
        <w:rPr>
          <w:rFonts w:ascii="Times New Roman" w:hAnsi="Times New Roman" w:hint="eastAsia"/>
          <w:kern w:val="0"/>
          <w:sz w:val="24"/>
        </w:rPr>
        <w:t>巡视员、副司长，银监会</w:t>
      </w:r>
      <w:proofErr w:type="gramStart"/>
      <w:r w:rsidRPr="00DB3E79">
        <w:rPr>
          <w:rFonts w:ascii="Times New Roman" w:hAnsi="Times New Roman" w:hint="eastAsia"/>
          <w:kern w:val="0"/>
          <w:sz w:val="24"/>
        </w:rPr>
        <w:t>非银部副</w:t>
      </w:r>
      <w:proofErr w:type="gramEnd"/>
      <w:r w:rsidRPr="00DB3E79">
        <w:rPr>
          <w:rFonts w:ascii="Times New Roman" w:hAnsi="Times New Roman" w:hint="eastAsia"/>
          <w:kern w:val="0"/>
          <w:sz w:val="24"/>
        </w:rPr>
        <w:t>主任，银行监管一部副主任、巡视员，汇金公司派出董事。</w:t>
      </w:r>
    </w:p>
    <w:p w:rsidR="00EB004A"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张子学先生，独立董事，博士。现任中国政法</w:t>
      </w:r>
      <w:proofErr w:type="gramStart"/>
      <w:r w:rsidRPr="00DB3E79">
        <w:rPr>
          <w:rFonts w:ascii="Times New Roman" w:hAnsi="Times New Roman" w:hint="eastAsia"/>
          <w:kern w:val="0"/>
          <w:sz w:val="24"/>
        </w:rPr>
        <w:t>大学民商经济</w:t>
      </w:r>
      <w:proofErr w:type="gramEnd"/>
      <w:r w:rsidRPr="00DB3E79">
        <w:rPr>
          <w:rFonts w:ascii="Times New Roman" w:hAnsi="Times New Roman" w:hint="eastAsia"/>
          <w:kern w:val="0"/>
          <w:sz w:val="24"/>
        </w:rPr>
        <w:t>法学院教授，兼任基金业协会自律监察委员会委员。历任证监会办公厅副处长、上市公司</w:t>
      </w:r>
      <w:proofErr w:type="gramStart"/>
      <w:r w:rsidRPr="00DB3E79">
        <w:rPr>
          <w:rFonts w:ascii="Times New Roman" w:hAnsi="Times New Roman" w:hint="eastAsia"/>
          <w:kern w:val="0"/>
          <w:sz w:val="24"/>
        </w:rPr>
        <w:t>监管部</w:t>
      </w:r>
      <w:proofErr w:type="gramEnd"/>
      <w:r w:rsidRPr="00DB3E79">
        <w:rPr>
          <w:rFonts w:ascii="Times New Roman" w:hAnsi="Times New Roman" w:hint="eastAsia"/>
          <w:kern w:val="0"/>
          <w:sz w:val="24"/>
        </w:rPr>
        <w:t>处长、行政处罚委员会专职委员、副主任审理员，兼任证监会上市公司并购重组审核委员会委员、行政复议委员会委员。</w:t>
      </w:r>
    </w:p>
    <w:p w:rsidR="009A4701" w:rsidRPr="00DB3E79" w:rsidRDefault="00EB004A" w:rsidP="00EB004A">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黎建强先生，独立董事，博士，教育部长</w:t>
      </w:r>
      <w:proofErr w:type="gramStart"/>
      <w:r w:rsidRPr="00DB3E79">
        <w:rPr>
          <w:rFonts w:ascii="Times New Roman" w:hAnsi="Times New Roman" w:hint="eastAsia"/>
          <w:kern w:val="0"/>
          <w:sz w:val="24"/>
        </w:rPr>
        <w:t>江学者</w:t>
      </w:r>
      <w:proofErr w:type="gramEnd"/>
      <w:r w:rsidRPr="00DB3E79">
        <w:rPr>
          <w:rFonts w:ascii="Times New Roman" w:hAnsi="Times New Roman" w:hint="eastAsia"/>
          <w:kern w:val="0"/>
          <w:sz w:val="24"/>
        </w:rPr>
        <w:t>讲座教授。现任香港大学工业工程系荣誉教授，亚洲风险</w:t>
      </w:r>
      <w:proofErr w:type="gramStart"/>
      <w:r w:rsidRPr="00DB3E79">
        <w:rPr>
          <w:rFonts w:ascii="Times New Roman" w:hAnsi="Times New Roman" w:hint="eastAsia"/>
          <w:kern w:val="0"/>
          <w:sz w:val="24"/>
        </w:rPr>
        <w:t>及危机</w:t>
      </w:r>
      <w:proofErr w:type="gramEnd"/>
      <w:r w:rsidRPr="00DB3E79">
        <w:rPr>
          <w:rFonts w:ascii="Times New Roman" w:hAnsi="Times New Roman" w:hint="eastAsia"/>
          <w:kern w:val="0"/>
          <w:sz w:val="24"/>
        </w:rPr>
        <w:t>管理协会主席，兼任深交所上市的中联重科集团独立非执行董事。历任香港城市大学管理科学讲座教授，湖南省政协委员并兼任湖南大学工商管理学院院长。</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kern w:val="0"/>
          <w:sz w:val="24"/>
        </w:rPr>
        <w:t>2</w:t>
      </w:r>
      <w:r w:rsidRPr="00DB3E79">
        <w:rPr>
          <w:rFonts w:ascii="Times New Roman" w:hAnsi="Times New Roman" w:hint="eastAsia"/>
          <w:kern w:val="0"/>
          <w:sz w:val="24"/>
        </w:rPr>
        <w:t>、基金管理人高级管理人员</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袁庆伟女士，总经理。简历同上。</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w:t>
      </w:r>
      <w:proofErr w:type="gramStart"/>
      <w:r w:rsidRPr="00DB3E79">
        <w:rPr>
          <w:rFonts w:ascii="Times New Roman" w:hAnsi="Times New Roman" w:hint="eastAsia"/>
          <w:kern w:val="0"/>
          <w:sz w:val="24"/>
        </w:rPr>
        <w:t>风控副</w:t>
      </w:r>
      <w:proofErr w:type="gramEnd"/>
      <w:r w:rsidRPr="00DB3E79">
        <w:rPr>
          <w:rFonts w:ascii="Times New Roman" w:hAnsi="Times New Roman" w:hint="eastAsia"/>
          <w:kern w:val="0"/>
          <w:sz w:val="24"/>
        </w:rPr>
        <w:t>总监、投资运营总监。</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lastRenderedPageBreak/>
        <w:t>马俊先生，副总经理，硕士。历任交通银行总行投资管理部高级投资分析、副高级经理，交银施罗德基金管理有限公司总裁办公室总经理、研究部副总经理、研究总监、综合管理部总经理。</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4</w:t>
      </w:r>
      <w:r w:rsidRPr="00EB004A">
        <w:rPr>
          <w:rFonts w:ascii="Times New Roman" w:hAnsi="Times New Roman"/>
          <w:sz w:val="24"/>
        </w:rPr>
        <w:t>、本</w:t>
      </w:r>
      <w:proofErr w:type="gramStart"/>
      <w:r w:rsidRPr="00EB004A">
        <w:rPr>
          <w:rFonts w:ascii="Times New Roman" w:hAnsi="Times New Roman"/>
          <w:sz w:val="24"/>
        </w:rPr>
        <w:t>基金基金</w:t>
      </w:r>
      <w:proofErr w:type="gramEnd"/>
      <w:r w:rsidRPr="00EB004A">
        <w:rPr>
          <w:rFonts w:ascii="Times New Roman" w:hAnsi="Times New Roman"/>
          <w:sz w:val="24"/>
        </w:rPr>
        <w:t>经理</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邵文婷女士</w:t>
      </w:r>
      <w:r w:rsidRPr="00EB004A">
        <w:rPr>
          <w:rFonts w:ascii="Times New Roman" w:hAnsi="Times New Roman"/>
          <w:sz w:val="24"/>
        </w:rPr>
        <w:t>:</w:t>
      </w:r>
      <w:r w:rsidR="00170706" w:rsidRPr="00DB3E79">
        <w:rPr>
          <w:rFonts w:ascii="Times New Roman" w:hAnsi="Times New Roman"/>
        </w:rPr>
        <w:t xml:space="preserve"> </w:t>
      </w:r>
      <w:proofErr w:type="gramStart"/>
      <w:r w:rsidR="00170706" w:rsidRPr="00EB004A">
        <w:rPr>
          <w:rFonts w:ascii="Times New Roman" w:hAnsi="Times New Roman" w:hint="eastAsia"/>
          <w:sz w:val="24"/>
        </w:rPr>
        <w:t>多资产</w:t>
      </w:r>
      <w:proofErr w:type="gramEnd"/>
      <w:r w:rsidR="00170706" w:rsidRPr="00EB004A">
        <w:rPr>
          <w:rFonts w:ascii="Times New Roman" w:hAnsi="Times New Roman" w:hint="eastAsia"/>
          <w:sz w:val="24"/>
        </w:rPr>
        <w:t>研究部副总监、</w:t>
      </w:r>
      <w:r w:rsidRPr="00EB004A">
        <w:rPr>
          <w:rFonts w:ascii="Times New Roman" w:hAnsi="Times New Roman"/>
          <w:sz w:val="24"/>
        </w:rPr>
        <w:t>基金经理。英国诺丁汉大学金融与投资硕士、西南财经大学数学与经济学双学士。</w:t>
      </w:r>
      <w:r w:rsidRPr="00EB004A">
        <w:rPr>
          <w:rFonts w:ascii="Times New Roman" w:hAnsi="Times New Roman"/>
          <w:sz w:val="24"/>
        </w:rPr>
        <w:t>9</w:t>
      </w:r>
      <w:r w:rsidRPr="00EB004A">
        <w:rPr>
          <w:rFonts w:ascii="Times New Roman" w:hAnsi="Times New Roman"/>
          <w:sz w:val="24"/>
        </w:rPr>
        <w:t>年证券投资行业从业经验。</w:t>
      </w:r>
      <w:r w:rsidRPr="00EB004A">
        <w:rPr>
          <w:rFonts w:ascii="Times New Roman" w:hAnsi="Times New Roman"/>
          <w:sz w:val="24"/>
        </w:rPr>
        <w:t>2016</w:t>
      </w:r>
      <w:r w:rsidRPr="00EB004A">
        <w:rPr>
          <w:rFonts w:ascii="Times New Roman" w:hAnsi="Times New Roman"/>
          <w:sz w:val="24"/>
        </w:rPr>
        <w:t>年加入交银施罗德基金管理有限公司，曾任量化投资部研究员、投资经理，现任量化投资</w:t>
      </w:r>
      <w:proofErr w:type="gramStart"/>
      <w:r w:rsidRPr="00EB004A">
        <w:rPr>
          <w:rFonts w:ascii="Times New Roman" w:hAnsi="Times New Roman"/>
          <w:sz w:val="24"/>
        </w:rPr>
        <w:t>部基金</w:t>
      </w:r>
      <w:proofErr w:type="gramEnd"/>
      <w:r w:rsidRPr="00EB004A">
        <w:rPr>
          <w:rFonts w:ascii="Times New Roman" w:hAnsi="Times New Roman"/>
          <w:sz w:val="24"/>
        </w:rPr>
        <w:t>经理。</w:t>
      </w:r>
      <w:proofErr w:type="gramStart"/>
      <w:r w:rsidRPr="00EB004A">
        <w:rPr>
          <w:rFonts w:ascii="Times New Roman" w:hAnsi="Times New Roman" w:hint="eastAsia"/>
          <w:sz w:val="24"/>
        </w:rPr>
        <w:t>曾任交银</w:t>
      </w:r>
      <w:proofErr w:type="gramEnd"/>
      <w:r w:rsidRPr="00EB004A">
        <w:rPr>
          <w:rFonts w:ascii="Times New Roman" w:hAnsi="Times New Roman" w:hint="eastAsia"/>
          <w:sz w:val="24"/>
        </w:rPr>
        <w:t>施罗德定期支付月月丰债券型证券投资基金</w:t>
      </w:r>
      <w:r w:rsidRPr="00EB004A">
        <w:rPr>
          <w:rFonts w:ascii="Times New Roman" w:hAnsi="Times New Roman" w:hint="eastAsia"/>
          <w:sz w:val="24"/>
        </w:rPr>
        <w:t>(2022</w:t>
      </w:r>
      <w:r w:rsidRPr="00EB004A">
        <w:rPr>
          <w:rFonts w:ascii="Times New Roman" w:hAnsi="Times New Roman" w:hint="eastAsia"/>
          <w:sz w:val="24"/>
        </w:rPr>
        <w:t>年</w:t>
      </w:r>
      <w:r w:rsidRPr="00EB004A">
        <w:rPr>
          <w:rFonts w:ascii="Times New Roman" w:hAnsi="Times New Roman" w:hint="eastAsia"/>
          <w:sz w:val="24"/>
        </w:rPr>
        <w:t>11</w:t>
      </w:r>
      <w:r w:rsidRPr="00EB004A">
        <w:rPr>
          <w:rFonts w:ascii="Times New Roman" w:hAnsi="Times New Roman" w:hint="eastAsia"/>
          <w:sz w:val="24"/>
        </w:rPr>
        <w:t>月</w:t>
      </w:r>
      <w:r w:rsidRPr="00EB004A">
        <w:rPr>
          <w:rFonts w:ascii="Times New Roman" w:hAnsi="Times New Roman" w:hint="eastAsia"/>
          <w:sz w:val="24"/>
        </w:rPr>
        <w:t>30</w:t>
      </w:r>
      <w:r w:rsidRPr="00EB004A">
        <w:rPr>
          <w:rFonts w:ascii="Times New Roman" w:hAnsi="Times New Roman" w:hint="eastAsia"/>
          <w:sz w:val="24"/>
        </w:rPr>
        <w:t>日至</w:t>
      </w:r>
      <w:r w:rsidRPr="00EB004A">
        <w:rPr>
          <w:rFonts w:ascii="Times New Roman" w:hAnsi="Times New Roman" w:hint="eastAsia"/>
          <w:sz w:val="24"/>
        </w:rPr>
        <w:t>2024</w:t>
      </w:r>
      <w:r w:rsidRPr="00EB004A">
        <w:rPr>
          <w:rFonts w:ascii="Times New Roman" w:hAnsi="Times New Roman" w:hint="eastAsia"/>
          <w:sz w:val="24"/>
        </w:rPr>
        <w:t>年</w:t>
      </w:r>
      <w:r w:rsidRPr="00EB004A">
        <w:rPr>
          <w:rFonts w:ascii="Times New Roman" w:hAnsi="Times New Roman" w:hint="eastAsia"/>
          <w:sz w:val="24"/>
        </w:rPr>
        <w:t>12</w:t>
      </w:r>
      <w:r w:rsidRPr="00EB004A">
        <w:rPr>
          <w:rFonts w:ascii="Times New Roman" w:hAnsi="Times New Roman" w:hint="eastAsia"/>
          <w:sz w:val="24"/>
        </w:rPr>
        <w:t>月</w:t>
      </w:r>
      <w:r w:rsidRPr="00EB004A">
        <w:rPr>
          <w:rFonts w:ascii="Times New Roman" w:hAnsi="Times New Roman" w:hint="eastAsia"/>
          <w:sz w:val="24"/>
        </w:rPr>
        <w:t>27</w:t>
      </w:r>
      <w:r w:rsidRPr="00EB004A">
        <w:rPr>
          <w:rFonts w:ascii="Times New Roman" w:hAnsi="Times New Roman" w:hint="eastAsia"/>
          <w:sz w:val="24"/>
        </w:rPr>
        <w:t>日</w:t>
      </w:r>
      <w:r w:rsidRPr="00EB004A">
        <w:rPr>
          <w:rFonts w:ascii="Times New Roman" w:hAnsi="Times New Roman" w:hint="eastAsia"/>
          <w:sz w:val="24"/>
        </w:rPr>
        <w:t>)</w:t>
      </w:r>
      <w:r w:rsidRPr="00EB004A">
        <w:rPr>
          <w:rFonts w:ascii="Times New Roman" w:hAnsi="Times New Roman" w:hint="eastAsia"/>
          <w:sz w:val="24"/>
        </w:rPr>
        <w:t>的基金经理。</w:t>
      </w:r>
      <w:r w:rsidRPr="00EB004A">
        <w:rPr>
          <w:rFonts w:ascii="Times New Roman" w:hAnsi="Times New Roman"/>
          <w:sz w:val="24"/>
        </w:rPr>
        <w:t>现任交银施罗德深证</w:t>
      </w:r>
      <w:r w:rsidRPr="00EB004A">
        <w:rPr>
          <w:rFonts w:ascii="Times New Roman" w:hAnsi="Times New Roman"/>
          <w:sz w:val="24"/>
        </w:rPr>
        <w:t>300</w:t>
      </w:r>
      <w:r w:rsidRPr="00EB004A">
        <w:rPr>
          <w:rFonts w:ascii="Times New Roman" w:hAnsi="Times New Roman"/>
          <w:sz w:val="24"/>
        </w:rPr>
        <w:t>价值交易型开放式指数证券投资基金联接基金</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、交银施罗德上证</w:t>
      </w:r>
      <w:r w:rsidRPr="00EB004A">
        <w:rPr>
          <w:rFonts w:ascii="Times New Roman" w:hAnsi="Times New Roman"/>
          <w:sz w:val="24"/>
        </w:rPr>
        <w:t>180</w:t>
      </w:r>
      <w:r w:rsidRPr="00EB004A">
        <w:rPr>
          <w:rFonts w:ascii="Times New Roman" w:hAnsi="Times New Roman"/>
          <w:sz w:val="24"/>
        </w:rPr>
        <w:t>公司治理交易型开放式指数证券投资基金联接基金</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、深证</w:t>
      </w:r>
      <w:r w:rsidRPr="00EB004A">
        <w:rPr>
          <w:rFonts w:ascii="Times New Roman" w:hAnsi="Times New Roman"/>
          <w:sz w:val="24"/>
        </w:rPr>
        <w:t>300</w:t>
      </w:r>
      <w:r w:rsidRPr="00EB004A">
        <w:rPr>
          <w:rFonts w:ascii="Times New Roman" w:hAnsi="Times New Roman"/>
          <w:sz w:val="24"/>
        </w:rPr>
        <w:t>价值交易型开放式指数证券投资基金</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、交银施罗德中</w:t>
      </w:r>
      <w:proofErr w:type="gramStart"/>
      <w:r w:rsidRPr="00EB004A">
        <w:rPr>
          <w:rFonts w:ascii="Times New Roman" w:hAnsi="Times New Roman"/>
          <w:sz w:val="24"/>
        </w:rPr>
        <w:t>证海外</w:t>
      </w:r>
      <w:proofErr w:type="gramEnd"/>
      <w:r w:rsidRPr="00EB004A">
        <w:rPr>
          <w:rFonts w:ascii="Times New Roman" w:hAnsi="Times New Roman"/>
          <w:sz w:val="24"/>
        </w:rPr>
        <w:t>中国互联网指数型证券投资基金</w:t>
      </w:r>
      <w:r w:rsidRPr="00EB004A">
        <w:rPr>
          <w:rFonts w:ascii="Times New Roman" w:hAnsi="Times New Roman"/>
          <w:sz w:val="24"/>
        </w:rPr>
        <w:t>(LOF)(2021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w:t>
      </w:r>
      <w:proofErr w:type="gramStart"/>
      <w:r w:rsidRPr="00EB004A">
        <w:rPr>
          <w:rFonts w:ascii="Times New Roman" w:hAnsi="Times New Roman"/>
          <w:sz w:val="24"/>
        </w:rPr>
        <w:t>交银施罗</w:t>
      </w:r>
      <w:proofErr w:type="gramEnd"/>
      <w:r w:rsidRPr="00EB004A">
        <w:rPr>
          <w:rFonts w:ascii="Times New Roman" w:hAnsi="Times New Roman"/>
          <w:sz w:val="24"/>
        </w:rPr>
        <w:t>德国证新能源指数证券投资基金（</w:t>
      </w:r>
      <w:r w:rsidRPr="00EB004A">
        <w:rPr>
          <w:rFonts w:ascii="Times New Roman" w:hAnsi="Times New Roman"/>
          <w:sz w:val="24"/>
        </w:rPr>
        <w:t>LOF</w:t>
      </w:r>
      <w:r w:rsidRPr="00EB004A">
        <w:rPr>
          <w:rFonts w:ascii="Times New Roman" w:hAnsi="Times New Roman"/>
          <w:sz w:val="24"/>
        </w:rPr>
        <w:t>）</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、上证</w:t>
      </w:r>
      <w:r w:rsidRPr="00EB004A">
        <w:rPr>
          <w:rFonts w:ascii="Times New Roman" w:hAnsi="Times New Roman"/>
          <w:sz w:val="24"/>
        </w:rPr>
        <w:t>180</w:t>
      </w:r>
      <w:r w:rsidRPr="00EB004A">
        <w:rPr>
          <w:rFonts w:ascii="Times New Roman" w:hAnsi="Times New Roman"/>
          <w:sz w:val="24"/>
        </w:rPr>
        <w:t>公司治理交易型开放式指数证券投资基金</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、交银施罗德创业板</w:t>
      </w:r>
      <w:r w:rsidRPr="00EB004A">
        <w:rPr>
          <w:rFonts w:ascii="Times New Roman" w:hAnsi="Times New Roman"/>
          <w:sz w:val="24"/>
        </w:rPr>
        <w:t>50</w:t>
      </w:r>
      <w:r w:rsidRPr="00EB004A">
        <w:rPr>
          <w:rFonts w:ascii="Times New Roman" w:hAnsi="Times New Roman"/>
          <w:sz w:val="24"/>
        </w:rPr>
        <w:t>指数型证券投资基金</w:t>
      </w:r>
      <w:r w:rsidRPr="00EB004A">
        <w:rPr>
          <w:rFonts w:ascii="Times New Roman" w:hAnsi="Times New Roman"/>
          <w:sz w:val="24"/>
        </w:rPr>
        <w:t>(2021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sz w:val="24"/>
        </w:rPr>
        <w:t>、交银施罗德中</w:t>
      </w:r>
      <w:proofErr w:type="gramStart"/>
      <w:r w:rsidRPr="00EB004A">
        <w:rPr>
          <w:rFonts w:ascii="Times New Roman" w:hAnsi="Times New Roman"/>
          <w:sz w:val="24"/>
        </w:rPr>
        <w:t>证环境</w:t>
      </w:r>
      <w:proofErr w:type="gramEnd"/>
      <w:r w:rsidRPr="00EB004A">
        <w:rPr>
          <w:rFonts w:ascii="Times New Roman" w:hAnsi="Times New Roman"/>
          <w:sz w:val="24"/>
        </w:rPr>
        <w:t>治理指数型证券投资基金</w:t>
      </w:r>
      <w:r w:rsidRPr="00EB004A">
        <w:rPr>
          <w:rFonts w:ascii="Times New Roman" w:hAnsi="Times New Roman"/>
          <w:sz w:val="24"/>
        </w:rPr>
        <w:t>(LOF)(2021</w:t>
      </w:r>
      <w:r w:rsidRPr="00EB004A">
        <w:rPr>
          <w:rFonts w:ascii="Times New Roman" w:hAnsi="Times New Roman"/>
          <w:sz w:val="24"/>
        </w:rPr>
        <w:t>年</w:t>
      </w:r>
      <w:r w:rsidRPr="00EB004A">
        <w:rPr>
          <w:rFonts w:ascii="Times New Roman" w:hAnsi="Times New Roman"/>
          <w:sz w:val="24"/>
        </w:rPr>
        <w:t>04</w:t>
      </w:r>
      <w:r w:rsidRPr="00EB004A">
        <w:rPr>
          <w:rFonts w:ascii="Times New Roman" w:hAnsi="Times New Roman"/>
          <w:sz w:val="24"/>
        </w:rPr>
        <w:t>月</w:t>
      </w:r>
      <w:r w:rsidRPr="00EB004A">
        <w:rPr>
          <w:rFonts w:ascii="Times New Roman" w:hAnsi="Times New Roman"/>
          <w:sz w:val="24"/>
        </w:rPr>
        <w:t>30</w:t>
      </w:r>
      <w:r w:rsidRPr="00EB004A">
        <w:rPr>
          <w:rFonts w:ascii="Times New Roman" w:hAnsi="Times New Roman"/>
          <w:sz w:val="24"/>
        </w:rPr>
        <w:t>日至今</w:t>
      </w:r>
      <w:r w:rsidRPr="00EB004A">
        <w:rPr>
          <w:rFonts w:ascii="Times New Roman" w:hAnsi="Times New Roman"/>
          <w:sz w:val="24"/>
        </w:rPr>
        <w:t>)</w:t>
      </w:r>
      <w:r w:rsidRPr="00EB004A">
        <w:rPr>
          <w:rFonts w:ascii="Times New Roman" w:hAnsi="Times New Roman" w:hint="eastAsia"/>
          <w:sz w:val="24"/>
        </w:rPr>
        <w:t>、交银施罗德中证红利低波动</w:t>
      </w:r>
      <w:r w:rsidRPr="00EB004A">
        <w:rPr>
          <w:rFonts w:ascii="Times New Roman" w:hAnsi="Times New Roman"/>
          <w:sz w:val="24"/>
        </w:rPr>
        <w:t>100</w:t>
      </w:r>
      <w:r w:rsidRPr="00EB004A">
        <w:rPr>
          <w:rFonts w:ascii="Times New Roman" w:hAnsi="Times New Roman" w:hint="eastAsia"/>
          <w:sz w:val="24"/>
        </w:rPr>
        <w:t>指数型证券投资基金</w:t>
      </w:r>
      <w:r w:rsidRPr="00EB004A">
        <w:rPr>
          <w:rFonts w:ascii="Times New Roman" w:hAnsi="Times New Roman"/>
          <w:sz w:val="24"/>
        </w:rPr>
        <w:t>(2024</w:t>
      </w:r>
      <w:r w:rsidRPr="00EB004A">
        <w:rPr>
          <w:rFonts w:ascii="Times New Roman" w:hAnsi="Times New Roman" w:hint="eastAsia"/>
          <w:sz w:val="24"/>
        </w:rPr>
        <w:t>年</w:t>
      </w:r>
      <w:r w:rsidRPr="00EB004A">
        <w:rPr>
          <w:rFonts w:ascii="Times New Roman" w:hAnsi="Times New Roman" w:hint="eastAsia"/>
          <w:sz w:val="24"/>
        </w:rPr>
        <w:t>0</w:t>
      </w:r>
      <w:r w:rsidRPr="00EB004A">
        <w:rPr>
          <w:rFonts w:ascii="Times New Roman" w:hAnsi="Times New Roman"/>
          <w:sz w:val="24"/>
        </w:rPr>
        <w:t>3</w:t>
      </w:r>
      <w:r w:rsidRPr="00EB004A">
        <w:rPr>
          <w:rFonts w:ascii="Times New Roman" w:hAnsi="Times New Roman" w:hint="eastAsia"/>
          <w:sz w:val="24"/>
        </w:rPr>
        <w:t>月</w:t>
      </w:r>
      <w:r w:rsidRPr="00EB004A">
        <w:rPr>
          <w:rFonts w:ascii="Times New Roman" w:hAnsi="Times New Roman"/>
          <w:sz w:val="24"/>
        </w:rPr>
        <w:t>15</w:t>
      </w:r>
      <w:r w:rsidRPr="00EB004A">
        <w:rPr>
          <w:rFonts w:ascii="Times New Roman" w:hAnsi="Times New Roman" w:hint="eastAsia"/>
          <w:sz w:val="24"/>
        </w:rPr>
        <w:t>日至今</w:t>
      </w:r>
      <w:r w:rsidRPr="00EB004A">
        <w:rPr>
          <w:rFonts w:ascii="Times New Roman" w:hAnsi="Times New Roman"/>
          <w:sz w:val="24"/>
        </w:rPr>
        <w:t>)</w:t>
      </w:r>
      <w:r w:rsidRPr="00DB3E79">
        <w:rPr>
          <w:rFonts w:ascii="Times New Roman" w:hAnsi="Times New Roman"/>
        </w:rPr>
        <w:t xml:space="preserve"> </w:t>
      </w:r>
      <w:r w:rsidRPr="00EB004A">
        <w:rPr>
          <w:rFonts w:ascii="Times New Roman" w:hAnsi="Times New Roman" w:hint="eastAsia"/>
          <w:sz w:val="24"/>
        </w:rPr>
        <w:t>、交银施罗德中证</w:t>
      </w:r>
      <w:r w:rsidRPr="00EB004A">
        <w:rPr>
          <w:rFonts w:ascii="Times New Roman" w:hAnsi="Times New Roman" w:hint="eastAsia"/>
          <w:sz w:val="24"/>
        </w:rPr>
        <w:t>A500</w:t>
      </w:r>
      <w:r w:rsidRPr="00EB004A">
        <w:rPr>
          <w:rFonts w:ascii="Times New Roman" w:hAnsi="Times New Roman" w:hint="eastAsia"/>
          <w:sz w:val="24"/>
        </w:rPr>
        <w:t>指数型证券投资基金</w:t>
      </w:r>
      <w:r w:rsidRPr="00EB004A">
        <w:rPr>
          <w:rFonts w:ascii="Times New Roman" w:hAnsi="Times New Roman" w:hint="eastAsia"/>
          <w:sz w:val="24"/>
        </w:rPr>
        <w:t>(2025</w:t>
      </w:r>
      <w:r w:rsidRPr="00EB004A">
        <w:rPr>
          <w:rFonts w:ascii="Times New Roman" w:hAnsi="Times New Roman" w:hint="eastAsia"/>
          <w:sz w:val="24"/>
        </w:rPr>
        <w:t>年</w:t>
      </w:r>
      <w:r w:rsidRPr="00EB004A">
        <w:rPr>
          <w:rFonts w:ascii="Times New Roman" w:hAnsi="Times New Roman" w:hint="eastAsia"/>
          <w:sz w:val="24"/>
        </w:rPr>
        <w:t>01</w:t>
      </w:r>
      <w:r w:rsidRPr="00EB004A">
        <w:rPr>
          <w:rFonts w:ascii="Times New Roman" w:hAnsi="Times New Roman" w:hint="eastAsia"/>
          <w:sz w:val="24"/>
        </w:rPr>
        <w:t>月</w:t>
      </w:r>
      <w:r w:rsidRPr="00EB004A">
        <w:rPr>
          <w:rFonts w:ascii="Times New Roman" w:hAnsi="Times New Roman" w:hint="eastAsia"/>
          <w:sz w:val="24"/>
        </w:rPr>
        <w:t>22</w:t>
      </w:r>
      <w:r w:rsidRPr="00EB004A">
        <w:rPr>
          <w:rFonts w:ascii="Times New Roman" w:hAnsi="Times New Roman" w:hint="eastAsia"/>
          <w:sz w:val="24"/>
        </w:rPr>
        <w:t>日至今</w:t>
      </w:r>
      <w:r w:rsidRPr="00EB004A">
        <w:rPr>
          <w:rFonts w:ascii="Times New Roman" w:hAnsi="Times New Roman" w:hint="eastAsia"/>
          <w:sz w:val="24"/>
        </w:rPr>
        <w:t xml:space="preserve">) </w:t>
      </w:r>
      <w:r w:rsidRPr="00EB004A">
        <w:rPr>
          <w:rFonts w:ascii="Times New Roman" w:hAnsi="Times New Roman" w:hint="eastAsia"/>
          <w:sz w:val="24"/>
        </w:rPr>
        <w:t>、交银施罗德上证</w:t>
      </w:r>
      <w:proofErr w:type="gramStart"/>
      <w:r w:rsidRPr="00EB004A">
        <w:rPr>
          <w:rFonts w:ascii="Times New Roman" w:hAnsi="Times New Roman" w:hint="eastAsia"/>
          <w:sz w:val="24"/>
        </w:rPr>
        <w:t>科创板</w:t>
      </w:r>
      <w:proofErr w:type="gramEnd"/>
      <w:r w:rsidRPr="00EB004A">
        <w:rPr>
          <w:rFonts w:ascii="Times New Roman" w:hAnsi="Times New Roman" w:hint="eastAsia"/>
          <w:sz w:val="24"/>
        </w:rPr>
        <w:t>100</w:t>
      </w:r>
      <w:r w:rsidRPr="00EB004A">
        <w:rPr>
          <w:rFonts w:ascii="Times New Roman" w:hAnsi="Times New Roman" w:hint="eastAsia"/>
          <w:sz w:val="24"/>
        </w:rPr>
        <w:t>指数型证券投资基金</w:t>
      </w:r>
      <w:r w:rsidRPr="00EB004A">
        <w:rPr>
          <w:rFonts w:ascii="Times New Roman" w:hAnsi="Times New Roman" w:hint="eastAsia"/>
          <w:sz w:val="24"/>
        </w:rPr>
        <w:t>(2025</w:t>
      </w:r>
      <w:r w:rsidRPr="00EB004A">
        <w:rPr>
          <w:rFonts w:ascii="Times New Roman" w:hAnsi="Times New Roman" w:hint="eastAsia"/>
          <w:sz w:val="24"/>
        </w:rPr>
        <w:t>年</w:t>
      </w:r>
      <w:r w:rsidRPr="00EB004A">
        <w:rPr>
          <w:rFonts w:ascii="Times New Roman" w:hAnsi="Times New Roman" w:hint="eastAsia"/>
          <w:sz w:val="24"/>
        </w:rPr>
        <w:t>02</w:t>
      </w:r>
      <w:r w:rsidRPr="00EB004A">
        <w:rPr>
          <w:rFonts w:ascii="Times New Roman" w:hAnsi="Times New Roman" w:hint="eastAsia"/>
          <w:sz w:val="24"/>
        </w:rPr>
        <w:t>月</w:t>
      </w:r>
      <w:r w:rsidRPr="00EB004A">
        <w:rPr>
          <w:rFonts w:ascii="Times New Roman" w:hAnsi="Times New Roman" w:hint="eastAsia"/>
          <w:sz w:val="24"/>
        </w:rPr>
        <w:t>26</w:t>
      </w:r>
      <w:r w:rsidRPr="00EB004A">
        <w:rPr>
          <w:rFonts w:ascii="Times New Roman" w:hAnsi="Times New Roman" w:hint="eastAsia"/>
          <w:sz w:val="24"/>
        </w:rPr>
        <w:t>日至今</w:t>
      </w:r>
      <w:r w:rsidRPr="00EB004A">
        <w:rPr>
          <w:rFonts w:ascii="Times New Roman" w:hAnsi="Times New Roman" w:hint="eastAsia"/>
          <w:sz w:val="24"/>
        </w:rPr>
        <w:t xml:space="preserve">) </w:t>
      </w:r>
      <w:r w:rsidRPr="00EB004A">
        <w:rPr>
          <w:rFonts w:ascii="Times New Roman" w:hAnsi="Times New Roman" w:hint="eastAsia"/>
          <w:sz w:val="24"/>
        </w:rPr>
        <w:t>、交银施罗德中证</w:t>
      </w:r>
      <w:r w:rsidRPr="00EB004A">
        <w:rPr>
          <w:rFonts w:ascii="Times New Roman" w:hAnsi="Times New Roman" w:hint="eastAsia"/>
          <w:sz w:val="24"/>
        </w:rPr>
        <w:t>A50</w:t>
      </w:r>
      <w:r w:rsidRPr="00EB004A">
        <w:rPr>
          <w:rFonts w:ascii="Times New Roman" w:hAnsi="Times New Roman" w:hint="eastAsia"/>
          <w:sz w:val="24"/>
        </w:rPr>
        <w:t>指数型证券投资基金</w:t>
      </w:r>
      <w:r w:rsidRPr="00EB004A">
        <w:rPr>
          <w:rFonts w:ascii="Times New Roman" w:hAnsi="Times New Roman" w:hint="eastAsia"/>
          <w:sz w:val="24"/>
        </w:rPr>
        <w:t>(2025</w:t>
      </w:r>
      <w:r w:rsidRPr="00EB004A">
        <w:rPr>
          <w:rFonts w:ascii="Times New Roman" w:hAnsi="Times New Roman" w:hint="eastAsia"/>
          <w:sz w:val="24"/>
        </w:rPr>
        <w:t>年</w:t>
      </w:r>
      <w:r w:rsidRPr="00EB004A">
        <w:rPr>
          <w:rFonts w:ascii="Times New Roman" w:hAnsi="Times New Roman" w:hint="eastAsia"/>
          <w:sz w:val="24"/>
        </w:rPr>
        <w:t>04</w:t>
      </w:r>
      <w:r w:rsidRPr="00EB004A">
        <w:rPr>
          <w:rFonts w:ascii="Times New Roman" w:hAnsi="Times New Roman" w:hint="eastAsia"/>
          <w:sz w:val="24"/>
        </w:rPr>
        <w:t>月</w:t>
      </w:r>
      <w:r w:rsidRPr="00EB004A">
        <w:rPr>
          <w:rFonts w:ascii="Times New Roman" w:hAnsi="Times New Roman" w:hint="eastAsia"/>
          <w:sz w:val="24"/>
        </w:rPr>
        <w:t>02</w:t>
      </w:r>
      <w:r w:rsidRPr="00EB004A">
        <w:rPr>
          <w:rFonts w:ascii="Times New Roman" w:hAnsi="Times New Roman" w:hint="eastAsia"/>
          <w:sz w:val="24"/>
        </w:rPr>
        <w:t>日至今</w:t>
      </w:r>
      <w:r w:rsidRPr="00EB004A">
        <w:rPr>
          <w:rFonts w:ascii="Times New Roman" w:hAnsi="Times New Roman" w:hint="eastAsia"/>
          <w:sz w:val="24"/>
        </w:rPr>
        <w:t>)</w:t>
      </w:r>
      <w:r w:rsidRPr="00DB3E79">
        <w:rPr>
          <w:rFonts w:ascii="Times New Roman" w:hAnsi="Times New Roman"/>
        </w:rPr>
        <w:t xml:space="preserve"> </w:t>
      </w:r>
      <w:r w:rsidRPr="00EB004A">
        <w:rPr>
          <w:rFonts w:ascii="Times New Roman" w:hAnsi="Times New Roman" w:hint="eastAsia"/>
          <w:sz w:val="24"/>
        </w:rPr>
        <w:t>、交银施罗德恒生港股</w:t>
      </w:r>
      <w:proofErr w:type="gramStart"/>
      <w:r w:rsidRPr="00EB004A">
        <w:rPr>
          <w:rFonts w:ascii="Times New Roman" w:hAnsi="Times New Roman" w:hint="eastAsia"/>
          <w:sz w:val="24"/>
        </w:rPr>
        <w:t>通创新药</w:t>
      </w:r>
      <w:proofErr w:type="gramEnd"/>
      <w:r w:rsidRPr="00EB004A">
        <w:rPr>
          <w:rFonts w:ascii="Times New Roman" w:hAnsi="Times New Roman" w:hint="eastAsia"/>
          <w:sz w:val="24"/>
        </w:rPr>
        <w:t>精选指数型证券投资基金</w:t>
      </w:r>
      <w:r w:rsidRPr="00EB004A">
        <w:rPr>
          <w:rFonts w:ascii="Times New Roman" w:hAnsi="Times New Roman" w:hint="eastAsia"/>
          <w:sz w:val="24"/>
        </w:rPr>
        <w:t>(2025</w:t>
      </w:r>
      <w:r w:rsidRPr="00EB004A">
        <w:rPr>
          <w:rFonts w:ascii="Times New Roman" w:hAnsi="Times New Roman" w:hint="eastAsia"/>
          <w:sz w:val="24"/>
        </w:rPr>
        <w:t>年</w:t>
      </w:r>
      <w:r w:rsidRPr="00EB004A">
        <w:rPr>
          <w:rFonts w:ascii="Times New Roman" w:hAnsi="Times New Roman" w:hint="eastAsia"/>
          <w:sz w:val="24"/>
        </w:rPr>
        <w:t>08</w:t>
      </w:r>
      <w:r w:rsidRPr="00EB004A">
        <w:rPr>
          <w:rFonts w:ascii="Times New Roman" w:hAnsi="Times New Roman" w:hint="eastAsia"/>
          <w:sz w:val="24"/>
        </w:rPr>
        <w:t>月</w:t>
      </w:r>
      <w:r w:rsidRPr="00EB004A">
        <w:rPr>
          <w:rFonts w:ascii="Times New Roman" w:hAnsi="Times New Roman" w:hint="eastAsia"/>
          <w:sz w:val="24"/>
        </w:rPr>
        <w:t>20</w:t>
      </w:r>
      <w:r w:rsidRPr="00EB004A">
        <w:rPr>
          <w:rFonts w:ascii="Times New Roman" w:hAnsi="Times New Roman" w:hint="eastAsia"/>
          <w:sz w:val="24"/>
        </w:rPr>
        <w:t>日至今</w:t>
      </w:r>
      <w:r w:rsidRPr="00EB004A">
        <w:rPr>
          <w:rFonts w:ascii="Times New Roman" w:hAnsi="Times New Roman" w:hint="eastAsia"/>
          <w:sz w:val="24"/>
        </w:rPr>
        <w:t>)</w:t>
      </w:r>
      <w:r w:rsidRPr="00EB004A">
        <w:rPr>
          <w:rFonts w:ascii="Times New Roman" w:hAnsi="Times New Roman"/>
          <w:sz w:val="24"/>
        </w:rPr>
        <w:t>的基金经理。</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5</w:t>
      </w:r>
      <w:r w:rsidRPr="00EB004A">
        <w:rPr>
          <w:rFonts w:ascii="Times New Roman" w:hAnsi="Times New Roman"/>
          <w:sz w:val="24"/>
        </w:rPr>
        <w:t>、投资决策委员会成员</w:t>
      </w:r>
    </w:p>
    <w:p w:rsidR="009A4701" w:rsidRPr="00DB3E79" w:rsidRDefault="00677B65">
      <w:pPr>
        <w:adjustRightInd w:val="0"/>
        <w:snapToGrid w:val="0"/>
        <w:spacing w:line="360" w:lineRule="auto"/>
        <w:ind w:firstLineChars="200" w:firstLine="480"/>
        <w:rPr>
          <w:rFonts w:ascii="Times New Roman" w:hAnsi="Times New Roman"/>
          <w:kern w:val="0"/>
          <w:sz w:val="24"/>
        </w:rPr>
      </w:pPr>
      <w:r w:rsidRPr="00DB3E79">
        <w:rPr>
          <w:rFonts w:ascii="Times New Roman" w:hAnsi="Times New Roman" w:hint="eastAsia"/>
          <w:kern w:val="0"/>
          <w:sz w:val="24"/>
        </w:rPr>
        <w:t>委员：袁庆伟（总经理）</w:t>
      </w:r>
    </w:p>
    <w:p w:rsidR="009A4701" w:rsidRPr="00DB3E79" w:rsidRDefault="00677B65">
      <w:pPr>
        <w:adjustRightInd w:val="0"/>
        <w:snapToGrid w:val="0"/>
        <w:spacing w:line="360" w:lineRule="auto"/>
        <w:ind w:firstLineChars="500" w:firstLine="1200"/>
        <w:rPr>
          <w:rFonts w:ascii="Times New Roman" w:hAnsi="Times New Roman"/>
          <w:kern w:val="0"/>
          <w:sz w:val="24"/>
        </w:rPr>
      </w:pPr>
      <w:r w:rsidRPr="00DB3E79">
        <w:rPr>
          <w:rFonts w:ascii="Times New Roman" w:hAnsi="Times New Roman" w:hint="eastAsia"/>
          <w:kern w:val="0"/>
          <w:sz w:val="24"/>
        </w:rPr>
        <w:t>马俊（副总经理）</w:t>
      </w:r>
    </w:p>
    <w:p w:rsidR="009A4701" w:rsidRPr="00DB3E79" w:rsidRDefault="00677B65">
      <w:pPr>
        <w:adjustRightInd w:val="0"/>
        <w:snapToGrid w:val="0"/>
        <w:spacing w:line="360" w:lineRule="auto"/>
        <w:ind w:firstLineChars="500" w:firstLine="1200"/>
        <w:rPr>
          <w:rFonts w:ascii="Times New Roman" w:hAnsi="Times New Roman"/>
          <w:kern w:val="0"/>
          <w:sz w:val="24"/>
        </w:rPr>
      </w:pPr>
      <w:r w:rsidRPr="00DB3E79">
        <w:rPr>
          <w:rFonts w:ascii="Times New Roman" w:hAnsi="Times New Roman" w:hint="eastAsia"/>
          <w:kern w:val="0"/>
          <w:sz w:val="24"/>
        </w:rPr>
        <w:t>于海颖（混合资产投资总监兼多元资产管理总监、基金经理）</w:t>
      </w:r>
    </w:p>
    <w:p w:rsidR="009A4701" w:rsidRPr="00DB3E79" w:rsidRDefault="00677B65">
      <w:pPr>
        <w:adjustRightInd w:val="0"/>
        <w:snapToGrid w:val="0"/>
        <w:spacing w:line="360" w:lineRule="auto"/>
        <w:ind w:firstLineChars="500" w:firstLine="1200"/>
        <w:rPr>
          <w:rFonts w:ascii="Times New Roman" w:hAnsi="Times New Roman"/>
          <w:kern w:val="0"/>
          <w:sz w:val="24"/>
        </w:rPr>
      </w:pPr>
      <w:r w:rsidRPr="00DB3E79">
        <w:rPr>
          <w:rFonts w:ascii="Times New Roman" w:hAnsi="Times New Roman" w:hint="eastAsia"/>
          <w:kern w:val="0"/>
          <w:sz w:val="24"/>
        </w:rPr>
        <w:t>王崇（权益投资副总监、权益部一级专家、基金经理）</w:t>
      </w:r>
    </w:p>
    <w:p w:rsidR="009A4701" w:rsidRPr="00DB3E79" w:rsidRDefault="00677B65">
      <w:pPr>
        <w:adjustRightInd w:val="0"/>
        <w:snapToGrid w:val="0"/>
        <w:spacing w:line="360" w:lineRule="auto"/>
        <w:ind w:firstLineChars="500" w:firstLine="1200"/>
        <w:rPr>
          <w:rFonts w:ascii="Times New Roman" w:hAnsi="Times New Roman"/>
          <w:kern w:val="0"/>
          <w:sz w:val="24"/>
        </w:rPr>
      </w:pPr>
      <w:r w:rsidRPr="00DB3E79">
        <w:rPr>
          <w:rFonts w:ascii="Times New Roman" w:hAnsi="Times New Roman" w:hint="eastAsia"/>
          <w:kern w:val="0"/>
          <w:sz w:val="24"/>
        </w:rPr>
        <w:lastRenderedPageBreak/>
        <w:t>马韬（研究总监）</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hint="eastAsia"/>
          <w:sz w:val="24"/>
        </w:rPr>
        <w:t>6</w:t>
      </w:r>
      <w:r w:rsidRPr="00EB004A">
        <w:rPr>
          <w:rFonts w:ascii="Times New Roman" w:hAnsi="Times New Roman" w:hint="eastAsia"/>
          <w:sz w:val="24"/>
        </w:rPr>
        <w:t>、</w:t>
      </w:r>
      <w:r w:rsidRPr="00EB004A">
        <w:rPr>
          <w:rFonts w:ascii="Times New Roman" w:hAnsi="Times New Roman"/>
          <w:sz w:val="24"/>
        </w:rPr>
        <w:t>上述人员之间不存在近亲属关系。</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（三）基金管理人的职责</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1</w:t>
      </w:r>
      <w:r w:rsidRPr="00EB004A">
        <w:rPr>
          <w:rFonts w:ascii="Times New Roman" w:hAnsi="Times New Roman"/>
          <w:sz w:val="24"/>
        </w:rPr>
        <w:t>、依法募集资金，办理或者委托经中国证监会认定的其他机构办理基金份额的发售、申购、赎回和登记事宜；</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2</w:t>
      </w:r>
      <w:r w:rsidRPr="00EB004A">
        <w:rPr>
          <w:rFonts w:ascii="Times New Roman" w:hAnsi="Times New Roman"/>
          <w:sz w:val="24"/>
        </w:rPr>
        <w:t>、办理基金备案手续；</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3</w:t>
      </w:r>
      <w:r w:rsidRPr="00EB004A">
        <w:rPr>
          <w:rFonts w:ascii="Times New Roman" w:hAnsi="Times New Roman"/>
          <w:sz w:val="24"/>
        </w:rPr>
        <w:t>、对所管理的不同基金财产分别管理、分别记账，进行证券投资；</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4</w:t>
      </w:r>
      <w:r w:rsidRPr="00EB004A">
        <w:rPr>
          <w:rFonts w:ascii="Times New Roman" w:hAnsi="Times New Roman"/>
          <w:sz w:val="24"/>
        </w:rPr>
        <w:t>、按照基金合同的约定确定基金收益分配方案，及时向基金份额持有人分配收益；</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5</w:t>
      </w:r>
      <w:r w:rsidRPr="00EB004A">
        <w:rPr>
          <w:rFonts w:ascii="Times New Roman" w:hAnsi="Times New Roman"/>
          <w:sz w:val="24"/>
        </w:rPr>
        <w:t>、进行基金会计核算并编制基金财务会计报告；</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6</w:t>
      </w:r>
      <w:r w:rsidRPr="00EB004A">
        <w:rPr>
          <w:rFonts w:ascii="Times New Roman" w:hAnsi="Times New Roman"/>
          <w:sz w:val="24"/>
        </w:rPr>
        <w:t>、编制季度报告、中期报告和年度报告；</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7</w:t>
      </w:r>
      <w:r w:rsidRPr="00EB004A">
        <w:rPr>
          <w:rFonts w:ascii="Times New Roman" w:hAnsi="Times New Roman"/>
          <w:sz w:val="24"/>
        </w:rPr>
        <w:t>、计算并公告基金净值信息，确定基金份额申购、赎回价格；</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8</w:t>
      </w:r>
      <w:r w:rsidRPr="00EB004A">
        <w:rPr>
          <w:rFonts w:ascii="Times New Roman" w:hAnsi="Times New Roman"/>
          <w:sz w:val="24"/>
        </w:rPr>
        <w:t>、办理与基金财产管理业务活动有关的信息披露事项；</w:t>
      </w:r>
    </w:p>
    <w:p w:rsidR="009A4701" w:rsidRPr="00EB004A"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9</w:t>
      </w:r>
      <w:r w:rsidRPr="00EB004A">
        <w:rPr>
          <w:rFonts w:ascii="Times New Roman" w:hAnsi="Times New Roman"/>
          <w:sz w:val="24"/>
        </w:rPr>
        <w:t>、按照规定召集基金份额持有人大会；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sidRPr="00EB004A">
        <w:rPr>
          <w:rFonts w:ascii="Times New Roman" w:hAnsi="Times New Roman"/>
          <w:sz w:val="24"/>
        </w:rPr>
        <w:t>10</w:t>
      </w:r>
      <w:r w:rsidRPr="00EB004A">
        <w:rPr>
          <w:rFonts w:ascii="Times New Roman" w:hAnsi="Times New Roman"/>
          <w:sz w:val="24"/>
        </w:rPr>
        <w:t>、保存基金财产</w:t>
      </w:r>
      <w:r>
        <w:rPr>
          <w:rFonts w:ascii="Times New Roman" w:hAnsi="Times New Roman"/>
          <w:sz w:val="24"/>
        </w:rPr>
        <w:t>管理业务活动的记录、账册、报表和其他相关资料；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、以基金管理人名义，代表基金份额持有人利益行使诉讼权利或者实施其他法律行为；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sz w:val="24"/>
        </w:rPr>
        <w:t>、有关法律法规和中国证监会规定的其他职责。</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（四）基金管理人的承诺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、基金管理人承诺不从事违反《中华人民共和国证券法》的行为，并承诺建立健全内部控制制度，采取有效措施，防止违反《中华人民共和国证券法》行为的发生；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、基金管理人承诺不从事违反《基金法》的行为，并承诺建立健全内部风险控制制度，采取有效措施，防止下列行为的发生：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）将基金管理人固有财产或者他人财产混同于基金财产从事证券投资；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）不公平地对待管理的不同基金财产；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）利用基金财产为基金份额持有人以外的第三人牟取利益；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）向基金份额持有人违规承诺收益或者承担损失；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）侵占、挪用基金财产；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）法律、行政法规和中国证监会禁止的其他行为。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3</w:t>
      </w:r>
      <w:r>
        <w:rPr>
          <w:rFonts w:ascii="Times New Roman" w:hAnsi="Times New Roman"/>
          <w:sz w:val="24"/>
        </w:rPr>
        <w:t>、基金管理人承诺严格遵守基金合同，并承诺建立健全内部控制制度，采取有效措施，防止违反基金合同行为的发生；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、基金管理人承诺加强人员管理，强化职业操守，督促和约束员工遵守国家有关法律法规及行业规范，诚实信用、勤勉尽责；</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、基金管理人承诺不从事其他法规规定禁止从事的行为。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（五）基金经理承诺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、依照有关法律法规和基金合同的规定，本着谨慎的原则为基金份额持有人谋取最大利益；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、不利用职务之便为自己、受雇人或任何第三者谋取利益；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、不泄露在任职期间知悉的有关证券、基金的商业秘密，尚未依法公开的基金投资内容、基金投资计划等信息，或利用该信息从事或者明示、暗示他人从事相关的交易活动；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、不以任何形式为其他组织或个人进行证券交易。</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（六）基金管理人的内部控制制度</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、内部控制的原则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）健全性原则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内部控制应当包括公司的各项业务、各个部门或机构和各级人员</w:t>
      </w:r>
      <w:r>
        <w:rPr>
          <w:rFonts w:ascii="Times New Roman" w:hAnsi="Times New Roman" w:hint="eastAsia"/>
          <w:sz w:val="24"/>
        </w:rPr>
        <w:t xml:space="preserve">, </w:t>
      </w:r>
      <w:r>
        <w:rPr>
          <w:rFonts w:ascii="Times New Roman" w:hAnsi="Times New Roman" w:hint="eastAsia"/>
          <w:sz w:val="24"/>
        </w:rPr>
        <w:t>并涵盖到决策、执行、监督、反馈等各个环节。</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）有效性原则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通过科学的内控手段和方法，建立合理的内控程序，维护内控制度的有效执行。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）独立性原则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公司各机构、部门和岗位职责应当保持相对独立，除非法律法规另有规定，公司基金资产、自有资产、其他资产的运作应当分离。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）相互制约原则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公司内部部门和岗位的设置应当体现权责分明、相互制衡。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）成本效益原则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公司运用科学化的经营管理方法降低运作成本，提高经济效益，力争以合理的控制成本达到最佳的内部控制效果。</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、风险管理和内部风险控制体系结构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）董事会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负责制定公司风险偏好（</w:t>
      </w:r>
      <w:proofErr w:type="gramStart"/>
      <w:r>
        <w:rPr>
          <w:rFonts w:ascii="Times New Roman" w:hAnsi="Times New Roman" w:hint="eastAsia"/>
          <w:sz w:val="24"/>
        </w:rPr>
        <w:t>含风险</w:t>
      </w:r>
      <w:proofErr w:type="gramEnd"/>
      <w:r>
        <w:rPr>
          <w:rFonts w:ascii="Times New Roman" w:hAnsi="Times New Roman" w:hint="eastAsia"/>
          <w:sz w:val="24"/>
        </w:rPr>
        <w:t>容忍度）、风险管理和内部控制政策，审议并通过与公司内部风险管理和合</w:t>
      </w:r>
      <w:proofErr w:type="gramStart"/>
      <w:r>
        <w:rPr>
          <w:rFonts w:ascii="Times New Roman" w:hAnsi="Times New Roman" w:hint="eastAsia"/>
          <w:sz w:val="24"/>
        </w:rPr>
        <w:t>规</w:t>
      </w:r>
      <w:proofErr w:type="gramEnd"/>
      <w:r>
        <w:rPr>
          <w:rFonts w:ascii="Times New Roman" w:hAnsi="Times New Roman" w:hint="eastAsia"/>
          <w:sz w:val="24"/>
        </w:rPr>
        <w:t>有关的重大事项。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）合</w:t>
      </w:r>
      <w:proofErr w:type="gramStart"/>
      <w:r>
        <w:rPr>
          <w:rFonts w:ascii="Times New Roman" w:hAnsi="Times New Roman" w:hint="eastAsia"/>
          <w:sz w:val="24"/>
        </w:rPr>
        <w:t>规</w:t>
      </w:r>
      <w:proofErr w:type="gramEnd"/>
      <w:r>
        <w:rPr>
          <w:rFonts w:ascii="Times New Roman" w:hAnsi="Times New Roman" w:hint="eastAsia"/>
          <w:sz w:val="24"/>
        </w:rPr>
        <w:t>风险及审计委员会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作为董事会下的专业委员会之一，负责对公司在经营管理和基金业务运作的合法性、合</w:t>
      </w:r>
      <w:proofErr w:type="gramStart"/>
      <w:r>
        <w:rPr>
          <w:rFonts w:ascii="Times New Roman" w:hAnsi="Times New Roman" w:hint="eastAsia"/>
          <w:sz w:val="24"/>
        </w:rPr>
        <w:t>规</w:t>
      </w:r>
      <w:proofErr w:type="gramEnd"/>
      <w:r>
        <w:rPr>
          <w:rFonts w:ascii="Times New Roman" w:hAnsi="Times New Roman" w:hint="eastAsia"/>
          <w:sz w:val="24"/>
        </w:rPr>
        <w:t>性和风险状况进行检查和评估，对公司监察稽核制度的有效性进行评价，监督检查公司财务状况，审计公司的财务报表，评估公司的财务表现，保证公司的财务运作符合法律的要求和通行的会计标准。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）风险控制委员会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作为总经理下设的专业委员会之一，风险控制委员会负责评估与公司战略发展和经营运作相关的主要风险；评估公司各方面运行状况是否合</w:t>
      </w:r>
      <w:proofErr w:type="gramStart"/>
      <w:r>
        <w:rPr>
          <w:rFonts w:ascii="Times New Roman" w:hAnsi="Times New Roman" w:hint="eastAsia"/>
          <w:sz w:val="24"/>
        </w:rPr>
        <w:t>规</w:t>
      </w:r>
      <w:proofErr w:type="gramEnd"/>
      <w:r>
        <w:rPr>
          <w:rFonts w:ascii="Times New Roman" w:hAnsi="Times New Roman" w:hint="eastAsia"/>
          <w:sz w:val="24"/>
        </w:rPr>
        <w:t>有序，审查有无存在与公司业务有关的重大风险；审议或听取由公司制度规定的需要向风险控制委员会报告的其他情形等。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）督察长</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独立行使督察权利；直接对董事会负责；就内部控制制度和执行情况独立地履行检查、评价、报告、建议职能；定期和不定期地向董事会报告公司内部控制执行情况。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）风险管理部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风险管理部负责制定公司风险管理政策和防范及控制措施，汇总公司业务所有的风险信息，独立识别、评估各类风险，提出风险控制建议，使公司在一种风险管理和控制的环境中实现业务目标。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）审计部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Pr>
          <w:rFonts w:ascii="Times New Roman" w:hAnsi="Times New Roman" w:hint="eastAsia"/>
          <w:sz w:val="24"/>
        </w:rPr>
        <w:t>规</w:t>
      </w:r>
      <w:proofErr w:type="gramEnd"/>
      <w:r>
        <w:rPr>
          <w:rFonts w:ascii="Times New Roman" w:hAnsi="Times New Roman" w:hint="eastAsia"/>
          <w:sz w:val="24"/>
        </w:rPr>
        <w:t>经营目标。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）内控合</w:t>
      </w:r>
      <w:proofErr w:type="gramStart"/>
      <w:r>
        <w:rPr>
          <w:rFonts w:ascii="Times New Roman" w:hAnsi="Times New Roman" w:hint="eastAsia"/>
          <w:sz w:val="24"/>
        </w:rPr>
        <w:t>规</w:t>
      </w:r>
      <w:proofErr w:type="gramEnd"/>
      <w:r>
        <w:rPr>
          <w:rFonts w:ascii="Times New Roman" w:hAnsi="Times New Roman" w:hint="eastAsia"/>
          <w:sz w:val="24"/>
        </w:rPr>
        <w:t>及法律事务部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内控合</w:t>
      </w:r>
      <w:proofErr w:type="gramStart"/>
      <w:r>
        <w:rPr>
          <w:rFonts w:ascii="Times New Roman" w:hAnsi="Times New Roman" w:hint="eastAsia"/>
          <w:sz w:val="24"/>
        </w:rPr>
        <w:t>规</w:t>
      </w:r>
      <w:proofErr w:type="gramEnd"/>
      <w:r>
        <w:rPr>
          <w:rFonts w:ascii="Times New Roman" w:hAnsi="Times New Roman" w:hint="eastAsia"/>
          <w:sz w:val="24"/>
        </w:rPr>
        <w:t>及法律事务部负责公司的法律、内控合</w:t>
      </w:r>
      <w:proofErr w:type="gramStart"/>
      <w:r>
        <w:rPr>
          <w:rFonts w:ascii="Times New Roman" w:hAnsi="Times New Roman" w:hint="eastAsia"/>
          <w:sz w:val="24"/>
        </w:rPr>
        <w:t>规</w:t>
      </w:r>
      <w:proofErr w:type="gramEnd"/>
      <w:r>
        <w:rPr>
          <w:rFonts w:ascii="Times New Roman" w:hAnsi="Times New Roman" w:hint="eastAsia"/>
          <w:sz w:val="24"/>
        </w:rPr>
        <w:t>事务及协调实施信息披露事</w:t>
      </w:r>
      <w:r>
        <w:rPr>
          <w:rFonts w:ascii="Times New Roman" w:hAnsi="Times New Roman" w:hint="eastAsia"/>
          <w:sz w:val="24"/>
        </w:rPr>
        <w:lastRenderedPageBreak/>
        <w:t>务，依法维护公司合法权益，评估并处理公司运营中发生的法律、内控合</w:t>
      </w:r>
      <w:proofErr w:type="gramStart"/>
      <w:r>
        <w:rPr>
          <w:rFonts w:ascii="Times New Roman" w:hAnsi="Times New Roman" w:hint="eastAsia"/>
          <w:sz w:val="24"/>
        </w:rPr>
        <w:t>规</w:t>
      </w:r>
      <w:proofErr w:type="gramEnd"/>
      <w:r>
        <w:rPr>
          <w:rFonts w:ascii="Times New Roman" w:hAnsi="Times New Roman" w:hint="eastAsia"/>
          <w:sz w:val="24"/>
        </w:rPr>
        <w:t>及信息披露相关问题，及时向公司管理层及全体员工传达法规及监管要求。</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8</w:t>
      </w:r>
      <w:r>
        <w:rPr>
          <w:rFonts w:ascii="Times New Roman" w:hAnsi="Times New Roman" w:hint="eastAsia"/>
          <w:sz w:val="24"/>
        </w:rPr>
        <w:t>）业务部门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风险管理是每一个业务部门首要的责任。部门负责人对本部门的风险负全部责任，负责履行公司的风险管理程序，负责本部门的风险管理系统的开发、执行和维护，用于识别、监控和降低风险。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、风险管理和内部风险控制的措施</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）建立内控体系，完善内控制度</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公司建立、健全了内控体系，通过高管人员关于内控的明确分工，确保各项业务活动有恰当的组织和授权，确保监察活动独立，并得到高管人员的支持，同时置备操作手册，并定期更新。</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）建立相互分离、相互制衡的内控机制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建立、健全了各项制度，做到基金经理分开，投资决策分开，基金交易集中，形成不同部门、不同岗位之间的制衡机制，从制度上减少和防范风险。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）建立、健全岗位责任制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建立、健全了岗位责任制，使每个员工都明确自己的任务、职责，并及时将各自工作领域中的风险隐患上报，以防范和减少风险。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）建立风险分类、识别、评估、报告、提示程序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Times New Roman" w:hAnsi="Times New Roman" w:hint="eastAsia"/>
          <w:sz w:val="24"/>
        </w:rPr>
        <w:t>作出</w:t>
      </w:r>
      <w:proofErr w:type="gramEnd"/>
      <w:r>
        <w:rPr>
          <w:rFonts w:ascii="Times New Roman" w:hAnsi="Times New Roman" w:hint="eastAsia"/>
          <w:sz w:val="24"/>
        </w:rPr>
        <w:t>决策。</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）建立有效的内部监控系统</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建立了足够、有效的内部监控系统，对可能出现的各种风险进行全面和实时的监控。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）使用数量化的风险管理手段</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采取数量化、技术化的风险控制手段，建立数量化的风险管理模型，用以提示指数趋势、行业及个</w:t>
      </w:r>
      <w:proofErr w:type="gramStart"/>
      <w:r>
        <w:rPr>
          <w:rFonts w:ascii="Times New Roman" w:hAnsi="Times New Roman" w:hint="eastAsia"/>
          <w:sz w:val="24"/>
        </w:rPr>
        <w:t>券</w:t>
      </w:r>
      <w:proofErr w:type="gramEnd"/>
      <w:r>
        <w:rPr>
          <w:rFonts w:ascii="Times New Roman" w:hAnsi="Times New Roman" w:hint="eastAsia"/>
          <w:sz w:val="24"/>
        </w:rPr>
        <w:t>的风险，以便公司及时采取有效的措施，对风险进行分散、控制和规避，尽可能地减少损失。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）提供足够的培训</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制定了完整的培训计划，为所有员工提供足够和适当的培训，使员工明确其职</w:t>
      </w:r>
      <w:r>
        <w:rPr>
          <w:rFonts w:ascii="Times New Roman" w:hAnsi="Times New Roman" w:hint="eastAsia"/>
          <w:sz w:val="24"/>
        </w:rPr>
        <w:lastRenderedPageBreak/>
        <w:t>责所在，控制风险。</w:t>
      </w:r>
    </w:p>
    <w:p w:rsidR="009A4701" w:rsidRDefault="00677B65">
      <w:pPr>
        <w:autoSpaceDE w:val="0"/>
        <w:autoSpaceDN w:val="0"/>
        <w:adjustRightInd w:val="0"/>
        <w:spacing w:line="360" w:lineRule="auto"/>
        <w:ind w:firstLineChars="200" w:firstLine="480"/>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7" w:name="_Toc147840622"/>
      <w:r>
        <w:rPr>
          <w:rFonts w:ascii="Times New Roman" w:hAnsi="Times New Roman"/>
          <w:sz w:val="30"/>
        </w:rPr>
        <w:lastRenderedPageBreak/>
        <w:t>四、基金托管人</w:t>
      </w:r>
      <w:bookmarkEnd w:id="7"/>
    </w:p>
    <w:p w:rsidR="009A4701" w:rsidRDefault="00677B65">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一</w:t>
      </w:r>
      <w:r>
        <w:rPr>
          <w:rFonts w:ascii="Times New Roman" w:hAnsi="Times New Roman" w:hint="eastAsia"/>
          <w:b/>
          <w:sz w:val="24"/>
          <w:szCs w:val="24"/>
        </w:rPr>
        <w:t>）</w:t>
      </w:r>
      <w:r>
        <w:rPr>
          <w:rFonts w:ascii="Times New Roman" w:hAnsi="Times New Roman"/>
          <w:b/>
          <w:sz w:val="24"/>
          <w:szCs w:val="24"/>
        </w:rPr>
        <w:t>基金托管人情况</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kern w:val="0"/>
          <w:sz w:val="24"/>
          <w:szCs w:val="24"/>
        </w:rPr>
        <w:t>1</w:t>
      </w:r>
      <w:r>
        <w:rPr>
          <w:rFonts w:ascii="Times New Roman" w:hAnsi="Times New Roman" w:hint="eastAsia"/>
          <w:kern w:val="0"/>
          <w:sz w:val="24"/>
          <w:szCs w:val="24"/>
        </w:rPr>
        <w:t>、基本情况</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名称：中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股份有限公司（简称“中信建投证券”）</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住所：北京市朝阳区安立路</w:t>
      </w:r>
      <w:r>
        <w:rPr>
          <w:rFonts w:ascii="Times New Roman" w:hAnsi="Times New Roman" w:hint="eastAsia"/>
          <w:kern w:val="0"/>
          <w:sz w:val="24"/>
          <w:szCs w:val="24"/>
        </w:rPr>
        <w:t>66</w:t>
      </w:r>
      <w:r>
        <w:rPr>
          <w:rFonts w:ascii="Times New Roman" w:hAnsi="Times New Roman" w:hint="eastAsia"/>
          <w:kern w:val="0"/>
          <w:sz w:val="24"/>
          <w:szCs w:val="24"/>
        </w:rPr>
        <w:t>号</w:t>
      </w:r>
      <w:r>
        <w:rPr>
          <w:rFonts w:ascii="Times New Roman" w:hAnsi="Times New Roman" w:hint="eastAsia"/>
          <w:kern w:val="0"/>
          <w:sz w:val="24"/>
          <w:szCs w:val="24"/>
        </w:rPr>
        <w:t>4</w:t>
      </w:r>
      <w:r>
        <w:rPr>
          <w:rFonts w:ascii="Times New Roman" w:hAnsi="Times New Roman" w:hint="eastAsia"/>
          <w:kern w:val="0"/>
          <w:sz w:val="24"/>
          <w:szCs w:val="24"/>
        </w:rPr>
        <w:t>号楼</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办公地址：北京市朝阳区</w:t>
      </w:r>
      <w:proofErr w:type="gramStart"/>
      <w:r>
        <w:rPr>
          <w:rFonts w:ascii="Times New Roman" w:hAnsi="Times New Roman" w:hint="eastAsia"/>
          <w:kern w:val="0"/>
          <w:sz w:val="24"/>
          <w:szCs w:val="24"/>
        </w:rPr>
        <w:t>景辉街</w:t>
      </w:r>
      <w:proofErr w:type="gramEnd"/>
      <w:r>
        <w:rPr>
          <w:rFonts w:ascii="Times New Roman" w:hAnsi="Times New Roman" w:hint="eastAsia"/>
          <w:kern w:val="0"/>
          <w:sz w:val="24"/>
          <w:szCs w:val="24"/>
        </w:rPr>
        <w:t>16</w:t>
      </w:r>
      <w:r>
        <w:rPr>
          <w:rFonts w:ascii="Times New Roman" w:hAnsi="Times New Roman" w:hint="eastAsia"/>
          <w:kern w:val="0"/>
          <w:sz w:val="24"/>
          <w:szCs w:val="24"/>
        </w:rPr>
        <w:t>号院</w:t>
      </w:r>
      <w:r>
        <w:rPr>
          <w:rFonts w:ascii="Times New Roman" w:hAnsi="Times New Roman" w:hint="eastAsia"/>
          <w:kern w:val="0"/>
          <w:sz w:val="24"/>
          <w:szCs w:val="24"/>
        </w:rPr>
        <w:t>1</w:t>
      </w:r>
      <w:r>
        <w:rPr>
          <w:rFonts w:ascii="Times New Roman" w:hAnsi="Times New Roman" w:hint="eastAsia"/>
          <w:kern w:val="0"/>
          <w:sz w:val="24"/>
          <w:szCs w:val="24"/>
        </w:rPr>
        <w:t>号楼泰康集团大厦</w:t>
      </w:r>
      <w:r>
        <w:rPr>
          <w:rFonts w:ascii="Times New Roman" w:hAnsi="Times New Roman" w:hint="eastAsia"/>
          <w:kern w:val="0"/>
          <w:sz w:val="24"/>
          <w:szCs w:val="24"/>
        </w:rPr>
        <w:t>8</w:t>
      </w:r>
      <w:r>
        <w:rPr>
          <w:rFonts w:ascii="Times New Roman" w:hAnsi="Times New Roman" w:hint="eastAsia"/>
          <w:kern w:val="0"/>
          <w:sz w:val="24"/>
          <w:szCs w:val="24"/>
        </w:rPr>
        <w:t>层</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法定代表人：刘成</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成立日期：</w:t>
      </w:r>
      <w:r>
        <w:rPr>
          <w:rFonts w:ascii="Times New Roman" w:hAnsi="Times New Roman" w:hint="eastAsia"/>
          <w:kern w:val="0"/>
          <w:sz w:val="24"/>
          <w:szCs w:val="24"/>
        </w:rPr>
        <w:t>2005</w:t>
      </w:r>
      <w:r>
        <w:rPr>
          <w:rFonts w:ascii="Times New Roman" w:hAnsi="Times New Roman" w:hint="eastAsia"/>
          <w:kern w:val="0"/>
          <w:sz w:val="24"/>
          <w:szCs w:val="24"/>
        </w:rPr>
        <w:t>年</w:t>
      </w:r>
      <w:r>
        <w:rPr>
          <w:rFonts w:ascii="Times New Roman" w:hAnsi="Times New Roman" w:hint="eastAsia"/>
          <w:kern w:val="0"/>
          <w:sz w:val="24"/>
          <w:szCs w:val="24"/>
        </w:rPr>
        <w:t>11</w:t>
      </w:r>
      <w:r>
        <w:rPr>
          <w:rFonts w:ascii="Times New Roman" w:hAnsi="Times New Roman" w:hint="eastAsia"/>
          <w:kern w:val="0"/>
          <w:sz w:val="24"/>
          <w:szCs w:val="24"/>
        </w:rPr>
        <w:t>月</w:t>
      </w:r>
      <w:r>
        <w:rPr>
          <w:rFonts w:ascii="Times New Roman" w:hAnsi="Times New Roman" w:hint="eastAsia"/>
          <w:kern w:val="0"/>
          <w:sz w:val="24"/>
          <w:szCs w:val="24"/>
        </w:rPr>
        <w:t>02</w:t>
      </w:r>
      <w:r>
        <w:rPr>
          <w:rFonts w:ascii="Times New Roman" w:hAnsi="Times New Roman" w:hint="eastAsia"/>
          <w:kern w:val="0"/>
          <w:sz w:val="24"/>
          <w:szCs w:val="24"/>
        </w:rPr>
        <w:t>日</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批准设立机关和批准设立文号：证监会、证监机构字【</w:t>
      </w:r>
      <w:r>
        <w:rPr>
          <w:rFonts w:ascii="Times New Roman" w:hAnsi="Times New Roman" w:hint="eastAsia"/>
          <w:kern w:val="0"/>
          <w:sz w:val="24"/>
          <w:szCs w:val="24"/>
        </w:rPr>
        <w:t>2005</w:t>
      </w:r>
      <w:r>
        <w:rPr>
          <w:rFonts w:ascii="Times New Roman" w:hAnsi="Times New Roman" w:hint="eastAsia"/>
          <w:kern w:val="0"/>
          <w:sz w:val="24"/>
          <w:szCs w:val="24"/>
        </w:rPr>
        <w:t>】</w:t>
      </w:r>
      <w:r>
        <w:rPr>
          <w:rFonts w:ascii="Times New Roman" w:hAnsi="Times New Roman" w:hint="eastAsia"/>
          <w:kern w:val="0"/>
          <w:sz w:val="24"/>
          <w:szCs w:val="24"/>
        </w:rPr>
        <w:t>112</w:t>
      </w:r>
      <w:r>
        <w:rPr>
          <w:rFonts w:ascii="Times New Roman" w:hAnsi="Times New Roman" w:hint="eastAsia"/>
          <w:kern w:val="0"/>
          <w:sz w:val="24"/>
          <w:szCs w:val="24"/>
        </w:rPr>
        <w:t>号</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基金托管业务批准文号：证监许可〔</w:t>
      </w:r>
      <w:r>
        <w:rPr>
          <w:rFonts w:ascii="Times New Roman" w:hAnsi="Times New Roman" w:hint="eastAsia"/>
          <w:kern w:val="0"/>
          <w:sz w:val="24"/>
          <w:szCs w:val="24"/>
        </w:rPr>
        <w:t>2015</w:t>
      </w:r>
      <w:r>
        <w:rPr>
          <w:rFonts w:ascii="Times New Roman" w:hAnsi="Times New Roman" w:hint="eastAsia"/>
          <w:kern w:val="0"/>
          <w:sz w:val="24"/>
          <w:szCs w:val="24"/>
        </w:rPr>
        <w:t>〕</w:t>
      </w:r>
      <w:r>
        <w:rPr>
          <w:rFonts w:ascii="Times New Roman" w:hAnsi="Times New Roman" w:hint="eastAsia"/>
          <w:kern w:val="0"/>
          <w:sz w:val="24"/>
          <w:szCs w:val="24"/>
        </w:rPr>
        <w:t>219</w:t>
      </w:r>
      <w:r>
        <w:rPr>
          <w:rFonts w:ascii="Times New Roman" w:hAnsi="Times New Roman" w:hint="eastAsia"/>
          <w:kern w:val="0"/>
          <w:sz w:val="24"/>
          <w:szCs w:val="24"/>
        </w:rPr>
        <w:t>号</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注册资本：人民币</w:t>
      </w:r>
      <w:r>
        <w:rPr>
          <w:rFonts w:ascii="Times New Roman" w:hAnsi="Times New Roman" w:hint="eastAsia"/>
          <w:kern w:val="0"/>
          <w:sz w:val="24"/>
          <w:szCs w:val="24"/>
        </w:rPr>
        <w:t>775669.4797</w:t>
      </w:r>
      <w:r>
        <w:rPr>
          <w:rFonts w:ascii="Times New Roman" w:hAnsi="Times New Roman" w:hint="eastAsia"/>
          <w:kern w:val="0"/>
          <w:sz w:val="24"/>
          <w:szCs w:val="24"/>
        </w:rPr>
        <w:t>万元</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存续期间：持续经营</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联系电话：</w:t>
      </w:r>
      <w:r>
        <w:rPr>
          <w:rFonts w:ascii="Times New Roman" w:hAnsi="Times New Roman" w:hint="eastAsia"/>
          <w:kern w:val="0"/>
          <w:sz w:val="24"/>
          <w:szCs w:val="24"/>
        </w:rPr>
        <w:t>010-56135357</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联系人：邱珂磊</w:t>
      </w:r>
      <w:r>
        <w:rPr>
          <w:rFonts w:ascii="Times New Roman" w:hAnsi="Times New Roman" w:hint="eastAsia"/>
          <w:kern w:val="0"/>
          <w:sz w:val="24"/>
          <w:szCs w:val="24"/>
        </w:rPr>
        <w:t xml:space="preserve"> </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成立于</w:t>
      </w:r>
      <w:r>
        <w:rPr>
          <w:rFonts w:ascii="Times New Roman" w:hAnsi="Times New Roman" w:hint="eastAsia"/>
          <w:kern w:val="0"/>
          <w:sz w:val="24"/>
          <w:szCs w:val="24"/>
        </w:rPr>
        <w:t xml:space="preserve"> 2005 </w:t>
      </w:r>
      <w:r>
        <w:rPr>
          <w:rFonts w:ascii="Times New Roman" w:hAnsi="Times New Roman" w:hint="eastAsia"/>
          <w:kern w:val="0"/>
          <w:sz w:val="24"/>
          <w:szCs w:val="24"/>
        </w:rPr>
        <w:t>年</w:t>
      </w:r>
      <w:r>
        <w:rPr>
          <w:rFonts w:ascii="Times New Roman" w:hAnsi="Times New Roman" w:hint="eastAsia"/>
          <w:kern w:val="0"/>
          <w:sz w:val="24"/>
          <w:szCs w:val="24"/>
        </w:rPr>
        <w:t xml:space="preserve"> 11 </w:t>
      </w:r>
      <w:r>
        <w:rPr>
          <w:rFonts w:ascii="Times New Roman" w:hAnsi="Times New Roman" w:hint="eastAsia"/>
          <w:kern w:val="0"/>
          <w:sz w:val="24"/>
          <w:szCs w:val="24"/>
        </w:rPr>
        <w:t>月</w:t>
      </w:r>
      <w:r>
        <w:rPr>
          <w:rFonts w:ascii="Times New Roman" w:hAnsi="Times New Roman" w:hint="eastAsia"/>
          <w:kern w:val="0"/>
          <w:sz w:val="24"/>
          <w:szCs w:val="24"/>
        </w:rPr>
        <w:t xml:space="preserve"> 2 </w:t>
      </w:r>
      <w:r>
        <w:rPr>
          <w:rFonts w:ascii="Times New Roman" w:hAnsi="Times New Roman" w:hint="eastAsia"/>
          <w:kern w:val="0"/>
          <w:sz w:val="24"/>
          <w:szCs w:val="24"/>
        </w:rPr>
        <w:t>日，是经中国证监会批准设立的全国性大型综合证券公司。公司注册于北京，注册资本</w:t>
      </w:r>
      <w:r>
        <w:rPr>
          <w:rFonts w:ascii="Times New Roman" w:hAnsi="Times New Roman" w:hint="eastAsia"/>
          <w:kern w:val="0"/>
          <w:sz w:val="24"/>
          <w:szCs w:val="24"/>
        </w:rPr>
        <w:t>775669.4797</w:t>
      </w:r>
      <w:r>
        <w:rPr>
          <w:rFonts w:ascii="Times New Roman" w:hAnsi="Times New Roman" w:hint="eastAsia"/>
          <w:kern w:val="0"/>
          <w:sz w:val="24"/>
          <w:szCs w:val="24"/>
        </w:rPr>
        <w:t>万元，并设有中</w:t>
      </w:r>
      <w:proofErr w:type="gramStart"/>
      <w:r>
        <w:rPr>
          <w:rFonts w:ascii="Times New Roman" w:hAnsi="Times New Roman" w:hint="eastAsia"/>
          <w:kern w:val="0"/>
          <w:sz w:val="24"/>
          <w:szCs w:val="24"/>
        </w:rPr>
        <w:t>信建投期货</w:t>
      </w:r>
      <w:proofErr w:type="gramEnd"/>
      <w:r>
        <w:rPr>
          <w:rFonts w:ascii="Times New Roman" w:hAnsi="Times New Roman" w:hint="eastAsia"/>
          <w:kern w:val="0"/>
          <w:sz w:val="24"/>
          <w:szCs w:val="24"/>
        </w:rPr>
        <w:t>有限公司、中信建投资本管理有限公司、中信建投（国际）金融控股有限公司、中信</w:t>
      </w:r>
      <w:proofErr w:type="gramStart"/>
      <w:r>
        <w:rPr>
          <w:rFonts w:ascii="Times New Roman" w:hAnsi="Times New Roman" w:hint="eastAsia"/>
          <w:kern w:val="0"/>
          <w:sz w:val="24"/>
          <w:szCs w:val="24"/>
        </w:rPr>
        <w:t>建投基金</w:t>
      </w:r>
      <w:proofErr w:type="gramEnd"/>
      <w:r>
        <w:rPr>
          <w:rFonts w:ascii="Times New Roman" w:hAnsi="Times New Roman" w:hint="eastAsia"/>
          <w:kern w:val="0"/>
          <w:sz w:val="24"/>
          <w:szCs w:val="24"/>
        </w:rPr>
        <w:t>管理有限公司和中信建</w:t>
      </w:r>
      <w:proofErr w:type="gramStart"/>
      <w:r>
        <w:rPr>
          <w:rFonts w:ascii="Times New Roman" w:hAnsi="Times New Roman" w:hint="eastAsia"/>
          <w:kern w:val="0"/>
          <w:sz w:val="24"/>
          <w:szCs w:val="24"/>
        </w:rPr>
        <w:t>投</w:t>
      </w:r>
      <w:proofErr w:type="gramEnd"/>
      <w:r>
        <w:rPr>
          <w:rFonts w:ascii="Times New Roman" w:hAnsi="Times New Roman" w:hint="eastAsia"/>
          <w:kern w:val="0"/>
          <w:sz w:val="24"/>
          <w:szCs w:val="24"/>
        </w:rPr>
        <w:t>投资有限公司等</w:t>
      </w:r>
      <w:r>
        <w:rPr>
          <w:rFonts w:ascii="Times New Roman" w:hAnsi="Times New Roman" w:hint="eastAsia"/>
          <w:kern w:val="0"/>
          <w:sz w:val="24"/>
          <w:szCs w:val="24"/>
        </w:rPr>
        <w:t>5</w:t>
      </w:r>
      <w:r>
        <w:rPr>
          <w:rFonts w:ascii="Times New Roman" w:hAnsi="Times New Roman" w:hint="eastAsia"/>
          <w:kern w:val="0"/>
          <w:sz w:val="24"/>
          <w:szCs w:val="24"/>
        </w:rPr>
        <w:t>家全资子公司。自成立以来，中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各项业务快速发展，在企业融资、收购兼并、证券经纪、证券金融、固定收益、资产管理、股票及衍生品交易等领域形成了自身特色和核心业务优势，并搭建了研究咨询、信息技术、运营管理、风险管理、合</w:t>
      </w:r>
      <w:proofErr w:type="gramStart"/>
      <w:r>
        <w:rPr>
          <w:rFonts w:ascii="Times New Roman" w:hAnsi="Times New Roman" w:hint="eastAsia"/>
          <w:kern w:val="0"/>
          <w:sz w:val="24"/>
          <w:szCs w:val="24"/>
        </w:rPr>
        <w:t>规</w:t>
      </w:r>
      <w:proofErr w:type="gramEnd"/>
      <w:r>
        <w:rPr>
          <w:rFonts w:ascii="Times New Roman" w:hAnsi="Times New Roman" w:hint="eastAsia"/>
          <w:kern w:val="0"/>
          <w:sz w:val="24"/>
          <w:szCs w:val="24"/>
        </w:rPr>
        <w:t>管理等专业高效的业务支持体系。公司拥有均衡全能且行业领先的投资银行业务、产品谱系健全和买方</w:t>
      </w:r>
      <w:proofErr w:type="gramStart"/>
      <w:r>
        <w:rPr>
          <w:rFonts w:ascii="Times New Roman" w:hAnsi="Times New Roman" w:hint="eastAsia"/>
          <w:kern w:val="0"/>
          <w:sz w:val="24"/>
          <w:szCs w:val="24"/>
        </w:rPr>
        <w:t>投顾能力</w:t>
      </w:r>
      <w:proofErr w:type="gramEnd"/>
      <w:r>
        <w:rPr>
          <w:rFonts w:ascii="Times New Roman" w:hAnsi="Times New Roman" w:hint="eastAsia"/>
          <w:kern w:val="0"/>
          <w:sz w:val="24"/>
          <w:szCs w:val="24"/>
        </w:rPr>
        <w:t>持续提升的财富管理业务、专业综合的交易和机构客户服务能力，以及增长迅速且潜力巨大的“大资管”业务。目前公司正在深入推进子公司一体化管理，确保公司资源效能最大化、客户服务综合化、业务发展规模化。凭借高度的敬业精神与突出的专业能力，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主要经营指标目前均位居行业前列。</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kern w:val="0"/>
          <w:sz w:val="24"/>
          <w:szCs w:val="24"/>
        </w:rPr>
        <w:t>2</w:t>
      </w:r>
      <w:r>
        <w:rPr>
          <w:rFonts w:ascii="Times New Roman" w:hAnsi="Times New Roman" w:hint="eastAsia"/>
          <w:kern w:val="0"/>
          <w:sz w:val="24"/>
          <w:szCs w:val="24"/>
        </w:rPr>
        <w:t>、主要人员情况</w:t>
      </w:r>
    </w:p>
    <w:p w:rsidR="009A4701" w:rsidRDefault="00677B65">
      <w:pPr>
        <w:widowControl/>
        <w:adjustRightInd w:val="0"/>
        <w:snapToGrid w:val="0"/>
        <w:spacing w:line="360" w:lineRule="auto"/>
        <w:ind w:firstLine="480"/>
        <w:rPr>
          <w:rFonts w:ascii="Times New Roman" w:hAnsi="Times New Roman"/>
          <w:kern w:val="0"/>
          <w:sz w:val="24"/>
          <w:szCs w:val="24"/>
        </w:rPr>
      </w:pPr>
      <w:r>
        <w:rPr>
          <w:rFonts w:ascii="Times New Roman" w:hAnsi="Times New Roman" w:hint="eastAsia"/>
          <w:kern w:val="0"/>
          <w:sz w:val="24"/>
          <w:szCs w:val="24"/>
        </w:rPr>
        <w:lastRenderedPageBreak/>
        <w:t>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托管部管理团队和业务骨干具有丰富的证券投资基金托管业务运作经验，业务人员专业背景覆盖了金融、会计、经济、计算机等各领域，可为托管客户提供个性化产品处理能力。</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kern w:val="0"/>
          <w:sz w:val="24"/>
          <w:szCs w:val="24"/>
        </w:rPr>
        <w:t>3</w:t>
      </w:r>
      <w:r>
        <w:rPr>
          <w:rFonts w:ascii="Times New Roman" w:hAnsi="Times New Roman" w:hint="eastAsia"/>
          <w:kern w:val="0"/>
          <w:sz w:val="24"/>
          <w:szCs w:val="24"/>
        </w:rPr>
        <w:t>、基金托管业务经营情况</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于</w:t>
      </w:r>
      <w:r>
        <w:rPr>
          <w:rFonts w:ascii="Times New Roman" w:hAnsi="Times New Roman" w:hint="eastAsia"/>
          <w:kern w:val="0"/>
          <w:sz w:val="24"/>
          <w:szCs w:val="24"/>
        </w:rPr>
        <w:t xml:space="preserve"> 2015 </w:t>
      </w:r>
      <w:r>
        <w:rPr>
          <w:rFonts w:ascii="Times New Roman" w:hAnsi="Times New Roman" w:hint="eastAsia"/>
          <w:kern w:val="0"/>
          <w:sz w:val="24"/>
          <w:szCs w:val="24"/>
        </w:rPr>
        <w:t>年</w:t>
      </w:r>
      <w:r>
        <w:rPr>
          <w:rFonts w:ascii="Times New Roman" w:hAnsi="Times New Roman" w:hint="eastAsia"/>
          <w:kern w:val="0"/>
          <w:sz w:val="24"/>
          <w:szCs w:val="24"/>
        </w:rPr>
        <w:t xml:space="preserve"> 2 </w:t>
      </w:r>
      <w:r>
        <w:rPr>
          <w:rFonts w:ascii="Times New Roman" w:hAnsi="Times New Roman" w:hint="eastAsia"/>
          <w:kern w:val="0"/>
          <w:sz w:val="24"/>
          <w:szCs w:val="24"/>
        </w:rPr>
        <w:t>月取得中国证监会核准证券投资基金托管资格，中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始终遵循“诚信、专注、成长、共赢”的经营理念，不断加强风险管理和内部控制，严格履行托管人的各项职责，切实维护基金份额持有人的合法权益，为基金份额持有人提供高质量的托管服务。</w:t>
      </w:r>
    </w:p>
    <w:p w:rsidR="009A4701" w:rsidRDefault="00677B65">
      <w:pPr>
        <w:widowControl/>
        <w:adjustRightInd w:val="0"/>
        <w:snapToGrid w:val="0"/>
        <w:spacing w:line="360" w:lineRule="auto"/>
        <w:ind w:firstLineChars="200" w:firstLine="482"/>
        <w:rPr>
          <w:rFonts w:ascii="Times New Roman" w:hAnsi="Times New Roman"/>
          <w:b/>
          <w:kern w:val="0"/>
          <w:sz w:val="24"/>
          <w:szCs w:val="24"/>
        </w:rPr>
      </w:pPr>
      <w:r>
        <w:rPr>
          <w:rFonts w:ascii="Times New Roman" w:hAnsi="Times New Roman" w:hint="eastAsia"/>
          <w:b/>
          <w:kern w:val="0"/>
          <w:sz w:val="24"/>
          <w:szCs w:val="24"/>
        </w:rPr>
        <w:t>（二）基金托管人的内部风险控制制度说明</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bCs/>
          <w:kern w:val="0"/>
          <w:sz w:val="24"/>
          <w:szCs w:val="24"/>
        </w:rPr>
        <w:t>1</w:t>
      </w:r>
      <w:r>
        <w:rPr>
          <w:rFonts w:ascii="Times New Roman" w:hAnsi="Times New Roman" w:hint="eastAsia"/>
          <w:bCs/>
          <w:kern w:val="0"/>
          <w:sz w:val="24"/>
          <w:szCs w:val="24"/>
        </w:rPr>
        <w:t>、内部控制目标</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严格遵守国家有关法律、法规、监管规则和公司内部规章制度，防范和化解基金托管业务经营风险，确保托管资产的完整和安全，切实保护基金份额持有人权益，确保托管资产的运作及相关信息披露符合国家法律、法规、监管规则及相关合同、协议的规定，查错防弊、堵塞漏洞、消除隐患，保证托管业务安全、有效、稳健运行。</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bCs/>
          <w:kern w:val="0"/>
          <w:sz w:val="24"/>
          <w:szCs w:val="24"/>
        </w:rPr>
        <w:t>2</w:t>
      </w:r>
      <w:r>
        <w:rPr>
          <w:rFonts w:ascii="Times New Roman" w:hAnsi="Times New Roman" w:hint="eastAsia"/>
          <w:bCs/>
          <w:kern w:val="0"/>
          <w:sz w:val="24"/>
          <w:szCs w:val="24"/>
        </w:rPr>
        <w:t>、内部控制组织结构</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中</w:t>
      </w:r>
      <w:proofErr w:type="gramStart"/>
      <w:r>
        <w:rPr>
          <w:rFonts w:ascii="Times New Roman" w:hAnsi="Times New Roman" w:hint="eastAsia"/>
          <w:bCs/>
          <w:kern w:val="0"/>
          <w:sz w:val="24"/>
          <w:szCs w:val="24"/>
        </w:rPr>
        <w:t>信建投证券</w:t>
      </w:r>
      <w:proofErr w:type="gramEnd"/>
      <w:r>
        <w:rPr>
          <w:rFonts w:ascii="Times New Roman" w:hAnsi="Times New Roman" w:hint="eastAsia"/>
          <w:bCs/>
          <w:kern w:val="0"/>
          <w:sz w:val="24"/>
          <w:szCs w:val="24"/>
        </w:rPr>
        <w:t>设有风险管理委员会，负责全公司风险管理与内部控制工作，对托管业务风险控制工作进行检查指导。托管部内部设置专门负责稽核监察工作的内控稽核岗，配备专职监察稽核人员，在托管部行政负责人的直接领导下，依照有关法律规章，对业务的运行独立行使监督稽核职权。</w:t>
      </w:r>
      <w:r>
        <w:rPr>
          <w:rFonts w:ascii="Times New Roman" w:hAnsi="Times New Roman" w:hint="eastAsia"/>
          <w:bCs/>
          <w:kern w:val="0"/>
          <w:sz w:val="24"/>
          <w:szCs w:val="24"/>
        </w:rPr>
        <w:t xml:space="preserve"> </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bCs/>
          <w:kern w:val="0"/>
          <w:sz w:val="24"/>
          <w:szCs w:val="24"/>
        </w:rPr>
        <w:t>3</w:t>
      </w:r>
      <w:r>
        <w:rPr>
          <w:rFonts w:ascii="Times New Roman" w:hAnsi="Times New Roman" w:hint="eastAsia"/>
          <w:bCs/>
          <w:kern w:val="0"/>
          <w:sz w:val="24"/>
          <w:szCs w:val="24"/>
        </w:rPr>
        <w:t>、内部控制制度及措施</w:t>
      </w:r>
    </w:p>
    <w:p w:rsidR="009A4701" w:rsidRDefault="00677B65">
      <w:pPr>
        <w:snapToGrid w:val="0"/>
        <w:spacing w:line="360" w:lineRule="auto"/>
        <w:ind w:firstLineChars="200" w:firstLine="480"/>
        <w:rPr>
          <w:rFonts w:ascii="Times New Roman" w:hAnsi="Times New Roman"/>
          <w:bCs/>
          <w:kern w:val="0"/>
          <w:sz w:val="24"/>
          <w:szCs w:val="24"/>
        </w:rPr>
      </w:pPr>
      <w:r>
        <w:rPr>
          <w:rFonts w:ascii="Times New Roman" w:hAnsi="Times New Roman" w:hint="eastAsia"/>
          <w:kern w:val="0"/>
          <w:sz w:val="24"/>
          <w:szCs w:val="24"/>
        </w:rPr>
        <w:t>中</w:t>
      </w:r>
      <w:proofErr w:type="gramStart"/>
      <w:r>
        <w:rPr>
          <w:rFonts w:ascii="Times New Roman" w:hAnsi="Times New Roman" w:hint="eastAsia"/>
          <w:kern w:val="0"/>
          <w:sz w:val="24"/>
          <w:szCs w:val="24"/>
        </w:rPr>
        <w:t>信建投证券</w:t>
      </w:r>
      <w:proofErr w:type="gramEnd"/>
      <w:r>
        <w:rPr>
          <w:rFonts w:ascii="Times New Roman" w:hAnsi="Times New Roman" w:hint="eastAsia"/>
          <w:kern w:val="0"/>
          <w:sz w:val="24"/>
          <w:szCs w:val="24"/>
        </w:rPr>
        <w:t>托管部制定了各项管理制度和操作规程，建立了科学合理、控制严密、运行高效的内部控制体系，保障托管业务健全、有效执行；安全保管基金财产，保持基金财产的独立性；实行经营场所封闭式管理，并配备录音和录像监控系统；有独立的综合托管服务系统；业务管理实行复核和检查机制，建立了严格有效的操作制约体系；托管部树立内控优先和风险管理的理念，培养部门全体员工的风险防范和保密意识。</w:t>
      </w:r>
    </w:p>
    <w:p w:rsidR="009A4701" w:rsidRDefault="00677B65">
      <w:pPr>
        <w:widowControl/>
        <w:adjustRightInd w:val="0"/>
        <w:snapToGrid w:val="0"/>
        <w:spacing w:line="360" w:lineRule="auto"/>
        <w:ind w:firstLineChars="200" w:firstLine="482"/>
        <w:rPr>
          <w:rFonts w:ascii="Times New Roman" w:hAnsi="Times New Roman"/>
          <w:b/>
          <w:kern w:val="0"/>
          <w:sz w:val="24"/>
          <w:szCs w:val="24"/>
        </w:rPr>
      </w:pPr>
      <w:r>
        <w:rPr>
          <w:rFonts w:ascii="Times New Roman" w:hAnsi="Times New Roman" w:hint="eastAsia"/>
          <w:b/>
          <w:kern w:val="0"/>
          <w:sz w:val="24"/>
          <w:szCs w:val="24"/>
        </w:rPr>
        <w:t>（三）基金托管人对基金管理人运作基金进行监督的方法和程序</w:t>
      </w:r>
    </w:p>
    <w:p w:rsidR="009A4701" w:rsidRDefault="00677B65">
      <w:pPr>
        <w:adjustRightInd w:val="0"/>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1</w:t>
      </w:r>
      <w:r>
        <w:rPr>
          <w:rFonts w:ascii="Times New Roman" w:hAnsi="Times New Roman" w:hint="eastAsia"/>
          <w:bCs/>
          <w:kern w:val="0"/>
          <w:sz w:val="24"/>
          <w:szCs w:val="24"/>
        </w:rPr>
        <w:t>、监督方法</w:t>
      </w:r>
      <w:r>
        <w:rPr>
          <w:rFonts w:ascii="Times New Roman" w:hAnsi="Times New Roman" w:hint="eastAsia"/>
          <w:bCs/>
          <w:kern w:val="0"/>
          <w:sz w:val="24"/>
          <w:szCs w:val="24"/>
        </w:rPr>
        <w:t xml:space="preserve"> </w:t>
      </w:r>
    </w:p>
    <w:p w:rsidR="009A4701" w:rsidRDefault="00677B65">
      <w:pPr>
        <w:adjustRightInd w:val="0"/>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基金托管人根据《基金法》、《运作办法》等法律法规的规定和基金合同、托</w:t>
      </w:r>
      <w:r>
        <w:rPr>
          <w:rFonts w:ascii="Times New Roman" w:hAnsi="Times New Roman" w:hint="eastAsia"/>
          <w:bCs/>
          <w:kern w:val="0"/>
          <w:sz w:val="24"/>
          <w:szCs w:val="24"/>
        </w:rPr>
        <w:lastRenderedPageBreak/>
        <w:t>管协议的约定，对基金合同生效之后所托管基金的投资范围、投资比例、投资限制等进行监督，并及时提示基金管理人违规风险。</w:t>
      </w:r>
      <w:r>
        <w:rPr>
          <w:rFonts w:ascii="Times New Roman" w:hAnsi="Times New Roman" w:hint="eastAsia"/>
          <w:bCs/>
          <w:kern w:val="0"/>
          <w:sz w:val="24"/>
          <w:szCs w:val="24"/>
        </w:rPr>
        <w:t xml:space="preserve"> </w:t>
      </w:r>
    </w:p>
    <w:p w:rsidR="009A4701" w:rsidRDefault="00677B65">
      <w:pPr>
        <w:adjustRightInd w:val="0"/>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2</w:t>
      </w:r>
      <w:r>
        <w:rPr>
          <w:rFonts w:ascii="Times New Roman" w:hAnsi="Times New Roman" w:hint="eastAsia"/>
          <w:bCs/>
          <w:kern w:val="0"/>
          <w:sz w:val="24"/>
          <w:szCs w:val="24"/>
        </w:rPr>
        <w:t>、监督程序</w:t>
      </w:r>
      <w:r>
        <w:rPr>
          <w:rFonts w:ascii="Times New Roman" w:hAnsi="Times New Roman" w:hint="eastAsia"/>
          <w:bCs/>
          <w:kern w:val="0"/>
          <w:sz w:val="24"/>
          <w:szCs w:val="24"/>
        </w:rPr>
        <w:t xml:space="preserve"> </w:t>
      </w:r>
    </w:p>
    <w:p w:rsidR="009A4701" w:rsidRDefault="00677B65">
      <w:pPr>
        <w:adjustRightInd w:val="0"/>
        <w:snapToGrid w:val="0"/>
        <w:spacing w:line="360" w:lineRule="auto"/>
        <w:ind w:firstLineChars="200" w:firstLine="480"/>
        <w:rPr>
          <w:rFonts w:ascii="Times New Roman" w:hAnsi="Times New Roman"/>
          <w:bCs/>
          <w:kern w:val="0"/>
          <w:sz w:val="24"/>
          <w:szCs w:val="24"/>
        </w:rPr>
      </w:pPr>
      <w:r>
        <w:rPr>
          <w:rFonts w:ascii="Times New Roman" w:hAnsi="Times New Roman" w:hint="eastAsia"/>
          <w:bCs/>
          <w:kern w:val="0"/>
          <w:sz w:val="24"/>
          <w:szCs w:val="24"/>
        </w:rPr>
        <w:t>基金托管人发现基金管理人投资指令或实际投资运作违反法律法规、《基金合同》和托管协议的规定，应及时以电话提醒或书面提示等方式通知基金管理人限期纠正。基金管理人应积极配合和协助基金托管人的监督和核查。基金管理人收到书面通知后应在限期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8" w:name="_Toc147840623"/>
      <w:r>
        <w:rPr>
          <w:rFonts w:ascii="Times New Roman" w:hAnsi="Times New Roman"/>
          <w:sz w:val="30"/>
        </w:rPr>
        <w:lastRenderedPageBreak/>
        <w:t>五、相关服务机构</w:t>
      </w:r>
      <w:bookmarkEnd w:id="8"/>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（一）基金份额销售机构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、直销机构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本基金直销机构为基金管理人直销柜台以及基金管理人的网上直销交易平台（网站及手机</w:t>
      </w:r>
      <w:r>
        <w:rPr>
          <w:rFonts w:ascii="Times New Roman" w:hAnsi="Times New Roman"/>
          <w:sz w:val="24"/>
        </w:rPr>
        <w:t>APP</w:t>
      </w:r>
      <w:r>
        <w:rPr>
          <w:rFonts w:ascii="Times New Roman" w:hAnsi="Times New Roman"/>
          <w:sz w:val="24"/>
        </w:rPr>
        <w:t>，下同）。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机构名称：交银施罗德基金管理有限公司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办公地址：上海市浦东</w:t>
      </w:r>
      <w:proofErr w:type="gramStart"/>
      <w:r>
        <w:rPr>
          <w:rFonts w:ascii="Times New Roman" w:hAnsi="Times New Roman"/>
          <w:sz w:val="24"/>
        </w:rPr>
        <w:t>新区世纪</w:t>
      </w:r>
      <w:proofErr w:type="gramEnd"/>
      <w:r>
        <w:rPr>
          <w:rFonts w:ascii="Times New Roman" w:hAnsi="Times New Roman"/>
          <w:sz w:val="24"/>
        </w:rPr>
        <w:t>大道</w:t>
      </w:r>
      <w:r>
        <w:rPr>
          <w:rFonts w:ascii="Times New Roman" w:hAnsi="Times New Roman"/>
          <w:sz w:val="24"/>
        </w:rPr>
        <w:t>8</w:t>
      </w:r>
      <w:r>
        <w:rPr>
          <w:rFonts w:ascii="Times New Roman" w:hAnsi="Times New Roman"/>
          <w:sz w:val="24"/>
        </w:rPr>
        <w:t>号国</w:t>
      </w:r>
      <w:proofErr w:type="gramStart"/>
      <w:r>
        <w:rPr>
          <w:rFonts w:ascii="Times New Roman" w:hAnsi="Times New Roman"/>
          <w:sz w:val="24"/>
        </w:rPr>
        <w:t>金中心</w:t>
      </w:r>
      <w:proofErr w:type="gramEnd"/>
      <w:r>
        <w:rPr>
          <w:rFonts w:ascii="Times New Roman" w:hAnsi="Times New Roman"/>
          <w:sz w:val="24"/>
        </w:rPr>
        <w:t>二期</w:t>
      </w:r>
      <w:r>
        <w:rPr>
          <w:rFonts w:ascii="Times New Roman" w:hAnsi="Times New Roman"/>
          <w:sz w:val="24"/>
        </w:rPr>
        <w:t>21-22</w:t>
      </w:r>
      <w:r>
        <w:rPr>
          <w:rFonts w:ascii="Times New Roman" w:hAnsi="Times New Roman"/>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法定代表人：</w:t>
      </w:r>
      <w:r>
        <w:rPr>
          <w:rFonts w:ascii="Times New Roman" w:hAnsi="Times New Roman" w:hint="eastAsia"/>
          <w:sz w:val="24"/>
        </w:rPr>
        <w:t>张宏良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成立时间：</w:t>
      </w:r>
      <w:r>
        <w:rPr>
          <w:rFonts w:ascii="Times New Roman" w:hAnsi="Times New Roman"/>
          <w:sz w:val="24"/>
        </w:rPr>
        <w:t>2005</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4</w:t>
      </w:r>
      <w:r>
        <w:rPr>
          <w:rFonts w:ascii="Times New Roman" w:hAnsi="Times New Roman"/>
          <w:sz w:val="24"/>
        </w:rPr>
        <w:t>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61055724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61055054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联系人：傅鲸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客户服务电话：</w:t>
      </w:r>
      <w:r>
        <w:rPr>
          <w:rFonts w:ascii="Times New Roman" w:hAnsi="Times New Roman"/>
          <w:sz w:val="24"/>
        </w:rPr>
        <w:t>400-700-5000</w:t>
      </w:r>
      <w:r>
        <w:rPr>
          <w:rFonts w:ascii="Times New Roman" w:hAnsi="Times New Roman"/>
          <w:sz w:val="24"/>
        </w:rPr>
        <w:t>（免长途话费），（</w:t>
      </w:r>
      <w:r>
        <w:rPr>
          <w:rFonts w:ascii="Times New Roman" w:hAnsi="Times New Roman"/>
          <w:sz w:val="24"/>
        </w:rPr>
        <w:t>021</w:t>
      </w:r>
      <w:r>
        <w:rPr>
          <w:rFonts w:ascii="Times New Roman" w:hAnsi="Times New Roman"/>
          <w:sz w:val="24"/>
        </w:rPr>
        <w:t>）</w:t>
      </w:r>
      <w:r>
        <w:rPr>
          <w:rFonts w:ascii="Times New Roman" w:hAnsi="Times New Roman"/>
          <w:sz w:val="24"/>
        </w:rPr>
        <w:t>61055000</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网址：</w:t>
      </w:r>
      <w:r>
        <w:rPr>
          <w:rFonts w:ascii="Times New Roman" w:hAnsi="Times New Roman"/>
          <w:sz w:val="24"/>
        </w:rPr>
        <w:t>www.fund001.com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个人投资者可以通过基金管理人网上直销交易平台办理开户、本基金的</w:t>
      </w:r>
      <w:r>
        <w:rPr>
          <w:rFonts w:ascii="Times New Roman" w:hAnsi="Times New Roman" w:hint="eastAsia"/>
          <w:sz w:val="24"/>
        </w:rPr>
        <w:t>认购、</w:t>
      </w:r>
      <w:r>
        <w:rPr>
          <w:rFonts w:ascii="Times New Roman" w:hAnsi="Times New Roman"/>
          <w:sz w:val="24"/>
        </w:rPr>
        <w:t>申购、赎回等业务，具体交易细则请参阅基金管理人网站。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网上直销交易平台网址：</w:t>
      </w:r>
      <w:r>
        <w:rPr>
          <w:rFonts w:ascii="Times New Roman" w:hAnsi="Times New Roman"/>
          <w:sz w:val="24"/>
        </w:rPr>
        <w:t>www.fund001.com</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w:t>
      </w:r>
      <w:r>
        <w:rPr>
          <w:rFonts w:ascii="Times New Roman" w:hAnsi="Times New Roman" w:hint="eastAsia"/>
          <w:sz w:val="24"/>
        </w:rPr>
        <w:t>除</w:t>
      </w:r>
      <w:r>
        <w:rPr>
          <w:rFonts w:ascii="Times New Roman" w:hAnsi="Times New Roman"/>
          <w:sz w:val="24"/>
        </w:rPr>
        <w:t>基金管理人之外的其他销售机构</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）中</w:t>
      </w:r>
      <w:proofErr w:type="gramStart"/>
      <w:r>
        <w:rPr>
          <w:rFonts w:ascii="Times New Roman" w:hAnsi="Times New Roman" w:hint="eastAsia"/>
          <w:kern w:val="0"/>
          <w:sz w:val="24"/>
        </w:rPr>
        <w:t>信建投证券</w:t>
      </w:r>
      <w:proofErr w:type="gramEnd"/>
      <w:r>
        <w:rPr>
          <w:rFonts w:ascii="Times New Roman" w:hAnsi="Times New Roman" w:hint="eastAsia"/>
          <w:kern w:val="0"/>
          <w:sz w:val="24"/>
        </w:rPr>
        <w:t>股份有限公司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住所：北京市朝阳区安立路</w:t>
      </w:r>
      <w:r>
        <w:rPr>
          <w:rFonts w:ascii="Times New Roman" w:hAnsi="Times New Roman" w:hint="eastAsia"/>
          <w:kern w:val="0"/>
          <w:sz w:val="24"/>
        </w:rPr>
        <w:t>66</w:t>
      </w:r>
      <w:r>
        <w:rPr>
          <w:rFonts w:ascii="Times New Roman" w:hAnsi="Times New Roman" w:hint="eastAsia"/>
          <w:kern w:val="0"/>
          <w:sz w:val="24"/>
        </w:rPr>
        <w:t>号</w:t>
      </w:r>
      <w:r>
        <w:rPr>
          <w:rFonts w:ascii="Times New Roman" w:hAnsi="Times New Roman" w:hint="eastAsia"/>
          <w:kern w:val="0"/>
          <w:sz w:val="24"/>
        </w:rPr>
        <w:t>4</w:t>
      </w:r>
      <w:r>
        <w:rPr>
          <w:rFonts w:ascii="Times New Roman" w:hAnsi="Times New Roman" w:hint="eastAsia"/>
          <w:kern w:val="0"/>
          <w:sz w:val="24"/>
        </w:rPr>
        <w:t>号楼</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办公地址：北京市朝阳区</w:t>
      </w:r>
      <w:proofErr w:type="gramStart"/>
      <w:r>
        <w:rPr>
          <w:rFonts w:ascii="Times New Roman" w:hAnsi="Times New Roman" w:hint="eastAsia"/>
          <w:kern w:val="0"/>
          <w:sz w:val="24"/>
        </w:rPr>
        <w:t>景辉街</w:t>
      </w:r>
      <w:proofErr w:type="gramEnd"/>
      <w:r>
        <w:rPr>
          <w:rFonts w:ascii="Times New Roman" w:hAnsi="Times New Roman" w:hint="eastAsia"/>
          <w:kern w:val="0"/>
          <w:sz w:val="24"/>
        </w:rPr>
        <w:t>16</w:t>
      </w:r>
      <w:r>
        <w:rPr>
          <w:rFonts w:ascii="Times New Roman" w:hAnsi="Times New Roman" w:hint="eastAsia"/>
          <w:kern w:val="0"/>
          <w:sz w:val="24"/>
        </w:rPr>
        <w:t>号院</w:t>
      </w:r>
      <w:r>
        <w:rPr>
          <w:rFonts w:ascii="Times New Roman" w:hAnsi="Times New Roman" w:hint="eastAsia"/>
          <w:kern w:val="0"/>
          <w:sz w:val="24"/>
        </w:rPr>
        <w:t>1</w:t>
      </w:r>
      <w:r>
        <w:rPr>
          <w:rFonts w:ascii="Times New Roman" w:hAnsi="Times New Roman" w:hint="eastAsia"/>
          <w:kern w:val="0"/>
          <w:sz w:val="24"/>
        </w:rPr>
        <w:t>号楼泰康集团大厦</w:t>
      </w:r>
      <w:r>
        <w:rPr>
          <w:rFonts w:ascii="Times New Roman" w:hAnsi="Times New Roman" w:hint="eastAsia"/>
          <w:kern w:val="0"/>
          <w:sz w:val="24"/>
        </w:rPr>
        <w:t>8</w:t>
      </w:r>
      <w:r>
        <w:rPr>
          <w:rFonts w:ascii="Times New Roman" w:hAnsi="Times New Roman" w:hint="eastAsia"/>
          <w:kern w:val="0"/>
          <w:sz w:val="24"/>
        </w:rPr>
        <w:t>层</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法定代表人：刘成</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电话：（</w:t>
      </w:r>
      <w:r>
        <w:rPr>
          <w:rFonts w:ascii="Times New Roman" w:hAnsi="Times New Roman" w:hint="eastAsia"/>
          <w:kern w:val="0"/>
          <w:sz w:val="24"/>
        </w:rPr>
        <w:t>010</w:t>
      </w:r>
      <w:r>
        <w:rPr>
          <w:rFonts w:ascii="Times New Roman" w:hAnsi="Times New Roman" w:hint="eastAsia"/>
          <w:kern w:val="0"/>
          <w:sz w:val="24"/>
        </w:rPr>
        <w:t>）</w:t>
      </w:r>
      <w:r>
        <w:rPr>
          <w:rFonts w:ascii="Times New Roman" w:hAnsi="Times New Roman" w:hint="eastAsia"/>
          <w:kern w:val="0"/>
          <w:sz w:val="24"/>
        </w:rPr>
        <w:t>85130588</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传真：（</w:t>
      </w:r>
      <w:r>
        <w:rPr>
          <w:rFonts w:ascii="Times New Roman" w:hAnsi="Times New Roman" w:hint="eastAsia"/>
          <w:kern w:val="0"/>
          <w:sz w:val="24"/>
        </w:rPr>
        <w:t>010</w:t>
      </w:r>
      <w:r>
        <w:rPr>
          <w:rFonts w:ascii="Times New Roman" w:hAnsi="Times New Roman" w:hint="eastAsia"/>
          <w:kern w:val="0"/>
          <w:sz w:val="24"/>
        </w:rPr>
        <w:t>）</w:t>
      </w:r>
      <w:r>
        <w:rPr>
          <w:rFonts w:ascii="Times New Roman" w:hAnsi="Times New Roman" w:hint="eastAsia"/>
          <w:kern w:val="0"/>
          <w:sz w:val="24"/>
        </w:rPr>
        <w:t>65182261</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联系人：邱珂磊</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客户服务电话：</w:t>
      </w:r>
      <w:r>
        <w:rPr>
          <w:rFonts w:ascii="Times New Roman" w:hAnsi="Times New Roman" w:hint="eastAsia"/>
          <w:kern w:val="0"/>
          <w:sz w:val="24"/>
        </w:rPr>
        <w:t>95587</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网址：</w:t>
      </w:r>
      <w:r>
        <w:rPr>
          <w:rFonts w:ascii="Times New Roman" w:hAnsi="Times New Roman" w:hint="eastAsia"/>
          <w:kern w:val="0"/>
          <w:sz w:val="24"/>
        </w:rPr>
        <w:t>www.csc108.com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）交通银行股份有限公司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住所：上海市浦东</w:t>
      </w:r>
      <w:proofErr w:type="gramStart"/>
      <w:r>
        <w:rPr>
          <w:rFonts w:ascii="Times New Roman" w:hAnsi="Times New Roman"/>
          <w:sz w:val="24"/>
        </w:rPr>
        <w:t>新区银</w:t>
      </w:r>
      <w:proofErr w:type="gramEnd"/>
      <w:r>
        <w:rPr>
          <w:rFonts w:ascii="Times New Roman" w:hAnsi="Times New Roman"/>
          <w:sz w:val="24"/>
        </w:rPr>
        <w:t>城中路</w:t>
      </w:r>
      <w:r>
        <w:rPr>
          <w:rFonts w:ascii="Times New Roman" w:hAnsi="Times New Roman"/>
          <w:sz w:val="24"/>
        </w:rPr>
        <w:t>188</w:t>
      </w:r>
      <w:r>
        <w:rPr>
          <w:rFonts w:ascii="Times New Roman" w:hAnsi="Times New Roman"/>
          <w:sz w:val="24"/>
        </w:rPr>
        <w:t>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办公地址：上海市浦东</w:t>
      </w:r>
      <w:proofErr w:type="gramStart"/>
      <w:r>
        <w:rPr>
          <w:rFonts w:ascii="Times New Roman" w:hAnsi="Times New Roman"/>
          <w:sz w:val="24"/>
        </w:rPr>
        <w:t>新区银</w:t>
      </w:r>
      <w:proofErr w:type="gramEnd"/>
      <w:r>
        <w:rPr>
          <w:rFonts w:ascii="Times New Roman" w:hAnsi="Times New Roman"/>
          <w:sz w:val="24"/>
        </w:rPr>
        <w:t>城中路</w:t>
      </w:r>
      <w:r>
        <w:rPr>
          <w:rFonts w:ascii="Times New Roman" w:hAnsi="Times New Roman"/>
          <w:sz w:val="24"/>
        </w:rPr>
        <w:t>188</w:t>
      </w:r>
      <w:r>
        <w:rPr>
          <w:rFonts w:ascii="Times New Roman" w:hAnsi="Times New Roman"/>
          <w:sz w:val="24"/>
        </w:rPr>
        <w:t>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法定代表人：任德奇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58781234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58408483</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联系人：范瑞波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客户服务电话：</w:t>
      </w:r>
      <w:r>
        <w:rPr>
          <w:rFonts w:ascii="Times New Roman" w:hAnsi="Times New Roman"/>
          <w:sz w:val="24"/>
        </w:rPr>
        <w:t>95559</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网址：</w:t>
      </w:r>
      <w:r>
        <w:rPr>
          <w:rFonts w:ascii="Times New Roman" w:hAnsi="Times New Roman"/>
          <w:sz w:val="24"/>
        </w:rPr>
        <w:t>www.bankcomm.com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基金管理人可根据有关法律法规的要求，选择其它符合要求的机构销售本基金</w:t>
      </w:r>
      <w:r>
        <w:rPr>
          <w:rFonts w:ascii="Times New Roman" w:hAnsi="Times New Roman" w:hint="eastAsia"/>
          <w:sz w:val="24"/>
        </w:rPr>
        <w:t>，并在基金管理人网站公示</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（二）登记机构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名称：交银施罗德基金管理有限公司</w:t>
      </w:r>
      <w:r>
        <w:rPr>
          <w:rFonts w:ascii="Times New Roman" w:hAnsi="Times New Roman" w:hint="eastAsia"/>
          <w:sz w:val="24"/>
        </w:rPr>
        <w:t xml:space="preserve"> </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住所：中国（上海）自由贸易试验区银城中路</w:t>
      </w:r>
      <w:r>
        <w:rPr>
          <w:rFonts w:ascii="Times New Roman" w:hAnsi="Times New Roman" w:hint="eastAsia"/>
          <w:sz w:val="24"/>
        </w:rPr>
        <w:t>188</w:t>
      </w:r>
      <w:r>
        <w:rPr>
          <w:rFonts w:ascii="Times New Roman" w:hAnsi="Times New Roman" w:hint="eastAsia"/>
          <w:sz w:val="24"/>
        </w:rPr>
        <w:t>号交通银行大楼二层（裙）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办公地址：上海市浦东</w:t>
      </w:r>
      <w:proofErr w:type="gramStart"/>
      <w:r>
        <w:rPr>
          <w:rFonts w:ascii="Times New Roman" w:hAnsi="Times New Roman" w:hint="eastAsia"/>
          <w:sz w:val="24"/>
        </w:rPr>
        <w:t>新区世纪</w:t>
      </w:r>
      <w:proofErr w:type="gramEnd"/>
      <w:r>
        <w:rPr>
          <w:rFonts w:ascii="Times New Roman" w:hAnsi="Times New Roman" w:hint="eastAsia"/>
          <w:sz w:val="24"/>
        </w:rPr>
        <w:t>大道</w:t>
      </w:r>
      <w:r>
        <w:rPr>
          <w:rFonts w:ascii="Times New Roman" w:hAnsi="Times New Roman" w:hint="eastAsia"/>
          <w:sz w:val="24"/>
        </w:rPr>
        <w:t>8</w:t>
      </w:r>
      <w:r>
        <w:rPr>
          <w:rFonts w:ascii="Times New Roman" w:hAnsi="Times New Roman" w:hint="eastAsia"/>
          <w:sz w:val="24"/>
        </w:rPr>
        <w:t>号国</w:t>
      </w:r>
      <w:proofErr w:type="gramStart"/>
      <w:r>
        <w:rPr>
          <w:rFonts w:ascii="Times New Roman" w:hAnsi="Times New Roman" w:hint="eastAsia"/>
          <w:sz w:val="24"/>
        </w:rPr>
        <w:t>金中心</w:t>
      </w:r>
      <w:proofErr w:type="gramEnd"/>
      <w:r>
        <w:rPr>
          <w:rFonts w:ascii="Times New Roman" w:hAnsi="Times New Roman" w:hint="eastAsia"/>
          <w:sz w:val="24"/>
        </w:rPr>
        <w:t>二期</w:t>
      </w:r>
      <w:r>
        <w:rPr>
          <w:rFonts w:ascii="Times New Roman" w:hAnsi="Times New Roman" w:hint="eastAsia"/>
          <w:sz w:val="24"/>
        </w:rPr>
        <w:t>21-22</w:t>
      </w:r>
      <w:r>
        <w:rPr>
          <w:rFonts w:ascii="Times New Roman" w:hAnsi="Times New Roman" w:hint="eastAsia"/>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法定代表人：张宏良</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电话：（</w:t>
      </w:r>
      <w:r>
        <w:rPr>
          <w:rFonts w:ascii="Times New Roman" w:hAnsi="Times New Roman" w:hint="eastAsia"/>
          <w:sz w:val="24"/>
        </w:rPr>
        <w:t>021</w:t>
      </w:r>
      <w:r>
        <w:rPr>
          <w:rFonts w:ascii="Times New Roman" w:hAnsi="Times New Roman" w:hint="eastAsia"/>
          <w:sz w:val="24"/>
        </w:rPr>
        <w:t>）</w:t>
      </w:r>
      <w:r>
        <w:rPr>
          <w:rFonts w:ascii="Times New Roman" w:hAnsi="Times New Roman" w:hint="eastAsia"/>
          <w:sz w:val="24"/>
        </w:rPr>
        <w:t>61055461</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传真：（</w:t>
      </w:r>
      <w:r>
        <w:rPr>
          <w:rFonts w:ascii="Times New Roman" w:hAnsi="Times New Roman" w:hint="eastAsia"/>
          <w:sz w:val="24"/>
        </w:rPr>
        <w:t>021</w:t>
      </w:r>
      <w:r>
        <w:rPr>
          <w:rFonts w:ascii="Times New Roman" w:hAnsi="Times New Roman" w:hint="eastAsia"/>
          <w:sz w:val="24"/>
        </w:rPr>
        <w:t>）</w:t>
      </w:r>
      <w:r>
        <w:rPr>
          <w:rFonts w:ascii="Times New Roman" w:hAnsi="Times New Roman" w:hint="eastAsia"/>
          <w:sz w:val="24"/>
        </w:rPr>
        <w:t>61055064</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联系人：陈方强</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（三）出具法律意见书的律师事务所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名称：上海市通力律师事务所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住所：上海市银城中路</w:t>
      </w:r>
      <w:r>
        <w:rPr>
          <w:rFonts w:ascii="Times New Roman" w:hAnsi="Times New Roman"/>
          <w:sz w:val="24"/>
        </w:rPr>
        <w:t>68</w:t>
      </w:r>
      <w:r>
        <w:rPr>
          <w:rFonts w:ascii="Times New Roman" w:hAnsi="Times New Roman"/>
          <w:sz w:val="24"/>
        </w:rPr>
        <w:t>号时代金融中心</w:t>
      </w:r>
      <w:r>
        <w:rPr>
          <w:rFonts w:ascii="Times New Roman" w:hAnsi="Times New Roman"/>
          <w:sz w:val="24"/>
        </w:rPr>
        <w:t>19</w:t>
      </w:r>
      <w:r>
        <w:rPr>
          <w:rFonts w:ascii="Times New Roman" w:hAnsi="Times New Roman"/>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办公地址：上海市银城中路</w:t>
      </w:r>
      <w:r>
        <w:rPr>
          <w:rFonts w:ascii="Times New Roman" w:hAnsi="Times New Roman"/>
          <w:sz w:val="24"/>
        </w:rPr>
        <w:t>68</w:t>
      </w:r>
      <w:r>
        <w:rPr>
          <w:rFonts w:ascii="Times New Roman" w:hAnsi="Times New Roman"/>
          <w:sz w:val="24"/>
        </w:rPr>
        <w:t>号时代金融中心</w:t>
      </w:r>
      <w:r>
        <w:rPr>
          <w:rFonts w:ascii="Times New Roman" w:hAnsi="Times New Roman"/>
          <w:sz w:val="24"/>
        </w:rPr>
        <w:t>18-20</w:t>
      </w:r>
      <w:r>
        <w:rPr>
          <w:rFonts w:ascii="Times New Roman" w:hAnsi="Times New Roman"/>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负责人：韩炯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31358666</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31358600</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联系人：丁媛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经办律师：黎明、丁媛</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（四）审计基金财产的会计师事务所</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名称：安永华明会计师事务所（特殊普通合伙）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住所：北京市东城区东长安街</w:t>
      </w:r>
      <w:r>
        <w:rPr>
          <w:rFonts w:ascii="Times New Roman" w:hAnsi="Times New Roman" w:hint="eastAsia"/>
          <w:sz w:val="24"/>
        </w:rPr>
        <w:t>1</w:t>
      </w:r>
      <w:r>
        <w:rPr>
          <w:rFonts w:ascii="Times New Roman" w:hAnsi="Times New Roman" w:hint="eastAsia"/>
          <w:sz w:val="24"/>
        </w:rPr>
        <w:t>号东方广场安永大楼</w:t>
      </w:r>
      <w:r>
        <w:rPr>
          <w:rFonts w:ascii="Times New Roman" w:hAnsi="Times New Roman" w:hint="eastAsia"/>
          <w:sz w:val="24"/>
        </w:rPr>
        <w:t>17</w:t>
      </w:r>
      <w:r>
        <w:rPr>
          <w:rFonts w:ascii="Times New Roman" w:hAnsi="Times New Roman" w:hint="eastAsia"/>
          <w:sz w:val="24"/>
        </w:rPr>
        <w:t>层</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办公地址：北京市东城区东长安街</w:t>
      </w:r>
      <w:r>
        <w:rPr>
          <w:rFonts w:ascii="Times New Roman" w:hAnsi="Times New Roman" w:hint="eastAsia"/>
          <w:sz w:val="24"/>
        </w:rPr>
        <w:t>1</w:t>
      </w:r>
      <w:r>
        <w:rPr>
          <w:rFonts w:ascii="Times New Roman" w:hAnsi="Times New Roman" w:hint="eastAsia"/>
          <w:sz w:val="24"/>
        </w:rPr>
        <w:t>号东方广场安永大楼</w:t>
      </w:r>
      <w:r>
        <w:rPr>
          <w:rFonts w:ascii="Times New Roman" w:hAnsi="Times New Roman" w:hint="eastAsia"/>
          <w:sz w:val="24"/>
        </w:rPr>
        <w:t>17</w:t>
      </w:r>
      <w:r>
        <w:rPr>
          <w:rFonts w:ascii="Times New Roman" w:hAnsi="Times New Roman" w:hint="eastAsia"/>
          <w:sz w:val="24"/>
        </w:rPr>
        <w:t>层</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执行事务合伙人：</w:t>
      </w:r>
      <w:proofErr w:type="gramStart"/>
      <w:r>
        <w:rPr>
          <w:rFonts w:ascii="Times New Roman" w:hAnsi="Times New Roman" w:hint="eastAsia"/>
          <w:sz w:val="24"/>
        </w:rPr>
        <w:t>毛鞍宁</w:t>
      </w:r>
      <w:proofErr w:type="gramEnd"/>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电话：（</w:t>
      </w:r>
      <w:r>
        <w:rPr>
          <w:rFonts w:ascii="Times New Roman" w:hAnsi="Times New Roman" w:hint="eastAsia"/>
          <w:sz w:val="24"/>
        </w:rPr>
        <w:t>010</w:t>
      </w:r>
      <w:r>
        <w:rPr>
          <w:rFonts w:ascii="Times New Roman" w:hAnsi="Times New Roman" w:hint="eastAsia"/>
          <w:sz w:val="24"/>
        </w:rPr>
        <w:t>）</w:t>
      </w:r>
      <w:r>
        <w:rPr>
          <w:rFonts w:ascii="Times New Roman" w:hAnsi="Times New Roman" w:hint="eastAsia"/>
          <w:sz w:val="24"/>
        </w:rPr>
        <w:t>58153000</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传真：（</w:t>
      </w:r>
      <w:r>
        <w:rPr>
          <w:rFonts w:ascii="Times New Roman" w:hAnsi="Times New Roman" w:hint="eastAsia"/>
          <w:sz w:val="24"/>
        </w:rPr>
        <w:t>010</w:t>
      </w:r>
      <w:r>
        <w:rPr>
          <w:rFonts w:ascii="Times New Roman" w:hAnsi="Times New Roman" w:hint="eastAsia"/>
          <w:sz w:val="24"/>
        </w:rPr>
        <w:t>）</w:t>
      </w:r>
      <w:r>
        <w:rPr>
          <w:rFonts w:ascii="Times New Roman" w:hAnsi="Times New Roman" w:hint="eastAsia"/>
          <w:sz w:val="24"/>
        </w:rPr>
        <w:t>85188298</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联系人：蒋燕华</w:t>
      </w:r>
    </w:p>
    <w:p w:rsidR="009A4701" w:rsidRDefault="00677B65">
      <w:pPr>
        <w:autoSpaceDE w:val="0"/>
        <w:autoSpaceDN w:val="0"/>
        <w:adjustRightInd w:val="0"/>
        <w:spacing w:line="360" w:lineRule="auto"/>
        <w:ind w:firstLine="480"/>
        <w:rPr>
          <w:rFonts w:ascii="Times New Roman" w:hAnsi="Times New Roman"/>
          <w:szCs w:val="24"/>
        </w:rPr>
      </w:pPr>
      <w:r>
        <w:rPr>
          <w:rFonts w:ascii="Times New Roman" w:hAnsi="Times New Roman" w:hint="eastAsia"/>
          <w:sz w:val="24"/>
        </w:rPr>
        <w:t>经办注册会计师：蒋燕华、费泽旭</w:t>
      </w: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9" w:name="_Toc147840624"/>
      <w:r>
        <w:rPr>
          <w:rFonts w:ascii="Times New Roman" w:hAnsi="Times New Roman"/>
          <w:sz w:val="30"/>
        </w:rPr>
        <w:lastRenderedPageBreak/>
        <w:t>六、基金的募集</w:t>
      </w:r>
      <w:bookmarkEnd w:id="9"/>
    </w:p>
    <w:p w:rsidR="009A4701" w:rsidRDefault="00677B65">
      <w:pPr>
        <w:adjustRightInd w:val="0"/>
        <w:snapToGrid w:val="0"/>
        <w:spacing w:line="360" w:lineRule="auto"/>
        <w:ind w:firstLineChars="200" w:firstLine="482"/>
        <w:outlineLvl w:val="1"/>
        <w:rPr>
          <w:rFonts w:ascii="Times New Roman" w:hAnsi="Times New Roman"/>
          <w:b/>
          <w:sz w:val="24"/>
          <w:szCs w:val="24"/>
        </w:rPr>
      </w:pPr>
      <w:r>
        <w:rPr>
          <w:rFonts w:ascii="Times New Roman" w:hAnsi="Times New Roman" w:hint="eastAsia"/>
          <w:b/>
          <w:sz w:val="24"/>
          <w:szCs w:val="24"/>
        </w:rPr>
        <w:t>（一）基金募集的依据</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本基金由基金管理人依照《基金法》、《运作办法》、《销售办法》、基金合同及其他有关规定，并经中国证监会</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hint="eastAsia"/>
          <w:kern w:val="0"/>
          <w:sz w:val="24"/>
        </w:rPr>
        <w:t>2</w:t>
      </w:r>
      <w:r>
        <w:rPr>
          <w:rFonts w:ascii="Times New Roman" w:hAnsi="Times New Roman"/>
          <w:kern w:val="0"/>
          <w:sz w:val="24"/>
        </w:rPr>
        <w:t>4</w:t>
      </w:r>
      <w:r>
        <w:rPr>
          <w:rFonts w:ascii="Times New Roman" w:hAnsi="Times New Roman"/>
          <w:kern w:val="0"/>
          <w:sz w:val="24"/>
        </w:rPr>
        <w:t>日</w:t>
      </w:r>
      <w:r>
        <w:rPr>
          <w:rFonts w:ascii="Times New Roman" w:hAnsi="Times New Roman" w:hint="eastAsia"/>
          <w:kern w:val="0"/>
          <w:sz w:val="24"/>
        </w:rPr>
        <w:t>证监许可【</w:t>
      </w:r>
      <w:r>
        <w:rPr>
          <w:rFonts w:ascii="Times New Roman" w:hAnsi="Times New Roman"/>
          <w:kern w:val="0"/>
          <w:sz w:val="24"/>
        </w:rPr>
        <w:t>2025</w:t>
      </w:r>
      <w:r>
        <w:rPr>
          <w:rFonts w:ascii="Times New Roman" w:hAnsi="Times New Roman"/>
          <w:kern w:val="0"/>
          <w:sz w:val="24"/>
        </w:rPr>
        <w:t>】</w:t>
      </w:r>
      <w:r>
        <w:rPr>
          <w:rFonts w:ascii="Times New Roman" w:hAnsi="Times New Roman"/>
          <w:kern w:val="0"/>
          <w:sz w:val="24"/>
        </w:rPr>
        <w:t>1600</w:t>
      </w:r>
      <w:r>
        <w:rPr>
          <w:rFonts w:ascii="Times New Roman" w:hAnsi="Times New Roman" w:hint="eastAsia"/>
          <w:kern w:val="0"/>
          <w:sz w:val="24"/>
        </w:rPr>
        <w:t>号文准予募集注册。</w:t>
      </w:r>
    </w:p>
    <w:p w:rsidR="009A4701" w:rsidRDefault="00677B65">
      <w:pPr>
        <w:adjustRightInd w:val="0"/>
        <w:snapToGrid w:val="0"/>
        <w:spacing w:line="360" w:lineRule="auto"/>
        <w:ind w:firstLineChars="200" w:firstLine="482"/>
        <w:outlineLvl w:val="1"/>
        <w:rPr>
          <w:rFonts w:ascii="Times New Roman" w:hAnsi="Times New Roman"/>
          <w:b/>
          <w:sz w:val="24"/>
          <w:szCs w:val="24"/>
        </w:rPr>
      </w:pPr>
      <w:r>
        <w:rPr>
          <w:rFonts w:ascii="Times New Roman" w:hAnsi="Times New Roman" w:hint="eastAsia"/>
          <w:b/>
          <w:sz w:val="24"/>
          <w:szCs w:val="24"/>
        </w:rPr>
        <w:t>（二）基金类别</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股票型证券投资基金</w:t>
      </w:r>
    </w:p>
    <w:p w:rsidR="009A4701" w:rsidRDefault="00677B65">
      <w:pPr>
        <w:adjustRightInd w:val="0"/>
        <w:snapToGrid w:val="0"/>
        <w:spacing w:line="360" w:lineRule="auto"/>
        <w:ind w:firstLineChars="200" w:firstLine="482"/>
        <w:outlineLvl w:val="1"/>
        <w:rPr>
          <w:rFonts w:ascii="Times New Roman" w:hAnsi="Times New Roman"/>
          <w:b/>
          <w:sz w:val="24"/>
          <w:szCs w:val="24"/>
        </w:rPr>
      </w:pPr>
      <w:r>
        <w:rPr>
          <w:rFonts w:ascii="Times New Roman" w:hAnsi="Times New Roman" w:hint="eastAsia"/>
          <w:b/>
          <w:sz w:val="24"/>
          <w:szCs w:val="24"/>
        </w:rPr>
        <w:t>（三）基金运作方式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契约型开放式</w:t>
      </w:r>
    </w:p>
    <w:p w:rsidR="009A4701" w:rsidRDefault="00677B65">
      <w:pPr>
        <w:adjustRightInd w:val="0"/>
        <w:snapToGrid w:val="0"/>
        <w:spacing w:line="360" w:lineRule="auto"/>
        <w:ind w:firstLineChars="200" w:firstLine="482"/>
        <w:outlineLvl w:val="1"/>
        <w:rPr>
          <w:rFonts w:ascii="Times New Roman" w:hAnsi="Times New Roman"/>
          <w:b/>
          <w:sz w:val="24"/>
          <w:szCs w:val="24"/>
        </w:rPr>
      </w:pPr>
      <w:bookmarkStart w:id="10" w:name="_Hlk49341725"/>
      <w:r>
        <w:rPr>
          <w:rFonts w:ascii="Times New Roman" w:hAnsi="Times New Roman" w:hint="eastAsia"/>
          <w:b/>
          <w:sz w:val="24"/>
          <w:szCs w:val="24"/>
        </w:rPr>
        <w:t>（四）基金存续期限</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不定期</w:t>
      </w:r>
    </w:p>
    <w:p w:rsidR="009A4701" w:rsidRDefault="00677B65">
      <w:pPr>
        <w:adjustRightInd w:val="0"/>
        <w:snapToGrid w:val="0"/>
        <w:spacing w:line="360" w:lineRule="auto"/>
        <w:ind w:firstLineChars="200" w:firstLine="482"/>
        <w:outlineLvl w:val="1"/>
        <w:rPr>
          <w:rFonts w:ascii="Times New Roman" w:hAnsi="Times New Roman"/>
          <w:b/>
          <w:bCs/>
          <w:sz w:val="24"/>
        </w:rPr>
      </w:pPr>
      <w:r>
        <w:rPr>
          <w:rFonts w:ascii="Times New Roman" w:hAnsi="Times New Roman" w:hint="eastAsia"/>
          <w:b/>
          <w:bCs/>
          <w:sz w:val="24"/>
        </w:rPr>
        <w:t>（五）基金份额类别</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本基金根据认购</w:t>
      </w:r>
      <w:r>
        <w:rPr>
          <w:rFonts w:ascii="Times New Roman" w:hAnsi="Times New Roman"/>
          <w:sz w:val="24"/>
        </w:rPr>
        <w:t>/</w:t>
      </w:r>
      <w:r>
        <w:rPr>
          <w:rFonts w:ascii="Times New Roman" w:hAnsi="Times New Roman" w:hint="eastAsia"/>
          <w:sz w:val="24"/>
        </w:rPr>
        <w:t>申购费用、销售服务费收取方式的不同，将基金份额分为不同的类别。在投资人认购</w:t>
      </w:r>
      <w:r>
        <w:rPr>
          <w:rFonts w:ascii="Times New Roman" w:hAnsi="Times New Roman"/>
          <w:sz w:val="24"/>
        </w:rPr>
        <w:t>/</w:t>
      </w:r>
      <w:r>
        <w:rPr>
          <w:rFonts w:ascii="Times New Roman" w:hAnsi="Times New Roman" w:hint="eastAsia"/>
          <w:sz w:val="24"/>
        </w:rPr>
        <w:t>申购时收取认购</w:t>
      </w:r>
      <w:r>
        <w:rPr>
          <w:rFonts w:ascii="Times New Roman" w:hAnsi="Times New Roman"/>
          <w:sz w:val="24"/>
        </w:rPr>
        <w:t>/</w:t>
      </w:r>
      <w:r>
        <w:rPr>
          <w:rFonts w:ascii="Times New Roman" w:hAnsi="Times New Roman" w:hint="eastAsia"/>
          <w:sz w:val="24"/>
        </w:rPr>
        <w:t>申购费用</w:t>
      </w:r>
      <w:r>
        <w:rPr>
          <w:rFonts w:ascii="Times New Roman" w:hAnsi="Times New Roman" w:hint="eastAsia"/>
          <w:bCs/>
          <w:sz w:val="24"/>
        </w:rPr>
        <w:t>、</w:t>
      </w:r>
      <w:r>
        <w:rPr>
          <w:rFonts w:ascii="Times New Roman" w:hAnsi="Times New Roman" w:hint="eastAsia"/>
          <w:sz w:val="24"/>
        </w:rPr>
        <w:t>不从本类别基金资产中计</w:t>
      </w:r>
      <w:proofErr w:type="gramStart"/>
      <w:r>
        <w:rPr>
          <w:rFonts w:ascii="Times New Roman" w:hAnsi="Times New Roman" w:hint="eastAsia"/>
          <w:sz w:val="24"/>
        </w:rPr>
        <w:t>提销售</w:t>
      </w:r>
      <w:proofErr w:type="gramEnd"/>
      <w:r>
        <w:rPr>
          <w:rFonts w:ascii="Times New Roman" w:hAnsi="Times New Roman" w:hint="eastAsia"/>
          <w:sz w:val="24"/>
        </w:rPr>
        <w:t>服务费的，称为</w:t>
      </w:r>
      <w:r>
        <w:rPr>
          <w:rFonts w:ascii="Times New Roman" w:hAnsi="Times New Roman"/>
          <w:sz w:val="24"/>
        </w:rPr>
        <w:t>A</w:t>
      </w:r>
      <w:r>
        <w:rPr>
          <w:rFonts w:ascii="Times New Roman" w:hAnsi="Times New Roman" w:hint="eastAsia"/>
          <w:sz w:val="24"/>
        </w:rPr>
        <w:t>类基金份额；在投资人认购</w:t>
      </w:r>
      <w:r>
        <w:rPr>
          <w:rFonts w:ascii="Times New Roman" w:hAnsi="Times New Roman"/>
          <w:sz w:val="24"/>
        </w:rPr>
        <w:t>/</w:t>
      </w:r>
      <w:r>
        <w:rPr>
          <w:rFonts w:ascii="Times New Roman" w:hAnsi="Times New Roman" w:hint="eastAsia"/>
          <w:sz w:val="24"/>
        </w:rPr>
        <w:t>申购时不收取认购</w:t>
      </w:r>
      <w:r>
        <w:rPr>
          <w:rFonts w:ascii="Times New Roman" w:hAnsi="Times New Roman"/>
          <w:sz w:val="24"/>
        </w:rPr>
        <w:t>/</w:t>
      </w:r>
      <w:r>
        <w:rPr>
          <w:rFonts w:ascii="Times New Roman" w:hAnsi="Times New Roman" w:hint="eastAsia"/>
          <w:sz w:val="24"/>
        </w:rPr>
        <w:t>申购</w:t>
      </w:r>
      <w:r>
        <w:rPr>
          <w:rFonts w:ascii="Times New Roman" w:hAnsi="Times New Roman" w:hint="eastAsia"/>
          <w:bCs/>
          <w:sz w:val="24"/>
        </w:rPr>
        <w:t>费用、</w:t>
      </w:r>
      <w:r>
        <w:rPr>
          <w:rFonts w:ascii="Times New Roman" w:hAnsi="Times New Roman" w:hint="eastAsia"/>
          <w:sz w:val="24"/>
        </w:rPr>
        <w:t>从本类别基金资产中计</w:t>
      </w:r>
      <w:proofErr w:type="gramStart"/>
      <w:r>
        <w:rPr>
          <w:rFonts w:ascii="Times New Roman" w:hAnsi="Times New Roman" w:hint="eastAsia"/>
          <w:sz w:val="24"/>
        </w:rPr>
        <w:t>提销售</w:t>
      </w:r>
      <w:proofErr w:type="gramEnd"/>
      <w:r>
        <w:rPr>
          <w:rFonts w:ascii="Times New Roman" w:hAnsi="Times New Roman" w:hint="eastAsia"/>
          <w:sz w:val="24"/>
        </w:rPr>
        <w:t>服务费的，称为</w:t>
      </w:r>
      <w:r>
        <w:rPr>
          <w:rFonts w:ascii="Times New Roman" w:hAnsi="Times New Roman"/>
          <w:sz w:val="24"/>
        </w:rPr>
        <w:t>C</w:t>
      </w:r>
      <w:r>
        <w:rPr>
          <w:rFonts w:ascii="Times New Roman" w:hAnsi="Times New Roman" w:hint="eastAsia"/>
          <w:sz w:val="24"/>
        </w:rPr>
        <w:t>类基金份额。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w:t>
      </w:r>
      <w:r>
        <w:rPr>
          <w:rFonts w:ascii="Times New Roman" w:hAnsi="Times New Roman"/>
          <w:sz w:val="24"/>
        </w:rPr>
        <w:t>A</w:t>
      </w:r>
      <w:r>
        <w:rPr>
          <w:rFonts w:ascii="Times New Roman" w:hAnsi="Times New Roman" w:hint="eastAsia"/>
          <w:sz w:val="24"/>
        </w:rPr>
        <w:t>类基金份额和</w:t>
      </w:r>
      <w:r>
        <w:rPr>
          <w:rFonts w:ascii="Times New Roman" w:hAnsi="Times New Roman"/>
          <w:sz w:val="24"/>
        </w:rPr>
        <w:t>C</w:t>
      </w:r>
      <w:r>
        <w:rPr>
          <w:rFonts w:ascii="Times New Roman" w:hAnsi="Times New Roman" w:hint="eastAsia"/>
          <w:sz w:val="24"/>
        </w:rPr>
        <w:t>类基金份额分别设置基金代码。由于基金费用的不同，本基金</w:t>
      </w:r>
      <w:r>
        <w:rPr>
          <w:rFonts w:ascii="Times New Roman" w:hAnsi="Times New Roman"/>
          <w:sz w:val="24"/>
        </w:rPr>
        <w:t>A</w:t>
      </w:r>
      <w:r>
        <w:rPr>
          <w:rFonts w:ascii="Times New Roman" w:hAnsi="Times New Roman" w:hint="eastAsia"/>
          <w:sz w:val="24"/>
        </w:rPr>
        <w:t>类基金份额和</w:t>
      </w:r>
      <w:r>
        <w:rPr>
          <w:rFonts w:ascii="Times New Roman" w:hAnsi="Times New Roman"/>
          <w:sz w:val="24"/>
        </w:rPr>
        <w:t>C</w:t>
      </w:r>
      <w:r>
        <w:rPr>
          <w:rFonts w:ascii="Times New Roman" w:hAnsi="Times New Roman" w:hint="eastAsia"/>
          <w:sz w:val="24"/>
        </w:rPr>
        <w:t>类基金份额将分别计算基金份额净值并单独公告。投资者可自行选择认购</w:t>
      </w:r>
      <w:r>
        <w:rPr>
          <w:rFonts w:ascii="Times New Roman" w:hAnsi="Times New Roman"/>
          <w:sz w:val="24"/>
        </w:rPr>
        <w:t>/</w:t>
      </w:r>
      <w:r>
        <w:rPr>
          <w:rFonts w:ascii="Times New Roman" w:hAnsi="Times New Roman" w:hint="eastAsia"/>
          <w:sz w:val="24"/>
        </w:rPr>
        <w:t>申购的基金份额类别。本基金不同基金份额类别之间</w:t>
      </w:r>
      <w:r>
        <w:rPr>
          <w:rFonts w:ascii="Times New Roman" w:hAnsi="Times New Roman" w:hint="eastAsia"/>
          <w:bCs/>
          <w:sz w:val="24"/>
        </w:rPr>
        <w:t>暂不开通互相转换业务。如后续开通此项业务的，无需召开基金份额持有人大会审议，但调整</w:t>
      </w:r>
      <w:proofErr w:type="gramStart"/>
      <w:r>
        <w:rPr>
          <w:rFonts w:ascii="Times New Roman" w:hAnsi="Times New Roman" w:hint="eastAsia"/>
          <w:bCs/>
          <w:sz w:val="24"/>
        </w:rPr>
        <w:t>前基金</w:t>
      </w:r>
      <w:proofErr w:type="gramEnd"/>
      <w:r>
        <w:rPr>
          <w:rFonts w:ascii="Times New Roman" w:hAnsi="Times New Roman" w:hint="eastAsia"/>
          <w:bCs/>
          <w:sz w:val="24"/>
        </w:rPr>
        <w:t>管理人需及时公告</w:t>
      </w:r>
      <w:r>
        <w:rPr>
          <w:rFonts w:ascii="Times New Roman" w:hAnsi="Times New Roman" w:hint="eastAsia"/>
          <w:sz w:val="24"/>
        </w:rPr>
        <w:t>。</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rsidR="009A4701" w:rsidRDefault="00677B65">
      <w:pPr>
        <w:adjustRightInd w:val="0"/>
        <w:snapToGrid w:val="0"/>
        <w:spacing w:line="360" w:lineRule="auto"/>
        <w:ind w:firstLineChars="200" w:firstLine="482"/>
        <w:outlineLvl w:val="1"/>
        <w:rPr>
          <w:rFonts w:ascii="Times New Roman" w:hAnsi="Times New Roman"/>
          <w:b/>
          <w:sz w:val="24"/>
          <w:szCs w:val="24"/>
        </w:rPr>
      </w:pPr>
      <w:r>
        <w:rPr>
          <w:rFonts w:ascii="Times New Roman" w:hAnsi="Times New Roman" w:hint="eastAsia"/>
          <w:b/>
          <w:sz w:val="24"/>
          <w:szCs w:val="24"/>
        </w:rPr>
        <w:t>（六）基金份额的认购</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基金募集期内，基金份额通过各销售机构向投资人公开发售。募集期间个人投资者可以通过基金管理人网上直销交易平台办理开户和本基金的认购业务。具体请</w:t>
      </w:r>
      <w:r>
        <w:rPr>
          <w:rFonts w:ascii="Times New Roman" w:hAnsi="Times New Roman" w:hint="eastAsia"/>
          <w:sz w:val="24"/>
        </w:rPr>
        <w:lastRenderedPageBreak/>
        <w:t>见</w:t>
      </w:r>
      <w:r>
        <w:rPr>
          <w:rFonts w:ascii="Times New Roman" w:hAnsi="Times New Roman" w:hint="eastAsia"/>
          <w:bCs/>
          <w:sz w:val="24"/>
        </w:rPr>
        <w:t>基金份额发售公告以及基金管理人网站。</w:t>
      </w:r>
      <w:r>
        <w:rPr>
          <w:rFonts w:ascii="Times New Roman" w:hAnsi="Times New Roman" w:hint="eastAsia"/>
          <w:sz w:val="24"/>
        </w:rPr>
        <w:t>除法律法规或中国证监会另有规定外，任何与基金份额发售有关的当事人不得预留和提前发售基金份额。</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1</w:t>
      </w:r>
      <w:r>
        <w:rPr>
          <w:rFonts w:ascii="Times New Roman" w:hAnsi="Times New Roman" w:hint="eastAsia"/>
          <w:sz w:val="24"/>
        </w:rPr>
        <w:t>、基金份额的发售时间、方式和对象</w:t>
      </w:r>
    </w:p>
    <w:p w:rsidR="009A4701" w:rsidRDefault="00677B65">
      <w:pPr>
        <w:adjustRightInd w:val="0"/>
        <w:snapToGrid w:val="0"/>
        <w:spacing w:line="360" w:lineRule="auto"/>
        <w:ind w:leftChars="50" w:left="105" w:firstLineChars="150" w:firstLine="36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）募集期限：自基金份额发售之日起不超过</w:t>
      </w:r>
      <w:r>
        <w:rPr>
          <w:rFonts w:ascii="Times New Roman" w:hAnsi="Times New Roman"/>
          <w:sz w:val="24"/>
        </w:rPr>
        <w:t>3</w:t>
      </w:r>
      <w:r>
        <w:rPr>
          <w:rFonts w:ascii="Times New Roman" w:hAnsi="Times New Roman" w:hint="eastAsia"/>
          <w:sz w:val="24"/>
        </w:rPr>
        <w:t>个月。本基金自</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w:t>
      </w:r>
      <w:r>
        <w:rPr>
          <w:rFonts w:ascii="Times New Roman" w:hAnsi="Times New Roman"/>
          <w:kern w:val="0"/>
          <w:sz w:val="24"/>
        </w:rPr>
        <w:t>20</w:t>
      </w:r>
      <w:r>
        <w:rPr>
          <w:rFonts w:ascii="Times New Roman" w:hAnsi="Times New Roman"/>
          <w:kern w:val="0"/>
          <w:sz w:val="24"/>
        </w:rPr>
        <w:t>日</w:t>
      </w:r>
      <w:r>
        <w:rPr>
          <w:rFonts w:ascii="Times New Roman" w:hAnsi="Times New Roman" w:hint="eastAsia"/>
          <w:sz w:val="24"/>
        </w:rPr>
        <w:t>起至</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w:t>
      </w:r>
      <w:r>
        <w:rPr>
          <w:rFonts w:ascii="Times New Roman" w:hAnsi="Times New Roman"/>
          <w:kern w:val="0"/>
          <w:sz w:val="24"/>
        </w:rPr>
        <w:t>31</w:t>
      </w:r>
      <w:r>
        <w:rPr>
          <w:rFonts w:ascii="Times New Roman" w:hAnsi="Times New Roman"/>
          <w:kern w:val="0"/>
          <w:sz w:val="24"/>
        </w:rPr>
        <w:t>日</w:t>
      </w:r>
      <w:proofErr w:type="gramStart"/>
      <w:r>
        <w:rPr>
          <w:rFonts w:ascii="Times New Roman" w:hAnsi="Times New Roman" w:hint="eastAsia"/>
          <w:sz w:val="24"/>
        </w:rPr>
        <w:t>止</w:t>
      </w:r>
      <w:proofErr w:type="gramEnd"/>
      <w:r>
        <w:rPr>
          <w:rFonts w:ascii="Times New Roman" w:hAnsi="Times New Roman" w:hint="eastAsia"/>
          <w:sz w:val="24"/>
        </w:rPr>
        <w:t>通过销售机构公开发售（详见基金份额发售公告及销售机构相关公告）。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rsidR="009A4701" w:rsidRDefault="00677B65">
      <w:pPr>
        <w:adjustRightInd w:val="0"/>
        <w:snapToGrid w:val="0"/>
        <w:spacing w:line="360" w:lineRule="auto"/>
        <w:ind w:firstLineChars="200" w:firstLine="480"/>
        <w:rPr>
          <w:rFonts w:ascii="Times New Roman" w:hAnsi="Times New Roman"/>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）销售渠道：销售机构具体名单</w:t>
      </w:r>
      <w:proofErr w:type="gramStart"/>
      <w:r>
        <w:rPr>
          <w:rFonts w:ascii="Times New Roman" w:hAnsi="Times New Roman" w:hint="eastAsia"/>
          <w:sz w:val="24"/>
        </w:rPr>
        <w:t>见基金</w:t>
      </w:r>
      <w:proofErr w:type="gramEnd"/>
      <w:r>
        <w:rPr>
          <w:rFonts w:ascii="Times New Roman" w:hAnsi="Times New Roman" w:hint="eastAsia"/>
          <w:sz w:val="24"/>
        </w:rPr>
        <w:t>份额发售公告以及基金管理人网站</w:t>
      </w:r>
      <w:r>
        <w:rPr>
          <w:rFonts w:ascii="Times New Roman" w:hAnsi="Times New Roman" w:hint="eastAsia"/>
        </w:rPr>
        <w:t>。</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）销售对象：符合法律法规规定的可投资于证券投资基金的个人投资者、机构投资者、合格境外投资者以及法律法规或中国证监会允许购买证券投资基金的其他投资人。</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2</w:t>
      </w:r>
      <w:r>
        <w:rPr>
          <w:rFonts w:ascii="Times New Roman" w:hAnsi="Times New Roman" w:hint="eastAsia"/>
          <w:sz w:val="24"/>
        </w:rPr>
        <w:t>、基金份额的认购和持有限制</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）基金份额的认购采用金额认购方式。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）投资人认购基金份额采用全额缴款的认购方式。投资人认购时，需按销售机构规定的方式备足认购的金额。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）投资人在募集期内可以多次认购基金份额，认购申请一经登记机构受理不得撤销。</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）直销机构接受首次认购申请的最低金额为单笔</w:t>
      </w:r>
      <w:r>
        <w:rPr>
          <w:rFonts w:ascii="Times New Roman" w:hAnsi="Times New Roman"/>
          <w:sz w:val="24"/>
        </w:rPr>
        <w:t>100</w:t>
      </w:r>
      <w:r>
        <w:rPr>
          <w:rFonts w:ascii="Times New Roman" w:hAnsi="Times New Roman" w:hint="eastAsia"/>
          <w:sz w:val="24"/>
        </w:rPr>
        <w:t>万元，追加认购的最低金额为单笔</w:t>
      </w:r>
      <w:r>
        <w:rPr>
          <w:rFonts w:ascii="Times New Roman" w:hAnsi="Times New Roman"/>
          <w:sz w:val="24"/>
        </w:rPr>
        <w:t>10</w:t>
      </w:r>
      <w:r>
        <w:rPr>
          <w:rFonts w:ascii="Times New Roman" w:hAnsi="Times New Roman" w:hint="eastAsia"/>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rFonts w:ascii="Times New Roman" w:hAnsi="Times New Roman"/>
          <w:sz w:val="24"/>
        </w:rPr>
        <w:t>1</w:t>
      </w:r>
      <w:r>
        <w:rPr>
          <w:rFonts w:ascii="Times New Roman" w:hAnsi="Times New Roman" w:hint="eastAsia"/>
          <w:sz w:val="24"/>
        </w:rPr>
        <w:t>元。本基金直销机构单笔认购最低金额可由基金管理人酌情调整。其他销售机构接受认购申请的最低金额为单笔</w:t>
      </w:r>
      <w:r>
        <w:rPr>
          <w:rFonts w:ascii="Times New Roman" w:hAnsi="Times New Roman"/>
          <w:sz w:val="24"/>
        </w:rPr>
        <w:t>1</w:t>
      </w:r>
      <w:r>
        <w:rPr>
          <w:rFonts w:ascii="Times New Roman" w:hAnsi="Times New Roman" w:hint="eastAsia"/>
          <w:sz w:val="24"/>
        </w:rPr>
        <w:t>元，如果销售机构业务规则规定的最低单笔认购金额高于</w:t>
      </w:r>
      <w:r>
        <w:rPr>
          <w:rFonts w:ascii="Times New Roman" w:hAnsi="Times New Roman"/>
          <w:sz w:val="24"/>
        </w:rPr>
        <w:t>1</w:t>
      </w:r>
      <w:r>
        <w:rPr>
          <w:rFonts w:ascii="Times New Roman" w:hAnsi="Times New Roman" w:hint="eastAsia"/>
          <w:sz w:val="24"/>
        </w:rPr>
        <w:t>元，以该销售机构的规定为准。</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）基金管理人可以对募集期间的单个投资人的累计认购金额进行限制，具体限制和处理方法请参看相关公告。</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）如本基金单个投资人累计认购的基金份额数超过基金总份额的</w:t>
      </w:r>
      <w:r>
        <w:rPr>
          <w:rFonts w:ascii="Times New Roman" w:hAnsi="Times New Roman"/>
          <w:sz w:val="24"/>
        </w:rPr>
        <w:t>50%</w:t>
      </w:r>
      <w:r>
        <w:rPr>
          <w:rFonts w:ascii="Times New Roman" w:hAnsi="Times New Roman" w:hint="eastAsia"/>
          <w:sz w:val="24"/>
        </w:rPr>
        <w:t>，基金管理人可以采取比例确认等方式对该投资人的认购申请进行限制。基金管理人接</w:t>
      </w:r>
      <w:r>
        <w:rPr>
          <w:rFonts w:ascii="Times New Roman" w:hAnsi="Times New Roman" w:hint="eastAsia"/>
          <w:sz w:val="24"/>
        </w:rPr>
        <w:lastRenderedPageBreak/>
        <w:t>受某笔或者某些认购申请有可能导致投资者变相规避前述</w:t>
      </w:r>
      <w:r>
        <w:rPr>
          <w:rFonts w:ascii="Times New Roman" w:hAnsi="Times New Roman"/>
          <w:sz w:val="24"/>
        </w:rPr>
        <w:t>50%</w:t>
      </w:r>
      <w:r>
        <w:rPr>
          <w:rFonts w:ascii="Times New Roman" w:hAnsi="Times New Roman" w:hint="eastAsia"/>
          <w:sz w:val="24"/>
        </w:rPr>
        <w:t>比例要求的，基金管理人有权拒绝该等全部或者部分认购申请。投资人认购的基金份额数以基金合同生效后登记机构的确认为准。</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w:t>
      </w:r>
      <w:r>
        <w:rPr>
          <w:rFonts w:ascii="Times New Roman" w:hAnsi="Times New Roman" w:hint="eastAsia"/>
          <w:bCs/>
          <w:sz w:val="24"/>
        </w:rPr>
        <w:t>基金管理人可以对募集期间的本基金募集规模设置上限。募集期内超过募集规模上限时，基金管理人可以采用比例确认或其他方式进行确认，具体办法参见基金份额发售公告。</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3</w:t>
      </w:r>
      <w:r>
        <w:rPr>
          <w:rFonts w:ascii="Times New Roman" w:hAnsi="Times New Roman" w:hint="eastAsia"/>
          <w:sz w:val="24"/>
        </w:rPr>
        <w:t>、基金份额的面值、认购费用、认购价格及认购份额的计算公式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）面值、认购价格：本</w:t>
      </w:r>
      <w:proofErr w:type="gramStart"/>
      <w:r>
        <w:rPr>
          <w:rFonts w:ascii="Times New Roman" w:hAnsi="Times New Roman" w:hint="eastAsia"/>
          <w:sz w:val="24"/>
        </w:rPr>
        <w:t>基金基金</w:t>
      </w:r>
      <w:proofErr w:type="gramEnd"/>
      <w:r>
        <w:rPr>
          <w:rFonts w:ascii="Times New Roman" w:hAnsi="Times New Roman" w:hint="eastAsia"/>
          <w:sz w:val="24"/>
        </w:rPr>
        <w:t>份额的初始面值、认购价格为</w:t>
      </w:r>
      <w:r>
        <w:rPr>
          <w:rFonts w:ascii="Times New Roman" w:hAnsi="Times New Roman"/>
          <w:sz w:val="24"/>
        </w:rPr>
        <w:t>1.00</w:t>
      </w:r>
      <w:r>
        <w:rPr>
          <w:rFonts w:ascii="Times New Roman" w:hAnsi="Times New Roman" w:hint="eastAsia"/>
          <w:sz w:val="24"/>
        </w:rPr>
        <w:t>元</w:t>
      </w:r>
      <w:r>
        <w:rPr>
          <w:rFonts w:ascii="Times New Roman" w:hAnsi="Times New Roman"/>
          <w:sz w:val="24"/>
        </w:rPr>
        <w:t>/</w:t>
      </w:r>
      <w:r>
        <w:rPr>
          <w:rFonts w:ascii="Times New Roman" w:hAnsi="Times New Roman" w:hint="eastAsia"/>
          <w:sz w:val="24"/>
        </w:rPr>
        <w:t>份。</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）认购费率</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募集期内投资人可以多次认购本基金，</w:t>
      </w:r>
      <w:r>
        <w:rPr>
          <w:rFonts w:ascii="Times New Roman" w:hAnsi="Times New Roman" w:hint="eastAsia"/>
          <w:bCs/>
          <w:sz w:val="24"/>
        </w:rPr>
        <w:t>A</w:t>
      </w:r>
      <w:r>
        <w:rPr>
          <w:rFonts w:ascii="Times New Roman" w:hAnsi="Times New Roman" w:hint="eastAsia"/>
          <w:bCs/>
          <w:sz w:val="24"/>
        </w:rPr>
        <w:t>类基金份额的</w:t>
      </w:r>
      <w:r>
        <w:rPr>
          <w:rFonts w:ascii="Times New Roman" w:hAnsi="Times New Roman" w:hint="eastAsia"/>
          <w:sz w:val="24"/>
        </w:rPr>
        <w:t>认购费用按</w:t>
      </w:r>
      <w:r>
        <w:rPr>
          <w:rFonts w:ascii="Times New Roman" w:hAnsi="Times New Roman" w:hint="eastAsia"/>
          <w:sz w:val="24"/>
        </w:rPr>
        <w:t>A</w:t>
      </w:r>
      <w:r>
        <w:rPr>
          <w:rFonts w:ascii="Times New Roman" w:hAnsi="Times New Roman" w:hint="eastAsia"/>
          <w:sz w:val="24"/>
        </w:rPr>
        <w:t>类基金份额的每笔认购申请单独计算。基金投资者认购</w:t>
      </w:r>
      <w:r>
        <w:rPr>
          <w:rFonts w:ascii="Times New Roman" w:hAnsi="Times New Roman"/>
          <w:sz w:val="24"/>
        </w:rPr>
        <w:t>A</w:t>
      </w:r>
      <w:r>
        <w:rPr>
          <w:rFonts w:ascii="Times New Roman" w:hAnsi="Times New Roman" w:hint="eastAsia"/>
          <w:sz w:val="24"/>
        </w:rPr>
        <w:t>类基金份额收取认购费用，即在认购时支付认购费用。基金投资者认购</w:t>
      </w:r>
      <w:r>
        <w:rPr>
          <w:rFonts w:ascii="Times New Roman" w:hAnsi="Times New Roman"/>
          <w:sz w:val="24"/>
        </w:rPr>
        <w:t>C</w:t>
      </w:r>
      <w:r>
        <w:rPr>
          <w:rFonts w:ascii="Times New Roman" w:hAnsi="Times New Roman" w:hint="eastAsia"/>
          <w:sz w:val="24"/>
        </w:rPr>
        <w:t>类基金份额不收取认购费用，而是从该类别基金资产中计</w:t>
      </w:r>
      <w:proofErr w:type="gramStart"/>
      <w:r>
        <w:rPr>
          <w:rFonts w:ascii="Times New Roman" w:hAnsi="Times New Roman" w:hint="eastAsia"/>
          <w:sz w:val="24"/>
        </w:rPr>
        <w:t>提销售</w:t>
      </w:r>
      <w:proofErr w:type="gramEnd"/>
      <w:r>
        <w:rPr>
          <w:rFonts w:ascii="Times New Roman" w:hAnsi="Times New Roman" w:hint="eastAsia"/>
          <w:sz w:val="24"/>
        </w:rPr>
        <w:t>服务费。</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本基金</w:t>
      </w:r>
      <w:r>
        <w:rPr>
          <w:rFonts w:ascii="Times New Roman" w:hAnsi="Times New Roman"/>
          <w:kern w:val="0"/>
          <w:sz w:val="24"/>
        </w:rPr>
        <w:t>A</w:t>
      </w:r>
      <w:r>
        <w:rPr>
          <w:rFonts w:ascii="Times New Roman" w:hAnsi="Times New Roman" w:hint="eastAsia"/>
          <w:kern w:val="0"/>
          <w:sz w:val="24"/>
        </w:rPr>
        <w:t>类基金份额（非养老金客户）的认购费率如下：</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9A4701">
        <w:trPr>
          <w:cantSplit/>
          <w:trHeight w:val="132"/>
          <w:jc w:val="center"/>
        </w:trPr>
        <w:tc>
          <w:tcPr>
            <w:tcW w:w="3528" w:type="dxa"/>
            <w:shd w:val="clear" w:color="auto" w:fill="FFFFFF"/>
            <w:vAlign w:val="center"/>
          </w:tcPr>
          <w:p w:rsidR="009A4701" w:rsidRDefault="00677B65">
            <w:pPr>
              <w:adjustRightInd w:val="0"/>
              <w:snapToGrid w:val="0"/>
              <w:jc w:val="center"/>
              <w:rPr>
                <w:rFonts w:ascii="Times New Roman" w:hAnsi="Times New Roman"/>
                <w:b/>
                <w:sz w:val="24"/>
              </w:rPr>
            </w:pPr>
            <w:r>
              <w:rPr>
                <w:rFonts w:ascii="Times New Roman" w:hAnsi="Times New Roman" w:hint="eastAsia"/>
                <w:b/>
                <w:sz w:val="24"/>
              </w:rPr>
              <w:t>认购金额（含认购费）</w:t>
            </w:r>
          </w:p>
        </w:tc>
        <w:tc>
          <w:tcPr>
            <w:tcW w:w="3598" w:type="dxa"/>
            <w:shd w:val="clear" w:color="auto" w:fill="FFFFFF"/>
            <w:vAlign w:val="center"/>
          </w:tcPr>
          <w:p w:rsidR="009A4701" w:rsidRDefault="00677B65">
            <w:pPr>
              <w:adjustRightInd w:val="0"/>
              <w:snapToGrid w:val="0"/>
              <w:jc w:val="center"/>
              <w:rPr>
                <w:rFonts w:ascii="Times New Roman" w:hAnsi="Times New Roman"/>
                <w:b/>
                <w:sz w:val="24"/>
              </w:rPr>
            </w:pPr>
            <w:r>
              <w:rPr>
                <w:rFonts w:ascii="Times New Roman" w:hAnsi="Times New Roman"/>
                <w:b/>
                <w:color w:val="000000"/>
                <w:kern w:val="0"/>
                <w:sz w:val="24"/>
              </w:rPr>
              <w:t>A</w:t>
            </w:r>
            <w:r>
              <w:rPr>
                <w:rFonts w:ascii="Times New Roman" w:hAnsi="Times New Roman" w:hint="eastAsia"/>
                <w:b/>
                <w:color w:val="000000"/>
                <w:kern w:val="0"/>
                <w:sz w:val="24"/>
              </w:rPr>
              <w:t>类基金份额</w:t>
            </w:r>
            <w:r>
              <w:rPr>
                <w:rFonts w:ascii="Times New Roman" w:hAnsi="Times New Roman" w:hint="eastAsia"/>
                <w:b/>
                <w:sz w:val="24"/>
              </w:rPr>
              <w:t>认购费率</w:t>
            </w:r>
          </w:p>
        </w:tc>
      </w:tr>
      <w:tr w:rsidR="009A4701">
        <w:trPr>
          <w:cantSplit/>
          <w:trHeight w:val="131"/>
          <w:jc w:val="center"/>
        </w:trPr>
        <w:tc>
          <w:tcPr>
            <w:tcW w:w="3528" w:type="dxa"/>
          </w:tcPr>
          <w:p w:rsidR="009A4701" w:rsidRDefault="00677B65">
            <w:pPr>
              <w:adjustRightInd w:val="0"/>
              <w:snapToGrid w:val="0"/>
              <w:rPr>
                <w:rFonts w:ascii="Times New Roman" w:hAnsi="Times New Roman"/>
                <w:sz w:val="24"/>
              </w:rPr>
            </w:pPr>
            <w:r>
              <w:rPr>
                <w:rFonts w:ascii="Times New Roman" w:hAnsi="Times New Roman"/>
                <w:sz w:val="24"/>
              </w:rPr>
              <w:t>100</w:t>
            </w:r>
            <w:r>
              <w:rPr>
                <w:rFonts w:ascii="Times New Roman" w:hAnsi="Times New Roman" w:hint="eastAsia"/>
                <w:sz w:val="24"/>
              </w:rPr>
              <w:t>万元以下</w:t>
            </w:r>
          </w:p>
        </w:tc>
        <w:tc>
          <w:tcPr>
            <w:tcW w:w="3598" w:type="dxa"/>
          </w:tcPr>
          <w:p w:rsidR="009A4701" w:rsidRDefault="00677B65">
            <w:pPr>
              <w:adjustRightInd w:val="0"/>
              <w:snapToGrid w:val="0"/>
              <w:jc w:val="center"/>
              <w:rPr>
                <w:rFonts w:ascii="Times New Roman" w:hAnsi="Times New Roman"/>
                <w:sz w:val="24"/>
              </w:rPr>
            </w:pPr>
            <w:r>
              <w:rPr>
                <w:rFonts w:ascii="Times New Roman" w:hAnsi="Times New Roman"/>
                <w:sz w:val="24"/>
              </w:rPr>
              <w:t>1.0%</w:t>
            </w:r>
          </w:p>
        </w:tc>
      </w:tr>
      <w:tr w:rsidR="009A4701">
        <w:trPr>
          <w:cantSplit/>
          <w:trHeight w:val="131"/>
          <w:jc w:val="center"/>
        </w:trPr>
        <w:tc>
          <w:tcPr>
            <w:tcW w:w="3528" w:type="dxa"/>
            <w:vAlign w:val="center"/>
          </w:tcPr>
          <w:p w:rsidR="009A4701" w:rsidRDefault="00677B65">
            <w:pPr>
              <w:adjustRightInd w:val="0"/>
              <w:snapToGrid w:val="0"/>
              <w:rPr>
                <w:rFonts w:ascii="Times New Roman" w:hAnsi="Times New Roman"/>
                <w:sz w:val="24"/>
              </w:rPr>
            </w:pPr>
            <w:r>
              <w:rPr>
                <w:rFonts w:ascii="Times New Roman" w:hAnsi="Times New Roman"/>
                <w:sz w:val="24"/>
              </w:rPr>
              <w:t>100</w:t>
            </w:r>
            <w:r>
              <w:rPr>
                <w:rFonts w:ascii="Times New Roman" w:hAnsi="Times New Roman" w:hint="eastAsia"/>
                <w:sz w:val="24"/>
              </w:rPr>
              <w:t>万元（含）至</w:t>
            </w:r>
            <w:r>
              <w:rPr>
                <w:rFonts w:ascii="Times New Roman" w:hAnsi="Times New Roman"/>
                <w:sz w:val="24"/>
              </w:rPr>
              <w:t>500</w:t>
            </w:r>
            <w:r>
              <w:rPr>
                <w:rFonts w:ascii="Times New Roman" w:hAnsi="Times New Roman" w:hint="eastAsia"/>
                <w:sz w:val="24"/>
              </w:rPr>
              <w:t>万元</w:t>
            </w:r>
          </w:p>
        </w:tc>
        <w:tc>
          <w:tcPr>
            <w:tcW w:w="3598" w:type="dxa"/>
          </w:tcPr>
          <w:p w:rsidR="009A4701" w:rsidRDefault="00677B65">
            <w:pPr>
              <w:adjustRightInd w:val="0"/>
              <w:snapToGrid w:val="0"/>
              <w:jc w:val="center"/>
              <w:rPr>
                <w:rFonts w:ascii="Times New Roman" w:hAnsi="Times New Roman"/>
                <w:sz w:val="24"/>
              </w:rPr>
            </w:pPr>
            <w:r>
              <w:rPr>
                <w:rFonts w:ascii="Times New Roman" w:hAnsi="Times New Roman" w:hint="eastAsia"/>
                <w:sz w:val="24"/>
              </w:rPr>
              <w:t>0</w:t>
            </w:r>
            <w:r>
              <w:rPr>
                <w:rFonts w:ascii="Times New Roman" w:hAnsi="Times New Roman"/>
                <w:sz w:val="24"/>
              </w:rPr>
              <w:t>.6%</w:t>
            </w:r>
          </w:p>
        </w:tc>
      </w:tr>
      <w:tr w:rsidR="009A4701">
        <w:trPr>
          <w:cantSplit/>
          <w:trHeight w:val="131"/>
          <w:jc w:val="center"/>
        </w:trPr>
        <w:tc>
          <w:tcPr>
            <w:tcW w:w="3528" w:type="dxa"/>
          </w:tcPr>
          <w:p w:rsidR="009A4701" w:rsidRDefault="00677B65">
            <w:pPr>
              <w:adjustRightInd w:val="0"/>
              <w:snapToGrid w:val="0"/>
              <w:rPr>
                <w:rFonts w:ascii="Times New Roman" w:hAnsi="Times New Roman"/>
                <w:sz w:val="24"/>
              </w:rPr>
            </w:pPr>
            <w:r>
              <w:rPr>
                <w:rFonts w:ascii="Times New Roman" w:hAnsi="Times New Roman"/>
                <w:sz w:val="24"/>
              </w:rPr>
              <w:t>500</w:t>
            </w:r>
            <w:r>
              <w:rPr>
                <w:rFonts w:ascii="Times New Roman" w:hAnsi="Times New Roman" w:hint="eastAsia"/>
                <w:sz w:val="24"/>
              </w:rPr>
              <w:t>万元以上（含</w:t>
            </w:r>
            <w:r>
              <w:rPr>
                <w:rFonts w:ascii="Times New Roman" w:hAnsi="Times New Roman"/>
                <w:sz w:val="24"/>
              </w:rPr>
              <w:t>500</w:t>
            </w:r>
            <w:r>
              <w:rPr>
                <w:rFonts w:ascii="Times New Roman" w:hAnsi="Times New Roman" w:hint="eastAsia"/>
                <w:sz w:val="24"/>
              </w:rPr>
              <w:t>万元）</w:t>
            </w:r>
          </w:p>
        </w:tc>
        <w:tc>
          <w:tcPr>
            <w:tcW w:w="3598" w:type="dxa"/>
          </w:tcPr>
          <w:p w:rsidR="009A4701" w:rsidRDefault="00677B65">
            <w:pPr>
              <w:adjustRightInd w:val="0"/>
              <w:snapToGrid w:val="0"/>
              <w:jc w:val="center"/>
              <w:rPr>
                <w:rFonts w:ascii="Times New Roman" w:hAnsi="Times New Roman"/>
                <w:sz w:val="24"/>
              </w:rPr>
            </w:pPr>
            <w:r>
              <w:rPr>
                <w:rFonts w:ascii="Times New Roman" w:hAnsi="Times New Roman" w:hint="eastAsia"/>
                <w:sz w:val="24"/>
              </w:rPr>
              <w:t>每笔交易</w:t>
            </w:r>
            <w:r>
              <w:rPr>
                <w:rFonts w:ascii="Times New Roman" w:hAnsi="Times New Roman"/>
                <w:sz w:val="24"/>
              </w:rPr>
              <w:t>1000</w:t>
            </w:r>
            <w:r>
              <w:rPr>
                <w:rFonts w:ascii="Times New Roman" w:hAnsi="Times New Roman" w:hint="eastAsia"/>
                <w:sz w:val="24"/>
              </w:rPr>
              <w:t>元</w:t>
            </w:r>
          </w:p>
        </w:tc>
      </w:tr>
    </w:tbl>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本基金对通过基金管理人直销柜台认购</w:t>
      </w:r>
      <w:r>
        <w:rPr>
          <w:rFonts w:ascii="Times New Roman" w:hAnsi="Times New Roman"/>
          <w:sz w:val="24"/>
        </w:rPr>
        <w:t>A</w:t>
      </w:r>
      <w:r>
        <w:rPr>
          <w:rFonts w:ascii="Times New Roman" w:hAnsi="Times New Roman" w:hint="eastAsia"/>
          <w:sz w:val="24"/>
        </w:rPr>
        <w:t>类基金份额的养老金客户与除此之外的其他投资者实施差别的认购费率。养老金客户包括基本养老基金与依法成立的养老计划筹集的资金及其投资运营收益形成的补充养老基金等，具体包括：</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）全国社会保障基金；</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）可以投资基金的地方社会保障基金；</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）企业年金单一计划以及集合计划；</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4</w:t>
      </w:r>
      <w:r>
        <w:rPr>
          <w:rFonts w:ascii="Times New Roman" w:hAnsi="Times New Roman" w:hint="eastAsia"/>
          <w:sz w:val="24"/>
        </w:rPr>
        <w:t>）企业年金理事会委托的特定客户资产管理计划；</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5</w:t>
      </w:r>
      <w:r>
        <w:rPr>
          <w:rFonts w:ascii="Times New Roman" w:hAnsi="Times New Roman" w:hint="eastAsia"/>
          <w:sz w:val="24"/>
        </w:rPr>
        <w:t>）企业年金养老金产品。</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如将来出现经养老基金监管部门认可的新的养老基金类型，基金管理人可在招募说明书更新或发布临时公告将其纳入养老金客户范围。</w:t>
      </w:r>
    </w:p>
    <w:p w:rsidR="009A4701" w:rsidRDefault="00677B65">
      <w:pPr>
        <w:widowControl/>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养老金客户通过基金管理人的直销柜台认购本基金</w:t>
      </w:r>
      <w:r>
        <w:rPr>
          <w:rFonts w:ascii="Times New Roman" w:hAnsi="Times New Roman"/>
          <w:sz w:val="24"/>
          <w:szCs w:val="24"/>
        </w:rPr>
        <w:t>A</w:t>
      </w:r>
      <w:r>
        <w:rPr>
          <w:rFonts w:ascii="Times New Roman" w:hAnsi="Times New Roman" w:hint="eastAsia"/>
          <w:sz w:val="24"/>
          <w:szCs w:val="24"/>
        </w:rPr>
        <w:t>类基金份额的特定认购费率如下：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260"/>
        <w:gridCol w:w="3767"/>
      </w:tblGrid>
      <w:tr w:rsidR="009A4701">
        <w:trPr>
          <w:cantSplit/>
          <w:trHeight w:val="132"/>
          <w:jc w:val="center"/>
        </w:trPr>
        <w:tc>
          <w:tcPr>
            <w:tcW w:w="3260" w:type="dxa"/>
            <w:shd w:val="clear" w:color="auto" w:fill="FFFFFF"/>
            <w:vAlign w:val="center"/>
          </w:tcPr>
          <w:p w:rsidR="009A4701" w:rsidRDefault="00677B65">
            <w:pPr>
              <w:adjustRightInd w:val="0"/>
              <w:snapToGrid w:val="0"/>
              <w:jc w:val="center"/>
              <w:rPr>
                <w:rFonts w:ascii="Times New Roman" w:hAnsi="Times New Roman"/>
                <w:b/>
                <w:sz w:val="24"/>
              </w:rPr>
            </w:pPr>
            <w:r>
              <w:rPr>
                <w:rFonts w:ascii="Times New Roman" w:hAnsi="Times New Roman" w:hint="eastAsia"/>
                <w:b/>
                <w:sz w:val="24"/>
              </w:rPr>
              <w:t>认购金额（含认购费）</w:t>
            </w:r>
          </w:p>
        </w:tc>
        <w:tc>
          <w:tcPr>
            <w:tcW w:w="3767" w:type="dxa"/>
            <w:shd w:val="clear" w:color="auto" w:fill="FFFFFF"/>
            <w:vAlign w:val="center"/>
          </w:tcPr>
          <w:p w:rsidR="009A4701" w:rsidRDefault="00677B65">
            <w:pPr>
              <w:adjustRightInd w:val="0"/>
              <w:snapToGrid w:val="0"/>
              <w:jc w:val="center"/>
              <w:rPr>
                <w:rFonts w:ascii="Times New Roman" w:hAnsi="Times New Roman"/>
                <w:b/>
                <w:sz w:val="24"/>
              </w:rPr>
            </w:pPr>
            <w:r>
              <w:rPr>
                <w:rFonts w:ascii="Times New Roman" w:hAnsi="Times New Roman"/>
                <w:b/>
                <w:sz w:val="24"/>
              </w:rPr>
              <w:t>A</w:t>
            </w:r>
            <w:r>
              <w:rPr>
                <w:rFonts w:ascii="Times New Roman" w:hAnsi="Times New Roman" w:hint="eastAsia"/>
                <w:b/>
                <w:sz w:val="24"/>
              </w:rPr>
              <w:t>类基金份额特定认购费率</w:t>
            </w:r>
          </w:p>
        </w:tc>
      </w:tr>
      <w:tr w:rsidR="009A4701">
        <w:trPr>
          <w:cantSplit/>
          <w:trHeight w:val="131"/>
          <w:jc w:val="center"/>
        </w:trPr>
        <w:tc>
          <w:tcPr>
            <w:tcW w:w="3260" w:type="dxa"/>
          </w:tcPr>
          <w:p w:rsidR="009A4701" w:rsidRDefault="00677B65">
            <w:pPr>
              <w:adjustRightInd w:val="0"/>
              <w:snapToGrid w:val="0"/>
              <w:rPr>
                <w:rFonts w:ascii="Times New Roman" w:hAnsi="Times New Roman"/>
                <w:sz w:val="24"/>
              </w:rPr>
            </w:pPr>
            <w:r>
              <w:rPr>
                <w:rFonts w:ascii="Times New Roman" w:hAnsi="Times New Roman"/>
                <w:sz w:val="24"/>
              </w:rPr>
              <w:t>100</w:t>
            </w:r>
            <w:r>
              <w:rPr>
                <w:rFonts w:ascii="Times New Roman" w:hAnsi="Times New Roman"/>
                <w:sz w:val="24"/>
              </w:rPr>
              <w:t>万元以下</w:t>
            </w:r>
          </w:p>
        </w:tc>
        <w:tc>
          <w:tcPr>
            <w:tcW w:w="3767" w:type="dxa"/>
            <w:vAlign w:val="center"/>
          </w:tcPr>
          <w:p w:rsidR="009A4701" w:rsidRDefault="00677B65">
            <w:pPr>
              <w:adjustRightInd w:val="0"/>
              <w:snapToGrid w:val="0"/>
              <w:jc w:val="center"/>
              <w:rPr>
                <w:rFonts w:ascii="Times New Roman" w:hAnsi="Times New Roman"/>
                <w:sz w:val="24"/>
              </w:rPr>
            </w:pPr>
            <w:r>
              <w:rPr>
                <w:rFonts w:ascii="Times New Roman" w:hAnsi="Times New Roman"/>
                <w:sz w:val="24"/>
              </w:rPr>
              <w:t>0.2%</w:t>
            </w:r>
          </w:p>
        </w:tc>
      </w:tr>
      <w:tr w:rsidR="009A4701">
        <w:trPr>
          <w:cantSplit/>
          <w:trHeight w:val="131"/>
          <w:jc w:val="center"/>
        </w:trPr>
        <w:tc>
          <w:tcPr>
            <w:tcW w:w="3260" w:type="dxa"/>
            <w:vAlign w:val="center"/>
          </w:tcPr>
          <w:p w:rsidR="009A4701" w:rsidRDefault="00677B65">
            <w:pPr>
              <w:adjustRightInd w:val="0"/>
              <w:snapToGrid w:val="0"/>
              <w:rPr>
                <w:rFonts w:ascii="Times New Roman" w:hAnsi="Times New Roman"/>
                <w:sz w:val="24"/>
              </w:rPr>
            </w:pPr>
            <w:r>
              <w:rPr>
                <w:rFonts w:ascii="Times New Roman" w:hAnsi="Times New Roman"/>
                <w:sz w:val="24"/>
              </w:rPr>
              <w:lastRenderedPageBreak/>
              <w:t>100</w:t>
            </w:r>
            <w:r>
              <w:rPr>
                <w:rFonts w:ascii="Times New Roman" w:hAnsi="Times New Roman"/>
                <w:sz w:val="24"/>
              </w:rPr>
              <w:t>万元（含）至</w:t>
            </w:r>
            <w:r>
              <w:rPr>
                <w:rFonts w:ascii="Times New Roman" w:hAnsi="Times New Roman"/>
                <w:sz w:val="24"/>
              </w:rPr>
              <w:t>500</w:t>
            </w:r>
            <w:r>
              <w:rPr>
                <w:rFonts w:ascii="Times New Roman" w:hAnsi="Times New Roman"/>
                <w:sz w:val="24"/>
              </w:rPr>
              <w:t>万元</w:t>
            </w:r>
          </w:p>
        </w:tc>
        <w:tc>
          <w:tcPr>
            <w:tcW w:w="3767" w:type="dxa"/>
            <w:vAlign w:val="center"/>
          </w:tcPr>
          <w:p w:rsidR="009A4701" w:rsidRDefault="00677B65">
            <w:pPr>
              <w:adjustRightInd w:val="0"/>
              <w:snapToGrid w:val="0"/>
              <w:jc w:val="center"/>
              <w:rPr>
                <w:rFonts w:ascii="Times New Roman" w:hAnsi="Times New Roman"/>
                <w:sz w:val="24"/>
              </w:rPr>
            </w:pPr>
            <w:r>
              <w:rPr>
                <w:rFonts w:ascii="Times New Roman" w:hAnsi="Times New Roman"/>
                <w:sz w:val="24"/>
              </w:rPr>
              <w:t>0.12%</w:t>
            </w:r>
          </w:p>
        </w:tc>
      </w:tr>
      <w:tr w:rsidR="009A4701">
        <w:trPr>
          <w:cantSplit/>
          <w:trHeight w:val="131"/>
          <w:jc w:val="center"/>
        </w:trPr>
        <w:tc>
          <w:tcPr>
            <w:tcW w:w="3260" w:type="dxa"/>
          </w:tcPr>
          <w:p w:rsidR="009A4701" w:rsidRDefault="00677B65">
            <w:pPr>
              <w:adjustRightInd w:val="0"/>
              <w:snapToGrid w:val="0"/>
              <w:rPr>
                <w:rFonts w:ascii="Times New Roman" w:hAnsi="Times New Roman"/>
                <w:sz w:val="24"/>
              </w:rPr>
            </w:pPr>
            <w:r>
              <w:rPr>
                <w:rFonts w:ascii="Times New Roman" w:hAnsi="Times New Roman"/>
                <w:sz w:val="24"/>
              </w:rPr>
              <w:t>500</w:t>
            </w:r>
            <w:r>
              <w:rPr>
                <w:rFonts w:ascii="Times New Roman" w:hAnsi="Times New Roman"/>
                <w:sz w:val="24"/>
              </w:rPr>
              <w:t>万元以上（含</w:t>
            </w:r>
            <w:r>
              <w:rPr>
                <w:rFonts w:ascii="Times New Roman" w:hAnsi="Times New Roman"/>
                <w:sz w:val="24"/>
              </w:rPr>
              <w:t>500</w:t>
            </w:r>
            <w:r>
              <w:rPr>
                <w:rFonts w:ascii="Times New Roman" w:hAnsi="Times New Roman"/>
                <w:sz w:val="24"/>
              </w:rPr>
              <w:t>万</w:t>
            </w:r>
            <w:r>
              <w:rPr>
                <w:rFonts w:ascii="Times New Roman" w:hAnsi="Times New Roman" w:hint="eastAsia"/>
                <w:sz w:val="24"/>
              </w:rPr>
              <w:t>元</w:t>
            </w:r>
            <w:r>
              <w:rPr>
                <w:rFonts w:ascii="Times New Roman" w:hAnsi="Times New Roman"/>
                <w:sz w:val="24"/>
              </w:rPr>
              <w:t>）</w:t>
            </w:r>
          </w:p>
        </w:tc>
        <w:tc>
          <w:tcPr>
            <w:tcW w:w="3767" w:type="dxa"/>
          </w:tcPr>
          <w:p w:rsidR="009A4701" w:rsidRDefault="00677B65">
            <w:pPr>
              <w:adjustRightInd w:val="0"/>
              <w:snapToGrid w:val="0"/>
              <w:jc w:val="center"/>
              <w:rPr>
                <w:rFonts w:ascii="Times New Roman" w:hAnsi="Times New Roman"/>
                <w:sz w:val="24"/>
              </w:rPr>
            </w:pPr>
            <w:r>
              <w:rPr>
                <w:rFonts w:ascii="Times New Roman" w:hAnsi="Times New Roman"/>
                <w:sz w:val="24"/>
              </w:rPr>
              <w:t>每笔交易</w:t>
            </w:r>
            <w:r>
              <w:rPr>
                <w:rFonts w:ascii="Times New Roman" w:hAnsi="Times New Roman"/>
                <w:sz w:val="24"/>
              </w:rPr>
              <w:t>1000</w:t>
            </w:r>
            <w:r>
              <w:rPr>
                <w:rFonts w:ascii="Times New Roman" w:hAnsi="Times New Roman"/>
                <w:sz w:val="24"/>
              </w:rPr>
              <w:t>元</w:t>
            </w:r>
          </w:p>
        </w:tc>
      </w:tr>
    </w:tbl>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w:t>
      </w:r>
      <w:r>
        <w:rPr>
          <w:rFonts w:ascii="Times New Roman" w:hAnsi="Times New Roman"/>
          <w:color w:val="000000"/>
          <w:kern w:val="0"/>
          <w:sz w:val="24"/>
        </w:rPr>
        <w:t>A</w:t>
      </w:r>
      <w:r>
        <w:rPr>
          <w:rFonts w:ascii="Times New Roman" w:hAnsi="Times New Roman" w:hint="eastAsia"/>
          <w:color w:val="000000"/>
          <w:kern w:val="0"/>
          <w:sz w:val="24"/>
        </w:rPr>
        <w:t>类基金份额的</w:t>
      </w:r>
      <w:r>
        <w:rPr>
          <w:rFonts w:ascii="Times New Roman" w:hAnsi="Times New Roman" w:hint="eastAsia"/>
          <w:sz w:val="24"/>
        </w:rPr>
        <w:t>认购费用由认购</w:t>
      </w:r>
      <w:r>
        <w:rPr>
          <w:rFonts w:ascii="Times New Roman" w:hAnsi="Times New Roman"/>
          <w:color w:val="000000"/>
          <w:kern w:val="0"/>
          <w:sz w:val="24"/>
        </w:rPr>
        <w:t>A</w:t>
      </w:r>
      <w:r>
        <w:rPr>
          <w:rFonts w:ascii="Times New Roman" w:hAnsi="Times New Roman" w:hint="eastAsia"/>
          <w:color w:val="000000"/>
          <w:kern w:val="0"/>
          <w:sz w:val="24"/>
        </w:rPr>
        <w:t>类</w:t>
      </w:r>
      <w:r>
        <w:rPr>
          <w:rFonts w:ascii="Times New Roman" w:hAnsi="Times New Roman" w:hint="eastAsia"/>
          <w:sz w:val="24"/>
        </w:rPr>
        <w:t>基金份额的投资人承担，认购费用不列入基金财产，主要用于基金的市场推广、销售、登记等募集期间发生的各项费用。</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）认购份额的计算</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基金认购采用金额认购的方式。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w:t>
      </w:r>
      <w:r>
        <w:rPr>
          <w:rFonts w:ascii="Times New Roman" w:hAnsi="Times New Roman"/>
          <w:sz w:val="24"/>
        </w:rPr>
        <w:t>A</w:t>
      </w:r>
      <w:r>
        <w:rPr>
          <w:rFonts w:ascii="Times New Roman" w:hAnsi="Times New Roman" w:hint="eastAsia"/>
          <w:sz w:val="24"/>
        </w:rPr>
        <w:t>类基金份额的认购</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基金的认购金额包括认购费用和净认购金额。计算公式为：</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proofErr w:type="gramStart"/>
      <w:r>
        <w:rPr>
          <w:rFonts w:ascii="Times New Roman" w:hAnsi="Times New Roman" w:hint="eastAsia"/>
          <w:sz w:val="24"/>
        </w:rPr>
        <w:t>申请总</w:t>
      </w:r>
      <w:proofErr w:type="gramEnd"/>
      <w:r>
        <w:rPr>
          <w:rFonts w:ascii="Times New Roman" w:hAnsi="Times New Roman" w:hint="eastAsia"/>
          <w:sz w:val="24"/>
        </w:rPr>
        <w:t>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净认购金额</w:t>
      </w:r>
      <w:r>
        <w:rPr>
          <w:rFonts w:ascii="Times New Roman" w:hAnsi="Times New Roman"/>
          <w:sz w:val="24"/>
        </w:rPr>
        <w:t>=</w:t>
      </w: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r>
        <w:rPr>
          <w:rFonts w:ascii="Times New Roman" w:hAnsi="Times New Roman" w:hint="eastAsia"/>
          <w:sz w:val="24"/>
        </w:rPr>
        <w:t>（</w:t>
      </w:r>
      <w:r>
        <w:rPr>
          <w:rFonts w:ascii="Times New Roman" w:hAnsi="Times New Roman"/>
          <w:sz w:val="24"/>
        </w:rPr>
        <w:t>1+</w:t>
      </w:r>
      <w:r>
        <w:rPr>
          <w:rFonts w:ascii="Times New Roman" w:hAnsi="Times New Roman" w:hint="eastAsia"/>
          <w:sz w:val="24"/>
        </w:rPr>
        <w:t>认购费率）</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（注：对于适用固定金额认购费用的认购，净认购金额＝</w:t>
      </w:r>
      <w:proofErr w:type="gramStart"/>
      <w:r>
        <w:rPr>
          <w:rFonts w:ascii="Times New Roman" w:hAnsi="Times New Roman" w:hint="eastAsia"/>
          <w:sz w:val="24"/>
        </w:rPr>
        <w:t>认购总</w:t>
      </w:r>
      <w:proofErr w:type="gramEnd"/>
      <w:r>
        <w:rPr>
          <w:rFonts w:ascii="Times New Roman" w:hAnsi="Times New Roman" w:hint="eastAsia"/>
          <w:sz w:val="24"/>
        </w:rPr>
        <w:t>金额－固定认购费用金额）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认购费用</w:t>
      </w:r>
      <w:r>
        <w:rPr>
          <w:rFonts w:ascii="Times New Roman" w:hAnsi="Times New Roman"/>
          <w:sz w:val="24"/>
        </w:rPr>
        <w:t>=</w:t>
      </w: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r>
        <w:rPr>
          <w:rFonts w:ascii="Times New Roman" w:hAnsi="Times New Roman" w:hint="eastAsia"/>
          <w:sz w:val="24"/>
        </w:rPr>
        <w:t>净认购金额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（注：对于适用固定金额认购费用的认购，认购费用＝固定认购费用金额）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w:t>
      </w:r>
      <w:r>
        <w:rPr>
          <w:rFonts w:ascii="Times New Roman" w:hAnsi="Times New Roman"/>
          <w:sz w:val="24"/>
        </w:rPr>
        <w:t>=</w:t>
      </w:r>
      <w:r>
        <w:rPr>
          <w:rFonts w:ascii="Times New Roman" w:hAnsi="Times New Roman" w:hint="eastAsia"/>
          <w:sz w:val="24"/>
        </w:rPr>
        <w:t>净认购金额</w:t>
      </w:r>
      <w:r>
        <w:rPr>
          <w:rFonts w:ascii="Times New Roman" w:hAnsi="Times New Roman"/>
          <w:sz w:val="24"/>
        </w:rPr>
        <w:t>/</w:t>
      </w:r>
      <w:r>
        <w:rPr>
          <w:rFonts w:ascii="Times New Roman" w:hAnsi="Times New Roman" w:hint="eastAsia"/>
          <w:sz w:val="24"/>
        </w:rPr>
        <w:t>基金份额初始面值</w:t>
      </w:r>
      <w:r>
        <w:rPr>
          <w:rFonts w:ascii="Times New Roman" w:hAnsi="Times New Roman"/>
          <w:sz w:val="24"/>
        </w:rPr>
        <w:t>+</w:t>
      </w:r>
      <w:r>
        <w:rPr>
          <w:rFonts w:ascii="Times New Roman" w:hAnsi="Times New Roman" w:hint="eastAsia"/>
          <w:sz w:val="24"/>
        </w:rPr>
        <w:t>认购利息</w:t>
      </w:r>
      <w:r>
        <w:rPr>
          <w:rFonts w:ascii="Times New Roman" w:hAnsi="Times New Roman"/>
          <w:sz w:val="24"/>
        </w:rPr>
        <w:t>/</w:t>
      </w:r>
      <w:r>
        <w:rPr>
          <w:rFonts w:ascii="Times New Roman" w:hAnsi="Times New Roman" w:hint="eastAsia"/>
          <w:sz w:val="24"/>
        </w:rPr>
        <w:t>基金份额初始面值</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认购份额的计算保留到小数点后</w:t>
      </w:r>
      <w:r>
        <w:rPr>
          <w:rFonts w:ascii="Times New Roman" w:hAnsi="Times New Roman"/>
          <w:sz w:val="24"/>
        </w:rPr>
        <w:t>2</w:t>
      </w:r>
      <w:r>
        <w:rPr>
          <w:rFonts w:ascii="Times New Roman" w:hAnsi="Times New Roman" w:hint="eastAsia"/>
          <w:sz w:val="24"/>
        </w:rPr>
        <w:t>位，小数点</w:t>
      </w:r>
      <w:r>
        <w:rPr>
          <w:rFonts w:ascii="Times New Roman" w:hAnsi="Times New Roman"/>
          <w:sz w:val="24"/>
        </w:rPr>
        <w:t>2</w:t>
      </w:r>
      <w:r>
        <w:rPr>
          <w:rFonts w:ascii="Times New Roman" w:hAnsi="Times New Roman" w:hint="eastAsia"/>
          <w:sz w:val="24"/>
        </w:rPr>
        <w:t>位以后的部分四舍五入，由此误差产生的收益或损失由基金财产承担。</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例</w:t>
      </w:r>
      <w:proofErr w:type="gramStart"/>
      <w:r>
        <w:rPr>
          <w:rFonts w:ascii="Times New Roman" w:hAnsi="Times New Roman" w:hint="eastAsia"/>
          <w:sz w:val="24"/>
        </w:rPr>
        <w:t>一</w:t>
      </w:r>
      <w:proofErr w:type="gramEnd"/>
      <w:r>
        <w:rPr>
          <w:rFonts w:ascii="Times New Roman" w:hAnsi="Times New Roman" w:hint="eastAsia"/>
          <w:sz w:val="24"/>
        </w:rPr>
        <w:t>：某投资者（非养老金客户）投资</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元认购本基金</w:t>
      </w:r>
      <w:r>
        <w:rPr>
          <w:rFonts w:ascii="Times New Roman" w:hAnsi="Times New Roman" w:hint="eastAsia"/>
          <w:sz w:val="24"/>
        </w:rPr>
        <w:t>A</w:t>
      </w:r>
      <w:r>
        <w:rPr>
          <w:rFonts w:ascii="Times New Roman" w:hAnsi="Times New Roman" w:hint="eastAsia"/>
          <w:sz w:val="24"/>
        </w:rPr>
        <w:t>类基金份额，且该认购申请被全额确认，所对应的认购费率为</w:t>
      </w:r>
      <w:r>
        <w:rPr>
          <w:rFonts w:ascii="Times New Roman" w:hAnsi="Times New Roman"/>
          <w:sz w:val="24"/>
        </w:rPr>
        <w:t>1.0</w:t>
      </w:r>
      <w:r>
        <w:rPr>
          <w:rFonts w:ascii="Times New Roman" w:hAnsi="Times New Roman" w:hint="eastAsia"/>
          <w:sz w:val="24"/>
        </w:rPr>
        <w:t>%</w:t>
      </w:r>
      <w:r>
        <w:rPr>
          <w:rFonts w:ascii="Times New Roman" w:hAnsi="Times New Roman" w:hint="eastAsia"/>
          <w:sz w:val="24"/>
        </w:rPr>
        <w:t>。假定该笔认购金额产生利息</w:t>
      </w:r>
      <w:r>
        <w:rPr>
          <w:rFonts w:ascii="Times New Roman" w:hAnsi="Times New Roman" w:hint="eastAsia"/>
          <w:sz w:val="24"/>
        </w:rPr>
        <w:t>50.00</w:t>
      </w:r>
      <w:r>
        <w:rPr>
          <w:rFonts w:ascii="Times New Roman" w:hAnsi="Times New Roman" w:hint="eastAsia"/>
          <w:sz w:val="24"/>
        </w:rPr>
        <w:t>元。则认购份额为：</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净认购金额＝</w:t>
      </w:r>
      <w:bookmarkStart w:id="11" w:name="_Hlk198123898"/>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w:t>
      </w: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Pr>
          <w:rFonts w:ascii="Times New Roman" w:hAnsi="Times New Roman"/>
          <w:sz w:val="24"/>
        </w:rPr>
        <w:t>1.0</w:t>
      </w:r>
      <w:r>
        <w:rPr>
          <w:rFonts w:ascii="Times New Roman" w:hAnsi="Times New Roman" w:hint="eastAsia"/>
          <w:sz w:val="24"/>
        </w:rPr>
        <w:t>%</w:t>
      </w:r>
      <w:r>
        <w:rPr>
          <w:rFonts w:ascii="Times New Roman" w:hAnsi="Times New Roman" w:hint="eastAsia"/>
          <w:sz w:val="24"/>
        </w:rPr>
        <w:t>）</w:t>
      </w:r>
      <w:bookmarkEnd w:id="11"/>
      <w:r>
        <w:rPr>
          <w:rFonts w:ascii="Times New Roman" w:hAnsi="Times New Roman" w:hint="eastAsia"/>
          <w:sz w:val="24"/>
        </w:rPr>
        <w:t>＝</w:t>
      </w:r>
      <w:r>
        <w:rPr>
          <w:rFonts w:ascii="Times New Roman" w:hAnsi="Times New Roman"/>
          <w:sz w:val="24"/>
        </w:rPr>
        <w:t>99,009.90</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认购费用＝</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w:t>
      </w:r>
      <w:r>
        <w:rPr>
          <w:rFonts w:ascii="Times New Roman" w:hAnsi="Times New Roman"/>
          <w:sz w:val="24"/>
        </w:rPr>
        <w:t>99,009.90</w:t>
      </w:r>
      <w:r>
        <w:rPr>
          <w:rFonts w:ascii="Times New Roman" w:hAnsi="Times New Roman" w:hint="eastAsia"/>
          <w:sz w:val="24"/>
        </w:rPr>
        <w:t>＝</w:t>
      </w:r>
      <w:r>
        <w:rPr>
          <w:rFonts w:ascii="Times New Roman" w:hAnsi="Times New Roman"/>
          <w:sz w:val="24"/>
        </w:rPr>
        <w:t xml:space="preserve"> 990.10</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w:t>
      </w:r>
      <w:r>
        <w:rPr>
          <w:rFonts w:ascii="Times New Roman" w:hAnsi="Times New Roman"/>
          <w:sz w:val="24"/>
        </w:rPr>
        <w:t>99,009.90</w:t>
      </w:r>
      <w:r>
        <w:rPr>
          <w:rFonts w:ascii="Times New Roman" w:hAnsi="Times New Roman" w:hint="eastAsia"/>
          <w:sz w:val="24"/>
        </w:rPr>
        <w:t>/1.00</w:t>
      </w:r>
      <w:r>
        <w:rPr>
          <w:rFonts w:ascii="Times New Roman" w:hAnsi="Times New Roman" w:hint="eastAsia"/>
          <w:sz w:val="24"/>
        </w:rPr>
        <w:t>＋</w:t>
      </w:r>
      <w:r>
        <w:rPr>
          <w:rFonts w:ascii="Times New Roman" w:hAnsi="Times New Roman" w:hint="eastAsia"/>
          <w:sz w:val="24"/>
        </w:rPr>
        <w:t>50.00/1.00</w:t>
      </w:r>
      <w:r>
        <w:rPr>
          <w:rFonts w:ascii="Times New Roman" w:hAnsi="Times New Roman" w:hint="eastAsia"/>
          <w:sz w:val="24"/>
        </w:rPr>
        <w:t>＝</w:t>
      </w:r>
      <w:r>
        <w:rPr>
          <w:rFonts w:ascii="Times New Roman" w:hAnsi="Times New Roman"/>
          <w:sz w:val="24"/>
        </w:rPr>
        <w:t>99,059.90</w:t>
      </w:r>
      <w:r>
        <w:rPr>
          <w:rFonts w:ascii="Times New Roman" w:hAnsi="Times New Roman" w:hint="eastAsia"/>
          <w:sz w:val="24"/>
        </w:rPr>
        <w:t>份</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即：若该投资者（非养老金客户）投资</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元认购本基金</w:t>
      </w:r>
      <w:r>
        <w:rPr>
          <w:rFonts w:ascii="Times New Roman" w:hAnsi="Times New Roman" w:hint="eastAsia"/>
          <w:sz w:val="24"/>
        </w:rPr>
        <w:t>A</w:t>
      </w:r>
      <w:r>
        <w:rPr>
          <w:rFonts w:ascii="Times New Roman" w:hAnsi="Times New Roman" w:hint="eastAsia"/>
          <w:sz w:val="24"/>
        </w:rPr>
        <w:t>类基金份额，且该认购申请被全额确认，假定该笔认购金额产生利息</w:t>
      </w:r>
      <w:r>
        <w:rPr>
          <w:rFonts w:ascii="Times New Roman" w:hAnsi="Times New Roman" w:hint="eastAsia"/>
          <w:sz w:val="24"/>
        </w:rPr>
        <w:t>50.00</w:t>
      </w:r>
      <w:r>
        <w:rPr>
          <w:rFonts w:ascii="Times New Roman" w:hAnsi="Times New Roman" w:hint="eastAsia"/>
          <w:sz w:val="24"/>
        </w:rPr>
        <w:t>元，可得到</w:t>
      </w:r>
      <w:r>
        <w:rPr>
          <w:rFonts w:ascii="Times New Roman" w:hAnsi="Times New Roman"/>
          <w:sz w:val="24"/>
        </w:rPr>
        <w:t>99,059.90</w:t>
      </w:r>
      <w:r>
        <w:rPr>
          <w:rFonts w:ascii="Times New Roman" w:hAnsi="Times New Roman" w:hint="eastAsia"/>
          <w:sz w:val="24"/>
        </w:rPr>
        <w:t>份</w:t>
      </w:r>
      <w:r>
        <w:rPr>
          <w:rFonts w:ascii="Times New Roman" w:hAnsi="Times New Roman" w:hint="eastAsia"/>
          <w:sz w:val="24"/>
        </w:rPr>
        <w:t>A</w:t>
      </w:r>
      <w:r>
        <w:rPr>
          <w:rFonts w:ascii="Times New Roman" w:hAnsi="Times New Roman" w:hint="eastAsia"/>
          <w:sz w:val="24"/>
        </w:rPr>
        <w:t>类基金份额。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例二：某养老金客户通过基金管理人的直销柜台投资</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00,000.00</w:t>
      </w:r>
      <w:r>
        <w:rPr>
          <w:rFonts w:ascii="Times New Roman" w:hAnsi="Times New Roman" w:hint="eastAsia"/>
          <w:sz w:val="24"/>
        </w:rPr>
        <w:t>元认购本基金</w:t>
      </w:r>
      <w:r>
        <w:rPr>
          <w:rFonts w:ascii="Times New Roman" w:hAnsi="Times New Roman" w:hint="eastAsia"/>
          <w:sz w:val="24"/>
        </w:rPr>
        <w:t>A</w:t>
      </w:r>
      <w:r>
        <w:rPr>
          <w:rFonts w:ascii="Times New Roman" w:hAnsi="Times New Roman" w:hint="eastAsia"/>
          <w:sz w:val="24"/>
        </w:rPr>
        <w:t>类基金份额，且该认购申请被全额确认，所对应的认购费率为</w:t>
      </w:r>
      <w:r>
        <w:rPr>
          <w:rFonts w:ascii="Times New Roman" w:hAnsi="Times New Roman" w:hint="eastAsia"/>
          <w:sz w:val="24"/>
        </w:rPr>
        <w:t>0.</w:t>
      </w:r>
      <w:r>
        <w:rPr>
          <w:rFonts w:ascii="Times New Roman" w:hAnsi="Times New Roman"/>
          <w:sz w:val="24"/>
        </w:rPr>
        <w:t>12</w:t>
      </w:r>
      <w:r>
        <w:rPr>
          <w:rFonts w:ascii="Times New Roman" w:hAnsi="Times New Roman" w:hint="eastAsia"/>
          <w:sz w:val="24"/>
        </w:rPr>
        <w:t>%</w:t>
      </w:r>
      <w:r>
        <w:rPr>
          <w:rFonts w:ascii="Times New Roman" w:hAnsi="Times New Roman" w:hint="eastAsia"/>
          <w:sz w:val="24"/>
        </w:rPr>
        <w:t>。假定该笔认购金额产生利息</w:t>
      </w:r>
      <w:r>
        <w:rPr>
          <w:rFonts w:ascii="Times New Roman" w:hAnsi="Times New Roman" w:hint="eastAsia"/>
          <w:sz w:val="24"/>
        </w:rPr>
        <w:t>50.00</w:t>
      </w:r>
      <w:r>
        <w:rPr>
          <w:rFonts w:ascii="Times New Roman" w:hAnsi="Times New Roman" w:hint="eastAsia"/>
          <w:sz w:val="24"/>
        </w:rPr>
        <w:t>元。则认购份额为：</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lastRenderedPageBreak/>
        <w:t>认购总</w:t>
      </w:r>
      <w:proofErr w:type="gramEnd"/>
      <w:r>
        <w:rPr>
          <w:rFonts w:ascii="Times New Roman" w:hAnsi="Times New Roman" w:hint="eastAsia"/>
          <w:sz w:val="24"/>
        </w:rPr>
        <w:t>金额＝</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00,000</w:t>
      </w:r>
      <w:r>
        <w:rPr>
          <w:rFonts w:ascii="Times New Roman" w:hAnsi="Times New Roman"/>
          <w:sz w:val="24"/>
        </w:rPr>
        <w:t>.00</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净认购金额＝</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00,000</w:t>
      </w:r>
      <w:r>
        <w:rPr>
          <w:rFonts w:ascii="Times New Roman" w:hAnsi="Times New Roman"/>
          <w:sz w:val="24"/>
        </w:rPr>
        <w:t>.00</w:t>
      </w:r>
      <w:r>
        <w:rPr>
          <w:rFonts w:ascii="Times New Roman" w:hAnsi="Times New Roman" w:hint="eastAsia"/>
          <w:sz w:val="24"/>
        </w:rPr>
        <w:t>/</w:t>
      </w: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Pr>
          <w:rFonts w:ascii="Times New Roman" w:hAnsi="Times New Roman" w:hint="eastAsia"/>
          <w:sz w:val="24"/>
        </w:rPr>
        <w:t>0.</w:t>
      </w:r>
      <w:r>
        <w:rPr>
          <w:rFonts w:ascii="Times New Roman" w:hAnsi="Times New Roman"/>
          <w:sz w:val="24"/>
        </w:rPr>
        <w:t>12</w:t>
      </w:r>
      <w:r>
        <w:rPr>
          <w:rFonts w:ascii="Times New Roman" w:hAnsi="Times New Roman" w:hint="eastAsia"/>
          <w:sz w:val="24"/>
        </w:rPr>
        <w:t>%</w:t>
      </w:r>
      <w:r>
        <w:rPr>
          <w:rFonts w:ascii="Times New Roman" w:hAnsi="Times New Roman" w:hint="eastAsia"/>
          <w:sz w:val="24"/>
        </w:rPr>
        <w:t>）＝</w:t>
      </w:r>
      <w:r>
        <w:rPr>
          <w:rFonts w:ascii="Times New Roman" w:hAnsi="Times New Roman"/>
          <w:sz w:val="24"/>
        </w:rPr>
        <w:t>998,801.44</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认购费用＝</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00,000</w:t>
      </w:r>
      <w:r>
        <w:rPr>
          <w:rFonts w:ascii="Times New Roman" w:hAnsi="Times New Roman"/>
          <w:sz w:val="24"/>
        </w:rPr>
        <w:t>.00</w:t>
      </w:r>
      <w:r>
        <w:rPr>
          <w:rFonts w:ascii="Times New Roman" w:hAnsi="Times New Roman" w:hint="eastAsia"/>
          <w:sz w:val="24"/>
        </w:rPr>
        <w:t>－</w:t>
      </w:r>
      <w:r>
        <w:rPr>
          <w:rFonts w:ascii="Times New Roman" w:hAnsi="Times New Roman"/>
          <w:sz w:val="24"/>
        </w:rPr>
        <w:t>998,801.44</w:t>
      </w:r>
      <w:r>
        <w:rPr>
          <w:rFonts w:ascii="Times New Roman" w:hAnsi="Times New Roman" w:hint="eastAsia"/>
          <w:sz w:val="24"/>
        </w:rPr>
        <w:t>＝</w:t>
      </w:r>
      <w:r>
        <w:rPr>
          <w:rFonts w:ascii="Times New Roman" w:hAnsi="Times New Roman"/>
          <w:sz w:val="24"/>
        </w:rPr>
        <w:t>1,198.56</w:t>
      </w:r>
      <w:r>
        <w:rPr>
          <w:rFonts w:ascii="Times New Roman" w:hAnsi="Times New Roman" w:hint="eastAsia"/>
          <w:sz w:val="24"/>
        </w:rPr>
        <w:t>元</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w:t>
      </w:r>
      <w:r>
        <w:rPr>
          <w:rFonts w:ascii="Times New Roman" w:hAnsi="Times New Roman"/>
          <w:sz w:val="24"/>
        </w:rPr>
        <w:t xml:space="preserve">998,801.44 </w:t>
      </w:r>
      <w:r>
        <w:rPr>
          <w:rFonts w:ascii="Times New Roman" w:hAnsi="Times New Roman" w:hint="eastAsia"/>
          <w:sz w:val="24"/>
        </w:rPr>
        <w:t>/1.00</w:t>
      </w:r>
      <w:r>
        <w:rPr>
          <w:rFonts w:ascii="Times New Roman" w:hAnsi="Times New Roman" w:hint="eastAsia"/>
          <w:sz w:val="24"/>
        </w:rPr>
        <w:t>＋</w:t>
      </w:r>
      <w:r>
        <w:rPr>
          <w:rFonts w:ascii="Times New Roman" w:hAnsi="Times New Roman" w:hint="eastAsia"/>
          <w:sz w:val="24"/>
        </w:rPr>
        <w:t>50.00/1.00</w:t>
      </w:r>
      <w:r>
        <w:rPr>
          <w:rFonts w:ascii="Times New Roman" w:hAnsi="Times New Roman" w:hint="eastAsia"/>
          <w:sz w:val="24"/>
        </w:rPr>
        <w:t>＝</w:t>
      </w:r>
      <w:r>
        <w:rPr>
          <w:rFonts w:ascii="Times New Roman" w:hAnsi="Times New Roman"/>
          <w:sz w:val="24"/>
        </w:rPr>
        <w:t>998,851.44</w:t>
      </w:r>
      <w:r>
        <w:rPr>
          <w:rFonts w:ascii="Times New Roman" w:hAnsi="Times New Roman" w:hint="eastAsia"/>
          <w:sz w:val="24"/>
        </w:rPr>
        <w:t>份</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即：若该养老金客户投资</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00,000</w:t>
      </w:r>
      <w:r>
        <w:rPr>
          <w:rFonts w:ascii="Times New Roman" w:hAnsi="Times New Roman"/>
          <w:sz w:val="24"/>
        </w:rPr>
        <w:t>.00</w:t>
      </w:r>
      <w:r>
        <w:rPr>
          <w:rFonts w:ascii="Times New Roman" w:hAnsi="Times New Roman" w:hint="eastAsia"/>
          <w:sz w:val="24"/>
        </w:rPr>
        <w:t>元通过基金管理人的直销柜台认购本基金</w:t>
      </w:r>
      <w:r>
        <w:rPr>
          <w:rFonts w:ascii="Times New Roman" w:hAnsi="Times New Roman" w:hint="eastAsia"/>
          <w:sz w:val="24"/>
        </w:rPr>
        <w:t>A</w:t>
      </w:r>
      <w:r>
        <w:rPr>
          <w:rFonts w:ascii="Times New Roman" w:hAnsi="Times New Roman" w:hint="eastAsia"/>
          <w:sz w:val="24"/>
        </w:rPr>
        <w:t>类基金份额，且该认购申请被全额确认，假定该笔认购金额产生利息</w:t>
      </w:r>
      <w:r>
        <w:rPr>
          <w:rFonts w:ascii="Times New Roman" w:hAnsi="Times New Roman" w:hint="eastAsia"/>
          <w:sz w:val="24"/>
        </w:rPr>
        <w:t>50.00</w:t>
      </w:r>
      <w:r>
        <w:rPr>
          <w:rFonts w:ascii="Times New Roman" w:hAnsi="Times New Roman" w:hint="eastAsia"/>
          <w:sz w:val="24"/>
        </w:rPr>
        <w:t>元，可得到</w:t>
      </w:r>
      <w:r>
        <w:rPr>
          <w:rFonts w:ascii="Times New Roman" w:hAnsi="Times New Roman"/>
          <w:sz w:val="24"/>
        </w:rPr>
        <w:t>998,851.44</w:t>
      </w:r>
      <w:r>
        <w:rPr>
          <w:rFonts w:ascii="Times New Roman" w:hAnsi="Times New Roman" w:hint="eastAsia"/>
          <w:sz w:val="24"/>
        </w:rPr>
        <w:t>份</w:t>
      </w:r>
      <w:r>
        <w:rPr>
          <w:rFonts w:ascii="Times New Roman" w:hAnsi="Times New Roman" w:hint="eastAsia"/>
          <w:sz w:val="24"/>
        </w:rPr>
        <w:t>A</w:t>
      </w:r>
      <w:r>
        <w:rPr>
          <w:rFonts w:ascii="Times New Roman" w:hAnsi="Times New Roman" w:hint="eastAsia"/>
          <w:sz w:val="24"/>
        </w:rPr>
        <w:t>类基金份额。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w:t>
      </w:r>
      <w:r>
        <w:rPr>
          <w:rFonts w:ascii="Times New Roman" w:hAnsi="Times New Roman"/>
          <w:sz w:val="24"/>
        </w:rPr>
        <w:t>C</w:t>
      </w:r>
      <w:r>
        <w:rPr>
          <w:rFonts w:ascii="Times New Roman" w:hAnsi="Times New Roman" w:hint="eastAsia"/>
          <w:sz w:val="24"/>
        </w:rPr>
        <w:t>类基金份额的认购</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如果投资者选择认购本基金的</w:t>
      </w:r>
      <w:r>
        <w:rPr>
          <w:rFonts w:ascii="Times New Roman" w:hAnsi="Times New Roman"/>
          <w:sz w:val="24"/>
        </w:rPr>
        <w:t>C</w:t>
      </w:r>
      <w:r>
        <w:rPr>
          <w:rFonts w:ascii="Times New Roman" w:hAnsi="Times New Roman" w:hint="eastAsia"/>
          <w:sz w:val="24"/>
        </w:rPr>
        <w:t>类基金份额，则认购份额的计算方式如下：</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proofErr w:type="gramStart"/>
      <w:r>
        <w:rPr>
          <w:rFonts w:ascii="Times New Roman" w:hAnsi="Times New Roman" w:hint="eastAsia"/>
          <w:sz w:val="24"/>
        </w:rPr>
        <w:t>申请总</w:t>
      </w:r>
      <w:proofErr w:type="gramEnd"/>
      <w:r>
        <w:rPr>
          <w:rFonts w:ascii="Times New Roman" w:hAnsi="Times New Roman" w:hint="eastAsia"/>
          <w:sz w:val="24"/>
        </w:rPr>
        <w:t>金额</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w:t>
      </w:r>
      <w:r>
        <w:rPr>
          <w:rFonts w:ascii="Times New Roman" w:hAnsi="Times New Roman"/>
          <w:sz w:val="24"/>
        </w:rPr>
        <w:t>=</w:t>
      </w: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r>
        <w:rPr>
          <w:rFonts w:ascii="Times New Roman" w:hAnsi="Times New Roman" w:hint="eastAsia"/>
          <w:sz w:val="24"/>
        </w:rPr>
        <w:t>基金份额初始面值＋认购利息</w:t>
      </w:r>
      <w:r>
        <w:rPr>
          <w:rFonts w:ascii="Times New Roman" w:hAnsi="Times New Roman"/>
          <w:sz w:val="24"/>
        </w:rPr>
        <w:t>/</w:t>
      </w:r>
      <w:r>
        <w:rPr>
          <w:rFonts w:ascii="Times New Roman" w:hAnsi="Times New Roman" w:hint="eastAsia"/>
          <w:sz w:val="24"/>
        </w:rPr>
        <w:t>基金份额初始面值</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认购份额的计算保留到小数点后</w:t>
      </w:r>
      <w:r>
        <w:rPr>
          <w:rFonts w:ascii="Times New Roman" w:hAnsi="Times New Roman"/>
          <w:sz w:val="24"/>
        </w:rPr>
        <w:t>2</w:t>
      </w:r>
      <w:r>
        <w:rPr>
          <w:rFonts w:ascii="Times New Roman" w:hAnsi="Times New Roman" w:hint="eastAsia"/>
          <w:sz w:val="24"/>
        </w:rPr>
        <w:t>位，小数点</w:t>
      </w:r>
      <w:r>
        <w:rPr>
          <w:rFonts w:ascii="Times New Roman" w:hAnsi="Times New Roman"/>
          <w:sz w:val="24"/>
        </w:rPr>
        <w:t>2</w:t>
      </w:r>
      <w:r>
        <w:rPr>
          <w:rFonts w:ascii="Times New Roman" w:hAnsi="Times New Roman" w:hint="eastAsia"/>
          <w:sz w:val="24"/>
        </w:rPr>
        <w:t>位以后的部分四舍五入，由此误差产生的收益或损失由基金财产承担。</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hint="eastAsia"/>
          <w:sz w:val="24"/>
        </w:rPr>
        <w:t>例三：某投资者投资</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元认购本基金</w:t>
      </w:r>
      <w:r>
        <w:rPr>
          <w:rFonts w:ascii="Times New Roman" w:hAnsi="Times New Roman" w:hint="eastAsia"/>
          <w:sz w:val="24"/>
        </w:rPr>
        <w:t>C</w:t>
      </w:r>
      <w:r>
        <w:rPr>
          <w:rFonts w:ascii="Times New Roman" w:hAnsi="Times New Roman" w:hint="eastAsia"/>
          <w:sz w:val="24"/>
        </w:rPr>
        <w:t>类基金份额，</w:t>
      </w:r>
      <w:bookmarkStart w:id="12" w:name="_Hlk145583959"/>
      <w:r>
        <w:rPr>
          <w:rFonts w:ascii="Times New Roman" w:hAnsi="Times New Roman" w:hint="eastAsia"/>
          <w:sz w:val="24"/>
        </w:rPr>
        <w:t>且该认购申请被全额确认</w:t>
      </w:r>
      <w:bookmarkEnd w:id="12"/>
      <w:r>
        <w:rPr>
          <w:rFonts w:ascii="Times New Roman" w:hAnsi="Times New Roman" w:hint="eastAsia"/>
          <w:sz w:val="24"/>
        </w:rPr>
        <w:t>。假定该笔认购金额产生利息</w:t>
      </w:r>
      <w:r>
        <w:rPr>
          <w:rFonts w:ascii="Times New Roman" w:hAnsi="Times New Roman" w:hint="eastAsia"/>
          <w:sz w:val="24"/>
        </w:rPr>
        <w:t>50.00</w:t>
      </w:r>
      <w:r>
        <w:rPr>
          <w:rFonts w:ascii="Times New Roman" w:hAnsi="Times New Roman" w:hint="eastAsia"/>
          <w:sz w:val="24"/>
        </w:rPr>
        <w:t>元。则认购份额为：</w:t>
      </w:r>
    </w:p>
    <w:p w:rsidR="009A4701" w:rsidRDefault="00677B65">
      <w:pPr>
        <w:adjustRightInd w:val="0"/>
        <w:snapToGrid w:val="0"/>
        <w:spacing w:line="360" w:lineRule="auto"/>
        <w:ind w:firstLineChars="200" w:firstLine="480"/>
        <w:outlineLvl w:val="2"/>
        <w:rPr>
          <w:rFonts w:ascii="Times New Roman" w:hAnsi="Times New Roman"/>
          <w:sz w:val="24"/>
        </w:rPr>
      </w:pPr>
      <w:proofErr w:type="gramStart"/>
      <w:r>
        <w:rPr>
          <w:rFonts w:ascii="Times New Roman" w:hAnsi="Times New Roman" w:hint="eastAsia"/>
          <w:sz w:val="24"/>
        </w:rPr>
        <w:t>认购总</w:t>
      </w:r>
      <w:proofErr w:type="gramEnd"/>
      <w:r>
        <w:rPr>
          <w:rFonts w:ascii="Times New Roman" w:hAnsi="Times New Roman" w:hint="eastAsia"/>
          <w:sz w:val="24"/>
        </w:rPr>
        <w:t>金额</w:t>
      </w:r>
      <w:r>
        <w:rPr>
          <w:rFonts w:ascii="Times New Roman" w:hAnsi="Times New Roman"/>
          <w:sz w:val="24"/>
        </w:rPr>
        <w:t>=</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hint="eastAsia"/>
          <w:sz w:val="24"/>
        </w:rPr>
        <w:t>认购份额＝</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/1.00</w:t>
      </w:r>
      <w:r>
        <w:rPr>
          <w:rFonts w:ascii="Times New Roman" w:hAnsi="Times New Roman" w:hint="eastAsia"/>
          <w:sz w:val="24"/>
        </w:rPr>
        <w:t>＋</w:t>
      </w:r>
      <w:r>
        <w:rPr>
          <w:rFonts w:ascii="Times New Roman" w:hAnsi="Times New Roman" w:hint="eastAsia"/>
          <w:sz w:val="24"/>
        </w:rPr>
        <w:t>50.00/1.00</w:t>
      </w:r>
      <w:r>
        <w:rPr>
          <w:rFonts w:ascii="Times New Roman" w:hAnsi="Times New Roman" w:hint="eastAsia"/>
          <w:sz w:val="24"/>
        </w:rPr>
        <w:t>＝</w:t>
      </w:r>
      <w:r>
        <w:rPr>
          <w:rFonts w:ascii="Times New Roman" w:hAnsi="Times New Roman" w:hint="eastAsia"/>
          <w:sz w:val="24"/>
        </w:rPr>
        <w:t>100,050.00</w:t>
      </w:r>
      <w:r>
        <w:rPr>
          <w:rFonts w:ascii="Times New Roman" w:hAnsi="Times New Roman" w:hint="eastAsia"/>
          <w:sz w:val="24"/>
        </w:rPr>
        <w:t>份</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hint="eastAsia"/>
          <w:sz w:val="24"/>
        </w:rPr>
        <w:t>即：若该投资者投资</w:t>
      </w:r>
      <w:r>
        <w:rPr>
          <w:rFonts w:ascii="Times New Roman" w:hAnsi="Times New Roman" w:hint="eastAsia"/>
          <w:sz w:val="24"/>
        </w:rPr>
        <w:t>100,000</w:t>
      </w:r>
      <w:r>
        <w:rPr>
          <w:rFonts w:ascii="Times New Roman" w:hAnsi="Times New Roman"/>
          <w:sz w:val="24"/>
        </w:rPr>
        <w:t>.00</w:t>
      </w:r>
      <w:r>
        <w:rPr>
          <w:rFonts w:ascii="Times New Roman" w:hAnsi="Times New Roman" w:hint="eastAsia"/>
          <w:sz w:val="24"/>
        </w:rPr>
        <w:t>元认购本基金</w:t>
      </w:r>
      <w:r>
        <w:rPr>
          <w:rFonts w:ascii="Times New Roman" w:hAnsi="Times New Roman" w:hint="eastAsia"/>
          <w:sz w:val="24"/>
        </w:rPr>
        <w:t>C</w:t>
      </w:r>
      <w:r>
        <w:rPr>
          <w:rFonts w:ascii="Times New Roman" w:hAnsi="Times New Roman" w:hint="eastAsia"/>
          <w:sz w:val="24"/>
        </w:rPr>
        <w:t>类基金份额，且该认购申请被全额确认。假定该笔认购金额产生利息</w:t>
      </w:r>
      <w:r>
        <w:rPr>
          <w:rFonts w:ascii="Times New Roman" w:hAnsi="Times New Roman" w:hint="eastAsia"/>
          <w:sz w:val="24"/>
        </w:rPr>
        <w:t>50.00</w:t>
      </w:r>
      <w:r>
        <w:rPr>
          <w:rFonts w:ascii="Times New Roman" w:hAnsi="Times New Roman" w:hint="eastAsia"/>
          <w:sz w:val="24"/>
        </w:rPr>
        <w:t>元，可得到</w:t>
      </w:r>
      <w:r>
        <w:rPr>
          <w:rFonts w:ascii="Times New Roman" w:hAnsi="Times New Roman" w:hint="eastAsia"/>
          <w:sz w:val="24"/>
        </w:rPr>
        <w:t>100,050.00</w:t>
      </w:r>
      <w:r>
        <w:rPr>
          <w:rFonts w:ascii="Times New Roman" w:hAnsi="Times New Roman" w:hint="eastAsia"/>
          <w:sz w:val="24"/>
        </w:rPr>
        <w:t>份本基金</w:t>
      </w:r>
      <w:r>
        <w:rPr>
          <w:rFonts w:ascii="Times New Roman" w:hAnsi="Times New Roman" w:hint="eastAsia"/>
          <w:sz w:val="24"/>
        </w:rPr>
        <w:t>C</w:t>
      </w:r>
      <w:r>
        <w:rPr>
          <w:rFonts w:ascii="Times New Roman" w:hAnsi="Times New Roman" w:hint="eastAsia"/>
          <w:sz w:val="24"/>
        </w:rPr>
        <w:t>类基金份额。</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4</w:t>
      </w:r>
      <w:r>
        <w:rPr>
          <w:rFonts w:ascii="Times New Roman" w:hAnsi="Times New Roman" w:hint="eastAsia"/>
          <w:sz w:val="24"/>
        </w:rPr>
        <w:t>、认购的程序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）申请方式：书面申请或基金管理人公告的其他方式。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）认购款项支付：投资人认购时，采用全额缴款方式。</w:t>
      </w:r>
    </w:p>
    <w:p w:rsidR="009A4701" w:rsidRDefault="00677B65">
      <w:pPr>
        <w:widowControl/>
        <w:adjustRightInd w:val="0"/>
        <w:snapToGrid w:val="0"/>
        <w:spacing w:line="360" w:lineRule="auto"/>
        <w:ind w:firstLineChars="200" w:firstLine="480"/>
        <w:outlineLvl w:val="2"/>
        <w:rPr>
          <w:rFonts w:ascii="Times New Roman" w:hAnsi="Times New Roman"/>
          <w:sz w:val="24"/>
          <w:szCs w:val="21"/>
        </w:rPr>
      </w:pPr>
      <w:r>
        <w:rPr>
          <w:rFonts w:ascii="Times New Roman" w:hAnsi="Times New Roman"/>
          <w:sz w:val="24"/>
          <w:szCs w:val="21"/>
        </w:rPr>
        <w:t>5</w:t>
      </w:r>
      <w:r>
        <w:rPr>
          <w:rFonts w:ascii="Times New Roman" w:hAnsi="Times New Roman" w:hint="eastAsia"/>
          <w:sz w:val="24"/>
          <w:szCs w:val="21"/>
        </w:rPr>
        <w:t>、认购的确认</w:t>
      </w:r>
    </w:p>
    <w:p w:rsidR="009A4701" w:rsidRDefault="00677B65">
      <w:pPr>
        <w:widowControl/>
        <w:adjustRightInd w:val="0"/>
        <w:snapToGrid w:val="0"/>
        <w:spacing w:line="360" w:lineRule="auto"/>
        <w:ind w:firstLineChars="200" w:firstLine="480"/>
        <w:rPr>
          <w:rFonts w:ascii="Times New Roman" w:hAnsi="Times New Roman"/>
          <w:sz w:val="24"/>
          <w:szCs w:val="21"/>
        </w:rPr>
      </w:pPr>
      <w:r>
        <w:rPr>
          <w:rFonts w:ascii="Times New Roman" w:hAnsi="Times New Roman" w:hint="eastAsia"/>
          <w:sz w:val="24"/>
          <w:szCs w:val="21"/>
        </w:rPr>
        <w:t>当日（</w:t>
      </w:r>
      <w:r>
        <w:rPr>
          <w:rFonts w:ascii="Times New Roman" w:hAnsi="Times New Roman"/>
          <w:sz w:val="24"/>
          <w:szCs w:val="21"/>
        </w:rPr>
        <w:t>T</w:t>
      </w:r>
      <w:r>
        <w:rPr>
          <w:rFonts w:ascii="Times New Roman" w:hAnsi="Times New Roman" w:hint="eastAsia"/>
          <w:sz w:val="24"/>
          <w:szCs w:val="21"/>
        </w:rPr>
        <w:t>日）在规定时间内提交的申请，投资人通常可在</w:t>
      </w:r>
      <w:r>
        <w:rPr>
          <w:rFonts w:ascii="Times New Roman" w:hAnsi="Times New Roman"/>
          <w:sz w:val="24"/>
          <w:szCs w:val="21"/>
        </w:rPr>
        <w:t>T+2</w:t>
      </w:r>
      <w:r>
        <w:rPr>
          <w:rFonts w:ascii="Times New Roman" w:hAnsi="Times New Roman" w:hint="eastAsia"/>
          <w:sz w:val="24"/>
          <w:szCs w:val="21"/>
        </w:rPr>
        <w:t>日后（包括该日）到销售网点查询交易情况。基金销售机构对认购申请的受理并不代表该申请一定成功，而仅代表销售机构确实接收到认购申请。申请的成功确认应以基金合同生效后、登记机构的确认登记为准。</w:t>
      </w:r>
      <w:r>
        <w:rPr>
          <w:rFonts w:ascii="Times New Roman" w:hAnsi="Times New Roman"/>
          <w:sz w:val="24"/>
        </w:rPr>
        <w:t>对于认购申请及认购份额的确认情况，投资人应及时查询。</w:t>
      </w:r>
      <w:r>
        <w:rPr>
          <w:rFonts w:ascii="Times New Roman" w:hAnsi="Times New Roman" w:hint="eastAsia"/>
          <w:sz w:val="24"/>
          <w:szCs w:val="21"/>
        </w:rPr>
        <w:t>投资人可以在基金合同生效后到原认购网点打印认购成交确认凭证。</w:t>
      </w:r>
    </w:p>
    <w:p w:rsidR="009A4701" w:rsidRDefault="00677B65">
      <w:pPr>
        <w:widowControl/>
        <w:adjustRightInd w:val="0"/>
        <w:snapToGrid w:val="0"/>
        <w:spacing w:line="360" w:lineRule="auto"/>
        <w:ind w:firstLineChars="200" w:firstLine="480"/>
        <w:rPr>
          <w:rFonts w:ascii="Times New Roman" w:hAnsi="Times New Roman"/>
          <w:sz w:val="24"/>
          <w:szCs w:val="21"/>
        </w:rPr>
      </w:pPr>
      <w:r>
        <w:rPr>
          <w:rFonts w:ascii="Times New Roman" w:hAnsi="Times New Roman" w:hint="eastAsia"/>
          <w:sz w:val="24"/>
          <w:szCs w:val="21"/>
        </w:rPr>
        <w:lastRenderedPageBreak/>
        <w:t>投资人开户和认购所需提交的文件和办理的具体程序，请参阅基金份额发售公告。</w:t>
      </w:r>
    </w:p>
    <w:p w:rsidR="009A4701" w:rsidRDefault="00677B65">
      <w:pPr>
        <w:widowControl/>
        <w:adjustRightInd w:val="0"/>
        <w:snapToGrid w:val="0"/>
        <w:spacing w:line="360" w:lineRule="auto"/>
        <w:ind w:firstLineChars="200" w:firstLine="480"/>
        <w:outlineLvl w:val="2"/>
        <w:rPr>
          <w:rFonts w:ascii="Times New Roman" w:hAnsi="Times New Roman"/>
          <w:sz w:val="24"/>
          <w:szCs w:val="21"/>
        </w:rPr>
      </w:pPr>
      <w:r>
        <w:rPr>
          <w:rFonts w:ascii="Times New Roman" w:hAnsi="Times New Roman"/>
          <w:sz w:val="24"/>
          <w:szCs w:val="21"/>
        </w:rPr>
        <w:t>6</w:t>
      </w:r>
      <w:r>
        <w:rPr>
          <w:rFonts w:ascii="Times New Roman" w:hAnsi="Times New Roman" w:hint="eastAsia"/>
          <w:sz w:val="24"/>
          <w:szCs w:val="21"/>
        </w:rPr>
        <w:t>、募集期利息的处理方式</w:t>
      </w:r>
    </w:p>
    <w:p w:rsidR="009A4701" w:rsidRDefault="00677B65">
      <w:pPr>
        <w:widowControl/>
        <w:adjustRightInd w:val="0"/>
        <w:snapToGrid w:val="0"/>
        <w:spacing w:line="360" w:lineRule="auto"/>
        <w:ind w:firstLineChars="200" w:firstLine="480"/>
        <w:rPr>
          <w:rFonts w:ascii="Times New Roman" w:hAnsi="Times New Roman"/>
          <w:sz w:val="24"/>
          <w:szCs w:val="21"/>
        </w:rPr>
      </w:pPr>
      <w:r>
        <w:rPr>
          <w:rFonts w:ascii="Times New Roman" w:hAnsi="Times New Roman" w:hint="eastAsia"/>
          <w:sz w:val="24"/>
          <w:szCs w:val="21"/>
        </w:rPr>
        <w:t>本</w:t>
      </w:r>
      <w:proofErr w:type="gramStart"/>
      <w:r>
        <w:rPr>
          <w:rFonts w:ascii="Times New Roman" w:hAnsi="Times New Roman" w:hint="eastAsia"/>
          <w:sz w:val="24"/>
          <w:szCs w:val="21"/>
        </w:rPr>
        <w:t>基金基金</w:t>
      </w:r>
      <w:proofErr w:type="gramEnd"/>
      <w:r>
        <w:rPr>
          <w:rFonts w:ascii="Times New Roman" w:hAnsi="Times New Roman" w:hint="eastAsia"/>
          <w:sz w:val="24"/>
          <w:szCs w:val="21"/>
        </w:rPr>
        <w:t>合同生效前，投资人的有效认购款项只能存入专门账户，任何人不得动用。有效认购款项在募集期间产生的利息将折算为相应类别的基金份额</w:t>
      </w:r>
      <w:proofErr w:type="gramStart"/>
      <w:r>
        <w:rPr>
          <w:rFonts w:ascii="Times New Roman" w:hAnsi="Times New Roman" w:hint="eastAsia"/>
          <w:sz w:val="24"/>
          <w:szCs w:val="21"/>
        </w:rPr>
        <w:t>归基金</w:t>
      </w:r>
      <w:proofErr w:type="gramEnd"/>
      <w:r>
        <w:rPr>
          <w:rFonts w:ascii="Times New Roman" w:hAnsi="Times New Roman" w:hint="eastAsia"/>
          <w:sz w:val="24"/>
          <w:szCs w:val="21"/>
        </w:rPr>
        <w:t>份额持有人所有。</w:t>
      </w:r>
    </w:p>
    <w:p w:rsidR="009A4701" w:rsidRDefault="00677B65">
      <w:pPr>
        <w:adjustRightInd w:val="0"/>
        <w:snapToGrid w:val="0"/>
        <w:spacing w:line="360" w:lineRule="auto"/>
        <w:ind w:firstLineChars="200" w:firstLine="480"/>
        <w:rPr>
          <w:rFonts w:ascii="Times New Roman" w:hAnsi="Times New Roman"/>
          <w:sz w:val="24"/>
          <w:szCs w:val="21"/>
        </w:rPr>
      </w:pPr>
      <w:r>
        <w:rPr>
          <w:rFonts w:ascii="Times New Roman" w:hAnsi="Times New Roman" w:hint="eastAsia"/>
          <w:sz w:val="24"/>
          <w:szCs w:val="21"/>
        </w:rPr>
        <w:t>认购利息折算的基金份额精确到小数点后两位，小数点两位以后的部分截位，由此误差产生的收益或损失由基金财产承担，其中有效认购资金的利息及利息折算的基金份额以登记机构的记录为准</w:t>
      </w:r>
      <w:bookmarkStart w:id="13" w:name="_Hlt91264078"/>
      <w:bookmarkStart w:id="14" w:name="_Hlt91264042"/>
      <w:bookmarkStart w:id="15" w:name="_Hlt91148053"/>
      <w:bookmarkStart w:id="16" w:name="_Hlt90455312"/>
      <w:bookmarkStart w:id="17" w:name="_Hlt90801570"/>
      <w:bookmarkEnd w:id="13"/>
      <w:bookmarkEnd w:id="14"/>
      <w:bookmarkEnd w:id="15"/>
      <w:bookmarkEnd w:id="16"/>
      <w:bookmarkEnd w:id="17"/>
      <w:r>
        <w:rPr>
          <w:rFonts w:ascii="Times New Roman" w:hAnsi="Times New Roman" w:hint="eastAsia"/>
          <w:sz w:val="24"/>
          <w:szCs w:val="21"/>
        </w:rPr>
        <w:t>。</w:t>
      </w:r>
      <w:bookmarkEnd w:id="10"/>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hint="eastAsia"/>
          <w:b/>
          <w:sz w:val="24"/>
        </w:rPr>
        <w:t>（七）未来条件许可情况下的模式转换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若基金</w:t>
      </w:r>
      <w:proofErr w:type="gramEnd"/>
      <w:r>
        <w:rPr>
          <w:rFonts w:ascii="Times New Roman" w:hAnsi="Times New Roman" w:hint="eastAsia"/>
          <w:sz w:val="24"/>
        </w:rPr>
        <w:t>管理人注册并成立追踪同一标的指数的交易型开放式指数基金（</w:t>
      </w:r>
      <w:r>
        <w:rPr>
          <w:rFonts w:ascii="Times New Roman" w:hAnsi="Times New Roman" w:hint="eastAsia"/>
          <w:sz w:val="24"/>
        </w:rPr>
        <w:t>ETF</w:t>
      </w:r>
      <w:r>
        <w:rPr>
          <w:rFonts w:ascii="Times New Roman" w:hAnsi="Times New Roman" w:hint="eastAsia"/>
          <w:sz w:val="24"/>
        </w:rPr>
        <w:t>），本基金可变</w:t>
      </w:r>
      <w:proofErr w:type="gramStart"/>
      <w:r>
        <w:rPr>
          <w:rFonts w:ascii="Times New Roman" w:hAnsi="Times New Roman" w:hint="eastAsia"/>
          <w:sz w:val="24"/>
        </w:rPr>
        <w:t>更为该</w:t>
      </w:r>
      <w:proofErr w:type="gramEnd"/>
      <w:r>
        <w:rPr>
          <w:rFonts w:ascii="Times New Roman" w:hAnsi="Times New Roman" w:hint="eastAsia"/>
          <w:sz w:val="24"/>
        </w:rPr>
        <w:t>ETF</w:t>
      </w:r>
      <w:r>
        <w:rPr>
          <w:rFonts w:ascii="Times New Roman" w:hAnsi="Times New Roman" w:hint="eastAsia"/>
          <w:sz w:val="24"/>
        </w:rPr>
        <w:t>的联接基金。该联接基金将其绝大部分基金财产投资于跟踪同一标的指数的</w:t>
      </w:r>
      <w:r>
        <w:rPr>
          <w:rFonts w:ascii="Times New Roman" w:hAnsi="Times New Roman" w:hint="eastAsia"/>
          <w:sz w:val="24"/>
        </w:rPr>
        <w:t>ETF</w:t>
      </w:r>
      <w:r>
        <w:rPr>
          <w:rFonts w:ascii="Times New Roman" w:hAnsi="Times New Roman" w:hint="eastAsia"/>
          <w:sz w:val="24"/>
        </w:rPr>
        <w:t>，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18" w:name="_Toc147840625"/>
      <w:r>
        <w:rPr>
          <w:rFonts w:ascii="Times New Roman" w:hAnsi="Times New Roman"/>
          <w:sz w:val="30"/>
        </w:rPr>
        <w:lastRenderedPageBreak/>
        <w:t>七、基金合同的生效</w:t>
      </w:r>
      <w:bookmarkEnd w:id="18"/>
    </w:p>
    <w:p w:rsidR="009A4701" w:rsidRDefault="00677B65">
      <w:pPr>
        <w:pStyle w:val="a3"/>
        <w:autoSpaceDE w:val="0"/>
        <w:autoSpaceDN w:val="0"/>
        <w:adjustRightInd w:val="0"/>
        <w:snapToGrid w:val="0"/>
        <w:spacing w:line="360" w:lineRule="auto"/>
        <w:ind w:firstLine="482"/>
        <w:outlineLvl w:val="1"/>
        <w:rPr>
          <w:b/>
          <w:sz w:val="24"/>
        </w:rPr>
      </w:pPr>
      <w:bookmarkStart w:id="19" w:name="_Toc79392603"/>
      <w:bookmarkStart w:id="20" w:name="_Toc15118260"/>
      <w:bookmarkStart w:id="21" w:name="_Toc57530272"/>
      <w:r>
        <w:rPr>
          <w:b/>
          <w:sz w:val="24"/>
        </w:rPr>
        <w:t>（一）基金备案的条件</w:t>
      </w:r>
    </w:p>
    <w:p w:rsidR="009A4701" w:rsidRDefault="00677B65">
      <w:pPr>
        <w:pStyle w:val="a3"/>
        <w:autoSpaceDE w:val="0"/>
        <w:autoSpaceDN w:val="0"/>
        <w:adjustRightInd w:val="0"/>
        <w:snapToGrid w:val="0"/>
        <w:spacing w:line="360" w:lineRule="auto"/>
        <w:ind w:firstLine="480"/>
        <w:rPr>
          <w:sz w:val="24"/>
        </w:rPr>
      </w:pPr>
      <w:r>
        <w:rPr>
          <w:rFonts w:hint="eastAsia"/>
          <w:sz w:val="24"/>
        </w:rPr>
        <w:t>本基金自基金份额发售之日起</w:t>
      </w:r>
      <w:r>
        <w:rPr>
          <w:sz w:val="24"/>
        </w:rPr>
        <w:t>3</w:t>
      </w:r>
      <w:r>
        <w:rPr>
          <w:rFonts w:hint="eastAsia"/>
          <w:sz w:val="24"/>
        </w:rPr>
        <w:t>个月内，在基金募集份额总额不少于</w:t>
      </w:r>
      <w:r>
        <w:rPr>
          <w:sz w:val="24"/>
        </w:rPr>
        <w:t>2</w:t>
      </w:r>
      <w:r>
        <w:rPr>
          <w:rFonts w:hint="eastAsia"/>
          <w:sz w:val="24"/>
        </w:rPr>
        <w:t>亿份，基金募集金额不少于</w:t>
      </w:r>
      <w:r>
        <w:rPr>
          <w:sz w:val="24"/>
        </w:rPr>
        <w:t>2</w:t>
      </w:r>
      <w:r>
        <w:rPr>
          <w:rFonts w:hint="eastAsia"/>
          <w:sz w:val="24"/>
        </w:rPr>
        <w:t>亿元人民币</w:t>
      </w:r>
      <w:proofErr w:type="gramStart"/>
      <w:r>
        <w:rPr>
          <w:rFonts w:hint="eastAsia"/>
          <w:sz w:val="24"/>
        </w:rPr>
        <w:t>且基金</w:t>
      </w:r>
      <w:proofErr w:type="gramEnd"/>
      <w:r>
        <w:rPr>
          <w:rFonts w:hint="eastAsia"/>
          <w:sz w:val="24"/>
        </w:rPr>
        <w:t>认购人数不少于</w:t>
      </w:r>
      <w:r>
        <w:rPr>
          <w:sz w:val="24"/>
        </w:rPr>
        <w:t>200</w:t>
      </w:r>
      <w:r>
        <w:rPr>
          <w:rFonts w:hint="eastAsia"/>
          <w:sz w:val="24"/>
        </w:rPr>
        <w:t>人的条件下，基金募集期届满或基金管理人依据法律法规及招募说明书可以决定停止基金发售，并在</w:t>
      </w:r>
      <w:r>
        <w:rPr>
          <w:sz w:val="24"/>
        </w:rPr>
        <w:t>10</w:t>
      </w:r>
      <w:r>
        <w:rPr>
          <w:rFonts w:hint="eastAsia"/>
          <w:sz w:val="24"/>
        </w:rPr>
        <w:t>日内聘请法定验资机构验资，自收到验资报告之日起</w:t>
      </w:r>
      <w:r>
        <w:rPr>
          <w:sz w:val="24"/>
        </w:rPr>
        <w:t>10</w:t>
      </w:r>
      <w:r>
        <w:rPr>
          <w:rFonts w:hint="eastAsia"/>
          <w:sz w:val="24"/>
        </w:rPr>
        <w:t>日内，向中国证监会办理基金备案手续。</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4701" w:rsidRDefault="00677B65">
      <w:pPr>
        <w:adjustRightInd w:val="0"/>
        <w:snapToGrid w:val="0"/>
        <w:spacing w:line="360" w:lineRule="auto"/>
        <w:ind w:firstLineChars="200" w:firstLine="482"/>
        <w:outlineLvl w:val="1"/>
        <w:rPr>
          <w:rFonts w:ascii="Times New Roman" w:hAnsi="Times New Roman"/>
          <w:bCs/>
          <w:sz w:val="24"/>
        </w:rPr>
      </w:pPr>
      <w:r>
        <w:rPr>
          <w:rFonts w:ascii="Times New Roman" w:hAnsi="Times New Roman"/>
          <w:b/>
          <w:sz w:val="24"/>
        </w:rPr>
        <w:t>（二）</w:t>
      </w:r>
      <w:r>
        <w:rPr>
          <w:rFonts w:ascii="Times New Roman" w:hAnsi="Times New Roman" w:hint="eastAsia"/>
          <w:b/>
          <w:bCs/>
          <w:sz w:val="24"/>
        </w:rPr>
        <w:t>基金合同不能生效时募集资金的处理方式</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如果募集期限届满，未满足基金备案条件，基金管理人应当承担下列责任：</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、以其固有财产承担因募集行为而产生的债务和费用；</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、在基金募集期限届满后</w:t>
      </w:r>
      <w:r>
        <w:rPr>
          <w:rFonts w:ascii="Times New Roman" w:hAnsi="Times New Roman"/>
          <w:sz w:val="24"/>
        </w:rPr>
        <w:t>30</w:t>
      </w:r>
      <w:r>
        <w:rPr>
          <w:rFonts w:ascii="Times New Roman" w:hAnsi="Times New Roman" w:hint="eastAsia"/>
          <w:sz w:val="24"/>
        </w:rPr>
        <w:t>日内返还投资者已缴纳的款项，并加计银行同期活期存款利息；</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、如基金募集失败，基金管理人、基金托管人及销售机构不得请求报酬。基金管理人、基金托管人和销售机构为基金募集支付之一切费用应由各方各自承担。</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b/>
          <w:sz w:val="24"/>
        </w:rPr>
        <w:t>（三）基金存续期内的基金份额持有人数量和资产规模</w:t>
      </w:r>
    </w:p>
    <w:bookmarkEnd w:id="19"/>
    <w:bookmarkEnd w:id="20"/>
    <w:bookmarkEnd w:id="21"/>
    <w:p w:rsidR="009A4701" w:rsidRDefault="00677B65">
      <w:pPr>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《基金合同》生效后，连续</w:t>
      </w:r>
      <w:r>
        <w:rPr>
          <w:rFonts w:ascii="Times New Roman" w:hAnsi="Times New Roman"/>
          <w:kern w:val="0"/>
          <w:sz w:val="24"/>
          <w:szCs w:val="24"/>
        </w:rPr>
        <w:t>20</w:t>
      </w:r>
      <w:r>
        <w:rPr>
          <w:rFonts w:ascii="Times New Roman" w:hAnsi="Times New Roman" w:hint="eastAsia"/>
          <w:kern w:val="0"/>
          <w:sz w:val="24"/>
          <w:szCs w:val="24"/>
        </w:rPr>
        <w:t>个工作日出现基金份额持有人数量不满</w:t>
      </w:r>
      <w:r>
        <w:rPr>
          <w:rFonts w:ascii="Times New Roman" w:hAnsi="Times New Roman"/>
          <w:kern w:val="0"/>
          <w:sz w:val="24"/>
          <w:szCs w:val="24"/>
        </w:rPr>
        <w:t>200</w:t>
      </w:r>
      <w:r>
        <w:rPr>
          <w:rFonts w:ascii="Times New Roman" w:hAnsi="Times New Roman" w:hint="eastAsia"/>
          <w:kern w:val="0"/>
          <w:sz w:val="24"/>
          <w:szCs w:val="24"/>
        </w:rPr>
        <w:t>人或者基金资产净值低于</w:t>
      </w:r>
      <w:r>
        <w:rPr>
          <w:rFonts w:ascii="Times New Roman" w:hAnsi="Times New Roman"/>
          <w:kern w:val="0"/>
          <w:sz w:val="24"/>
          <w:szCs w:val="24"/>
        </w:rPr>
        <w:t>5000</w:t>
      </w:r>
      <w:r>
        <w:rPr>
          <w:rFonts w:ascii="Times New Roman" w:hAnsi="Times New Roman" w:hint="eastAsia"/>
          <w:kern w:val="0"/>
          <w:sz w:val="24"/>
          <w:szCs w:val="24"/>
        </w:rPr>
        <w:t>万元情形的，基金管理人应当在定期报告中予以披露；连续</w:t>
      </w:r>
      <w:r>
        <w:rPr>
          <w:rFonts w:ascii="Times New Roman" w:hAnsi="Times New Roman"/>
          <w:kern w:val="0"/>
          <w:sz w:val="24"/>
          <w:szCs w:val="24"/>
        </w:rPr>
        <w:t>50</w:t>
      </w:r>
      <w:r>
        <w:rPr>
          <w:rFonts w:ascii="Times New Roman" w:hAnsi="Times New Roman" w:hint="eastAsia"/>
          <w:kern w:val="0"/>
          <w:sz w:val="24"/>
          <w:szCs w:val="24"/>
        </w:rPr>
        <w:t>个工作日出现前述情形的，基金合同终止，不需召开基金份额持有人大会。</w:t>
      </w:r>
    </w:p>
    <w:p w:rsidR="009A4701" w:rsidRDefault="00677B65">
      <w:pPr>
        <w:widowControl/>
        <w:adjustRightInd w:val="0"/>
        <w:snapToGrid w:val="0"/>
        <w:spacing w:line="360" w:lineRule="auto"/>
        <w:ind w:firstLine="482"/>
        <w:rPr>
          <w:rFonts w:ascii="Times New Roman" w:hAnsi="Times New Roman"/>
        </w:rPr>
      </w:pPr>
      <w:r>
        <w:rPr>
          <w:rFonts w:ascii="Times New Roman" w:hAnsi="Times New Roman" w:hint="eastAsia"/>
          <w:kern w:val="0"/>
          <w:sz w:val="24"/>
          <w:szCs w:val="24"/>
        </w:rPr>
        <w:t>法律法规或中国证监会另有规定时，从其规定。</w:t>
      </w:r>
    </w:p>
    <w:p w:rsidR="009A4701" w:rsidRDefault="009A4701">
      <w:pPr>
        <w:autoSpaceDE w:val="0"/>
        <w:autoSpaceDN w:val="0"/>
        <w:adjustRightInd w:val="0"/>
        <w:snapToGrid w:val="0"/>
        <w:spacing w:line="360" w:lineRule="auto"/>
        <w:ind w:firstLineChars="200" w:firstLine="420"/>
        <w:jc w:val="left"/>
        <w:rPr>
          <w:rFonts w:ascii="Times New Roman" w:hAnsi="Times New Roman"/>
          <w:szCs w:val="24"/>
        </w:rPr>
      </w:pPr>
    </w:p>
    <w:p w:rsidR="009A4701" w:rsidRDefault="009A4701">
      <w:pPr>
        <w:autoSpaceDE w:val="0"/>
        <w:autoSpaceDN w:val="0"/>
        <w:adjustRightInd w:val="0"/>
        <w:spacing w:line="360" w:lineRule="auto"/>
        <w:rPr>
          <w:rFonts w:ascii="Times New Roman" w:hAnsi="Times New Roman"/>
          <w:szCs w:val="24"/>
        </w:rPr>
      </w:pPr>
    </w:p>
    <w:p w:rsidR="009A4701" w:rsidRDefault="00677B65">
      <w:pPr>
        <w:widowControl/>
        <w:jc w:val="left"/>
        <w:rPr>
          <w:rFonts w:ascii="Times New Roman" w:hAnsi="Times New Roman"/>
          <w:b/>
          <w:bCs/>
          <w:kern w:val="44"/>
          <w:sz w:val="30"/>
          <w:szCs w:val="44"/>
        </w:rPr>
      </w:pPr>
      <w:r>
        <w:rPr>
          <w:rFonts w:ascii="Times New Roman" w:hAnsi="Times New Roman"/>
          <w:sz w:val="30"/>
        </w:rPr>
        <w:br w:type="page"/>
      </w:r>
    </w:p>
    <w:p w:rsidR="009A4701" w:rsidRDefault="00677B65">
      <w:pPr>
        <w:pStyle w:val="1"/>
        <w:snapToGrid w:val="0"/>
        <w:spacing w:beforeLines="0" w:before="240" w:after="240"/>
        <w:rPr>
          <w:rFonts w:ascii="Times New Roman" w:hAnsi="Times New Roman"/>
          <w:szCs w:val="30"/>
        </w:rPr>
      </w:pPr>
      <w:bookmarkStart w:id="22" w:name="_Toc147840626"/>
      <w:r>
        <w:rPr>
          <w:rFonts w:ascii="Times New Roman" w:hAnsi="Times New Roman"/>
          <w:sz w:val="30"/>
        </w:rPr>
        <w:lastRenderedPageBreak/>
        <w:t>八、基金份额的申购与赎回</w:t>
      </w:r>
      <w:bookmarkEnd w:id="22"/>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（一）申购和赎回的场所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投资人可通过下述场所按照规定的方式进行申购或赎回：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、本基金管理人的直销机构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本基金直销机构为基金管理人直销柜台以及基金管理人的网上直销交易平台。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名称：交银施罗德基金管理有限公司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住所：中国</w:t>
      </w:r>
      <w:r>
        <w:rPr>
          <w:rFonts w:ascii="Times New Roman" w:hAnsi="Times New Roman"/>
          <w:sz w:val="24"/>
        </w:rPr>
        <w:t>(</w:t>
      </w:r>
      <w:r>
        <w:rPr>
          <w:rFonts w:ascii="Times New Roman" w:hAnsi="Times New Roman"/>
          <w:sz w:val="24"/>
        </w:rPr>
        <w:t>上海</w:t>
      </w:r>
      <w:r>
        <w:rPr>
          <w:rFonts w:ascii="Times New Roman" w:hAnsi="Times New Roman"/>
          <w:sz w:val="24"/>
        </w:rPr>
        <w:t>)</w:t>
      </w:r>
      <w:r>
        <w:rPr>
          <w:rFonts w:ascii="Times New Roman" w:hAnsi="Times New Roman"/>
          <w:sz w:val="24"/>
        </w:rPr>
        <w:t>自由贸易试验区银城中路</w:t>
      </w:r>
      <w:r>
        <w:rPr>
          <w:rFonts w:ascii="Times New Roman" w:hAnsi="Times New Roman"/>
          <w:sz w:val="24"/>
        </w:rPr>
        <w:t>188</w:t>
      </w:r>
      <w:r>
        <w:rPr>
          <w:rFonts w:ascii="Times New Roman" w:hAnsi="Times New Roman"/>
          <w:sz w:val="24"/>
        </w:rPr>
        <w:t>号交通银行大楼二层（裙）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办公地址：上海市浦东</w:t>
      </w:r>
      <w:proofErr w:type="gramStart"/>
      <w:r>
        <w:rPr>
          <w:rFonts w:ascii="Times New Roman" w:hAnsi="Times New Roman"/>
          <w:sz w:val="24"/>
        </w:rPr>
        <w:t>新区世纪</w:t>
      </w:r>
      <w:proofErr w:type="gramEnd"/>
      <w:r>
        <w:rPr>
          <w:rFonts w:ascii="Times New Roman" w:hAnsi="Times New Roman"/>
          <w:sz w:val="24"/>
        </w:rPr>
        <w:t>大道</w:t>
      </w:r>
      <w:r>
        <w:rPr>
          <w:rFonts w:ascii="Times New Roman" w:hAnsi="Times New Roman"/>
          <w:sz w:val="24"/>
        </w:rPr>
        <w:t>8</w:t>
      </w:r>
      <w:r>
        <w:rPr>
          <w:rFonts w:ascii="Times New Roman" w:hAnsi="Times New Roman"/>
          <w:sz w:val="24"/>
        </w:rPr>
        <w:t>号国</w:t>
      </w:r>
      <w:proofErr w:type="gramStart"/>
      <w:r>
        <w:rPr>
          <w:rFonts w:ascii="Times New Roman" w:hAnsi="Times New Roman"/>
          <w:sz w:val="24"/>
        </w:rPr>
        <w:t>金中心</w:t>
      </w:r>
      <w:proofErr w:type="gramEnd"/>
      <w:r>
        <w:rPr>
          <w:rFonts w:ascii="Times New Roman" w:hAnsi="Times New Roman"/>
          <w:sz w:val="24"/>
        </w:rPr>
        <w:t>二期</w:t>
      </w:r>
      <w:r>
        <w:rPr>
          <w:rFonts w:ascii="Times New Roman" w:hAnsi="Times New Roman"/>
          <w:sz w:val="24"/>
        </w:rPr>
        <w:t>21-22</w:t>
      </w:r>
      <w:r>
        <w:rPr>
          <w:rFonts w:ascii="Times New Roman" w:hAnsi="Times New Roman"/>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电话：（</w:t>
      </w:r>
      <w:r>
        <w:rPr>
          <w:rFonts w:ascii="Times New Roman" w:hAnsi="Times New Roman"/>
          <w:sz w:val="24"/>
        </w:rPr>
        <w:t>021</w:t>
      </w:r>
      <w:r>
        <w:rPr>
          <w:rFonts w:ascii="Times New Roman" w:hAnsi="Times New Roman"/>
          <w:sz w:val="24"/>
        </w:rPr>
        <w:t>）</w:t>
      </w:r>
      <w:r>
        <w:rPr>
          <w:rFonts w:ascii="Times New Roman" w:hAnsi="Times New Roman"/>
          <w:sz w:val="24"/>
        </w:rPr>
        <w:t>61055724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传真：（</w:t>
      </w:r>
      <w:r>
        <w:rPr>
          <w:rFonts w:ascii="Times New Roman" w:hAnsi="Times New Roman"/>
          <w:sz w:val="24"/>
        </w:rPr>
        <w:t>021</w:t>
      </w:r>
      <w:r>
        <w:rPr>
          <w:rFonts w:ascii="Times New Roman" w:hAnsi="Times New Roman"/>
          <w:sz w:val="24"/>
        </w:rPr>
        <w:t>）</w:t>
      </w:r>
      <w:r>
        <w:rPr>
          <w:rFonts w:ascii="Times New Roman" w:hAnsi="Times New Roman"/>
          <w:sz w:val="24"/>
        </w:rPr>
        <w:t>61055054</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联系人：傅鲸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客户服务电话：</w:t>
      </w:r>
      <w:r>
        <w:rPr>
          <w:rFonts w:ascii="Times New Roman" w:hAnsi="Times New Roman"/>
          <w:sz w:val="24"/>
        </w:rPr>
        <w:t>400-700-5000</w:t>
      </w:r>
      <w:r>
        <w:rPr>
          <w:rFonts w:ascii="Times New Roman" w:hAnsi="Times New Roman"/>
          <w:sz w:val="24"/>
        </w:rPr>
        <w:t>（免长途话费），（</w:t>
      </w:r>
      <w:r>
        <w:rPr>
          <w:rFonts w:ascii="Times New Roman" w:hAnsi="Times New Roman"/>
          <w:sz w:val="24"/>
        </w:rPr>
        <w:t>021</w:t>
      </w:r>
      <w:r>
        <w:rPr>
          <w:rFonts w:ascii="Times New Roman" w:hAnsi="Times New Roman"/>
          <w:sz w:val="24"/>
        </w:rPr>
        <w:t>）</w:t>
      </w:r>
      <w:r>
        <w:rPr>
          <w:rFonts w:ascii="Times New Roman" w:hAnsi="Times New Roman"/>
          <w:sz w:val="24"/>
        </w:rPr>
        <w:t>61055000</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网址：</w:t>
      </w:r>
      <w:r>
        <w:rPr>
          <w:rFonts w:ascii="Times New Roman" w:hAnsi="Times New Roman"/>
          <w:sz w:val="24"/>
        </w:rPr>
        <w:t>www.fund001.com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个人投资者可以通过基金管理人网上直销交易平台办理开户、本基金的申购、赎回等业务，具体交易细则请参阅基金管理人网站。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网上直销交易平台网址：</w:t>
      </w:r>
      <w:r>
        <w:rPr>
          <w:rFonts w:ascii="Times New Roman" w:hAnsi="Times New Roman"/>
          <w:sz w:val="24"/>
        </w:rPr>
        <w:t>www.fund001.com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、除基金管理人之外的其他销售机构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本基金除基金管理人之外的其他销售机构参见本招募说明书</w:t>
      </w:r>
      <w:r>
        <w:rPr>
          <w:rFonts w:ascii="Times New Roman" w:hAnsi="Times New Roman"/>
          <w:sz w:val="24"/>
        </w:rPr>
        <w:t>“</w:t>
      </w:r>
      <w:r>
        <w:rPr>
          <w:rFonts w:ascii="Times New Roman" w:hAnsi="Times New Roman"/>
          <w:sz w:val="24"/>
        </w:rPr>
        <w:t>五、相关服务机构</w:t>
      </w:r>
      <w:r>
        <w:rPr>
          <w:rFonts w:ascii="Times New Roman" w:hAnsi="Times New Roman"/>
          <w:sz w:val="24"/>
        </w:rPr>
        <w:t>”</w:t>
      </w:r>
      <w:r>
        <w:rPr>
          <w:rFonts w:ascii="Times New Roman" w:hAnsi="Times New Roman"/>
          <w:sz w:val="24"/>
        </w:rPr>
        <w:t>章节或拨打</w:t>
      </w:r>
      <w:r>
        <w:rPr>
          <w:rFonts w:ascii="Times New Roman" w:hAnsi="Times New Roman" w:hint="eastAsia"/>
          <w:sz w:val="24"/>
        </w:rPr>
        <w:t>基金管理</w:t>
      </w:r>
      <w:proofErr w:type="gramStart"/>
      <w:r>
        <w:rPr>
          <w:rFonts w:ascii="Times New Roman" w:hAnsi="Times New Roman" w:hint="eastAsia"/>
          <w:sz w:val="24"/>
        </w:rPr>
        <w:t>人</w:t>
      </w:r>
      <w:r>
        <w:rPr>
          <w:rFonts w:ascii="Times New Roman" w:hAnsi="Times New Roman"/>
          <w:sz w:val="24"/>
        </w:rPr>
        <w:t>客户</w:t>
      </w:r>
      <w:proofErr w:type="gramEnd"/>
      <w:r>
        <w:rPr>
          <w:rFonts w:ascii="Times New Roman" w:hAnsi="Times New Roman"/>
          <w:sz w:val="24"/>
        </w:rPr>
        <w:t>服务电话进行咨询。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投资人应当通过上述销售机构办理基金申购、赎回业务的营业场所或按上述销售机构提供的其他方式进行申购或赎回。本基金管理人可根据情况变更或增减基金销售机构，并在</w:t>
      </w:r>
      <w:r>
        <w:rPr>
          <w:rFonts w:ascii="Times New Roman" w:hAnsi="Times New Roman" w:hint="eastAsia"/>
          <w:sz w:val="24"/>
        </w:rPr>
        <w:t>基金</w:t>
      </w:r>
      <w:r>
        <w:rPr>
          <w:rFonts w:ascii="Times New Roman" w:hAnsi="Times New Roman"/>
          <w:sz w:val="24"/>
        </w:rPr>
        <w:t>管理人网站公示。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proofErr w:type="gramStart"/>
      <w:r>
        <w:rPr>
          <w:rFonts w:ascii="Times New Roman" w:hAnsi="Times New Roman"/>
          <w:sz w:val="24"/>
        </w:rPr>
        <w:t>若基金</w:t>
      </w:r>
      <w:proofErr w:type="gramEnd"/>
      <w:r>
        <w:rPr>
          <w:rFonts w:ascii="Times New Roman" w:hAnsi="Times New Roman"/>
          <w:sz w:val="24"/>
        </w:rPr>
        <w:t>管理人或其指定的销售机构开通电话、传真或网上等交易方式，投资人可以通过上述方式进行申购与赎回。</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（二）申购和赎回的开放日及时间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、开放日及开放时间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投资人在开放日办理基金份额的申购和赎回，具体办理时间为上海证券交易所、深圳证券交易所的正常交易日的交易时间</w:t>
      </w:r>
      <w:r>
        <w:rPr>
          <w:rFonts w:ascii="Times New Roman" w:hAnsi="Times New Roman" w:hint="eastAsia"/>
          <w:sz w:val="24"/>
        </w:rPr>
        <w:t>（若该工作日为非港股</w:t>
      </w:r>
      <w:proofErr w:type="gramStart"/>
      <w:r>
        <w:rPr>
          <w:rFonts w:ascii="Times New Roman" w:hAnsi="Times New Roman" w:hint="eastAsia"/>
          <w:sz w:val="24"/>
        </w:rPr>
        <w:t>通交易</w:t>
      </w:r>
      <w:proofErr w:type="gramEnd"/>
      <w:r>
        <w:rPr>
          <w:rFonts w:ascii="Times New Roman" w:hAnsi="Times New Roman" w:hint="eastAsia"/>
          <w:sz w:val="24"/>
        </w:rPr>
        <w:t>日，则本基金不开放）</w:t>
      </w:r>
      <w:r>
        <w:rPr>
          <w:rFonts w:ascii="Times New Roman" w:hAnsi="Times New Roman"/>
          <w:sz w:val="24"/>
        </w:rPr>
        <w:t>，但基金管理人根据法律法规、中国证监会的要求或基金合同的规</w:t>
      </w:r>
      <w:r>
        <w:rPr>
          <w:rFonts w:ascii="Times New Roman" w:hAnsi="Times New Roman"/>
          <w:sz w:val="24"/>
        </w:rPr>
        <w:lastRenderedPageBreak/>
        <w:t>定公告暂停申购、赎回时除外。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基金合同生效后，若出现新的证券</w:t>
      </w:r>
      <w:r>
        <w:rPr>
          <w:rFonts w:ascii="Times New Roman" w:hAnsi="Times New Roman"/>
          <w:sz w:val="24"/>
        </w:rPr>
        <w:t>/</w:t>
      </w:r>
      <w:r>
        <w:rPr>
          <w:rFonts w:ascii="Times New Roman" w:hAnsi="Times New Roman"/>
          <w:sz w:val="24"/>
        </w:rPr>
        <w:t>期货交易市场、证券</w:t>
      </w:r>
      <w:r>
        <w:rPr>
          <w:rFonts w:ascii="Times New Roman" w:hAnsi="Times New Roman"/>
          <w:sz w:val="24"/>
        </w:rPr>
        <w:t>/</w:t>
      </w:r>
      <w:r>
        <w:rPr>
          <w:rFonts w:ascii="Times New Roman" w:hAnsi="Times New Roman"/>
          <w:sz w:val="24"/>
        </w:rPr>
        <w:t>期货交易所交易时间变更或其他特殊情况，基金管理人将视情况对前述开放日及开放时间进行相应的调整，但应在实施日前依照《信息披露办法》的有关规定在规定媒介上公告。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、申购、赎回开始日及业务办理时间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基金管理人可根据实际情况依法决定本基金开始办理申购的具体日期，具体业务办理时间在申购开始公告中规定。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基金管理人自基金合同生效之日起不超过</w:t>
      </w:r>
      <w:r>
        <w:rPr>
          <w:rFonts w:ascii="Times New Roman" w:hAnsi="Times New Roman"/>
          <w:sz w:val="24"/>
        </w:rPr>
        <w:t>3</w:t>
      </w:r>
      <w:r>
        <w:rPr>
          <w:rFonts w:ascii="Times New Roman" w:hAnsi="Times New Roman" w:hint="eastAsia"/>
          <w:sz w:val="24"/>
        </w:rPr>
        <w:t>个月开始办理赎回，具体业务办理时间在赎回开始公告中规定。</w:t>
      </w:r>
      <w:r>
        <w:rPr>
          <w:rFonts w:ascii="Times New Roman" w:hAnsi="Times New Roman"/>
          <w:sz w:val="24"/>
        </w:rPr>
        <w:t>在确定申购开始与赎回开始时间后，基金管理人应在申购、赎回开放日前依照《信息披露办法》的有关规定在规定媒介上公告申购与赎回的开始时间。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基金管理人不得在基金合同约定之外的日期或者时间办理基金份额的申购、赎回或者转换。投资人在基金合同约定之外的日期和时间提出申购、赎回或转换申请</w:t>
      </w:r>
      <w:proofErr w:type="gramStart"/>
      <w:r>
        <w:rPr>
          <w:rFonts w:ascii="Times New Roman" w:hAnsi="Times New Roman"/>
          <w:sz w:val="24"/>
        </w:rPr>
        <w:t>且登记</w:t>
      </w:r>
      <w:proofErr w:type="gramEnd"/>
      <w:r>
        <w:rPr>
          <w:rFonts w:ascii="Times New Roman" w:hAnsi="Times New Roman"/>
          <w:sz w:val="24"/>
        </w:rPr>
        <w:t>机构确认接受的，其基金份额申购、赎回价格为下一开放日基金份额申购、赎回的价格。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（三）申购与赎回的原则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w:t>
      </w:r>
      <w:r>
        <w:rPr>
          <w:rFonts w:ascii="Times New Roman" w:hAnsi="Times New Roman"/>
          <w:sz w:val="24"/>
        </w:rPr>
        <w:t>“</w:t>
      </w:r>
      <w:r>
        <w:rPr>
          <w:rFonts w:ascii="Times New Roman" w:hAnsi="Times New Roman"/>
          <w:sz w:val="24"/>
        </w:rPr>
        <w:t>未知价</w:t>
      </w:r>
      <w:r>
        <w:rPr>
          <w:rFonts w:ascii="Times New Roman" w:hAnsi="Times New Roman"/>
          <w:sz w:val="24"/>
        </w:rPr>
        <w:t>”</w:t>
      </w:r>
      <w:r>
        <w:rPr>
          <w:rFonts w:ascii="Times New Roman" w:hAnsi="Times New Roman"/>
          <w:sz w:val="24"/>
        </w:rPr>
        <w:t>原则，即申购、赎回价格以申请当日收市后计算的基金份额净值为基准进行计算；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金额申购、份额赎回</w:t>
      </w:r>
      <w:r>
        <w:rPr>
          <w:rFonts w:ascii="Times New Roman" w:hAnsi="Times New Roman"/>
          <w:sz w:val="24"/>
        </w:rPr>
        <w:t>”</w:t>
      </w:r>
      <w:r>
        <w:rPr>
          <w:rFonts w:ascii="Times New Roman" w:hAnsi="Times New Roman"/>
          <w:sz w:val="24"/>
        </w:rPr>
        <w:t>原则，即申购以金额申请，赎回以份额申请；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、当日的申购与赎回申请可以在基金管理人规定的时间以内撤销，但申请经登记机构受理的不得撤销；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、基金份额持有人赎回时，除指定赎回外，基金管理人按</w:t>
      </w:r>
      <w:r>
        <w:rPr>
          <w:rFonts w:ascii="Times New Roman" w:hAnsi="Times New Roman"/>
          <w:sz w:val="24"/>
        </w:rPr>
        <w:t>“</w:t>
      </w:r>
      <w:r>
        <w:rPr>
          <w:rFonts w:ascii="Times New Roman" w:hAnsi="Times New Roman"/>
          <w:sz w:val="24"/>
        </w:rPr>
        <w:t>先进先出</w:t>
      </w:r>
      <w:r>
        <w:rPr>
          <w:rFonts w:ascii="Times New Roman" w:hAnsi="Times New Roman"/>
          <w:sz w:val="24"/>
        </w:rPr>
        <w:t>”</w:t>
      </w:r>
      <w:r>
        <w:rPr>
          <w:rFonts w:ascii="Times New Roman" w:hAnsi="Times New Roman"/>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、办理申购、赎回业务时，应当遵循基金份额持有人利益优先原则，确保投资者的合法权益不受损害并得到公平对待。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基金管理人可在法律法规允许的情况下，对上述原则进行调整。基金管理人必须在新规则开始实施前依照《信息披露办法》的有关规定在规定媒介上公告。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（四）申购和赎回的数额限定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lastRenderedPageBreak/>
        <w:t>1</w:t>
      </w:r>
      <w:r>
        <w:rPr>
          <w:rFonts w:ascii="Times New Roman" w:hAnsi="Times New Roman" w:hint="eastAsia"/>
          <w:sz w:val="24"/>
        </w:rPr>
        <w:t>、申购金额的限制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直销机构首次申购的最低金额为单笔</w:t>
      </w:r>
      <w:r>
        <w:rPr>
          <w:rFonts w:ascii="Times New Roman" w:hAnsi="Times New Roman"/>
          <w:sz w:val="24"/>
        </w:rPr>
        <w:t>100</w:t>
      </w:r>
      <w:r>
        <w:rPr>
          <w:rFonts w:ascii="Times New Roman" w:hAnsi="Times New Roman" w:hint="eastAsia"/>
          <w:sz w:val="24"/>
        </w:rPr>
        <w:t>万元，追加申购的最低金额为单笔</w:t>
      </w:r>
      <w:r>
        <w:rPr>
          <w:rFonts w:ascii="Times New Roman" w:hAnsi="Times New Roman"/>
          <w:sz w:val="24"/>
        </w:rPr>
        <w:t>10</w:t>
      </w:r>
      <w:r>
        <w:rPr>
          <w:rFonts w:ascii="Times New Roman" w:hAnsi="Times New Roman" w:hint="eastAsia"/>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rFonts w:ascii="Times New Roman" w:hAnsi="Times New Roman"/>
          <w:sz w:val="24"/>
        </w:rPr>
        <w:t>1</w:t>
      </w:r>
      <w:r>
        <w:rPr>
          <w:rFonts w:ascii="Times New Roman" w:hAnsi="Times New Roman" w:hint="eastAsia"/>
          <w:sz w:val="24"/>
        </w:rPr>
        <w:t>元。本基金直销机构单笔申购最低金额可由基金管理人酌情调整。其他销售机构接受申购申请的最低金额为单笔</w:t>
      </w:r>
      <w:r>
        <w:rPr>
          <w:rFonts w:ascii="Times New Roman" w:hAnsi="Times New Roman"/>
          <w:sz w:val="24"/>
        </w:rPr>
        <w:t>1</w:t>
      </w:r>
      <w:r>
        <w:rPr>
          <w:rFonts w:ascii="Times New Roman" w:hAnsi="Times New Roman" w:hint="eastAsia"/>
          <w:sz w:val="24"/>
        </w:rPr>
        <w:t>元，如果销售机构业务规则规定的最低单笔申购金额高于</w:t>
      </w:r>
      <w:r>
        <w:rPr>
          <w:rFonts w:ascii="Times New Roman" w:hAnsi="Times New Roman"/>
          <w:sz w:val="24"/>
        </w:rPr>
        <w:t>1</w:t>
      </w:r>
      <w:r>
        <w:rPr>
          <w:rFonts w:ascii="Times New Roman" w:hAnsi="Times New Roman" w:hint="eastAsia"/>
          <w:sz w:val="24"/>
        </w:rPr>
        <w:t>元，以该销售机构的规定为准。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、赎回份额的限制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赎回的最低份额为</w:t>
      </w:r>
      <w:r>
        <w:rPr>
          <w:rFonts w:ascii="Times New Roman" w:hAnsi="Times New Roman"/>
          <w:sz w:val="24"/>
        </w:rPr>
        <w:t>1</w:t>
      </w:r>
      <w:r>
        <w:rPr>
          <w:rFonts w:ascii="Times New Roman" w:hAnsi="Times New Roman" w:hint="eastAsia"/>
          <w:sz w:val="24"/>
        </w:rPr>
        <w:t>份基金份额，如果销售机构业务规则规定的最低单笔赎回份额高于</w:t>
      </w:r>
      <w:r>
        <w:rPr>
          <w:rFonts w:ascii="Times New Roman" w:hAnsi="Times New Roman"/>
          <w:sz w:val="24"/>
        </w:rPr>
        <w:t>1</w:t>
      </w:r>
      <w:r>
        <w:rPr>
          <w:rFonts w:ascii="Times New Roman" w:hAnsi="Times New Roman" w:hint="eastAsia"/>
          <w:sz w:val="24"/>
        </w:rPr>
        <w:t>份，以该销售机构的规定为准。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、最低基金份额余额的限制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每个工作日投资人在单个基金交易账户保留的本</w:t>
      </w:r>
      <w:proofErr w:type="gramStart"/>
      <w:r>
        <w:rPr>
          <w:rFonts w:ascii="Times New Roman" w:hAnsi="Times New Roman" w:hint="eastAsia"/>
          <w:sz w:val="24"/>
        </w:rPr>
        <w:t>基金基金</w:t>
      </w:r>
      <w:proofErr w:type="gramEnd"/>
      <w:r>
        <w:rPr>
          <w:rFonts w:ascii="Times New Roman" w:hAnsi="Times New Roman" w:hint="eastAsia"/>
          <w:sz w:val="24"/>
        </w:rPr>
        <w:t>份额余额少于</w:t>
      </w:r>
      <w:r>
        <w:rPr>
          <w:rFonts w:ascii="Times New Roman" w:hAnsi="Times New Roman"/>
          <w:sz w:val="24"/>
        </w:rPr>
        <w:t>1</w:t>
      </w:r>
      <w:r>
        <w:rPr>
          <w:rFonts w:ascii="Times New Roman" w:hAnsi="Times New Roman" w:hint="eastAsia"/>
          <w:sz w:val="24"/>
        </w:rPr>
        <w:t>份时，若当日该账户同时有基金份额减少类业务（如赎回、转换出等）被确认，</w:t>
      </w:r>
      <w:proofErr w:type="gramStart"/>
      <w:r>
        <w:rPr>
          <w:rFonts w:ascii="Times New Roman" w:hAnsi="Times New Roman" w:hint="eastAsia"/>
          <w:sz w:val="24"/>
        </w:rPr>
        <w:t>则基金</w:t>
      </w:r>
      <w:proofErr w:type="gramEnd"/>
      <w:r>
        <w:rPr>
          <w:rFonts w:ascii="Times New Roman" w:hAnsi="Times New Roman" w:hint="eastAsia"/>
          <w:sz w:val="24"/>
        </w:rPr>
        <w:t>管理人有权将投资人在该账户保留的本</w:t>
      </w:r>
      <w:proofErr w:type="gramStart"/>
      <w:r>
        <w:rPr>
          <w:rFonts w:ascii="Times New Roman" w:hAnsi="Times New Roman" w:hint="eastAsia"/>
          <w:sz w:val="24"/>
        </w:rPr>
        <w:t>基金基金</w:t>
      </w:r>
      <w:proofErr w:type="gramEnd"/>
      <w:r>
        <w:rPr>
          <w:rFonts w:ascii="Times New Roman" w:hAnsi="Times New Roman" w:hint="eastAsia"/>
          <w:sz w:val="24"/>
        </w:rPr>
        <w:t>份额一次性全部赎回。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hint="eastAsia"/>
          <w:sz w:val="24"/>
        </w:rPr>
        <w:t>、基金管理人可以规定本基金的总规模上限、单个投资人累计持有的基金份额上限，具体规定请参见相关公告。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w:t>
      </w:r>
      <w:r>
        <w:rPr>
          <w:rFonts w:ascii="Times New Roman" w:hAnsi="Times New Roman" w:hint="eastAsia"/>
          <w:sz w:val="24"/>
        </w:rPr>
        <w:t>、基金管理人可在法律法规允许的情况下，调整上述规定申购金额和赎回份额的数量限制。基金管理人必须在调整实施前依照《信息披露办法》的有关规定在规定媒介上公告。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（五）申购和赎回的程序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、申购和赎回的申请方式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w:t>
      </w:r>
      <w:r>
        <w:rPr>
          <w:rFonts w:ascii="Times New Roman" w:hAnsi="Times New Roman"/>
          <w:sz w:val="24"/>
        </w:rPr>
        <w:lastRenderedPageBreak/>
        <w:t>回申请不成立。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、申购和赎回的款项支付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投资人申购基金份额时，必须全额交付申购款项，若申购资金在规定时间内未全额到账则申购不成立。投资人全额交付申购款项，申购成立；基金登记机构确认基金份额时，申购生效。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基金份额持有人递交赎回申请，赎回成立；基金登记机构确认赎回时，赎回生效。投资者赎回申请生效后，基金管理人将在</w:t>
      </w:r>
      <w:r>
        <w:rPr>
          <w:rFonts w:ascii="Times New Roman" w:hAnsi="Times New Roman"/>
          <w:sz w:val="24"/>
        </w:rPr>
        <w:t>T</w:t>
      </w:r>
      <w:r>
        <w:rPr>
          <w:rFonts w:ascii="Times New Roman" w:hAnsi="Times New Roman"/>
          <w:sz w:val="24"/>
        </w:rPr>
        <w:t>＋</w:t>
      </w:r>
      <w:r>
        <w:rPr>
          <w:rFonts w:ascii="Times New Roman" w:hAnsi="Times New Roman"/>
          <w:sz w:val="24"/>
        </w:rPr>
        <w:t>7</w:t>
      </w:r>
      <w:r>
        <w:rPr>
          <w:rFonts w:ascii="Times New Roman" w:hAnsi="Times New Roman"/>
          <w:sz w:val="24"/>
        </w:rPr>
        <w:t>日（包括该日）内支付赎回款项。在发生巨额赎回或基金合同载明的其他暂停赎回或延缓支付赎回款项的情形时，款项的支付办法参照基金合同有关条款处理。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、申购和赎回申请的确认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基金管理人或基金管理人委托的登记机构应以交易时间结束前受理有效申购和赎回申请的当天作为申购或赎回申请日（</w:t>
      </w:r>
      <w:r>
        <w:rPr>
          <w:rFonts w:ascii="Times New Roman" w:hAnsi="Times New Roman"/>
          <w:sz w:val="24"/>
        </w:rPr>
        <w:t>T</w:t>
      </w:r>
      <w:r>
        <w:rPr>
          <w:rFonts w:ascii="Times New Roman" w:hAnsi="Times New Roman"/>
          <w:sz w:val="24"/>
        </w:rPr>
        <w:t>日），在正常情况下，本基金登记机构在</w:t>
      </w:r>
      <w:r>
        <w:rPr>
          <w:rFonts w:ascii="Times New Roman" w:hAnsi="Times New Roman"/>
          <w:sz w:val="24"/>
        </w:rPr>
        <w:t>T+1</w:t>
      </w:r>
      <w:r>
        <w:rPr>
          <w:rFonts w:ascii="Times New Roman" w:hAnsi="Times New Roman"/>
          <w:sz w:val="24"/>
        </w:rPr>
        <w:t>日（包括该日）内对该交易的有效性进行确认。</w:t>
      </w:r>
      <w:r>
        <w:rPr>
          <w:rFonts w:ascii="Times New Roman" w:hAnsi="Times New Roman"/>
          <w:sz w:val="24"/>
        </w:rPr>
        <w:t>T</w:t>
      </w:r>
      <w:r>
        <w:rPr>
          <w:rFonts w:ascii="Times New Roman" w:hAnsi="Times New Roman"/>
          <w:sz w:val="24"/>
        </w:rPr>
        <w:t>日提交的有效申请，投资人应在</w:t>
      </w:r>
      <w:r>
        <w:rPr>
          <w:rFonts w:ascii="Times New Roman" w:hAnsi="Times New Roman"/>
          <w:sz w:val="24"/>
        </w:rPr>
        <w:t>T+2</w:t>
      </w:r>
      <w:r>
        <w:rPr>
          <w:rFonts w:ascii="Times New Roman" w:hAnsi="Times New Roman"/>
          <w:sz w:val="24"/>
        </w:rPr>
        <w:t>日后（包括该日）及时到销售网点柜台或以销售机构规定的其他方式查询申请的确认情况。若申购不成功，则申购款项本金退还给投资人。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基金管理人可在法律法规允许的范围内，依法对上述申购和赎回申请的确认时间进行调整，并必须在调整实施日前按照《信息披露办法》的有关规定在规定媒介上公告。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、申购和赎回的登记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）投资人</w:t>
      </w:r>
      <w:r>
        <w:rPr>
          <w:rFonts w:ascii="Times New Roman" w:hAnsi="Times New Roman"/>
          <w:sz w:val="24"/>
        </w:rPr>
        <w:t>T</w:t>
      </w:r>
      <w:r>
        <w:rPr>
          <w:rFonts w:ascii="Times New Roman" w:hAnsi="Times New Roman"/>
          <w:sz w:val="24"/>
        </w:rPr>
        <w:t>日申购基金成功后，正常情况下，登记机构在</w:t>
      </w:r>
      <w:r>
        <w:rPr>
          <w:rFonts w:ascii="Times New Roman" w:hAnsi="Times New Roman"/>
          <w:sz w:val="24"/>
        </w:rPr>
        <w:t>T</w:t>
      </w:r>
      <w:r>
        <w:rPr>
          <w:rFonts w:ascii="Times New Roman" w:hAnsi="Times New Roman"/>
          <w:sz w:val="24"/>
        </w:rPr>
        <w:t>＋</w:t>
      </w:r>
      <w:r>
        <w:rPr>
          <w:rFonts w:ascii="Times New Roman" w:hAnsi="Times New Roman"/>
          <w:sz w:val="24"/>
        </w:rPr>
        <w:t>1</w:t>
      </w:r>
      <w:r>
        <w:rPr>
          <w:rFonts w:ascii="Times New Roman" w:hAnsi="Times New Roman"/>
          <w:sz w:val="24"/>
        </w:rPr>
        <w:t>日为投资人增加权益并办理登记手续，投资人自</w:t>
      </w:r>
      <w:r>
        <w:rPr>
          <w:rFonts w:ascii="Times New Roman" w:hAnsi="Times New Roman"/>
          <w:sz w:val="24"/>
        </w:rPr>
        <w:t>T</w:t>
      </w:r>
      <w:r>
        <w:rPr>
          <w:rFonts w:ascii="Times New Roman" w:hAnsi="Times New Roman"/>
          <w:sz w:val="24"/>
        </w:rPr>
        <w:t>＋</w:t>
      </w:r>
      <w:r>
        <w:rPr>
          <w:rFonts w:ascii="Times New Roman" w:hAnsi="Times New Roman"/>
          <w:sz w:val="24"/>
        </w:rPr>
        <w:t>2</w:t>
      </w:r>
      <w:r>
        <w:rPr>
          <w:rFonts w:ascii="Times New Roman" w:hAnsi="Times New Roman"/>
          <w:sz w:val="24"/>
        </w:rPr>
        <w:t>日起（包括该日）有权赎回该部分基金份额。投资人应及时查询有关申请的确认情况。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）投资人</w:t>
      </w:r>
      <w:r>
        <w:rPr>
          <w:rFonts w:ascii="Times New Roman" w:hAnsi="Times New Roman"/>
          <w:sz w:val="24"/>
        </w:rPr>
        <w:t>T</w:t>
      </w:r>
      <w:r>
        <w:rPr>
          <w:rFonts w:ascii="Times New Roman" w:hAnsi="Times New Roman"/>
          <w:sz w:val="24"/>
        </w:rPr>
        <w:t>日赎回基金成功后，正常情况下，登记机构在</w:t>
      </w:r>
      <w:r>
        <w:rPr>
          <w:rFonts w:ascii="Times New Roman" w:hAnsi="Times New Roman"/>
          <w:sz w:val="24"/>
        </w:rPr>
        <w:t>T</w:t>
      </w:r>
      <w:r>
        <w:rPr>
          <w:rFonts w:ascii="Times New Roman" w:hAnsi="Times New Roman"/>
          <w:sz w:val="24"/>
        </w:rPr>
        <w:t>＋</w:t>
      </w:r>
      <w:r>
        <w:rPr>
          <w:rFonts w:ascii="Times New Roman" w:hAnsi="Times New Roman"/>
          <w:sz w:val="24"/>
        </w:rPr>
        <w:t>1</w:t>
      </w:r>
      <w:r>
        <w:rPr>
          <w:rFonts w:ascii="Times New Roman" w:hAnsi="Times New Roman"/>
          <w:sz w:val="24"/>
        </w:rPr>
        <w:t>日为投资人扣除权益并办理相应的登记手续。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）基金管理人可在法律法规允许的范围内，对上述登记办理时间进行调整，并于开始实施前按照《信息披露办法》的有关规定在规定媒介上公告。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（六）基金的申购费和赎回费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1</w:t>
      </w:r>
      <w:r>
        <w:rPr>
          <w:rFonts w:ascii="Times New Roman" w:hAnsi="Times New Roman"/>
          <w:sz w:val="24"/>
        </w:rPr>
        <w:t>、申购费用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w:t>
      </w:r>
      <w:proofErr w:type="gramStart"/>
      <w:r>
        <w:rPr>
          <w:rFonts w:ascii="Times New Roman" w:hAnsi="Times New Roman"/>
          <w:sz w:val="24"/>
        </w:rPr>
        <w:t>基金基金</w:t>
      </w:r>
      <w:proofErr w:type="gramEnd"/>
      <w:r>
        <w:rPr>
          <w:rFonts w:ascii="Times New Roman" w:hAnsi="Times New Roman"/>
          <w:sz w:val="24"/>
        </w:rPr>
        <w:t>份额分为</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w:t>
      </w:r>
      <w:r>
        <w:rPr>
          <w:rFonts w:ascii="Times New Roman" w:hAnsi="Times New Roman" w:hint="eastAsia"/>
          <w:sz w:val="24"/>
        </w:rPr>
        <w:t>。</w:t>
      </w:r>
      <w:r>
        <w:rPr>
          <w:rFonts w:ascii="Times New Roman" w:hAnsi="Times New Roman"/>
          <w:sz w:val="24"/>
        </w:rPr>
        <w:t>投资人申购</w:t>
      </w:r>
      <w:r>
        <w:rPr>
          <w:rFonts w:ascii="Times New Roman" w:hAnsi="Times New Roman"/>
          <w:sz w:val="24"/>
        </w:rPr>
        <w:t>A</w:t>
      </w:r>
      <w:r>
        <w:rPr>
          <w:rFonts w:ascii="Times New Roman" w:hAnsi="Times New Roman"/>
          <w:sz w:val="24"/>
        </w:rPr>
        <w:t>类基金份额在申购时支付申购费用</w:t>
      </w:r>
      <w:r>
        <w:rPr>
          <w:rFonts w:ascii="Times New Roman" w:hAnsi="Times New Roman" w:hint="eastAsia"/>
          <w:sz w:val="24"/>
        </w:rPr>
        <w:t>、不从该类别基金资产中计</w:t>
      </w:r>
      <w:proofErr w:type="gramStart"/>
      <w:r>
        <w:rPr>
          <w:rFonts w:ascii="Times New Roman" w:hAnsi="Times New Roman" w:hint="eastAsia"/>
          <w:sz w:val="24"/>
        </w:rPr>
        <w:t>提销售</w:t>
      </w:r>
      <w:proofErr w:type="gramEnd"/>
      <w:r>
        <w:rPr>
          <w:rFonts w:ascii="Times New Roman" w:hAnsi="Times New Roman" w:hint="eastAsia"/>
          <w:sz w:val="24"/>
        </w:rPr>
        <w:t>服务费；</w:t>
      </w:r>
      <w:r>
        <w:rPr>
          <w:rFonts w:ascii="Times New Roman" w:hAnsi="Times New Roman"/>
          <w:sz w:val="24"/>
        </w:rPr>
        <w:t>申购</w:t>
      </w:r>
      <w:r>
        <w:rPr>
          <w:rFonts w:ascii="Times New Roman" w:hAnsi="Times New Roman"/>
          <w:sz w:val="24"/>
        </w:rPr>
        <w:t>C</w:t>
      </w:r>
      <w:r>
        <w:rPr>
          <w:rFonts w:ascii="Times New Roman" w:hAnsi="Times New Roman"/>
          <w:sz w:val="24"/>
        </w:rPr>
        <w:t>类基金份额不支付申购费用</w:t>
      </w:r>
      <w:r>
        <w:rPr>
          <w:rFonts w:ascii="Times New Roman" w:hAnsi="Times New Roman" w:hint="eastAsia"/>
          <w:sz w:val="24"/>
        </w:rPr>
        <w:t>、</w:t>
      </w:r>
      <w:r>
        <w:rPr>
          <w:rFonts w:ascii="Times New Roman" w:hAnsi="Times New Roman"/>
          <w:sz w:val="24"/>
        </w:rPr>
        <w:t>从该类别基金资产中计</w:t>
      </w:r>
      <w:proofErr w:type="gramStart"/>
      <w:r>
        <w:rPr>
          <w:rFonts w:ascii="Times New Roman" w:hAnsi="Times New Roman"/>
          <w:sz w:val="24"/>
        </w:rPr>
        <w:t>提销售</w:t>
      </w:r>
      <w:proofErr w:type="gramEnd"/>
      <w:r>
        <w:rPr>
          <w:rFonts w:ascii="Times New Roman" w:hAnsi="Times New Roman"/>
          <w:sz w:val="24"/>
        </w:rPr>
        <w:t>服务费。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A</w:t>
      </w:r>
      <w:r>
        <w:rPr>
          <w:rFonts w:ascii="Times New Roman" w:hAnsi="Times New Roman"/>
          <w:sz w:val="24"/>
        </w:rPr>
        <w:t>类基金份额的申购费用由</w:t>
      </w:r>
      <w:r>
        <w:rPr>
          <w:rFonts w:ascii="Times New Roman" w:hAnsi="Times New Roman"/>
          <w:sz w:val="24"/>
        </w:rPr>
        <w:t>A</w:t>
      </w:r>
      <w:r>
        <w:rPr>
          <w:rFonts w:ascii="Times New Roman" w:hAnsi="Times New Roman"/>
          <w:sz w:val="24"/>
        </w:rPr>
        <w:t>类基金份额申购人承担，不列入基金财产，主要用于本基金的市场推广、销售、登记结算等各项费用。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投资人可以多次申购本基金，</w:t>
      </w:r>
      <w:r>
        <w:rPr>
          <w:rFonts w:ascii="Times New Roman" w:hAnsi="Times New Roman"/>
          <w:sz w:val="24"/>
        </w:rPr>
        <w:t>A</w:t>
      </w:r>
      <w:r>
        <w:rPr>
          <w:rFonts w:ascii="Times New Roman" w:hAnsi="Times New Roman" w:hint="eastAsia"/>
          <w:sz w:val="24"/>
        </w:rPr>
        <w:t>类基金份额的</w:t>
      </w:r>
      <w:r>
        <w:rPr>
          <w:rFonts w:ascii="Times New Roman" w:hAnsi="Times New Roman"/>
          <w:sz w:val="24"/>
        </w:rPr>
        <w:t>申购费用按每笔</w:t>
      </w:r>
      <w:r>
        <w:rPr>
          <w:rFonts w:ascii="Times New Roman" w:hAnsi="Times New Roman"/>
          <w:sz w:val="24"/>
        </w:rPr>
        <w:t>A</w:t>
      </w:r>
      <w:r>
        <w:rPr>
          <w:rFonts w:ascii="Times New Roman" w:hAnsi="Times New Roman" w:hint="eastAsia"/>
          <w:sz w:val="24"/>
        </w:rPr>
        <w:t>类基金份额的</w:t>
      </w:r>
      <w:r>
        <w:rPr>
          <w:rFonts w:ascii="Times New Roman" w:hAnsi="Times New Roman"/>
          <w:sz w:val="24"/>
        </w:rPr>
        <w:t>申购申请单独计算。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w:t>
      </w:r>
      <w:r>
        <w:rPr>
          <w:rFonts w:ascii="Times New Roman" w:hAnsi="Times New Roman"/>
          <w:sz w:val="24"/>
        </w:rPr>
        <w:t>A</w:t>
      </w:r>
      <w:r>
        <w:rPr>
          <w:rFonts w:ascii="Times New Roman" w:hAnsi="Times New Roman"/>
          <w:sz w:val="24"/>
        </w:rPr>
        <w:t>类基金份额（非养老金客户）的申购费率如下：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9A4701">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1.2%</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0.8%</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持有</w:t>
      </w:r>
      <w:r>
        <w:rPr>
          <w:rFonts w:ascii="Times New Roman" w:hAnsi="Times New Roman"/>
          <w:sz w:val="24"/>
        </w:rPr>
        <w:t>A</w:t>
      </w:r>
      <w:r>
        <w:rPr>
          <w:rFonts w:ascii="Times New Roman" w:hAnsi="Times New Roman"/>
          <w:sz w:val="24"/>
        </w:rPr>
        <w:t>类基金份额的投资人因红利自动再投资而产生的</w:t>
      </w:r>
      <w:r>
        <w:rPr>
          <w:rFonts w:ascii="Times New Roman" w:hAnsi="Times New Roman"/>
          <w:sz w:val="24"/>
        </w:rPr>
        <w:t>A</w:t>
      </w:r>
      <w:r>
        <w:rPr>
          <w:rFonts w:ascii="Times New Roman" w:hAnsi="Times New Roman"/>
          <w:sz w:val="24"/>
        </w:rPr>
        <w:t>类基金份额，不收取相应的申购费用。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本基金对通过基金管理人直销柜台申购</w:t>
      </w:r>
      <w:r>
        <w:rPr>
          <w:rFonts w:ascii="Times New Roman" w:hAnsi="Times New Roman"/>
          <w:sz w:val="24"/>
        </w:rPr>
        <w:t>A</w:t>
      </w:r>
      <w:r>
        <w:rPr>
          <w:rFonts w:ascii="Times New Roman" w:hAnsi="Times New Roman"/>
          <w:sz w:val="24"/>
        </w:rPr>
        <w:t>类基金份额的养老金客户实施特定申购费率。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养老金客户指基本养老基金与依法成立的养老计划筹集的资金及其投资运营收益形成的补充养老基金等，具体包括：</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）全国社会保障基金；</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）可以投资基金的地方社会保障基金；</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）企业年金单一计划以及集合计划；</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）企业年金理事会委托的特定客户资产管理计划；</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）企业年金养老金产品。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如将来出现经养老基金监管部门认可的新的养老基金类型，基金管理人可在招募说明书更新或发布临时公告将其纳入养老金客户范围。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通过基金管理人直销柜台申购本基金</w:t>
      </w:r>
      <w:r>
        <w:rPr>
          <w:rFonts w:ascii="Times New Roman" w:hAnsi="Times New Roman"/>
          <w:sz w:val="24"/>
        </w:rPr>
        <w:t>A</w:t>
      </w:r>
      <w:r>
        <w:rPr>
          <w:rFonts w:ascii="Times New Roman" w:hAnsi="Times New Roman"/>
          <w:sz w:val="24"/>
        </w:rPr>
        <w:t>类基金份额的养老金客户特定申购费率如下表：</w:t>
      </w:r>
    </w:p>
    <w:tbl>
      <w:tblPr>
        <w:tblW w:w="5000" w:type="pct"/>
        <w:tblCellMar>
          <w:left w:w="0" w:type="dxa"/>
          <w:right w:w="0" w:type="dxa"/>
        </w:tblCellMar>
        <w:tblLook w:val="04A0" w:firstRow="1" w:lastRow="0" w:firstColumn="1" w:lastColumn="0" w:noHBand="0" w:noVBand="1"/>
      </w:tblPr>
      <w:tblGrid>
        <w:gridCol w:w="1236"/>
        <w:gridCol w:w="3707"/>
        <w:gridCol w:w="3707"/>
      </w:tblGrid>
      <w:tr w:rsidR="009A4701">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申购费率</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申购金额（含申购费）</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0.24%</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0.16%</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left"/>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、赎回费用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投资者赎回</w:t>
      </w:r>
      <w:r>
        <w:rPr>
          <w:rFonts w:ascii="Times New Roman" w:hAnsi="Times New Roman"/>
          <w:sz w:val="24"/>
        </w:rPr>
        <w:t>A</w:t>
      </w:r>
      <w:r>
        <w:rPr>
          <w:rFonts w:ascii="Times New Roman" w:hAnsi="Times New Roman"/>
          <w:sz w:val="24"/>
        </w:rPr>
        <w:t>类基金份额或</w:t>
      </w:r>
      <w:r>
        <w:rPr>
          <w:rFonts w:ascii="Times New Roman" w:hAnsi="Times New Roman"/>
          <w:sz w:val="24"/>
        </w:rPr>
        <w:t>C</w:t>
      </w:r>
      <w:r>
        <w:rPr>
          <w:rFonts w:ascii="Times New Roman" w:hAnsi="Times New Roman"/>
          <w:sz w:val="24"/>
        </w:rPr>
        <w:t>类基金份额收取赎回费用，该费用随基金份额的持有时间</w:t>
      </w:r>
      <w:r>
        <w:rPr>
          <w:rFonts w:ascii="Times New Roman" w:hAnsi="Times New Roman" w:hint="eastAsia"/>
          <w:sz w:val="24"/>
        </w:rPr>
        <w:t>增加而</w:t>
      </w:r>
      <w:r>
        <w:rPr>
          <w:rFonts w:ascii="Times New Roman" w:hAnsi="Times New Roman"/>
          <w:sz w:val="24"/>
        </w:rPr>
        <w:t>递减。本基金</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类基金份额的赎回费用由赎回该类基金份额的基金份额持有人承担，在基金份额持有人赎回基金份额时收取。对于持续持有期间少于</w:t>
      </w:r>
      <w:r>
        <w:rPr>
          <w:rFonts w:ascii="Times New Roman" w:hAnsi="Times New Roman"/>
          <w:sz w:val="24"/>
        </w:rPr>
        <w:t>7</w:t>
      </w:r>
      <w:r>
        <w:rPr>
          <w:rFonts w:ascii="Times New Roman" w:hAnsi="Times New Roman"/>
          <w:sz w:val="24"/>
        </w:rPr>
        <w:t>日的投资者收取的赎回费全额计入基金财产。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w:t>
      </w:r>
      <w:r>
        <w:rPr>
          <w:rFonts w:ascii="Times New Roman" w:hAnsi="Times New Roman"/>
          <w:sz w:val="24"/>
        </w:rPr>
        <w:t>A</w:t>
      </w:r>
      <w:r>
        <w:rPr>
          <w:rFonts w:ascii="Times New Roman" w:hAnsi="Times New Roman"/>
          <w:sz w:val="24"/>
        </w:rPr>
        <w:t>类基金份额的赎回费率如下：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9A4701">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赎回费率</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center"/>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1.5%</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center"/>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日以上（含）</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w:t>
            </w:r>
          </w:p>
        </w:tc>
      </w:tr>
    </w:tbl>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w:t>
      </w:r>
      <w:r>
        <w:rPr>
          <w:rFonts w:ascii="Times New Roman" w:hAnsi="Times New Roman"/>
          <w:sz w:val="24"/>
        </w:rPr>
        <w:t>C</w:t>
      </w:r>
      <w:r>
        <w:rPr>
          <w:rFonts w:ascii="Times New Roman" w:hAnsi="Times New Roman"/>
          <w:sz w:val="24"/>
        </w:rPr>
        <w:t>类基金份额的赎回费率如下：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9A4701">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赎回费率</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center"/>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1.5%</w:t>
            </w:r>
          </w:p>
        </w:tc>
      </w:tr>
      <w:tr w:rsidR="009A4701">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rsidR="009A4701" w:rsidRDefault="009A4701">
            <w:pPr>
              <w:widowControl/>
              <w:snapToGrid w:val="0"/>
              <w:jc w:val="center"/>
              <w:rPr>
                <w:rFonts w:ascii="Times New Roman" w:hAnsi="Times New Roman"/>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日以上（含）</w:t>
            </w:r>
          </w:p>
        </w:tc>
        <w:tc>
          <w:tcPr>
            <w:tcW w:w="2143" w:type="pct"/>
            <w:tcBorders>
              <w:top w:val="single" w:sz="4" w:space="0" w:color="auto"/>
              <w:left w:val="single" w:sz="4" w:space="0" w:color="auto"/>
              <w:bottom w:val="single" w:sz="4" w:space="0" w:color="auto"/>
              <w:right w:val="single" w:sz="4" w:space="0" w:color="auto"/>
            </w:tcBorders>
            <w:vAlign w:val="center"/>
          </w:tcPr>
          <w:p w:rsidR="009A4701" w:rsidRDefault="00677B65">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w:t>
            </w:r>
          </w:p>
        </w:tc>
      </w:tr>
    </w:tbl>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、基金管理人可以在基金合同约定的范围内调整费率或收费方式，并最迟应于新的费率或收费方式实施日前依照《信息披露办法》的有关规定在规定媒介上公告。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、当本基金发生大额申购或赎回情形时，基金管理人可以采用摆动定价机制，以确保基金估值的公平性。具体处理原则与操作规范遵循相关法律法规以及监管部门、自律规则的规定。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、基金管理人可以在不违背法律法规规定及基金合同约定的情况下</w:t>
      </w:r>
      <w:r>
        <w:rPr>
          <w:rFonts w:ascii="Times New Roman" w:hAnsi="Times New Roman" w:hint="eastAsia"/>
          <w:sz w:val="24"/>
        </w:rPr>
        <w:t>，</w:t>
      </w:r>
      <w:r>
        <w:rPr>
          <w:rFonts w:ascii="Times New Roman" w:hAnsi="Times New Roman"/>
          <w:sz w:val="24"/>
        </w:rPr>
        <w:t>根据市场情况制定基金促销计划，针对投资人定期和不定期地开展基金促销活动。在基金促销活动期间，基金管理人可以按中国证监会要求履行必要手续后，对投资人适当调低基金销售费用。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（七）申购和赎回的数额和价格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、申购和赎回数额、余额的处理方式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）申购</w:t>
      </w:r>
      <w:r>
        <w:rPr>
          <w:rFonts w:ascii="Times New Roman" w:hAnsi="Times New Roman"/>
          <w:sz w:val="24"/>
        </w:rPr>
        <w:t>A</w:t>
      </w:r>
      <w:r>
        <w:rPr>
          <w:rFonts w:ascii="Times New Roman" w:hAnsi="Times New Roman"/>
          <w:sz w:val="24"/>
        </w:rPr>
        <w:t>类基金份额或</w:t>
      </w:r>
      <w:r>
        <w:rPr>
          <w:rFonts w:ascii="Times New Roman" w:hAnsi="Times New Roman"/>
          <w:sz w:val="24"/>
        </w:rPr>
        <w:t>C</w:t>
      </w:r>
      <w:r>
        <w:rPr>
          <w:rFonts w:ascii="Times New Roman" w:hAnsi="Times New Roman"/>
          <w:sz w:val="24"/>
        </w:rPr>
        <w:t>类基金份额的有效份额为净申购金额除以当日该类基金份额的基金份额净值，有效份额单位为份，申购份额计算结果按四舍五入方法，保留到小数点后</w:t>
      </w:r>
      <w:r>
        <w:rPr>
          <w:rFonts w:ascii="Times New Roman" w:hAnsi="Times New Roman"/>
          <w:sz w:val="24"/>
        </w:rPr>
        <w:t>2</w:t>
      </w:r>
      <w:r>
        <w:rPr>
          <w:rFonts w:ascii="Times New Roman" w:hAnsi="Times New Roman"/>
          <w:sz w:val="24"/>
        </w:rPr>
        <w:t>位，由此产生的收益或损失由基金财产承担。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A</w:t>
      </w:r>
      <w:r>
        <w:rPr>
          <w:rFonts w:ascii="Times New Roman" w:hAnsi="Times New Roman"/>
          <w:sz w:val="24"/>
        </w:rPr>
        <w:t>类基金份额或</w:t>
      </w:r>
      <w:r>
        <w:rPr>
          <w:rFonts w:ascii="Times New Roman" w:hAnsi="Times New Roman"/>
          <w:sz w:val="24"/>
        </w:rPr>
        <w:t>C</w:t>
      </w:r>
      <w:r>
        <w:rPr>
          <w:rFonts w:ascii="Times New Roman" w:hAnsi="Times New Roman"/>
          <w:sz w:val="24"/>
        </w:rPr>
        <w:t>类基金份额的赎回金额为按实际确认的</w:t>
      </w:r>
      <w:r>
        <w:rPr>
          <w:rFonts w:ascii="Times New Roman" w:hAnsi="Times New Roman" w:hint="eastAsia"/>
          <w:sz w:val="24"/>
        </w:rPr>
        <w:t>A</w:t>
      </w:r>
      <w:r>
        <w:rPr>
          <w:rFonts w:ascii="Times New Roman" w:hAnsi="Times New Roman" w:hint="eastAsia"/>
          <w:sz w:val="24"/>
        </w:rPr>
        <w:t>类基金份额或</w:t>
      </w:r>
      <w:r>
        <w:rPr>
          <w:rFonts w:ascii="Times New Roman" w:hAnsi="Times New Roman" w:hint="eastAsia"/>
          <w:sz w:val="24"/>
        </w:rPr>
        <w:t>C</w:t>
      </w:r>
      <w:r>
        <w:rPr>
          <w:rFonts w:ascii="Times New Roman" w:hAnsi="Times New Roman" w:hint="eastAsia"/>
          <w:sz w:val="24"/>
        </w:rPr>
        <w:t>类基金份额的</w:t>
      </w:r>
      <w:r>
        <w:rPr>
          <w:rFonts w:ascii="Times New Roman" w:hAnsi="Times New Roman"/>
          <w:sz w:val="24"/>
        </w:rPr>
        <w:t>有效赎回份额乘以当日该类基金份额的基金份额净值并扣除相应的</w:t>
      </w:r>
      <w:r>
        <w:rPr>
          <w:rFonts w:ascii="Times New Roman" w:hAnsi="Times New Roman"/>
          <w:sz w:val="24"/>
        </w:rPr>
        <w:lastRenderedPageBreak/>
        <w:t>费用</w:t>
      </w:r>
      <w:r>
        <w:rPr>
          <w:rFonts w:ascii="Times New Roman" w:hAnsi="Times New Roman" w:hint="eastAsia"/>
          <w:sz w:val="24"/>
        </w:rPr>
        <w:t>（如有）</w:t>
      </w:r>
      <w:r>
        <w:rPr>
          <w:rFonts w:ascii="Times New Roman" w:hAnsi="Times New Roman"/>
          <w:sz w:val="24"/>
        </w:rPr>
        <w:t>，赎回金额单位为元。赎回金额计算结果按四舍五入方法，保留到小数点后</w:t>
      </w:r>
      <w:r>
        <w:rPr>
          <w:rFonts w:ascii="Times New Roman" w:hAnsi="Times New Roman"/>
          <w:sz w:val="24"/>
        </w:rPr>
        <w:t>2</w:t>
      </w:r>
      <w:r>
        <w:rPr>
          <w:rFonts w:ascii="Times New Roman" w:hAnsi="Times New Roman"/>
          <w:sz w:val="24"/>
        </w:rPr>
        <w:t>位，由此产生的收益或损失由基金财产承担。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、申购份额的计算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本基金采用金额申购的方式。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A</w:t>
      </w:r>
      <w:r>
        <w:rPr>
          <w:rFonts w:ascii="Times New Roman" w:hAnsi="Times New Roman"/>
          <w:sz w:val="24"/>
        </w:rPr>
        <w:t>类基金份额的申购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申购总金额</w:t>
      </w:r>
      <w:r>
        <w:rPr>
          <w:rFonts w:ascii="Times New Roman" w:hAnsi="Times New Roman"/>
          <w:sz w:val="24"/>
        </w:rPr>
        <w:t>=</w:t>
      </w:r>
      <w:proofErr w:type="gramStart"/>
      <w:r>
        <w:rPr>
          <w:rFonts w:ascii="Times New Roman" w:hAnsi="Times New Roman"/>
          <w:sz w:val="24"/>
        </w:rPr>
        <w:t>申请总</w:t>
      </w:r>
      <w:proofErr w:type="gramEnd"/>
      <w:r>
        <w:rPr>
          <w:rFonts w:ascii="Times New Roman" w:hAnsi="Times New Roman"/>
          <w:sz w:val="24"/>
        </w:rPr>
        <w:t>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净申购金额</w:t>
      </w:r>
      <w:r>
        <w:rPr>
          <w:rFonts w:ascii="Times New Roman" w:hAnsi="Times New Roman"/>
          <w:sz w:val="24"/>
        </w:rPr>
        <w:t>=</w:t>
      </w:r>
      <w:r>
        <w:rPr>
          <w:rFonts w:ascii="Times New Roman" w:hAnsi="Times New Roman"/>
          <w:sz w:val="24"/>
        </w:rPr>
        <w:t>申购总金额</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申购费率）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（注：对于适用固定金额申购费用的申购，净申购金额＝申购总金额－固定申购费用金额）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申购费用</w:t>
      </w:r>
      <w:r>
        <w:rPr>
          <w:rFonts w:ascii="Times New Roman" w:hAnsi="Times New Roman"/>
          <w:sz w:val="24"/>
        </w:rPr>
        <w:t>=</w:t>
      </w:r>
      <w:r>
        <w:rPr>
          <w:rFonts w:ascii="Times New Roman" w:hAnsi="Times New Roman"/>
          <w:sz w:val="24"/>
        </w:rPr>
        <w:t>申购总金额</w:t>
      </w:r>
      <w:r>
        <w:rPr>
          <w:rFonts w:ascii="Times New Roman" w:hAnsi="Times New Roman"/>
          <w:sz w:val="24"/>
        </w:rPr>
        <w:t>-</w:t>
      </w:r>
      <w:r>
        <w:rPr>
          <w:rFonts w:ascii="Times New Roman" w:hAnsi="Times New Roman"/>
          <w:sz w:val="24"/>
        </w:rPr>
        <w:t>净申购金额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（注：对于适用固定金额申购费用的申购，申购费用＝固定申购费用金额）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申购份额</w:t>
      </w:r>
      <w:r>
        <w:rPr>
          <w:rFonts w:ascii="Times New Roman" w:hAnsi="Times New Roman"/>
          <w:sz w:val="24"/>
        </w:rPr>
        <w:t>=</w:t>
      </w:r>
      <w:r>
        <w:rPr>
          <w:rFonts w:ascii="Times New Roman" w:hAnsi="Times New Roman"/>
          <w:sz w:val="24"/>
        </w:rPr>
        <w:t>净申购金额</w:t>
      </w:r>
      <w:r>
        <w:rPr>
          <w:rFonts w:ascii="Times New Roman" w:hAnsi="Times New Roman"/>
          <w:sz w:val="24"/>
        </w:rPr>
        <w:t>/ T</w:t>
      </w:r>
      <w:r>
        <w:rPr>
          <w:rFonts w:ascii="Times New Roman" w:hAnsi="Times New Roman"/>
          <w:sz w:val="24"/>
        </w:rPr>
        <w:t>日</w:t>
      </w:r>
      <w:r>
        <w:rPr>
          <w:rFonts w:ascii="Times New Roman" w:hAnsi="Times New Roman"/>
          <w:sz w:val="24"/>
        </w:rPr>
        <w:t>A</w:t>
      </w:r>
      <w:r>
        <w:rPr>
          <w:rFonts w:ascii="Times New Roman" w:hAnsi="Times New Roman"/>
          <w:sz w:val="24"/>
        </w:rPr>
        <w:t>类基金份额净值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例四：某投资者（非养老金客户）投资</w:t>
      </w:r>
      <w:r>
        <w:rPr>
          <w:rFonts w:ascii="Times New Roman" w:hAnsi="Times New Roman"/>
          <w:sz w:val="24"/>
        </w:rPr>
        <w:t>100,000.00</w:t>
      </w:r>
      <w:r>
        <w:rPr>
          <w:rFonts w:ascii="Times New Roman" w:hAnsi="Times New Roman"/>
          <w:sz w:val="24"/>
        </w:rPr>
        <w:t>元申购本基金的</w:t>
      </w:r>
      <w:r>
        <w:rPr>
          <w:rFonts w:ascii="Times New Roman" w:hAnsi="Times New Roman"/>
          <w:sz w:val="24"/>
        </w:rPr>
        <w:t>A</w:t>
      </w:r>
      <w:r>
        <w:rPr>
          <w:rFonts w:ascii="Times New Roman" w:hAnsi="Times New Roman"/>
          <w:sz w:val="24"/>
        </w:rPr>
        <w:t>类基金份额，假设申购当日</w:t>
      </w:r>
      <w:r>
        <w:rPr>
          <w:rFonts w:ascii="Times New Roman" w:hAnsi="Times New Roman"/>
          <w:sz w:val="24"/>
        </w:rPr>
        <w:t>A</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元，申购费率为</w:t>
      </w:r>
      <w:r>
        <w:rPr>
          <w:rFonts w:ascii="Times New Roman" w:hAnsi="Times New Roman"/>
          <w:sz w:val="24"/>
        </w:rPr>
        <w:t>1.2%</w:t>
      </w:r>
      <w:r>
        <w:rPr>
          <w:rFonts w:ascii="Times New Roman" w:hAnsi="Times New Roman"/>
          <w:sz w:val="24"/>
        </w:rPr>
        <w:t>，则其可得到的申购份额为：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申购总金额＝</w:t>
      </w:r>
      <w:r>
        <w:rPr>
          <w:rFonts w:ascii="Times New Roman" w:hAnsi="Times New Roman"/>
          <w:sz w:val="24"/>
        </w:rPr>
        <w:t>100,000.00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净申购金额</w:t>
      </w:r>
      <w:r>
        <w:rPr>
          <w:rFonts w:ascii="Times New Roman" w:hAnsi="Times New Roman"/>
          <w:sz w:val="24"/>
        </w:rPr>
        <w:t>=100,000.00/</w:t>
      </w:r>
      <w:r>
        <w:rPr>
          <w:rFonts w:ascii="Times New Roman" w:hAnsi="Times New Roman"/>
          <w:sz w:val="24"/>
        </w:rPr>
        <w:t>（</w:t>
      </w:r>
      <w:r>
        <w:rPr>
          <w:rFonts w:ascii="Times New Roman" w:hAnsi="Times New Roman"/>
          <w:sz w:val="24"/>
        </w:rPr>
        <w:t>1+1.2%</w:t>
      </w:r>
      <w:r>
        <w:rPr>
          <w:rFonts w:ascii="Times New Roman" w:hAnsi="Times New Roman"/>
          <w:sz w:val="24"/>
        </w:rPr>
        <w:t>）</w:t>
      </w:r>
      <w:r>
        <w:rPr>
          <w:rFonts w:ascii="Times New Roman" w:hAnsi="Times New Roman"/>
          <w:sz w:val="24"/>
        </w:rPr>
        <w:t>= 98,814.23</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申购费用</w:t>
      </w:r>
      <w:r>
        <w:rPr>
          <w:rFonts w:ascii="Times New Roman" w:hAnsi="Times New Roman"/>
          <w:sz w:val="24"/>
        </w:rPr>
        <w:t>=100,000.00- 98,814.23 = 1,185.77</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申购份额</w:t>
      </w:r>
      <w:r>
        <w:rPr>
          <w:rFonts w:ascii="Times New Roman" w:hAnsi="Times New Roman"/>
          <w:sz w:val="24"/>
        </w:rPr>
        <w:t>= 98,814.23 /1.0400= 95,013.68</w:t>
      </w:r>
      <w:r>
        <w:rPr>
          <w:rFonts w:ascii="Times New Roman" w:hAnsi="Times New Roman"/>
          <w:sz w:val="24"/>
        </w:rPr>
        <w:t>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即：</w:t>
      </w:r>
      <w:r>
        <w:rPr>
          <w:rFonts w:ascii="Times New Roman" w:hAnsi="Times New Roman" w:hint="eastAsia"/>
          <w:sz w:val="24"/>
        </w:rPr>
        <w:t>该</w:t>
      </w:r>
      <w:r>
        <w:rPr>
          <w:rFonts w:ascii="Times New Roman" w:hAnsi="Times New Roman"/>
          <w:sz w:val="24"/>
        </w:rPr>
        <w:t>投资者（非养老金客户）投资</w:t>
      </w:r>
      <w:r>
        <w:rPr>
          <w:rFonts w:ascii="Times New Roman" w:hAnsi="Times New Roman"/>
          <w:sz w:val="24"/>
        </w:rPr>
        <w:t>100,000.00</w:t>
      </w:r>
      <w:r>
        <w:rPr>
          <w:rFonts w:ascii="Times New Roman" w:hAnsi="Times New Roman"/>
          <w:sz w:val="24"/>
        </w:rPr>
        <w:t>元申购本基金</w:t>
      </w:r>
      <w:r>
        <w:rPr>
          <w:rFonts w:ascii="Times New Roman" w:hAnsi="Times New Roman"/>
          <w:sz w:val="24"/>
        </w:rPr>
        <w:t>A</w:t>
      </w:r>
      <w:r>
        <w:rPr>
          <w:rFonts w:ascii="Times New Roman" w:hAnsi="Times New Roman"/>
          <w:sz w:val="24"/>
        </w:rPr>
        <w:t>类基金份额，假设申购当日</w:t>
      </w:r>
      <w:r>
        <w:rPr>
          <w:rFonts w:ascii="Times New Roman" w:hAnsi="Times New Roman"/>
          <w:sz w:val="24"/>
        </w:rPr>
        <w:t>A</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元，则其可得到</w:t>
      </w:r>
      <w:r>
        <w:rPr>
          <w:rFonts w:ascii="Times New Roman" w:hAnsi="Times New Roman"/>
          <w:sz w:val="24"/>
        </w:rPr>
        <w:t>95,013.68</w:t>
      </w:r>
      <w:r>
        <w:rPr>
          <w:rFonts w:ascii="Times New Roman" w:hAnsi="Times New Roman"/>
          <w:sz w:val="24"/>
        </w:rPr>
        <w:t>份</w:t>
      </w:r>
      <w:r>
        <w:rPr>
          <w:rFonts w:ascii="Times New Roman" w:hAnsi="Times New Roman"/>
          <w:sz w:val="24"/>
        </w:rPr>
        <w:t>A</w:t>
      </w:r>
      <w:r>
        <w:rPr>
          <w:rFonts w:ascii="Times New Roman" w:hAnsi="Times New Roman"/>
          <w:sz w:val="24"/>
        </w:rPr>
        <w:t>类基金份额。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例五：某养老金客户投资</w:t>
      </w:r>
      <w:r>
        <w:rPr>
          <w:rFonts w:ascii="Times New Roman" w:hAnsi="Times New Roman"/>
          <w:sz w:val="24"/>
        </w:rPr>
        <w:t>1,000,000.00</w:t>
      </w:r>
      <w:r>
        <w:rPr>
          <w:rFonts w:ascii="Times New Roman" w:hAnsi="Times New Roman"/>
          <w:sz w:val="24"/>
        </w:rPr>
        <w:t>元通过基金管理人的直销柜台申购本基金的</w:t>
      </w:r>
      <w:r>
        <w:rPr>
          <w:rFonts w:ascii="Times New Roman" w:hAnsi="Times New Roman"/>
          <w:sz w:val="24"/>
        </w:rPr>
        <w:t>A</w:t>
      </w:r>
      <w:r>
        <w:rPr>
          <w:rFonts w:ascii="Times New Roman" w:hAnsi="Times New Roman"/>
          <w:sz w:val="24"/>
        </w:rPr>
        <w:t>类基金份额，假设申购当日</w:t>
      </w:r>
      <w:r>
        <w:rPr>
          <w:rFonts w:ascii="Times New Roman" w:hAnsi="Times New Roman"/>
          <w:sz w:val="24"/>
        </w:rPr>
        <w:t>A</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元，申购费率为</w:t>
      </w:r>
      <w:r>
        <w:rPr>
          <w:rFonts w:ascii="Times New Roman" w:hAnsi="Times New Roman"/>
          <w:sz w:val="24"/>
        </w:rPr>
        <w:t>0.16%</w:t>
      </w:r>
      <w:r>
        <w:rPr>
          <w:rFonts w:ascii="Times New Roman" w:hAnsi="Times New Roman"/>
          <w:sz w:val="24"/>
        </w:rPr>
        <w:t>，则其可得到的申购份额为：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申购总金额＝</w:t>
      </w:r>
      <w:r>
        <w:rPr>
          <w:rFonts w:ascii="Times New Roman" w:hAnsi="Times New Roman"/>
          <w:sz w:val="24"/>
        </w:rPr>
        <w:t>1,000,000.00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净申购金额</w:t>
      </w:r>
      <w:r>
        <w:rPr>
          <w:rFonts w:ascii="Times New Roman" w:hAnsi="Times New Roman"/>
          <w:sz w:val="24"/>
        </w:rPr>
        <w:t>=1,000,000.00/</w:t>
      </w:r>
      <w:r>
        <w:rPr>
          <w:rFonts w:ascii="Times New Roman" w:hAnsi="Times New Roman"/>
          <w:sz w:val="24"/>
        </w:rPr>
        <w:t>（</w:t>
      </w:r>
      <w:r>
        <w:rPr>
          <w:rFonts w:ascii="Times New Roman" w:hAnsi="Times New Roman"/>
          <w:sz w:val="24"/>
        </w:rPr>
        <w:t>1+0.16%</w:t>
      </w:r>
      <w:r>
        <w:rPr>
          <w:rFonts w:ascii="Times New Roman" w:hAnsi="Times New Roman"/>
          <w:sz w:val="24"/>
        </w:rPr>
        <w:t>）</w:t>
      </w:r>
      <w:r>
        <w:rPr>
          <w:rFonts w:ascii="Times New Roman" w:hAnsi="Times New Roman"/>
          <w:sz w:val="24"/>
        </w:rPr>
        <w:t xml:space="preserve">= 998,402.56 </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申购费用</w:t>
      </w:r>
      <w:r>
        <w:rPr>
          <w:rFonts w:ascii="Times New Roman" w:hAnsi="Times New Roman"/>
          <w:sz w:val="24"/>
        </w:rPr>
        <w:t>=1,000,000.00- 998,402.56 =1,597.44</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申购份额</w:t>
      </w:r>
      <w:r>
        <w:rPr>
          <w:rFonts w:ascii="Times New Roman" w:hAnsi="Times New Roman"/>
          <w:sz w:val="24"/>
        </w:rPr>
        <w:t>= 998,402.56 /1.0400=960,002.46</w:t>
      </w:r>
      <w:r>
        <w:rPr>
          <w:rFonts w:ascii="Times New Roman" w:hAnsi="Times New Roman"/>
          <w:sz w:val="24"/>
        </w:rPr>
        <w:t>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即：该养老金客户投资</w:t>
      </w:r>
      <w:r>
        <w:rPr>
          <w:rFonts w:ascii="Times New Roman" w:hAnsi="Times New Roman"/>
          <w:sz w:val="24"/>
        </w:rPr>
        <w:t>1,000,000.00</w:t>
      </w:r>
      <w:r>
        <w:rPr>
          <w:rFonts w:ascii="Times New Roman" w:hAnsi="Times New Roman"/>
          <w:sz w:val="24"/>
        </w:rPr>
        <w:t>元通过基金管理人的直销柜台申购本基金</w:t>
      </w:r>
      <w:r>
        <w:rPr>
          <w:rFonts w:ascii="Times New Roman" w:hAnsi="Times New Roman"/>
          <w:sz w:val="24"/>
        </w:rPr>
        <w:lastRenderedPageBreak/>
        <w:t>的</w:t>
      </w:r>
      <w:r>
        <w:rPr>
          <w:rFonts w:ascii="Times New Roman" w:hAnsi="Times New Roman"/>
          <w:sz w:val="24"/>
        </w:rPr>
        <w:t>A</w:t>
      </w:r>
      <w:r>
        <w:rPr>
          <w:rFonts w:ascii="Times New Roman" w:hAnsi="Times New Roman"/>
          <w:sz w:val="24"/>
        </w:rPr>
        <w:t>类基金份额，假设申购当日</w:t>
      </w:r>
      <w:r>
        <w:rPr>
          <w:rFonts w:ascii="Times New Roman" w:hAnsi="Times New Roman"/>
          <w:sz w:val="24"/>
        </w:rPr>
        <w:t>A</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元，则其可得到</w:t>
      </w:r>
      <w:r>
        <w:rPr>
          <w:rFonts w:ascii="Times New Roman" w:hAnsi="Times New Roman"/>
          <w:sz w:val="24"/>
        </w:rPr>
        <w:t>960,002.46</w:t>
      </w:r>
      <w:r>
        <w:rPr>
          <w:rFonts w:ascii="Times New Roman" w:hAnsi="Times New Roman"/>
          <w:sz w:val="24"/>
        </w:rPr>
        <w:t>份</w:t>
      </w:r>
      <w:r>
        <w:rPr>
          <w:rFonts w:ascii="Times New Roman" w:hAnsi="Times New Roman"/>
          <w:sz w:val="24"/>
        </w:rPr>
        <w:t>A</w:t>
      </w:r>
      <w:r>
        <w:rPr>
          <w:rFonts w:ascii="Times New Roman" w:hAnsi="Times New Roman"/>
          <w:sz w:val="24"/>
        </w:rPr>
        <w:t>类基金份额。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C</w:t>
      </w:r>
      <w:r>
        <w:rPr>
          <w:rFonts w:ascii="Times New Roman" w:hAnsi="Times New Roman"/>
          <w:sz w:val="24"/>
        </w:rPr>
        <w:t>类基金份额的申购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如果投资者选择申购</w:t>
      </w:r>
      <w:r>
        <w:rPr>
          <w:rFonts w:ascii="Times New Roman" w:hAnsi="Times New Roman"/>
          <w:sz w:val="24"/>
        </w:rPr>
        <w:t>C</w:t>
      </w:r>
      <w:r>
        <w:rPr>
          <w:rFonts w:ascii="Times New Roman" w:hAnsi="Times New Roman"/>
          <w:sz w:val="24"/>
        </w:rPr>
        <w:t>类基金份额，则申购份额的计算方法如下：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申购总金额</w:t>
      </w:r>
      <w:r>
        <w:rPr>
          <w:rFonts w:ascii="Times New Roman" w:hAnsi="Times New Roman"/>
          <w:sz w:val="24"/>
        </w:rPr>
        <w:t>=</w:t>
      </w:r>
      <w:proofErr w:type="gramStart"/>
      <w:r>
        <w:rPr>
          <w:rFonts w:ascii="Times New Roman" w:hAnsi="Times New Roman"/>
          <w:sz w:val="24"/>
        </w:rPr>
        <w:t>申请总</w:t>
      </w:r>
      <w:proofErr w:type="gramEnd"/>
      <w:r>
        <w:rPr>
          <w:rFonts w:ascii="Times New Roman" w:hAnsi="Times New Roman"/>
          <w:sz w:val="24"/>
        </w:rPr>
        <w:t>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申购份额</w:t>
      </w:r>
      <w:r>
        <w:rPr>
          <w:rFonts w:ascii="Times New Roman" w:hAnsi="Times New Roman"/>
          <w:sz w:val="24"/>
        </w:rPr>
        <w:t>=</w:t>
      </w:r>
      <w:r>
        <w:rPr>
          <w:rFonts w:ascii="Times New Roman" w:hAnsi="Times New Roman"/>
          <w:sz w:val="24"/>
        </w:rPr>
        <w:t>申购总金额</w:t>
      </w:r>
      <w:r>
        <w:rPr>
          <w:rFonts w:ascii="Times New Roman" w:hAnsi="Times New Roman"/>
          <w:sz w:val="24"/>
        </w:rPr>
        <w:t>/T</w:t>
      </w:r>
      <w:r>
        <w:rPr>
          <w:rFonts w:ascii="Times New Roman" w:hAnsi="Times New Roman"/>
          <w:sz w:val="24"/>
        </w:rPr>
        <w:t>日</w:t>
      </w:r>
      <w:r>
        <w:rPr>
          <w:rFonts w:ascii="Times New Roman" w:hAnsi="Times New Roman"/>
          <w:sz w:val="24"/>
        </w:rPr>
        <w:t>C</w:t>
      </w:r>
      <w:r>
        <w:rPr>
          <w:rFonts w:ascii="Times New Roman" w:hAnsi="Times New Roman"/>
          <w:sz w:val="24"/>
        </w:rPr>
        <w:t>类基金份额净值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例六：某投资者投资</w:t>
      </w:r>
      <w:r>
        <w:rPr>
          <w:rFonts w:ascii="Times New Roman" w:hAnsi="Times New Roman"/>
          <w:sz w:val="24"/>
        </w:rPr>
        <w:t>100,000.00</w:t>
      </w:r>
      <w:r>
        <w:rPr>
          <w:rFonts w:ascii="Times New Roman" w:hAnsi="Times New Roman"/>
          <w:sz w:val="24"/>
        </w:rPr>
        <w:t>元申购本基金的</w:t>
      </w:r>
      <w:r>
        <w:rPr>
          <w:rFonts w:ascii="Times New Roman" w:hAnsi="Times New Roman"/>
          <w:sz w:val="24"/>
        </w:rPr>
        <w:t>C</w:t>
      </w:r>
      <w:r>
        <w:rPr>
          <w:rFonts w:ascii="Times New Roman" w:hAnsi="Times New Roman"/>
          <w:sz w:val="24"/>
        </w:rPr>
        <w:t>类基金份额，假设申购当日</w:t>
      </w:r>
      <w:r>
        <w:rPr>
          <w:rFonts w:ascii="Times New Roman" w:hAnsi="Times New Roman"/>
          <w:sz w:val="24"/>
        </w:rPr>
        <w:t>C</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元，则其可得到的申购份额为：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申购总金额</w:t>
      </w:r>
      <w:r>
        <w:rPr>
          <w:rFonts w:ascii="Times New Roman" w:hAnsi="Times New Roman"/>
          <w:sz w:val="24"/>
        </w:rPr>
        <w:t>=100,000.00</w:t>
      </w:r>
      <w:r>
        <w:rPr>
          <w:rFonts w:ascii="Times New Roman" w:hAnsi="Times New Roman" w:hint="eastAsia"/>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申购份额＝</w:t>
      </w:r>
      <w:r>
        <w:rPr>
          <w:rFonts w:ascii="Times New Roman" w:hAnsi="Times New Roman"/>
          <w:sz w:val="24"/>
        </w:rPr>
        <w:t>100,000.00/1.0400</w:t>
      </w:r>
      <w:r>
        <w:rPr>
          <w:rFonts w:ascii="Times New Roman" w:hAnsi="Times New Roman"/>
          <w:sz w:val="24"/>
        </w:rPr>
        <w:t>＝</w:t>
      </w:r>
      <w:r>
        <w:rPr>
          <w:rFonts w:ascii="Times New Roman" w:hAnsi="Times New Roman"/>
          <w:sz w:val="24"/>
        </w:rPr>
        <w:t>96,153.85</w:t>
      </w:r>
      <w:r>
        <w:rPr>
          <w:rFonts w:ascii="Times New Roman" w:hAnsi="Times New Roman"/>
          <w:sz w:val="24"/>
        </w:rPr>
        <w:t>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即：投资者投资</w:t>
      </w:r>
      <w:r>
        <w:rPr>
          <w:rFonts w:ascii="Times New Roman" w:hAnsi="Times New Roman"/>
          <w:sz w:val="24"/>
        </w:rPr>
        <w:t>100,000.00</w:t>
      </w:r>
      <w:r>
        <w:rPr>
          <w:rFonts w:ascii="Times New Roman" w:hAnsi="Times New Roman"/>
          <w:sz w:val="24"/>
        </w:rPr>
        <w:t>元申购本基金的</w:t>
      </w:r>
      <w:r>
        <w:rPr>
          <w:rFonts w:ascii="Times New Roman" w:hAnsi="Times New Roman"/>
          <w:sz w:val="24"/>
        </w:rPr>
        <w:t>C</w:t>
      </w:r>
      <w:r>
        <w:rPr>
          <w:rFonts w:ascii="Times New Roman" w:hAnsi="Times New Roman"/>
          <w:sz w:val="24"/>
        </w:rPr>
        <w:t>类基金份额，假设申购当日</w:t>
      </w:r>
      <w:r>
        <w:rPr>
          <w:rFonts w:ascii="Times New Roman" w:hAnsi="Times New Roman"/>
          <w:sz w:val="24"/>
        </w:rPr>
        <w:t>C</w:t>
      </w:r>
      <w:r>
        <w:rPr>
          <w:rFonts w:ascii="Times New Roman" w:hAnsi="Times New Roman"/>
          <w:sz w:val="24"/>
        </w:rPr>
        <w:t>类基金份额净值为</w:t>
      </w:r>
      <w:r>
        <w:rPr>
          <w:rFonts w:ascii="Times New Roman" w:hAnsi="Times New Roman"/>
          <w:sz w:val="24"/>
        </w:rPr>
        <w:t>1.0400</w:t>
      </w:r>
      <w:r>
        <w:rPr>
          <w:rFonts w:ascii="Times New Roman" w:hAnsi="Times New Roman"/>
          <w:sz w:val="24"/>
        </w:rPr>
        <w:t>元，则其可得到</w:t>
      </w:r>
      <w:r>
        <w:rPr>
          <w:rFonts w:ascii="Times New Roman" w:hAnsi="Times New Roman"/>
          <w:sz w:val="24"/>
        </w:rPr>
        <w:t>96,153.85</w:t>
      </w:r>
      <w:r>
        <w:rPr>
          <w:rFonts w:ascii="Times New Roman" w:hAnsi="Times New Roman"/>
          <w:sz w:val="24"/>
        </w:rPr>
        <w:t>份</w:t>
      </w:r>
      <w:r>
        <w:rPr>
          <w:rFonts w:ascii="Times New Roman" w:hAnsi="Times New Roman"/>
          <w:sz w:val="24"/>
        </w:rPr>
        <w:t>C</w:t>
      </w:r>
      <w:r>
        <w:rPr>
          <w:rFonts w:ascii="Times New Roman" w:hAnsi="Times New Roman"/>
          <w:sz w:val="24"/>
        </w:rPr>
        <w:t>类基金份额。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、赎回金额的计算</w:t>
      </w:r>
    </w:p>
    <w:p w:rsidR="009A4701" w:rsidRDefault="00677B65">
      <w:pPr>
        <w:autoSpaceDE w:val="0"/>
        <w:autoSpaceDN w:val="0"/>
        <w:adjustRightInd w:val="0"/>
        <w:snapToGri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本基金采用“份额赎回”的方式。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A</w:t>
      </w:r>
      <w:r>
        <w:rPr>
          <w:rFonts w:ascii="Times New Roman" w:hAnsi="Times New Roman"/>
          <w:sz w:val="24"/>
        </w:rPr>
        <w:t>类基金份额的赎回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如果投资者赎回</w:t>
      </w:r>
      <w:r>
        <w:rPr>
          <w:rFonts w:ascii="Times New Roman" w:hAnsi="Times New Roman"/>
          <w:sz w:val="24"/>
        </w:rPr>
        <w:t>A</w:t>
      </w:r>
      <w:r>
        <w:rPr>
          <w:rFonts w:ascii="Times New Roman" w:hAnsi="Times New Roman"/>
          <w:sz w:val="24"/>
        </w:rPr>
        <w:t>类基金份额，则赎回金额的计算方法如下：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赎回费用</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w:t>
      </w:r>
      <w:r>
        <w:rPr>
          <w:rFonts w:ascii="Times New Roman" w:hAnsi="Times New Roman"/>
          <w:sz w:val="24"/>
        </w:rPr>
        <w:t>A</w:t>
      </w:r>
      <w:r>
        <w:rPr>
          <w:rFonts w:ascii="Times New Roman" w:hAnsi="Times New Roman"/>
          <w:sz w:val="24"/>
        </w:rPr>
        <w:t>类基金份额净值</w:t>
      </w:r>
      <w:r>
        <w:rPr>
          <w:rFonts w:ascii="Times New Roman" w:hAnsi="Times New Roman"/>
          <w:sz w:val="24"/>
        </w:rPr>
        <w:t>×</w:t>
      </w:r>
      <w:r>
        <w:rPr>
          <w:rFonts w:ascii="Times New Roman" w:hAnsi="Times New Roman"/>
          <w:sz w:val="24"/>
        </w:rPr>
        <w:t>赎回费率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赎回金额</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w:t>
      </w:r>
      <w:r>
        <w:rPr>
          <w:rFonts w:ascii="Times New Roman" w:hAnsi="Times New Roman"/>
          <w:sz w:val="24"/>
        </w:rPr>
        <w:t>A</w:t>
      </w:r>
      <w:r>
        <w:rPr>
          <w:rFonts w:ascii="Times New Roman" w:hAnsi="Times New Roman"/>
          <w:sz w:val="24"/>
        </w:rPr>
        <w:t>类基金份额净值</w:t>
      </w:r>
      <w:r>
        <w:rPr>
          <w:rFonts w:ascii="Times New Roman" w:hAnsi="Times New Roman"/>
          <w:sz w:val="24"/>
        </w:rPr>
        <w:t>-</w:t>
      </w:r>
      <w:r>
        <w:rPr>
          <w:rFonts w:ascii="Times New Roman" w:hAnsi="Times New Roman"/>
          <w:sz w:val="24"/>
        </w:rPr>
        <w:t>赎回费用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例七：某投资者赎回</w:t>
      </w:r>
      <w:r>
        <w:rPr>
          <w:rFonts w:ascii="Times New Roman" w:hAnsi="Times New Roman"/>
          <w:sz w:val="24"/>
        </w:rPr>
        <w:t>100,000.00</w:t>
      </w:r>
      <w:r>
        <w:rPr>
          <w:rFonts w:ascii="Times New Roman" w:hAnsi="Times New Roman"/>
          <w:sz w:val="24"/>
        </w:rPr>
        <w:t>份</w:t>
      </w:r>
      <w:r>
        <w:rPr>
          <w:rFonts w:ascii="Times New Roman" w:hAnsi="Times New Roman"/>
          <w:sz w:val="24"/>
        </w:rPr>
        <w:t>A</w:t>
      </w:r>
      <w:r>
        <w:rPr>
          <w:rFonts w:ascii="Times New Roman" w:hAnsi="Times New Roman"/>
          <w:sz w:val="24"/>
        </w:rPr>
        <w:t>类基金份额，持有</w:t>
      </w:r>
      <w:r>
        <w:rPr>
          <w:rFonts w:ascii="Times New Roman" w:hAnsi="Times New Roman" w:hint="eastAsia"/>
          <w:sz w:val="24"/>
        </w:rPr>
        <w:t>期限为</w:t>
      </w:r>
      <w:r>
        <w:rPr>
          <w:rFonts w:ascii="Times New Roman" w:hAnsi="Times New Roman"/>
          <w:sz w:val="24"/>
        </w:rPr>
        <w:t>6</w:t>
      </w:r>
      <w:r>
        <w:rPr>
          <w:rFonts w:ascii="Times New Roman" w:hAnsi="Times New Roman"/>
          <w:sz w:val="24"/>
        </w:rPr>
        <w:t>日，对应的赎回费率为</w:t>
      </w:r>
      <w:r>
        <w:rPr>
          <w:rFonts w:ascii="Times New Roman" w:hAnsi="Times New Roman"/>
          <w:sz w:val="24"/>
        </w:rPr>
        <w:t>1.5%</w:t>
      </w:r>
      <w:r>
        <w:rPr>
          <w:rFonts w:ascii="Times New Roman" w:hAnsi="Times New Roman"/>
          <w:sz w:val="24"/>
        </w:rPr>
        <w:t>，假设赎回当日</w:t>
      </w:r>
      <w:r>
        <w:rPr>
          <w:rFonts w:ascii="Times New Roman" w:hAnsi="Times New Roman"/>
          <w:sz w:val="24"/>
        </w:rPr>
        <w:t>A</w:t>
      </w:r>
      <w:r>
        <w:rPr>
          <w:rFonts w:ascii="Times New Roman" w:hAnsi="Times New Roman"/>
          <w:sz w:val="24"/>
        </w:rPr>
        <w:t>类基金份额净值是</w:t>
      </w:r>
      <w:r>
        <w:rPr>
          <w:rFonts w:ascii="Times New Roman" w:hAnsi="Times New Roman"/>
          <w:sz w:val="24"/>
        </w:rPr>
        <w:t>1.0160</w:t>
      </w:r>
      <w:r>
        <w:rPr>
          <w:rFonts w:ascii="Times New Roman" w:hAnsi="Times New Roman"/>
          <w:sz w:val="24"/>
        </w:rPr>
        <w:t>元，则其可得到的赎回金额为：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赎回费用</w:t>
      </w:r>
      <w:r>
        <w:rPr>
          <w:rFonts w:ascii="Times New Roman" w:hAnsi="Times New Roman"/>
          <w:sz w:val="24"/>
        </w:rPr>
        <w:t>=100,000.00×1.0160×1.5%</w:t>
      </w:r>
      <w:r>
        <w:rPr>
          <w:rFonts w:ascii="Times New Roman" w:hAnsi="Times New Roman"/>
          <w:sz w:val="24"/>
        </w:rPr>
        <w:t>＝</w:t>
      </w:r>
      <w:r>
        <w:rPr>
          <w:rFonts w:ascii="Times New Roman" w:hAnsi="Times New Roman"/>
          <w:sz w:val="24"/>
        </w:rPr>
        <w:t>1,524.00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赎回金额</w:t>
      </w:r>
      <w:r>
        <w:rPr>
          <w:rFonts w:ascii="Times New Roman" w:hAnsi="Times New Roman"/>
          <w:sz w:val="24"/>
        </w:rPr>
        <w:t>=100,000.00×1.0160-1,524.00</w:t>
      </w:r>
      <w:r>
        <w:rPr>
          <w:rFonts w:ascii="Times New Roman" w:hAnsi="Times New Roman"/>
          <w:sz w:val="24"/>
        </w:rPr>
        <w:t>＝</w:t>
      </w:r>
      <w:r>
        <w:rPr>
          <w:rFonts w:ascii="Times New Roman" w:hAnsi="Times New Roman"/>
          <w:sz w:val="24"/>
        </w:rPr>
        <w:t>100,076.00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即：</w:t>
      </w:r>
      <w:r>
        <w:rPr>
          <w:rFonts w:ascii="Times New Roman" w:hAnsi="Times New Roman" w:hint="eastAsia"/>
          <w:sz w:val="24"/>
        </w:rPr>
        <w:t>该</w:t>
      </w:r>
      <w:r>
        <w:rPr>
          <w:rFonts w:ascii="Times New Roman" w:hAnsi="Times New Roman"/>
          <w:sz w:val="24"/>
        </w:rPr>
        <w:t>投资者赎回</w:t>
      </w:r>
      <w:r>
        <w:rPr>
          <w:rFonts w:ascii="Times New Roman" w:hAnsi="Times New Roman"/>
          <w:sz w:val="24"/>
        </w:rPr>
        <w:t>100,000.00</w:t>
      </w:r>
      <w:r>
        <w:rPr>
          <w:rFonts w:ascii="Times New Roman" w:hAnsi="Times New Roman"/>
          <w:sz w:val="24"/>
        </w:rPr>
        <w:t>份</w:t>
      </w:r>
      <w:r>
        <w:rPr>
          <w:rFonts w:ascii="Times New Roman" w:hAnsi="Times New Roman"/>
          <w:sz w:val="24"/>
        </w:rPr>
        <w:t>A</w:t>
      </w:r>
      <w:r>
        <w:rPr>
          <w:rFonts w:ascii="Times New Roman" w:hAnsi="Times New Roman"/>
          <w:sz w:val="24"/>
        </w:rPr>
        <w:t>类基金份额，</w:t>
      </w:r>
      <w:r>
        <w:rPr>
          <w:rFonts w:ascii="Times New Roman" w:hAnsi="Times New Roman" w:hint="eastAsia"/>
          <w:sz w:val="24"/>
        </w:rPr>
        <w:t>持有期限为</w:t>
      </w:r>
      <w:r>
        <w:rPr>
          <w:rFonts w:ascii="Times New Roman" w:hAnsi="Times New Roman"/>
          <w:sz w:val="24"/>
        </w:rPr>
        <w:t>6</w:t>
      </w:r>
      <w:r>
        <w:rPr>
          <w:rFonts w:ascii="Times New Roman" w:hAnsi="Times New Roman" w:hint="eastAsia"/>
          <w:sz w:val="24"/>
        </w:rPr>
        <w:t>日，</w:t>
      </w:r>
      <w:r>
        <w:rPr>
          <w:rFonts w:ascii="Times New Roman" w:hAnsi="Times New Roman"/>
          <w:sz w:val="24"/>
        </w:rPr>
        <w:t>对应的赎回费率为</w:t>
      </w:r>
      <w:r>
        <w:rPr>
          <w:rFonts w:ascii="Times New Roman" w:hAnsi="Times New Roman"/>
          <w:sz w:val="24"/>
        </w:rPr>
        <w:t>1.5%</w:t>
      </w:r>
      <w:r>
        <w:rPr>
          <w:rFonts w:ascii="Times New Roman" w:hAnsi="Times New Roman"/>
          <w:sz w:val="24"/>
        </w:rPr>
        <w:t>，假设赎回当日</w:t>
      </w:r>
      <w:r>
        <w:rPr>
          <w:rFonts w:ascii="Times New Roman" w:hAnsi="Times New Roman"/>
          <w:sz w:val="24"/>
        </w:rPr>
        <w:t>A</w:t>
      </w:r>
      <w:r>
        <w:rPr>
          <w:rFonts w:ascii="Times New Roman" w:hAnsi="Times New Roman"/>
          <w:sz w:val="24"/>
        </w:rPr>
        <w:t>类基金份额净值是</w:t>
      </w:r>
      <w:r>
        <w:rPr>
          <w:rFonts w:ascii="Times New Roman" w:hAnsi="Times New Roman"/>
          <w:sz w:val="24"/>
        </w:rPr>
        <w:t>1.0160</w:t>
      </w:r>
      <w:r>
        <w:rPr>
          <w:rFonts w:ascii="Times New Roman" w:hAnsi="Times New Roman"/>
          <w:sz w:val="24"/>
        </w:rPr>
        <w:t>元，则其可得到的赎回金额为</w:t>
      </w:r>
      <w:r>
        <w:rPr>
          <w:rFonts w:ascii="Times New Roman" w:hAnsi="Times New Roman"/>
          <w:sz w:val="24"/>
        </w:rPr>
        <w:t>100,076.00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C</w:t>
      </w:r>
      <w:r>
        <w:rPr>
          <w:rFonts w:ascii="Times New Roman" w:hAnsi="Times New Roman"/>
          <w:sz w:val="24"/>
        </w:rPr>
        <w:t>类基金份额的赎回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如果</w:t>
      </w:r>
      <w:r>
        <w:rPr>
          <w:rFonts w:ascii="Times New Roman" w:hAnsi="Times New Roman"/>
          <w:sz w:val="24"/>
        </w:rPr>
        <w:t>投资者赎回</w:t>
      </w:r>
      <w:r>
        <w:rPr>
          <w:rFonts w:ascii="Times New Roman" w:hAnsi="Times New Roman"/>
          <w:sz w:val="24"/>
        </w:rPr>
        <w:t>C</w:t>
      </w:r>
      <w:r>
        <w:rPr>
          <w:rFonts w:ascii="Times New Roman" w:hAnsi="Times New Roman"/>
          <w:sz w:val="24"/>
        </w:rPr>
        <w:t>类基金份额，赎回金额的计算方法如下：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赎回费用</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w:t>
      </w:r>
      <w:r>
        <w:rPr>
          <w:rFonts w:ascii="Times New Roman" w:hAnsi="Times New Roman"/>
          <w:sz w:val="24"/>
        </w:rPr>
        <w:t>C</w:t>
      </w:r>
      <w:r>
        <w:rPr>
          <w:rFonts w:ascii="Times New Roman" w:hAnsi="Times New Roman"/>
          <w:sz w:val="24"/>
        </w:rPr>
        <w:t>类基金份额净值</w:t>
      </w:r>
      <w:r>
        <w:rPr>
          <w:rFonts w:ascii="Times New Roman" w:hAnsi="Times New Roman"/>
          <w:sz w:val="24"/>
        </w:rPr>
        <w:t>×</w:t>
      </w:r>
      <w:r>
        <w:rPr>
          <w:rFonts w:ascii="Times New Roman" w:hAnsi="Times New Roman"/>
          <w:sz w:val="24"/>
        </w:rPr>
        <w:t>赎回费率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赎回金额</w:t>
      </w:r>
      <w:r>
        <w:rPr>
          <w:rFonts w:ascii="Times New Roman" w:hAnsi="Times New Roman"/>
          <w:sz w:val="24"/>
        </w:rPr>
        <w:t>=</w:t>
      </w:r>
      <w:r>
        <w:rPr>
          <w:rFonts w:ascii="Times New Roman" w:hAnsi="Times New Roman"/>
          <w:sz w:val="24"/>
        </w:rPr>
        <w:t>赎回份额</w:t>
      </w:r>
      <w:r>
        <w:rPr>
          <w:rFonts w:ascii="Times New Roman" w:hAnsi="Times New Roman"/>
          <w:sz w:val="24"/>
        </w:rPr>
        <w:t>×T</w:t>
      </w:r>
      <w:r>
        <w:rPr>
          <w:rFonts w:ascii="Times New Roman" w:hAnsi="Times New Roman"/>
          <w:sz w:val="24"/>
        </w:rPr>
        <w:t>日</w:t>
      </w:r>
      <w:r>
        <w:rPr>
          <w:rFonts w:ascii="Times New Roman" w:hAnsi="Times New Roman"/>
          <w:sz w:val="24"/>
        </w:rPr>
        <w:t>C</w:t>
      </w:r>
      <w:r>
        <w:rPr>
          <w:rFonts w:ascii="Times New Roman" w:hAnsi="Times New Roman"/>
          <w:sz w:val="24"/>
        </w:rPr>
        <w:t>类基金份额净值</w:t>
      </w:r>
      <w:r>
        <w:rPr>
          <w:rFonts w:ascii="Times New Roman" w:hAnsi="Times New Roman"/>
          <w:sz w:val="24"/>
        </w:rPr>
        <w:t>-</w:t>
      </w:r>
      <w:r>
        <w:rPr>
          <w:rFonts w:ascii="Times New Roman" w:hAnsi="Times New Roman"/>
          <w:sz w:val="24"/>
        </w:rPr>
        <w:t>赎回费用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例八：某投资者赎回</w:t>
      </w:r>
      <w:r>
        <w:rPr>
          <w:rFonts w:ascii="Times New Roman" w:hAnsi="Times New Roman"/>
          <w:sz w:val="24"/>
        </w:rPr>
        <w:t>100,000.00</w:t>
      </w:r>
      <w:r>
        <w:rPr>
          <w:rFonts w:ascii="Times New Roman" w:hAnsi="Times New Roman"/>
          <w:sz w:val="24"/>
        </w:rPr>
        <w:t>份</w:t>
      </w:r>
      <w:r>
        <w:rPr>
          <w:rFonts w:ascii="Times New Roman" w:hAnsi="Times New Roman"/>
          <w:sz w:val="24"/>
        </w:rPr>
        <w:t>C</w:t>
      </w:r>
      <w:r>
        <w:rPr>
          <w:rFonts w:ascii="Times New Roman" w:hAnsi="Times New Roman"/>
          <w:sz w:val="24"/>
        </w:rPr>
        <w:t>类基金份额，持有</w:t>
      </w:r>
      <w:r>
        <w:rPr>
          <w:rFonts w:ascii="Times New Roman" w:hAnsi="Times New Roman" w:hint="eastAsia"/>
          <w:sz w:val="24"/>
        </w:rPr>
        <w:t>期限为</w:t>
      </w:r>
      <w:r>
        <w:rPr>
          <w:rFonts w:ascii="Times New Roman" w:hAnsi="Times New Roman"/>
          <w:sz w:val="24"/>
        </w:rPr>
        <w:t>6</w:t>
      </w:r>
      <w:r>
        <w:rPr>
          <w:rFonts w:ascii="Times New Roman" w:hAnsi="Times New Roman"/>
          <w:sz w:val="24"/>
        </w:rPr>
        <w:t>日，对应的赎回费率为</w:t>
      </w:r>
      <w:r>
        <w:rPr>
          <w:rFonts w:ascii="Times New Roman" w:hAnsi="Times New Roman"/>
          <w:sz w:val="24"/>
        </w:rPr>
        <w:t>1.5%</w:t>
      </w:r>
      <w:r>
        <w:rPr>
          <w:rFonts w:ascii="Times New Roman" w:hAnsi="Times New Roman"/>
          <w:sz w:val="24"/>
        </w:rPr>
        <w:t>，假设赎回当日</w:t>
      </w:r>
      <w:r>
        <w:rPr>
          <w:rFonts w:ascii="Times New Roman" w:hAnsi="Times New Roman"/>
          <w:sz w:val="24"/>
        </w:rPr>
        <w:t>C</w:t>
      </w:r>
      <w:r>
        <w:rPr>
          <w:rFonts w:ascii="Times New Roman" w:hAnsi="Times New Roman"/>
          <w:sz w:val="24"/>
        </w:rPr>
        <w:t>类基金份额净值是</w:t>
      </w:r>
      <w:r>
        <w:rPr>
          <w:rFonts w:ascii="Times New Roman" w:hAnsi="Times New Roman"/>
          <w:sz w:val="24"/>
        </w:rPr>
        <w:t>1.0160</w:t>
      </w:r>
      <w:r>
        <w:rPr>
          <w:rFonts w:ascii="Times New Roman" w:hAnsi="Times New Roman"/>
          <w:sz w:val="24"/>
        </w:rPr>
        <w:t>元，则其可得到的赎回金额为：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赎回费用</w:t>
      </w:r>
      <w:r>
        <w:rPr>
          <w:rFonts w:ascii="Times New Roman" w:hAnsi="Times New Roman"/>
          <w:sz w:val="24"/>
        </w:rPr>
        <w:t>=100,000.00×1.0160×1.5%</w:t>
      </w:r>
      <w:r>
        <w:rPr>
          <w:rFonts w:ascii="Times New Roman" w:hAnsi="Times New Roman"/>
          <w:sz w:val="24"/>
        </w:rPr>
        <w:t>＝</w:t>
      </w:r>
      <w:r>
        <w:rPr>
          <w:rFonts w:ascii="Times New Roman" w:hAnsi="Times New Roman"/>
          <w:sz w:val="24"/>
        </w:rPr>
        <w:t>1,524.00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赎回金额</w:t>
      </w:r>
      <w:r>
        <w:rPr>
          <w:rFonts w:ascii="Times New Roman" w:hAnsi="Times New Roman"/>
          <w:sz w:val="24"/>
        </w:rPr>
        <w:t>=100,000.00×1.0160-1,524.00</w:t>
      </w:r>
      <w:r>
        <w:rPr>
          <w:rFonts w:ascii="Times New Roman" w:hAnsi="Times New Roman"/>
          <w:sz w:val="24"/>
        </w:rPr>
        <w:t>＝</w:t>
      </w:r>
      <w:r>
        <w:rPr>
          <w:rFonts w:ascii="Times New Roman" w:hAnsi="Times New Roman"/>
          <w:sz w:val="24"/>
        </w:rPr>
        <w:t>100,076.00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即：</w:t>
      </w:r>
      <w:r>
        <w:rPr>
          <w:rFonts w:ascii="Times New Roman" w:hAnsi="Times New Roman" w:hint="eastAsia"/>
          <w:sz w:val="24"/>
        </w:rPr>
        <w:t>该</w:t>
      </w:r>
      <w:r>
        <w:rPr>
          <w:rFonts w:ascii="Times New Roman" w:hAnsi="Times New Roman"/>
          <w:sz w:val="24"/>
        </w:rPr>
        <w:t>投资者赎回</w:t>
      </w:r>
      <w:r>
        <w:rPr>
          <w:rFonts w:ascii="Times New Roman" w:hAnsi="Times New Roman"/>
          <w:sz w:val="24"/>
        </w:rPr>
        <w:t>100,000.00</w:t>
      </w:r>
      <w:r>
        <w:rPr>
          <w:rFonts w:ascii="Times New Roman" w:hAnsi="Times New Roman"/>
          <w:sz w:val="24"/>
        </w:rPr>
        <w:t>份</w:t>
      </w:r>
      <w:r>
        <w:rPr>
          <w:rFonts w:ascii="Times New Roman" w:hAnsi="Times New Roman"/>
          <w:sz w:val="24"/>
        </w:rPr>
        <w:t>C</w:t>
      </w:r>
      <w:r>
        <w:rPr>
          <w:rFonts w:ascii="Times New Roman" w:hAnsi="Times New Roman"/>
          <w:sz w:val="24"/>
        </w:rPr>
        <w:t>类基金份额，</w:t>
      </w:r>
      <w:r>
        <w:rPr>
          <w:rFonts w:ascii="Times New Roman" w:hAnsi="Times New Roman" w:hint="eastAsia"/>
          <w:sz w:val="24"/>
        </w:rPr>
        <w:t>持有期限为</w:t>
      </w:r>
      <w:r>
        <w:rPr>
          <w:rFonts w:ascii="Times New Roman" w:hAnsi="Times New Roman"/>
          <w:sz w:val="24"/>
        </w:rPr>
        <w:t>6</w:t>
      </w:r>
      <w:r>
        <w:rPr>
          <w:rFonts w:ascii="Times New Roman" w:hAnsi="Times New Roman" w:hint="eastAsia"/>
          <w:sz w:val="24"/>
        </w:rPr>
        <w:t>日，</w:t>
      </w:r>
      <w:r>
        <w:rPr>
          <w:rFonts w:ascii="Times New Roman" w:hAnsi="Times New Roman"/>
          <w:sz w:val="24"/>
        </w:rPr>
        <w:t>对应的赎回费率为</w:t>
      </w:r>
      <w:r>
        <w:rPr>
          <w:rFonts w:ascii="Times New Roman" w:hAnsi="Times New Roman"/>
          <w:sz w:val="24"/>
        </w:rPr>
        <w:t>1.5%</w:t>
      </w:r>
      <w:r>
        <w:rPr>
          <w:rFonts w:ascii="Times New Roman" w:hAnsi="Times New Roman"/>
          <w:sz w:val="24"/>
        </w:rPr>
        <w:t>，假设赎回当日</w:t>
      </w:r>
      <w:r>
        <w:rPr>
          <w:rFonts w:ascii="Times New Roman" w:hAnsi="Times New Roman"/>
          <w:sz w:val="24"/>
        </w:rPr>
        <w:t>C</w:t>
      </w:r>
      <w:r>
        <w:rPr>
          <w:rFonts w:ascii="Times New Roman" w:hAnsi="Times New Roman"/>
          <w:sz w:val="24"/>
        </w:rPr>
        <w:t>类基金份额净值是</w:t>
      </w:r>
      <w:r>
        <w:rPr>
          <w:rFonts w:ascii="Times New Roman" w:hAnsi="Times New Roman"/>
          <w:sz w:val="24"/>
        </w:rPr>
        <w:t>1.0160</w:t>
      </w:r>
      <w:r>
        <w:rPr>
          <w:rFonts w:ascii="Times New Roman" w:hAnsi="Times New Roman"/>
          <w:sz w:val="24"/>
        </w:rPr>
        <w:t>元，则其可得到的赎回金额为</w:t>
      </w:r>
      <w:r>
        <w:rPr>
          <w:rFonts w:ascii="Times New Roman" w:hAnsi="Times New Roman"/>
          <w:sz w:val="24"/>
        </w:rPr>
        <w:t>100,076.00</w:t>
      </w:r>
      <w:r>
        <w:rPr>
          <w:rFonts w:ascii="Times New Roman" w:hAnsi="Times New Roman"/>
          <w:sz w:val="24"/>
        </w:rPr>
        <w:t>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、基金份额净值的计算公式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A</w:t>
      </w:r>
      <w:r>
        <w:rPr>
          <w:rFonts w:ascii="Times New Roman" w:hAnsi="Times New Roman"/>
          <w:sz w:val="24"/>
        </w:rPr>
        <w:t>类基金份额净值＝</w:t>
      </w:r>
      <w:r>
        <w:rPr>
          <w:rFonts w:ascii="Times New Roman" w:hAnsi="Times New Roman"/>
          <w:sz w:val="24"/>
        </w:rPr>
        <w:t>A</w:t>
      </w:r>
      <w:r>
        <w:rPr>
          <w:rFonts w:ascii="Times New Roman" w:hAnsi="Times New Roman"/>
          <w:sz w:val="24"/>
        </w:rPr>
        <w:t>类基金份额的基金资产净值总额</w:t>
      </w:r>
      <w:r>
        <w:rPr>
          <w:rFonts w:ascii="Times New Roman" w:hAnsi="Times New Roman"/>
          <w:sz w:val="24"/>
        </w:rPr>
        <w:t>/</w:t>
      </w:r>
      <w:r>
        <w:rPr>
          <w:rFonts w:ascii="Times New Roman" w:hAnsi="Times New Roman"/>
          <w:sz w:val="24"/>
        </w:rPr>
        <w:t>发行在外的</w:t>
      </w:r>
      <w:r>
        <w:rPr>
          <w:rFonts w:ascii="Times New Roman" w:hAnsi="Times New Roman"/>
          <w:sz w:val="24"/>
        </w:rPr>
        <w:t>A</w:t>
      </w:r>
      <w:r>
        <w:rPr>
          <w:rFonts w:ascii="Times New Roman" w:hAnsi="Times New Roman"/>
          <w:sz w:val="24"/>
        </w:rPr>
        <w:t>类基金份额总数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C</w:t>
      </w:r>
      <w:r>
        <w:rPr>
          <w:rFonts w:ascii="Times New Roman" w:hAnsi="Times New Roman"/>
          <w:sz w:val="24"/>
        </w:rPr>
        <w:t>类基金份额净值＝</w:t>
      </w:r>
      <w:r>
        <w:rPr>
          <w:rFonts w:ascii="Times New Roman" w:hAnsi="Times New Roman"/>
          <w:sz w:val="24"/>
        </w:rPr>
        <w:t>C</w:t>
      </w:r>
      <w:r>
        <w:rPr>
          <w:rFonts w:ascii="Times New Roman" w:hAnsi="Times New Roman"/>
          <w:sz w:val="24"/>
        </w:rPr>
        <w:t>类基金份额的基金资产净值总额</w:t>
      </w:r>
      <w:r>
        <w:rPr>
          <w:rFonts w:ascii="Times New Roman" w:hAnsi="Times New Roman"/>
          <w:sz w:val="24"/>
        </w:rPr>
        <w:t>/</w:t>
      </w:r>
      <w:r>
        <w:rPr>
          <w:rFonts w:ascii="Times New Roman" w:hAnsi="Times New Roman"/>
          <w:sz w:val="24"/>
        </w:rPr>
        <w:t>发行在外的</w:t>
      </w:r>
      <w:r>
        <w:rPr>
          <w:rFonts w:ascii="Times New Roman" w:hAnsi="Times New Roman"/>
          <w:sz w:val="24"/>
        </w:rPr>
        <w:t>C</w:t>
      </w:r>
      <w:r>
        <w:rPr>
          <w:rFonts w:ascii="Times New Roman" w:hAnsi="Times New Roman"/>
          <w:sz w:val="24"/>
        </w:rPr>
        <w:t>类基金份额总数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w:t>
      </w:r>
      <w:r>
        <w:rPr>
          <w:rFonts w:ascii="Times New Roman" w:hAnsi="Times New Roman"/>
          <w:sz w:val="24"/>
        </w:rPr>
        <w:t>T</w:t>
      </w:r>
      <w:r>
        <w:rPr>
          <w:rFonts w:ascii="Times New Roman" w:hAnsi="Times New Roman"/>
          <w:sz w:val="24"/>
        </w:rPr>
        <w:t>日的基金份额净值在当天收市后计算，并在</w:t>
      </w:r>
      <w:r>
        <w:rPr>
          <w:rFonts w:ascii="Times New Roman" w:hAnsi="Times New Roman"/>
          <w:sz w:val="24"/>
        </w:rPr>
        <w:t>T+1</w:t>
      </w:r>
      <w:r>
        <w:rPr>
          <w:rFonts w:ascii="Times New Roman" w:hAnsi="Times New Roman"/>
          <w:sz w:val="24"/>
        </w:rPr>
        <w:t>日（包括该日）内公告。遇特殊情况，经履行适当程序，可以适当延迟计算或公告。本基金</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类基金份额的基金份额净值的计算，</w:t>
      </w:r>
      <w:r>
        <w:rPr>
          <w:rFonts w:ascii="Times New Roman" w:hAnsi="Times New Roman" w:hint="eastAsia"/>
          <w:sz w:val="24"/>
        </w:rPr>
        <w:t>均</w:t>
      </w:r>
      <w:r>
        <w:rPr>
          <w:rFonts w:ascii="Times New Roman" w:hAnsi="Times New Roman"/>
          <w:sz w:val="24"/>
        </w:rPr>
        <w:t>保留到小数点后</w:t>
      </w:r>
      <w:r>
        <w:rPr>
          <w:rFonts w:ascii="Times New Roman" w:hAnsi="Times New Roman"/>
          <w:sz w:val="24"/>
        </w:rPr>
        <w:t>4</w:t>
      </w:r>
      <w:r>
        <w:rPr>
          <w:rFonts w:ascii="Times New Roman" w:hAnsi="Times New Roman"/>
          <w:sz w:val="24"/>
        </w:rPr>
        <w:t>位，小数点后第</w:t>
      </w:r>
      <w:r>
        <w:rPr>
          <w:rFonts w:ascii="Times New Roman" w:hAnsi="Times New Roman"/>
          <w:sz w:val="24"/>
        </w:rPr>
        <w:t>5</w:t>
      </w:r>
      <w:r>
        <w:rPr>
          <w:rFonts w:ascii="Times New Roman" w:hAnsi="Times New Roman"/>
          <w:sz w:val="24"/>
        </w:rPr>
        <w:t>位四舍五入，由此产生的收益或损失由基金财产承担。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（八）拒绝或暂停申购的情形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发生下列情况时，基金管理人可拒绝或暂停接受投资人的申购申请：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、因不可抗力导致基金无法正常运作。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、发生基金合同规定的暂停基金资产估值情况时，基金管理人可暂停接受投资人的申购申请。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、证券</w:t>
      </w:r>
      <w:r>
        <w:rPr>
          <w:rFonts w:ascii="Times New Roman" w:hAnsi="Times New Roman"/>
          <w:sz w:val="24"/>
        </w:rPr>
        <w:t>/</w:t>
      </w:r>
      <w:r>
        <w:rPr>
          <w:rFonts w:ascii="Times New Roman" w:hAnsi="Times New Roman"/>
          <w:sz w:val="24"/>
        </w:rPr>
        <w:t>期货交易所交易时间非正常停市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rFonts w:ascii="Times New Roman" w:hAnsi="Times New Roman"/>
          <w:sz w:val="24"/>
        </w:rPr>
        <w:t>，导致基金管理人无法计算当日基金资产净值。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、接受某笔或某些申购申请可能会影响或损害现有基金份额持有人利益时。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、基金资产规模过大，使基金管理人无法找到合适的投资品种，或其他可能对基金业绩产生负面影响，或发生其他损害现有基金份额持有人利益的情形。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、基金销售机构、基金销售支付结算机构或登记机构的异常情况导致基金销售系统、基金销售支付结算系统、基金注册登记系统或基金会计系统无法正常运行。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7</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w:t>
      </w:r>
      <w:proofErr w:type="gramStart"/>
      <w:r>
        <w:rPr>
          <w:rFonts w:ascii="Times New Roman" w:hAnsi="Times New Roman"/>
          <w:sz w:val="24"/>
        </w:rPr>
        <w:t>仍导致</w:t>
      </w:r>
      <w:proofErr w:type="gramEnd"/>
      <w:r>
        <w:rPr>
          <w:rFonts w:ascii="Times New Roman" w:hAnsi="Times New Roman"/>
          <w:sz w:val="24"/>
        </w:rPr>
        <w:t>公允价值存在重大不确定性时，经与基金托管人协商确认后，基金管理人应当暂停接受基金申购申请。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8</w:t>
      </w:r>
      <w:r>
        <w:rPr>
          <w:rFonts w:ascii="Times New Roman" w:hAnsi="Times New Roman"/>
          <w:sz w:val="24"/>
        </w:rPr>
        <w:t>、</w:t>
      </w:r>
      <w:r>
        <w:rPr>
          <w:rFonts w:ascii="Times New Roman" w:hAnsi="Times New Roman" w:hint="eastAsia"/>
          <w:sz w:val="24"/>
        </w:rPr>
        <w:t>港股</w:t>
      </w:r>
      <w:proofErr w:type="gramStart"/>
      <w:r>
        <w:rPr>
          <w:rFonts w:ascii="Times New Roman" w:hAnsi="Times New Roman" w:hint="eastAsia"/>
          <w:sz w:val="24"/>
        </w:rPr>
        <w:t>通交易</w:t>
      </w:r>
      <w:proofErr w:type="gramEnd"/>
      <w:r>
        <w:rPr>
          <w:rFonts w:ascii="Times New Roman" w:hAnsi="Times New Roman" w:hint="eastAsia"/>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9</w:t>
      </w:r>
      <w:r>
        <w:rPr>
          <w:rFonts w:ascii="Times New Roman" w:hAnsi="Times New Roman" w:hint="eastAsia"/>
          <w:sz w:val="24"/>
        </w:rPr>
        <w:t>、</w:t>
      </w:r>
      <w:r>
        <w:rPr>
          <w:rFonts w:ascii="Times New Roman" w:hAnsi="Times New Roman"/>
          <w:sz w:val="24"/>
        </w:rPr>
        <w:t>基金管理人接受某笔或者某些申购申请有可能导致单一投资者持有基金份额的比例超过</w:t>
      </w:r>
      <w:r>
        <w:rPr>
          <w:rFonts w:ascii="Times New Roman" w:hAnsi="Times New Roman"/>
          <w:sz w:val="24"/>
        </w:rPr>
        <w:t>50%</w:t>
      </w:r>
      <w:r>
        <w:rPr>
          <w:rFonts w:ascii="Times New Roman" w:hAnsi="Times New Roman"/>
          <w:sz w:val="24"/>
        </w:rPr>
        <w:t>，或者变相规避</w:t>
      </w:r>
      <w:r>
        <w:rPr>
          <w:rFonts w:ascii="Times New Roman" w:hAnsi="Times New Roman"/>
          <w:sz w:val="24"/>
        </w:rPr>
        <w:t>50%</w:t>
      </w:r>
      <w:r>
        <w:rPr>
          <w:rFonts w:ascii="Times New Roman" w:hAnsi="Times New Roman"/>
          <w:sz w:val="24"/>
        </w:rPr>
        <w:t>集中度的。出现上述情形时，基金管理人有权将上述申购申请全部或部分确认失败。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、法律法规规定、中国证监会认定或基金合同约定的其他情形。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发生上述第</w:t>
      </w:r>
      <w:r>
        <w:rPr>
          <w:rFonts w:ascii="Times New Roman" w:hAnsi="Times New Roman"/>
          <w:sz w:val="24"/>
        </w:rPr>
        <w:t>1</w:t>
      </w: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3</w:t>
      </w:r>
      <w:r>
        <w:rPr>
          <w:rFonts w:ascii="Times New Roman" w:hAnsi="Times New Roman"/>
          <w:sz w:val="24"/>
        </w:rPr>
        <w:t>、</w:t>
      </w:r>
      <w:r>
        <w:rPr>
          <w:rFonts w:ascii="Times New Roman" w:hAnsi="Times New Roman"/>
          <w:sz w:val="24"/>
        </w:rPr>
        <w:t>5</w:t>
      </w:r>
      <w:r>
        <w:rPr>
          <w:rFonts w:ascii="Times New Roman" w:hAnsi="Times New Roman"/>
          <w:sz w:val="24"/>
        </w:rPr>
        <w:t>、</w:t>
      </w:r>
      <w:r>
        <w:rPr>
          <w:rFonts w:ascii="Times New Roman" w:hAnsi="Times New Roman"/>
          <w:sz w:val="24"/>
        </w:rPr>
        <w:t>6</w:t>
      </w:r>
      <w:r>
        <w:rPr>
          <w:rFonts w:ascii="Times New Roman" w:hAnsi="Times New Roman"/>
          <w:sz w:val="24"/>
        </w:rPr>
        <w:t>、</w:t>
      </w:r>
      <w:r>
        <w:rPr>
          <w:rFonts w:ascii="Times New Roman" w:hAnsi="Times New Roman"/>
          <w:sz w:val="24"/>
        </w:rPr>
        <w:t>7</w:t>
      </w:r>
      <w:r>
        <w:rPr>
          <w:rFonts w:ascii="Times New Roman" w:hAnsi="Times New Roman"/>
          <w:sz w:val="24"/>
        </w:rPr>
        <w:t>、</w:t>
      </w:r>
      <w:r>
        <w:rPr>
          <w:rFonts w:ascii="Times New Roman" w:hAnsi="Times New Roman"/>
          <w:sz w:val="24"/>
        </w:rPr>
        <w:t>8</w:t>
      </w:r>
      <w:r>
        <w:rPr>
          <w:rFonts w:ascii="Times New Roman" w:hAnsi="Times New Roman" w:hint="eastAsia"/>
          <w:sz w:val="24"/>
        </w:rPr>
        <w:t>、</w:t>
      </w:r>
      <w:r>
        <w:rPr>
          <w:rFonts w:ascii="Times New Roman" w:hAnsi="Times New Roman" w:hint="eastAsia"/>
          <w:sz w:val="24"/>
        </w:rPr>
        <w:t>1</w:t>
      </w:r>
      <w:r>
        <w:rPr>
          <w:rFonts w:ascii="Times New Roman" w:hAnsi="Times New Roman"/>
          <w:sz w:val="24"/>
        </w:rPr>
        <w:t>0</w:t>
      </w:r>
      <w:r>
        <w:rPr>
          <w:rFonts w:ascii="Times New Roman" w:hAnsi="Times New Roman"/>
          <w:sz w:val="24"/>
        </w:rPr>
        <w:t>项暂停申购情形之一</w:t>
      </w:r>
      <w:proofErr w:type="gramStart"/>
      <w:r>
        <w:rPr>
          <w:rFonts w:ascii="Times New Roman" w:hAnsi="Times New Roman"/>
          <w:sz w:val="24"/>
        </w:rPr>
        <w:t>且基金</w:t>
      </w:r>
      <w:proofErr w:type="gramEnd"/>
      <w:r>
        <w:rPr>
          <w:rFonts w:ascii="Times New Roman" w:hAnsi="Times New Roman"/>
          <w:sz w:val="24"/>
        </w:rPr>
        <w:t>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（九）暂停赎回或延缓支付赎回款项的情形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发生下列情形时，基金管理人可暂停接受投资人的赎回申请或延缓支付赎回款项：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、因不可抗力导致基金管理人不能支付赎回款项。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、发生基金合同规定的暂停基金资产估值情况时，基金管理人可暂停接受投资人的赎回申请或延缓支付赎回款项。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、证券</w:t>
      </w:r>
      <w:r>
        <w:rPr>
          <w:rFonts w:ascii="Times New Roman" w:hAnsi="Times New Roman"/>
          <w:sz w:val="24"/>
        </w:rPr>
        <w:t>/</w:t>
      </w:r>
      <w:r>
        <w:rPr>
          <w:rFonts w:ascii="Times New Roman" w:hAnsi="Times New Roman"/>
          <w:sz w:val="24"/>
        </w:rPr>
        <w:t>期货交易所交易时间非正常停市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rFonts w:ascii="Times New Roman" w:hAnsi="Times New Roman"/>
          <w:sz w:val="24"/>
        </w:rPr>
        <w:t>，导致基金管理人无法计算当日基金资产净值。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、连续两个或两个以上开放日发生巨额赎回。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、发生继续接受赎回申请将损害现有基金份额持有人利益的情形时，基金管理人可暂停接受基金份额持有人的赎回申请。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、指数编制单位或指数发布机构因异常情况使</w:t>
      </w:r>
      <w:r>
        <w:rPr>
          <w:rFonts w:ascii="Times New Roman" w:hAnsi="Times New Roman" w:hint="eastAsia"/>
          <w:sz w:val="24"/>
        </w:rPr>
        <w:t>标的</w:t>
      </w:r>
      <w:r>
        <w:rPr>
          <w:rFonts w:ascii="Times New Roman" w:hAnsi="Times New Roman"/>
          <w:sz w:val="24"/>
        </w:rPr>
        <w:t>指数数据无法正常计算、计算错误或发布异常时。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、当前一估值日基金资产净值</w:t>
      </w:r>
      <w:r>
        <w:rPr>
          <w:rFonts w:ascii="Times New Roman" w:hAnsi="Times New Roman"/>
          <w:sz w:val="24"/>
        </w:rPr>
        <w:t>50%</w:t>
      </w:r>
      <w:r>
        <w:rPr>
          <w:rFonts w:ascii="Times New Roman" w:hAnsi="Times New Roman"/>
          <w:sz w:val="24"/>
        </w:rPr>
        <w:t>以上的资产出现无可参考的活跃市场价格且采用估值技术</w:t>
      </w:r>
      <w:proofErr w:type="gramStart"/>
      <w:r>
        <w:rPr>
          <w:rFonts w:ascii="Times New Roman" w:hAnsi="Times New Roman"/>
          <w:sz w:val="24"/>
        </w:rPr>
        <w:t>仍导致</w:t>
      </w:r>
      <w:proofErr w:type="gramEnd"/>
      <w:r>
        <w:rPr>
          <w:rFonts w:ascii="Times New Roman" w:hAnsi="Times New Roman"/>
          <w:sz w:val="24"/>
        </w:rPr>
        <w:t>公允价值存在重大不确定性时，经与基金托管人协商确认后，基金管理人应当延缓支付赎回款项或暂停接受基金赎回申请。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8</w:t>
      </w:r>
      <w:r>
        <w:rPr>
          <w:rFonts w:ascii="Times New Roman" w:hAnsi="Times New Roman"/>
          <w:sz w:val="24"/>
        </w:rPr>
        <w:t>、法律法规规定、中国证监会认定或基金合同约定的其他情形。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发生上述情形之一</w:t>
      </w:r>
      <w:proofErr w:type="gramStart"/>
      <w:r>
        <w:rPr>
          <w:rFonts w:ascii="Times New Roman" w:hAnsi="Times New Roman"/>
          <w:sz w:val="24"/>
        </w:rPr>
        <w:t>且基金</w:t>
      </w:r>
      <w:proofErr w:type="gramEnd"/>
      <w:r>
        <w:rPr>
          <w:rFonts w:ascii="Times New Roman" w:hAnsi="Times New Roman"/>
          <w:sz w:val="24"/>
        </w:rPr>
        <w:t>管理人决定暂停接受基金份额持有人的赎回申请或延缓支付赎回款项时，基金管理人应</w:t>
      </w:r>
      <w:r>
        <w:rPr>
          <w:rFonts w:ascii="Times New Roman" w:hAnsi="Times New Roman" w:hint="eastAsia"/>
          <w:sz w:val="24"/>
        </w:rPr>
        <w:t>及时</w:t>
      </w:r>
      <w:r>
        <w:rPr>
          <w:rFonts w:ascii="Times New Roman" w:hAnsi="Times New Roman"/>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hAnsi="Times New Roman"/>
          <w:sz w:val="24"/>
        </w:rPr>
        <w:t>4</w:t>
      </w:r>
      <w:r>
        <w:rPr>
          <w:rFonts w:ascii="Times New Roman" w:hAnsi="Times New Roman"/>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（十）巨额赎回的情形及处理方式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、巨额赎回的认定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ascii="Times New Roman" w:hAnsi="Times New Roman"/>
          <w:sz w:val="24"/>
        </w:rPr>
        <w:t>，即认为是发生了巨额赎回。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、巨额赎回的处理方式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当基金出现巨额赎回时，基金管理人可以根据基金当时的资产组合状况决定全额赎回或部分延期赎回。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）全额赎回：当基金管理人认为有能力支付投资人的全部赎回申请时，按正常赎回程序执行。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imes New Roman" w:hAnsi="Times New Roman"/>
          <w:sz w:val="24"/>
        </w:rPr>
        <w:t>并以下</w:t>
      </w:r>
      <w:proofErr w:type="gramEnd"/>
      <w:r>
        <w:rPr>
          <w:rFonts w:ascii="Times New Roman" w:hAnsi="Times New Roman"/>
          <w:sz w:val="24"/>
        </w:rPr>
        <w:t>一开放日</w:t>
      </w:r>
      <w:r>
        <w:rPr>
          <w:rFonts w:ascii="Times New Roman" w:hAnsi="Times New Roman" w:hint="eastAsia"/>
          <w:bCs/>
          <w:sz w:val="24"/>
        </w:rPr>
        <w:t>该类基金份额</w:t>
      </w:r>
      <w:r>
        <w:rPr>
          <w:rFonts w:ascii="Times New Roman" w:hAnsi="Times New Roman"/>
          <w:sz w:val="24"/>
        </w:rPr>
        <w:t>的基金份额净值为基础计算赎回金额，以此类推，直到全部赎回为止。如投资人在提交赎回申请时未作明确选择，投资人未能赎回部分作自动延期赎回处理。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）本基金如发生巨额赎回且单个开放日内单个基金份额持有人申请赎回的</w:t>
      </w:r>
      <w:r>
        <w:rPr>
          <w:rFonts w:ascii="Times New Roman" w:hAnsi="Times New Roman"/>
          <w:sz w:val="24"/>
        </w:rPr>
        <w:lastRenderedPageBreak/>
        <w:t>基金份额超过前一开放日的基金总份额的</w:t>
      </w:r>
      <w:r>
        <w:rPr>
          <w:rFonts w:ascii="Times New Roman" w:hAnsi="Times New Roman"/>
          <w:sz w:val="24"/>
        </w:rPr>
        <w:t>20%</w:t>
      </w:r>
      <w:r>
        <w:rPr>
          <w:rFonts w:ascii="Times New Roman" w:hAnsi="Times New Roman"/>
          <w:sz w:val="24"/>
        </w:rPr>
        <w:t>时，本基金管理人有权采取如下措施：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对于基金份额持有人当日超过</w:t>
      </w:r>
      <w:r>
        <w:rPr>
          <w:rFonts w:ascii="Times New Roman" w:hAnsi="Times New Roman"/>
          <w:sz w:val="24"/>
        </w:rPr>
        <w:t>20%</w:t>
      </w:r>
      <w:r>
        <w:rPr>
          <w:rFonts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imes New Roman" w:hAnsi="Times New Roman"/>
          <w:sz w:val="24"/>
        </w:rPr>
        <w:t>并以下</w:t>
      </w:r>
      <w:proofErr w:type="gramEnd"/>
      <w:r>
        <w:rPr>
          <w:rFonts w:ascii="Times New Roman" w:hAnsi="Times New Roman"/>
          <w:sz w:val="24"/>
        </w:rPr>
        <w:t>一开放日</w:t>
      </w:r>
      <w:r>
        <w:rPr>
          <w:rFonts w:ascii="Times New Roman" w:hAnsi="Times New Roman" w:hint="eastAsia"/>
          <w:bCs/>
          <w:sz w:val="24"/>
        </w:rPr>
        <w:t>该类基金份额</w:t>
      </w:r>
      <w:r>
        <w:rPr>
          <w:rFonts w:ascii="Times New Roman" w:hAnsi="Times New Roman"/>
          <w:sz w:val="24"/>
        </w:rPr>
        <w:t>的基金份额净值为基础计算赎回金额，以此类推，直到全部赎回为止。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对于基金份额持有人未超过上述比例的部分，基金管理人可以根据</w:t>
      </w:r>
      <w:r>
        <w:rPr>
          <w:rFonts w:ascii="Times New Roman" w:hAnsi="Times New Roman" w:hint="eastAsia"/>
          <w:sz w:val="24"/>
        </w:rPr>
        <w:t>前述</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）全额赎回</w:t>
      </w:r>
      <w:r>
        <w:rPr>
          <w:rFonts w:ascii="Times New Roman" w:hAnsi="Times New Roman"/>
          <w:sz w:val="24"/>
        </w:rPr>
        <w:t>”</w:t>
      </w:r>
      <w:r>
        <w:rPr>
          <w:rFonts w:ascii="Times New Roman" w:hAnsi="Times New Roman"/>
          <w:sz w:val="24"/>
        </w:rPr>
        <w:t>或</w:t>
      </w:r>
      <w:r>
        <w:rPr>
          <w:rFonts w:ascii="Times New Roman" w:hAnsi="Times New Roman"/>
          <w:sz w:val="24"/>
        </w:rPr>
        <w:t>“</w:t>
      </w:r>
      <w:r>
        <w:rPr>
          <w:rFonts w:ascii="Times New Roman" w:hAnsi="Times New Roman"/>
          <w:sz w:val="24"/>
        </w:rPr>
        <w:t>（</w:t>
      </w:r>
      <w:r>
        <w:rPr>
          <w:rFonts w:ascii="Times New Roman" w:hAnsi="Times New Roman"/>
          <w:sz w:val="24"/>
        </w:rPr>
        <w:t>2</w:t>
      </w:r>
      <w:r>
        <w:rPr>
          <w:rFonts w:ascii="Times New Roman" w:hAnsi="Times New Roman"/>
          <w:sz w:val="24"/>
        </w:rPr>
        <w:t>）部分延期赎回</w:t>
      </w:r>
      <w:r>
        <w:rPr>
          <w:rFonts w:ascii="Times New Roman" w:hAnsi="Times New Roman"/>
          <w:sz w:val="24"/>
        </w:rPr>
        <w:t>”</w:t>
      </w:r>
      <w:r>
        <w:rPr>
          <w:rFonts w:ascii="Times New Roman" w:hAnsi="Times New Roman"/>
          <w:sz w:val="24"/>
        </w:rPr>
        <w:t>的约定方式与其他基金份额持有人的赎回申请一并办理。但是，如基金份额持有人在当日选择取消赎回，则其当日未获受理的部分赎回申请将被撤销。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）暂停赎回：连续</w:t>
      </w:r>
      <w:r>
        <w:rPr>
          <w:rFonts w:ascii="Times New Roman" w:hAnsi="Times New Roman"/>
          <w:sz w:val="24"/>
        </w:rPr>
        <w:t>2</w:t>
      </w:r>
      <w:r>
        <w:rPr>
          <w:rFonts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ascii="Times New Roman" w:hAnsi="Times New Roman"/>
          <w:sz w:val="24"/>
        </w:rPr>
        <w:t>个工作日，并应当在规定媒介上进行公告。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、巨额赎回的公告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当发生上述巨额赎回并延期办理时，基金管理人应当通过邮寄、传真、刊登公告或者通知销售机构代为告知等方式在</w:t>
      </w:r>
      <w:r>
        <w:rPr>
          <w:rFonts w:ascii="Times New Roman" w:hAnsi="Times New Roman"/>
          <w:sz w:val="24"/>
        </w:rPr>
        <w:t>3</w:t>
      </w:r>
      <w:r>
        <w:rPr>
          <w:rFonts w:ascii="Times New Roman" w:hAnsi="Times New Roman"/>
          <w:sz w:val="24"/>
        </w:rPr>
        <w:t>个交易日内通知基金份额持有人，说明有关处理方法，并在</w:t>
      </w:r>
      <w:r>
        <w:rPr>
          <w:rFonts w:ascii="Times New Roman" w:hAnsi="Times New Roman"/>
          <w:sz w:val="24"/>
        </w:rPr>
        <w:t>2</w:t>
      </w:r>
      <w:r>
        <w:rPr>
          <w:rFonts w:ascii="Times New Roman" w:hAnsi="Times New Roman"/>
          <w:sz w:val="24"/>
        </w:rPr>
        <w:t>日内在规定媒介上刊登公告。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（十一）暂停申购或赎回的公告和重新开放申购或赎回的公告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、发生上述暂停申购或赎回情况的，基金管理人应在规定期限内在规定媒介上刊登暂停公告。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、如发生暂停的时间为</w:t>
      </w:r>
      <w:r>
        <w:rPr>
          <w:rFonts w:ascii="Times New Roman" w:hAnsi="Times New Roman"/>
          <w:sz w:val="24"/>
        </w:rPr>
        <w:t>1</w:t>
      </w:r>
      <w:r>
        <w:rPr>
          <w:rFonts w:ascii="Times New Roman" w:hAnsi="Times New Roman"/>
          <w:sz w:val="24"/>
        </w:rPr>
        <w:t>日，基金管理人应于重新开放日，在规定媒介上刊登基金重新开放申购或赎回公告，并公布最近</w:t>
      </w:r>
      <w:r>
        <w:rPr>
          <w:rFonts w:ascii="Times New Roman" w:hAnsi="Times New Roman"/>
          <w:sz w:val="24"/>
        </w:rPr>
        <w:t>1</w:t>
      </w:r>
      <w:r>
        <w:rPr>
          <w:rFonts w:ascii="Times New Roman" w:hAnsi="Times New Roman"/>
          <w:sz w:val="24"/>
        </w:rPr>
        <w:t>个开放日的各类基金份额</w:t>
      </w:r>
      <w:r>
        <w:rPr>
          <w:rFonts w:ascii="Times New Roman" w:hAnsi="Times New Roman" w:hint="eastAsia"/>
          <w:bCs/>
          <w:sz w:val="24"/>
        </w:rPr>
        <w:t>的基金份额</w:t>
      </w:r>
      <w:r>
        <w:rPr>
          <w:rFonts w:ascii="Times New Roman" w:hAnsi="Times New Roman"/>
          <w:sz w:val="24"/>
        </w:rPr>
        <w:t>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、如发生暂停的时间超过</w:t>
      </w:r>
      <w:r>
        <w:rPr>
          <w:rFonts w:ascii="Times New Roman" w:hAnsi="Times New Roman"/>
          <w:sz w:val="24"/>
        </w:rPr>
        <w:t>1</w:t>
      </w:r>
      <w:r>
        <w:rPr>
          <w:rFonts w:ascii="Times New Roman" w:hAnsi="Times New Roman"/>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（十二）</w:t>
      </w:r>
      <w:r>
        <w:rPr>
          <w:rFonts w:ascii="Times New Roman" w:hAnsi="Times New Roman" w:hint="eastAsia"/>
          <w:sz w:val="24"/>
        </w:rPr>
        <w:t>基金转换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（十三）</w:t>
      </w:r>
      <w:r>
        <w:rPr>
          <w:rFonts w:ascii="Times New Roman" w:hAnsi="Times New Roman"/>
          <w:sz w:val="24"/>
        </w:rPr>
        <w:t>基金的</w:t>
      </w:r>
      <w:proofErr w:type="gramStart"/>
      <w:r>
        <w:rPr>
          <w:rFonts w:ascii="Times New Roman" w:hAnsi="Times New Roman"/>
          <w:sz w:val="24"/>
        </w:rPr>
        <w:t>非交易</w:t>
      </w:r>
      <w:proofErr w:type="gramEnd"/>
      <w:r>
        <w:rPr>
          <w:rFonts w:ascii="Times New Roman" w:hAnsi="Times New Roman"/>
          <w:sz w:val="24"/>
        </w:rPr>
        <w:t>过户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基金的</w:t>
      </w:r>
      <w:proofErr w:type="gramStart"/>
      <w:r>
        <w:rPr>
          <w:rFonts w:ascii="Times New Roman" w:hAnsi="Times New Roman"/>
          <w:sz w:val="24"/>
        </w:rPr>
        <w:t>非交易</w:t>
      </w:r>
      <w:proofErr w:type="gramEnd"/>
      <w:r>
        <w:rPr>
          <w:rFonts w:ascii="Times New Roman" w:hAnsi="Times New Roman"/>
          <w:sz w:val="24"/>
        </w:rPr>
        <w:t>过户是指基金登记机构受理继承、捐赠和司法强制执行等情形而产生的</w:t>
      </w:r>
      <w:proofErr w:type="gramStart"/>
      <w:r>
        <w:rPr>
          <w:rFonts w:ascii="Times New Roman" w:hAnsi="Times New Roman"/>
          <w:sz w:val="24"/>
        </w:rPr>
        <w:t>非交易</w:t>
      </w:r>
      <w:proofErr w:type="gramEnd"/>
      <w:r>
        <w:rPr>
          <w:rFonts w:ascii="Times New Roman" w:hAnsi="Times New Roman"/>
          <w:sz w:val="24"/>
        </w:rPr>
        <w:t>过户以及登记机构认可、符合法律法规的其它</w:t>
      </w:r>
      <w:proofErr w:type="gramStart"/>
      <w:r>
        <w:rPr>
          <w:rFonts w:ascii="Times New Roman" w:hAnsi="Times New Roman"/>
          <w:sz w:val="24"/>
        </w:rPr>
        <w:t>非交易</w:t>
      </w:r>
      <w:proofErr w:type="gramEnd"/>
      <w:r>
        <w:rPr>
          <w:rFonts w:ascii="Times New Roman" w:hAnsi="Times New Roman"/>
          <w:sz w:val="24"/>
        </w:rPr>
        <w:t>过户。无论在上述何种情况下，接受划转的主体必须是依法可以持有本</w:t>
      </w:r>
      <w:proofErr w:type="gramStart"/>
      <w:r>
        <w:rPr>
          <w:rFonts w:ascii="Times New Roman" w:hAnsi="Times New Roman"/>
          <w:sz w:val="24"/>
        </w:rPr>
        <w:t>基金基金</w:t>
      </w:r>
      <w:proofErr w:type="gramEnd"/>
      <w:r>
        <w:rPr>
          <w:rFonts w:ascii="Times New Roman" w:hAnsi="Times New Roman"/>
          <w:sz w:val="24"/>
        </w:rPr>
        <w:t>份额的投资人。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继承是指基金份额持有人死亡，其持有的基金份额由其合法的继承人继承；</w:t>
      </w:r>
      <w:proofErr w:type="gramStart"/>
      <w:r>
        <w:rPr>
          <w:rFonts w:ascii="Times New Roman" w:hAnsi="Times New Roman"/>
          <w:sz w:val="24"/>
        </w:rPr>
        <w:t>捐赠指</w:t>
      </w:r>
      <w:proofErr w:type="gramEnd"/>
      <w:r>
        <w:rPr>
          <w:rFonts w:ascii="Times New Roman" w:hAnsi="Times New Roman"/>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imes New Roman" w:hAnsi="Times New Roman"/>
          <w:sz w:val="24"/>
        </w:rPr>
        <w:t>非交易</w:t>
      </w:r>
      <w:proofErr w:type="gramEnd"/>
      <w:r>
        <w:rPr>
          <w:rFonts w:ascii="Times New Roman" w:hAnsi="Times New Roman"/>
          <w:sz w:val="24"/>
        </w:rPr>
        <w:t>过户必须提供基金登记机构要求提供的相关资料，对于符合条件的</w:t>
      </w:r>
      <w:proofErr w:type="gramStart"/>
      <w:r>
        <w:rPr>
          <w:rFonts w:ascii="Times New Roman" w:hAnsi="Times New Roman"/>
          <w:sz w:val="24"/>
        </w:rPr>
        <w:t>非交易过户申请按</w:t>
      </w:r>
      <w:proofErr w:type="gramEnd"/>
      <w:r>
        <w:rPr>
          <w:rFonts w:ascii="Times New Roman" w:hAnsi="Times New Roman"/>
          <w:sz w:val="24"/>
        </w:rPr>
        <w:t>基金登记机构的规定办理，并按基金登记机构规定的标准收费。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w:t>
      </w:r>
      <w:r>
        <w:rPr>
          <w:rFonts w:ascii="Times New Roman" w:hAnsi="Times New Roman" w:hint="eastAsia"/>
          <w:sz w:val="24"/>
        </w:rPr>
        <w:t>四</w:t>
      </w:r>
      <w:r>
        <w:rPr>
          <w:rFonts w:ascii="Times New Roman" w:hAnsi="Times New Roman"/>
          <w:sz w:val="24"/>
        </w:rPr>
        <w:t>）基金的转托管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基金份额持有人可办理已持有基金份额在不同销售机构之间的转托管，基金销售机构可以按照规定的标准收取转托管费。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w:t>
      </w:r>
      <w:r>
        <w:rPr>
          <w:rFonts w:ascii="Times New Roman" w:hAnsi="Times New Roman" w:hint="eastAsia"/>
          <w:sz w:val="24"/>
        </w:rPr>
        <w:t>五</w:t>
      </w:r>
      <w:r>
        <w:rPr>
          <w:rFonts w:ascii="Times New Roman" w:hAnsi="Times New Roman"/>
          <w:sz w:val="24"/>
        </w:rPr>
        <w:t>）定期定额投资计划</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w:t>
      </w:r>
      <w:r>
        <w:rPr>
          <w:rFonts w:ascii="Times New Roman" w:hAnsi="Times New Roman" w:hint="eastAsia"/>
          <w:sz w:val="24"/>
        </w:rPr>
        <w:t>六</w:t>
      </w:r>
      <w:r>
        <w:rPr>
          <w:rFonts w:ascii="Times New Roman" w:hAnsi="Times New Roman"/>
          <w:sz w:val="24"/>
        </w:rPr>
        <w:t>）基金份额的冻结和解冻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基金登记机构只受理国家有权机关依法要求的基金份额的冻结与解冻，以及登记机构认可、符合法律法规的其他情况下的冻结与解冻。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w:t>
      </w:r>
      <w:r>
        <w:rPr>
          <w:rFonts w:ascii="Times New Roman" w:hAnsi="Times New Roman" w:hint="eastAsia"/>
          <w:sz w:val="24"/>
        </w:rPr>
        <w:t>七</w:t>
      </w:r>
      <w:r>
        <w:rPr>
          <w:rFonts w:ascii="Times New Roman" w:hAnsi="Times New Roman"/>
          <w:sz w:val="24"/>
        </w:rPr>
        <w:t>）基金份额的转让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（十</w:t>
      </w:r>
      <w:r>
        <w:rPr>
          <w:rFonts w:ascii="Times New Roman" w:hAnsi="Times New Roman" w:hint="eastAsia"/>
          <w:sz w:val="24"/>
        </w:rPr>
        <w:t>八</w:t>
      </w:r>
      <w:r>
        <w:rPr>
          <w:rFonts w:ascii="Times New Roman" w:hAnsi="Times New Roman"/>
          <w:sz w:val="24"/>
        </w:rPr>
        <w:t>）实施</w:t>
      </w:r>
      <w:proofErr w:type="gramStart"/>
      <w:r>
        <w:rPr>
          <w:rFonts w:ascii="Times New Roman" w:hAnsi="Times New Roman"/>
          <w:sz w:val="24"/>
        </w:rPr>
        <w:t>侧袋机制</w:t>
      </w:r>
      <w:proofErr w:type="gramEnd"/>
      <w:r>
        <w:rPr>
          <w:rFonts w:ascii="Times New Roman" w:hAnsi="Times New Roman"/>
          <w:sz w:val="24"/>
        </w:rPr>
        <w:t>期间本基金的申购与赎回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本基金实施</w:t>
      </w:r>
      <w:proofErr w:type="gramStart"/>
      <w:r>
        <w:rPr>
          <w:rFonts w:ascii="Times New Roman" w:hAnsi="Times New Roman"/>
          <w:sz w:val="24"/>
        </w:rPr>
        <w:t>侧袋机制</w:t>
      </w:r>
      <w:proofErr w:type="gramEnd"/>
      <w:r>
        <w:rPr>
          <w:rFonts w:ascii="Times New Roman" w:hAnsi="Times New Roman"/>
          <w:sz w:val="24"/>
        </w:rPr>
        <w:t>的，本基金的申购和赎回安排详见本招募说明书</w:t>
      </w:r>
      <w:r>
        <w:rPr>
          <w:rFonts w:ascii="Times New Roman" w:hAnsi="Times New Roman"/>
          <w:sz w:val="24"/>
        </w:rPr>
        <w:t>“</w:t>
      </w:r>
      <w:r>
        <w:rPr>
          <w:rFonts w:ascii="Times New Roman" w:hAnsi="Times New Roman"/>
          <w:sz w:val="24"/>
        </w:rPr>
        <w:t>侧袋机制</w:t>
      </w:r>
      <w:r>
        <w:rPr>
          <w:rFonts w:ascii="Times New Roman" w:hAnsi="Times New Roman"/>
          <w:sz w:val="24"/>
        </w:rPr>
        <w:t>”</w:t>
      </w:r>
      <w:r>
        <w:rPr>
          <w:rFonts w:ascii="Times New Roman" w:hAnsi="Times New Roman"/>
          <w:sz w:val="24"/>
        </w:rPr>
        <w:t>部分的规定或相关公告。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（十</w:t>
      </w:r>
      <w:r>
        <w:rPr>
          <w:rFonts w:ascii="Times New Roman" w:hAnsi="Times New Roman" w:hint="eastAsia"/>
          <w:sz w:val="24"/>
        </w:rPr>
        <w:t>九</w:t>
      </w:r>
      <w:r>
        <w:rPr>
          <w:rFonts w:ascii="Times New Roman" w:hAnsi="Times New Roman"/>
          <w:sz w:val="24"/>
        </w:rPr>
        <w:t>）其他业务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9A4701" w:rsidRDefault="00677B65">
      <w:pPr>
        <w:autoSpaceDE w:val="0"/>
        <w:autoSpaceDN w:val="0"/>
        <w:adjustRightInd w:val="0"/>
        <w:spacing w:line="360" w:lineRule="auto"/>
        <w:ind w:firstLineChars="200" w:firstLine="480"/>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23" w:name="_Toc147840627"/>
      <w:r>
        <w:rPr>
          <w:rFonts w:ascii="Times New Roman" w:hAnsi="Times New Roman" w:hint="eastAsia"/>
          <w:sz w:val="30"/>
        </w:rPr>
        <w:lastRenderedPageBreak/>
        <w:t>九</w:t>
      </w:r>
      <w:r>
        <w:rPr>
          <w:rFonts w:ascii="Times New Roman" w:hAnsi="Times New Roman"/>
          <w:sz w:val="30"/>
        </w:rPr>
        <w:t>、基金的投资</w:t>
      </w:r>
      <w:bookmarkEnd w:id="23"/>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（一）投资目标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本基金采用指数</w:t>
      </w:r>
      <w:proofErr w:type="gramStart"/>
      <w:r>
        <w:rPr>
          <w:rFonts w:ascii="Times New Roman" w:hAnsi="Times New Roman"/>
          <w:sz w:val="24"/>
        </w:rPr>
        <w:t>化投资</w:t>
      </w:r>
      <w:proofErr w:type="gramEnd"/>
      <w:r>
        <w:rPr>
          <w:rFonts w:ascii="Times New Roman" w:hAnsi="Times New Roman"/>
          <w:sz w:val="24"/>
        </w:rPr>
        <w:t>策略，紧密跟踪</w:t>
      </w:r>
      <w:r>
        <w:rPr>
          <w:rFonts w:ascii="Times New Roman" w:hAnsi="Times New Roman" w:hint="eastAsia"/>
          <w:bCs/>
          <w:sz w:val="24"/>
        </w:rPr>
        <w:t>中证</w:t>
      </w:r>
      <w:r>
        <w:rPr>
          <w:rFonts w:ascii="Times New Roman" w:hAnsi="Times New Roman"/>
          <w:bCs/>
          <w:sz w:val="24"/>
        </w:rPr>
        <w:t>港股</w:t>
      </w:r>
      <w:proofErr w:type="gramStart"/>
      <w:r>
        <w:rPr>
          <w:rFonts w:ascii="Times New Roman" w:hAnsi="Times New Roman"/>
          <w:bCs/>
          <w:sz w:val="24"/>
        </w:rPr>
        <w:t>通央企</w:t>
      </w:r>
      <w:proofErr w:type="gramEnd"/>
      <w:r>
        <w:rPr>
          <w:rFonts w:ascii="Times New Roman" w:hAnsi="Times New Roman"/>
          <w:bCs/>
          <w:sz w:val="24"/>
        </w:rPr>
        <w:t>红利</w:t>
      </w:r>
      <w:r>
        <w:rPr>
          <w:rFonts w:ascii="Times New Roman" w:hAnsi="Times New Roman" w:hint="eastAsia"/>
          <w:bCs/>
          <w:sz w:val="24"/>
        </w:rPr>
        <w:t>指数</w:t>
      </w:r>
      <w:r>
        <w:rPr>
          <w:rFonts w:ascii="Times New Roman" w:hAnsi="Times New Roman"/>
          <w:sz w:val="24"/>
        </w:rPr>
        <w:t>，追求跟踪偏离度与跟踪误差最小化。</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（二）投资范围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本基金的投资范围为具有良好流动性的金融工具，包括中证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指数的成份股（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凭证）、其他股票（</w:t>
      </w:r>
      <w:proofErr w:type="gramStart"/>
      <w:r>
        <w:rPr>
          <w:rFonts w:ascii="Times New Roman" w:hAnsi="Times New Roman" w:hint="eastAsia"/>
          <w:sz w:val="24"/>
        </w:rPr>
        <w:t>含创业</w:t>
      </w:r>
      <w:proofErr w:type="gramEnd"/>
      <w:r>
        <w:rPr>
          <w:rFonts w:ascii="Times New Roman" w:hAnsi="Times New Roman" w:hint="eastAsia"/>
          <w:sz w:val="24"/>
        </w:rPr>
        <w:t>板、</w:t>
      </w:r>
      <w:proofErr w:type="gramStart"/>
      <w:r>
        <w:rPr>
          <w:rFonts w:ascii="Times New Roman" w:hAnsi="Times New Roman" w:hint="eastAsia"/>
          <w:sz w:val="24"/>
        </w:rPr>
        <w:t>科创板</w:t>
      </w:r>
      <w:proofErr w:type="gramEnd"/>
      <w:r>
        <w:rPr>
          <w:rFonts w:ascii="Times New Roman" w:hAnsi="Times New Roman" w:hint="eastAsia"/>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Pr>
          <w:rFonts w:ascii="Times New Roman" w:hAnsi="Times New Roman" w:hint="eastAsia"/>
          <w:sz w:val="24"/>
        </w:rPr>
        <w:t>含可分离</w:t>
      </w:r>
      <w:proofErr w:type="gramEnd"/>
      <w:r>
        <w:rPr>
          <w:rFonts w:ascii="Times New Roman" w:hAnsi="Times New Roman" w:hint="eastAsia"/>
          <w:sz w:val="24"/>
        </w:rPr>
        <w:t>交易可转换债券）、可交换公司债券、次级债券、中期票据、短期融资</w:t>
      </w:r>
      <w:proofErr w:type="gramStart"/>
      <w:r>
        <w:rPr>
          <w:rFonts w:ascii="Times New Roman" w:hAnsi="Times New Roman" w:hint="eastAsia"/>
          <w:sz w:val="24"/>
        </w:rPr>
        <w:t>券</w:t>
      </w:r>
      <w:proofErr w:type="gramEnd"/>
      <w:r>
        <w:rPr>
          <w:rFonts w:ascii="Times New Roman" w:hAnsi="Times New Roman" w:hint="eastAsia"/>
          <w:sz w:val="24"/>
        </w:rPr>
        <w:t>、超短期融资</w:t>
      </w:r>
      <w:proofErr w:type="gramStart"/>
      <w:r>
        <w:rPr>
          <w:rFonts w:ascii="Times New Roman" w:hAnsi="Times New Roman" w:hint="eastAsia"/>
          <w:sz w:val="24"/>
        </w:rPr>
        <w:t>券</w:t>
      </w:r>
      <w:proofErr w:type="gramEnd"/>
      <w:r>
        <w:rPr>
          <w:rFonts w:ascii="Times New Roman" w:hAnsi="Times New Roman" w:hint="eastAsia"/>
          <w:sz w:val="24"/>
        </w:rPr>
        <w:t>等）、资产支持证券、货币市场工具、债券回购、同业存单、银行存款（</w:t>
      </w:r>
      <w:proofErr w:type="gramStart"/>
      <w:r>
        <w:rPr>
          <w:rFonts w:ascii="Times New Roman" w:hAnsi="Times New Roman" w:hint="eastAsia"/>
          <w:sz w:val="24"/>
        </w:rPr>
        <w:t>含协议</w:t>
      </w:r>
      <w:proofErr w:type="gramEnd"/>
      <w:r>
        <w:rPr>
          <w:rFonts w:ascii="Times New Roman" w:hAnsi="Times New Roman" w:hint="eastAsia"/>
          <w:sz w:val="24"/>
        </w:rPr>
        <w:t>存款、定期存款及其他银行存款）、股指期货以及法律法规或中国证监会允许基金投资的其他金融工具（但须符合中国证监会相关规定）。</w:t>
      </w:r>
    </w:p>
    <w:p w:rsidR="009A4701" w:rsidRDefault="00677B65">
      <w:pPr>
        <w:spacing w:line="360" w:lineRule="auto"/>
        <w:ind w:firstLine="480"/>
        <w:rPr>
          <w:bCs/>
          <w:sz w:val="24"/>
        </w:rPr>
      </w:pPr>
      <w:r>
        <w:rPr>
          <w:rFonts w:hint="eastAsia"/>
          <w:bCs/>
          <w:sz w:val="24"/>
        </w:rPr>
        <w:t>本基金可根据法律法规的规定参与融资及转融通证券出借业务。未来在法律法规允许的前提下，本基金可根据相关法律法规规定参与融券业务。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如法律法规或监管机构以后允许基金投资其他品种，基金管理人在履行适当程序后，可以将其纳入投资范围。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基金的投资组合比例为：本基金投资于中证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凭证）的比例不低于基金资产净值的</w:t>
      </w:r>
      <w:r>
        <w:rPr>
          <w:rFonts w:ascii="Times New Roman" w:hAnsi="Times New Roman"/>
          <w:sz w:val="24"/>
        </w:rPr>
        <w:t>90%</w:t>
      </w:r>
      <w:r>
        <w:rPr>
          <w:rFonts w:ascii="Times New Roman" w:hAnsi="Times New Roman" w:hint="eastAsia"/>
          <w:sz w:val="24"/>
        </w:rPr>
        <w:t>且不低于非现金基金资产的</w:t>
      </w:r>
      <w:r>
        <w:rPr>
          <w:rFonts w:ascii="Times New Roman" w:hAnsi="Times New Roman" w:hint="eastAsia"/>
          <w:sz w:val="24"/>
        </w:rPr>
        <w:t>80%</w:t>
      </w:r>
      <w:r>
        <w:rPr>
          <w:rFonts w:ascii="Times New Roman" w:hAnsi="Times New Roman" w:hint="eastAsia"/>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ascii="Times New Roman" w:hAnsi="Times New Roman" w:hint="eastAsia"/>
          <w:sz w:val="24"/>
        </w:rPr>
        <w:t>，其中现金不包括结算备付金、存出保证金、应收申购款等。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如果法律法规或中国证监会变更投资品种的投资比例限制，基金管理人在履行适当程序后，可以调整上述投资品种的投资比例。</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（三）投资策略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本基金主要采用组合复制策略及适当的替代性策略以更好的跟踪标的指数，实现基金投资目标。在正常市场情况下，力争控制本基金日均跟踪偏离度的绝对值不超过</w:t>
      </w:r>
      <w:r>
        <w:rPr>
          <w:rFonts w:ascii="Times New Roman" w:hAnsi="Times New Roman"/>
          <w:bCs/>
          <w:sz w:val="24"/>
        </w:rPr>
        <w:t>0.35%</w:t>
      </w:r>
      <w:r>
        <w:rPr>
          <w:rFonts w:ascii="Times New Roman" w:hAnsi="Times New Roman" w:hint="eastAsia"/>
          <w:bCs/>
          <w:sz w:val="24"/>
        </w:rPr>
        <w:t>，年跟踪误差不超过</w:t>
      </w:r>
      <w:r>
        <w:rPr>
          <w:rFonts w:ascii="Times New Roman" w:hAnsi="Times New Roman"/>
          <w:bCs/>
          <w:sz w:val="24"/>
        </w:rPr>
        <w:t>4%</w:t>
      </w:r>
      <w:r>
        <w:rPr>
          <w:rFonts w:ascii="Times New Roman" w:hAnsi="Times New Roman" w:hint="eastAsia"/>
          <w:bCs/>
          <w:sz w:val="24"/>
        </w:rPr>
        <w:t>。如因指数编制规则调整或其他因素导致跟踪</w:t>
      </w:r>
      <w:r>
        <w:rPr>
          <w:rFonts w:ascii="Times New Roman" w:hAnsi="Times New Roman" w:hint="eastAsia"/>
          <w:bCs/>
          <w:sz w:val="24"/>
        </w:rPr>
        <w:lastRenderedPageBreak/>
        <w:t>偏离度和跟踪误差超过上述范围，基金管理人应采取合理措施避免跟踪偏离度、跟踪误差进一步扩大。</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当指数编制方法变更、成份股发生变更、成份股权</w:t>
      </w:r>
      <w:proofErr w:type="gramStart"/>
      <w:r>
        <w:rPr>
          <w:rFonts w:ascii="Times New Roman" w:hAnsi="Times New Roman" w:hint="eastAsia"/>
          <w:bCs/>
          <w:sz w:val="24"/>
        </w:rPr>
        <w:t>重由于</w:t>
      </w:r>
      <w:proofErr w:type="gramEnd"/>
      <w:r>
        <w:rPr>
          <w:rFonts w:ascii="Times New Roman" w:hAnsi="Times New Roman" w:hint="eastAsia"/>
          <w:bCs/>
          <w:sz w:val="24"/>
        </w:rPr>
        <w:t>自由流通量调整而发生变化、成份股派发现金股息、配股及增发、股票长期停牌、市场流动性不足等情况发生时，基金管理人将对投资组合进行优化，尽量降低跟踪误差。</w:t>
      </w:r>
    </w:p>
    <w:p w:rsidR="009A4701" w:rsidRDefault="00677B65">
      <w:pPr>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hint="eastAsia"/>
          <w:bCs/>
          <w:sz w:val="24"/>
        </w:rPr>
        <w:t>、股票投资策略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1</w:t>
      </w:r>
      <w:r>
        <w:rPr>
          <w:rFonts w:ascii="Times New Roman" w:hAnsi="Times New Roman" w:hint="eastAsia"/>
          <w:bCs/>
          <w:sz w:val="24"/>
        </w:rPr>
        <w:t>）组合复制策略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本基金主要采取完全复制法，即按照标的指数成份股及其权重构建基金的股票投资组合，并根据标的指数成份股及其权重的变动对股票投资组合进行相应地调整。</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2</w:t>
      </w:r>
      <w:r>
        <w:rPr>
          <w:rFonts w:ascii="Times New Roman" w:hAnsi="Times New Roman" w:hint="eastAsia"/>
          <w:bCs/>
          <w:sz w:val="24"/>
        </w:rPr>
        <w:t>）替代性策略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rsidR="009A4701" w:rsidRDefault="00677B65">
      <w:pPr>
        <w:spacing w:line="360" w:lineRule="auto"/>
        <w:ind w:firstLineChars="200" w:firstLine="480"/>
        <w:rPr>
          <w:rFonts w:ascii="Times New Roman" w:hAnsi="Times New Roman"/>
          <w:bCs/>
          <w:sz w:val="24"/>
        </w:rPr>
      </w:pPr>
      <w:r>
        <w:rPr>
          <w:rFonts w:ascii="Times New Roman" w:hAnsi="Times New Roman"/>
          <w:bCs/>
          <w:sz w:val="24"/>
        </w:rPr>
        <w:t>2</w:t>
      </w:r>
      <w:r>
        <w:rPr>
          <w:rFonts w:ascii="Times New Roman" w:hAnsi="Times New Roman" w:hint="eastAsia"/>
          <w:bCs/>
          <w:sz w:val="24"/>
        </w:rPr>
        <w:t>、债券投资策略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本基金将以降低跟踪误差和流动性管理为目的，综合考虑流动性和收益性，适当参与债券投资。</w:t>
      </w:r>
    </w:p>
    <w:p w:rsidR="009A4701" w:rsidRDefault="00677B65">
      <w:pPr>
        <w:spacing w:line="360" w:lineRule="auto"/>
        <w:ind w:firstLineChars="200" w:firstLine="480"/>
        <w:rPr>
          <w:rFonts w:ascii="Times New Roman" w:hAnsi="Times New Roman"/>
          <w:bCs/>
          <w:sz w:val="24"/>
        </w:rPr>
      </w:pPr>
      <w:r>
        <w:rPr>
          <w:rFonts w:ascii="Times New Roman" w:hAnsi="Times New Roman"/>
          <w:bCs/>
          <w:sz w:val="24"/>
        </w:rPr>
        <w:t>3</w:t>
      </w:r>
      <w:r>
        <w:rPr>
          <w:rFonts w:ascii="Times New Roman" w:hAnsi="Times New Roman" w:hint="eastAsia"/>
          <w:bCs/>
          <w:sz w:val="24"/>
        </w:rPr>
        <w:t>、股指期货投资策略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本基金投资股指期货将根据风险管理的原则，以套期保值为目的，主要选择流动性好、交易活跃的股指期货合约，以降低股票</w:t>
      </w:r>
      <w:proofErr w:type="gramStart"/>
      <w:r>
        <w:rPr>
          <w:rFonts w:ascii="Times New Roman" w:hAnsi="Times New Roman" w:hint="eastAsia"/>
          <w:bCs/>
          <w:sz w:val="24"/>
        </w:rPr>
        <w:t>仓位</w:t>
      </w:r>
      <w:proofErr w:type="gramEnd"/>
      <w:r>
        <w:rPr>
          <w:rFonts w:ascii="Times New Roman" w:hAnsi="Times New Roman" w:hint="eastAsia"/>
          <w:bCs/>
          <w:sz w:val="24"/>
        </w:rPr>
        <w:t>调整的交易成本，提高投资效率，从而更好地跟踪标的指数，实现投资目标。</w:t>
      </w:r>
    </w:p>
    <w:p w:rsidR="009A4701" w:rsidRDefault="00677B65">
      <w:pPr>
        <w:spacing w:line="360" w:lineRule="auto"/>
        <w:ind w:firstLineChars="200" w:firstLine="480"/>
        <w:rPr>
          <w:rFonts w:ascii="Times New Roman" w:hAnsi="Times New Roman"/>
          <w:bCs/>
          <w:sz w:val="24"/>
        </w:rPr>
      </w:pPr>
      <w:r>
        <w:rPr>
          <w:rFonts w:ascii="Times New Roman" w:hAnsi="Times New Roman"/>
          <w:bCs/>
          <w:sz w:val="24"/>
        </w:rPr>
        <w:t>4</w:t>
      </w:r>
      <w:r>
        <w:rPr>
          <w:rFonts w:ascii="Times New Roman" w:hAnsi="Times New Roman" w:hint="eastAsia"/>
          <w:bCs/>
          <w:sz w:val="24"/>
        </w:rPr>
        <w:t>、资产支持证券投资策略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本基金将通过宏观经济、提前偿还率、资产</w:t>
      </w:r>
      <w:proofErr w:type="gramStart"/>
      <w:r>
        <w:rPr>
          <w:rFonts w:ascii="Times New Roman" w:hAnsi="Times New Roman" w:hint="eastAsia"/>
          <w:bCs/>
          <w:sz w:val="24"/>
        </w:rPr>
        <w:t>池结构</w:t>
      </w:r>
      <w:proofErr w:type="gramEnd"/>
      <w:r>
        <w:rPr>
          <w:rFonts w:ascii="Times New Roman" w:hAnsi="Times New Roman" w:hint="eastAsia"/>
          <w:bCs/>
          <w:sz w:val="24"/>
        </w:rPr>
        <w:t>及资产</w:t>
      </w:r>
      <w:proofErr w:type="gramStart"/>
      <w:r>
        <w:rPr>
          <w:rFonts w:ascii="Times New Roman" w:hAnsi="Times New Roman" w:hint="eastAsia"/>
          <w:bCs/>
          <w:sz w:val="24"/>
        </w:rPr>
        <w:t>池资产</w:t>
      </w:r>
      <w:proofErr w:type="gramEnd"/>
      <w:r>
        <w:rPr>
          <w:rFonts w:ascii="Times New Roman" w:hAnsi="Times New Roman" w:hint="eastAsia"/>
          <w:bCs/>
          <w:sz w:val="24"/>
        </w:rPr>
        <w:t>所在行业景气变化等因素的研究，预测资产</w:t>
      </w:r>
      <w:proofErr w:type="gramStart"/>
      <w:r>
        <w:rPr>
          <w:rFonts w:ascii="Times New Roman" w:hAnsi="Times New Roman" w:hint="eastAsia"/>
          <w:bCs/>
          <w:sz w:val="24"/>
        </w:rPr>
        <w:t>池未来</w:t>
      </w:r>
      <w:proofErr w:type="gramEnd"/>
      <w:r>
        <w:rPr>
          <w:rFonts w:ascii="Times New Roman" w:hAnsi="Times New Roman" w:hint="eastAsia"/>
          <w:bCs/>
          <w:sz w:val="24"/>
        </w:rPr>
        <w:t>现金流变化；研究标的证券发行条款，预测提前偿还率变化对标的证券</w:t>
      </w:r>
      <w:proofErr w:type="gramStart"/>
      <w:r>
        <w:rPr>
          <w:rFonts w:ascii="Times New Roman" w:hAnsi="Times New Roman" w:hint="eastAsia"/>
          <w:bCs/>
          <w:sz w:val="24"/>
        </w:rPr>
        <w:t>的久期与</w:t>
      </w:r>
      <w:proofErr w:type="gramEnd"/>
      <w:r>
        <w:rPr>
          <w:rFonts w:ascii="Times New Roman" w:hAnsi="Times New Roman" w:hint="eastAsia"/>
          <w:bCs/>
          <w:sz w:val="24"/>
        </w:rPr>
        <w:t>收益率的影响，同时密切关注流动性对标的证券收益率的影响。综合</w:t>
      </w:r>
      <w:proofErr w:type="gramStart"/>
      <w:r>
        <w:rPr>
          <w:rFonts w:ascii="Times New Roman" w:hAnsi="Times New Roman" w:hint="eastAsia"/>
          <w:bCs/>
          <w:sz w:val="24"/>
        </w:rPr>
        <w:t>运用久期管理</w:t>
      </w:r>
      <w:proofErr w:type="gramEnd"/>
      <w:r>
        <w:rPr>
          <w:rFonts w:ascii="Times New Roman" w:hAnsi="Times New Roman" w:hint="eastAsia"/>
          <w:bCs/>
          <w:sz w:val="24"/>
        </w:rPr>
        <w:t>、收益率曲线、</w:t>
      </w:r>
      <w:proofErr w:type="gramStart"/>
      <w:r>
        <w:rPr>
          <w:rFonts w:ascii="Times New Roman" w:hAnsi="Times New Roman" w:hint="eastAsia"/>
          <w:bCs/>
          <w:sz w:val="24"/>
        </w:rPr>
        <w:t>个券</w:t>
      </w:r>
      <w:proofErr w:type="gramEnd"/>
      <w:r>
        <w:rPr>
          <w:rFonts w:ascii="Times New Roman" w:hAnsi="Times New Roman" w:hint="eastAsia"/>
          <w:bCs/>
          <w:sz w:val="24"/>
        </w:rPr>
        <w:t>选择和把握市场交易机会等积极策略，在严格控制风险的情况下，通过信用研究和流动性管理，选择风险调整后的收益高的品种进行投资，以期获得长期稳健收益。</w:t>
      </w:r>
    </w:p>
    <w:p w:rsidR="009A4701" w:rsidRDefault="00677B65">
      <w:pPr>
        <w:spacing w:line="360" w:lineRule="auto"/>
        <w:ind w:firstLineChars="200" w:firstLine="480"/>
        <w:rPr>
          <w:rFonts w:ascii="Times New Roman" w:hAnsi="Times New Roman"/>
          <w:bCs/>
          <w:sz w:val="24"/>
        </w:rPr>
      </w:pPr>
      <w:r>
        <w:rPr>
          <w:rFonts w:ascii="Times New Roman" w:hAnsi="Times New Roman"/>
          <w:bCs/>
          <w:sz w:val="24"/>
        </w:rPr>
        <w:t>5</w:t>
      </w:r>
      <w:r>
        <w:rPr>
          <w:rFonts w:ascii="Times New Roman" w:hAnsi="Times New Roman" w:hint="eastAsia"/>
          <w:bCs/>
          <w:sz w:val="24"/>
        </w:rPr>
        <w:t>、存托凭证投资策略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本基金投资存托凭证的策略依照境内上市交易的股票投资策略执行。</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lastRenderedPageBreak/>
        <w:t>6</w:t>
      </w:r>
      <w:r>
        <w:rPr>
          <w:rFonts w:ascii="Times New Roman" w:hAnsi="Times New Roman" w:hint="eastAsia"/>
          <w:bCs/>
          <w:sz w:val="24"/>
        </w:rPr>
        <w:t>、融资、转融通证券出借业务投资策略</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9A4701" w:rsidRDefault="00677B65">
      <w:pPr>
        <w:spacing w:line="360" w:lineRule="auto"/>
        <w:ind w:firstLineChars="200" w:firstLine="480"/>
        <w:rPr>
          <w:rFonts w:ascii="Times New Roman" w:hAnsi="Times New Roman"/>
          <w:bCs/>
        </w:rPr>
      </w:pPr>
      <w:r>
        <w:rPr>
          <w:rFonts w:ascii="Times New Roman" w:hAnsi="Times New Roman" w:hint="eastAsia"/>
          <w:bCs/>
          <w:sz w:val="24"/>
        </w:rPr>
        <w:t>未来，随着投资工具的发展和丰富，基金管理人可以在不改变投资目标的前提下，在履行适当程序</w:t>
      </w:r>
      <w:proofErr w:type="gramStart"/>
      <w:r>
        <w:rPr>
          <w:rFonts w:ascii="Times New Roman" w:hAnsi="Times New Roman" w:hint="eastAsia"/>
          <w:bCs/>
          <w:sz w:val="24"/>
        </w:rPr>
        <w:t>后相应</w:t>
      </w:r>
      <w:proofErr w:type="gramEnd"/>
      <w:r>
        <w:rPr>
          <w:rFonts w:ascii="Times New Roman" w:hAnsi="Times New Roman" w:hint="eastAsia"/>
          <w:bCs/>
          <w:sz w:val="24"/>
        </w:rPr>
        <w:t>调整和更新相关投资策略，并在招募说明书中更新。</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（四）投资限制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、组合限制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基金的投资组合应遵循以下限制：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）本基金投资于中证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凭证）的比例不低于基金资产净值的</w:t>
      </w:r>
      <w:r>
        <w:rPr>
          <w:rFonts w:ascii="Times New Roman" w:hAnsi="Times New Roman"/>
          <w:sz w:val="24"/>
        </w:rPr>
        <w:t>90%</w:t>
      </w:r>
      <w:r>
        <w:rPr>
          <w:rFonts w:ascii="Times New Roman" w:hAnsi="Times New Roman" w:hint="eastAsia"/>
          <w:sz w:val="24"/>
        </w:rPr>
        <w:t>且不低于非现金基金资产的</w:t>
      </w:r>
      <w:r>
        <w:rPr>
          <w:rFonts w:ascii="Times New Roman" w:hAnsi="Times New Roman" w:hint="eastAsia"/>
          <w:sz w:val="24"/>
        </w:rPr>
        <w:t>80%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ascii="Times New Roman" w:hAnsi="Times New Roman" w:hint="eastAsia"/>
          <w:sz w:val="24"/>
        </w:rPr>
        <w:t>，其中现金不包括结算备付金、存出保证金、应收申购款等；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）本基金投资于同一原始权益人的各类资产支持证券的比例，不得超过基金资产净值的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）本基金持有的全部资产支持证券，其市值不得超过基金资产净值的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）本基金持有的同一（指同一信用级别）资产支持证券的比例，不得超过该资产支持证券规模的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）本基金管理人管理的全部基金投资于同一原始权益人的各类资产支持证券，不得超过其各类资产支持证券合计规模的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）本基金应投资于信用级别评级为</w:t>
      </w:r>
      <w:r>
        <w:rPr>
          <w:rFonts w:ascii="Times New Roman" w:hAnsi="Times New Roman"/>
          <w:sz w:val="24"/>
        </w:rPr>
        <w:t>BBB</w:t>
      </w:r>
      <w:r>
        <w:rPr>
          <w:rFonts w:ascii="Times New Roman" w:hAnsi="Times New Roman" w:hint="eastAsia"/>
          <w:sz w:val="24"/>
        </w:rPr>
        <w:t>以上（含</w:t>
      </w:r>
      <w:r>
        <w:rPr>
          <w:rFonts w:ascii="Times New Roman" w:hAnsi="Times New Roman"/>
          <w:sz w:val="24"/>
        </w:rPr>
        <w:t>BBB</w:t>
      </w:r>
      <w:r>
        <w:rPr>
          <w:rFonts w:ascii="Times New Roman" w:hAnsi="Times New Roman" w:hint="eastAsia"/>
          <w:sz w:val="24"/>
        </w:rPr>
        <w:t>）的资产支持证券。基金持有资产支持证券期间，如果其信用等级下降、不再符合投资标准，应在评级</w:t>
      </w:r>
      <w:r>
        <w:rPr>
          <w:rFonts w:ascii="Times New Roman" w:hAnsi="Times New Roman" w:hint="eastAsia"/>
          <w:sz w:val="24"/>
        </w:rPr>
        <w:lastRenderedPageBreak/>
        <w:t>报告发布之日起</w:t>
      </w:r>
      <w:r>
        <w:rPr>
          <w:rFonts w:ascii="Times New Roman" w:hAnsi="Times New Roman"/>
          <w:sz w:val="24"/>
        </w:rPr>
        <w:t>3</w:t>
      </w:r>
      <w:r>
        <w:rPr>
          <w:rFonts w:ascii="Times New Roman" w:hAnsi="Times New Roman" w:hint="eastAsia"/>
          <w:sz w:val="24"/>
        </w:rPr>
        <w:t>个月内予以全部卖出；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）基金财产参与股票发行申购，本基金所申报的金额不超过本基金的总资产，本基金所申报的股票数量不超过拟发行股票公司本次发行股票的总量；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9</w:t>
      </w:r>
      <w:r>
        <w:rPr>
          <w:rFonts w:ascii="Times New Roman" w:hAnsi="Times New Roman" w:hint="eastAsia"/>
          <w:sz w:val="24"/>
        </w:rPr>
        <w:t>）本基金主动投资于流动性受限资产的市值合计不得超过该基金资产净值的</w:t>
      </w:r>
      <w:r>
        <w:rPr>
          <w:rFonts w:ascii="Times New Roman" w:hAnsi="Times New Roman"/>
          <w:sz w:val="24"/>
        </w:rPr>
        <w:t>15%</w:t>
      </w:r>
      <w:r>
        <w:rPr>
          <w:rFonts w:ascii="Times New Roman" w:hAnsi="Times New Roman" w:hint="eastAsia"/>
          <w:sz w:val="24"/>
        </w:rPr>
        <w:t>；因证券市场波动、上市公司股票停牌、基金规模变动等基金管理人之外的因素致使基金不符合该比例限制的，基金管理人不得主动新增流动性受限资产的投资；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10</w:t>
      </w:r>
      <w:r>
        <w:rPr>
          <w:rFonts w:ascii="Times New Roman" w:hAnsi="Times New Roman" w:hint="eastAsia"/>
          <w:sz w:val="24"/>
        </w:rPr>
        <w:t>）本基金与私募类</w:t>
      </w:r>
      <w:proofErr w:type="gramStart"/>
      <w:r>
        <w:rPr>
          <w:rFonts w:ascii="Times New Roman" w:hAnsi="Times New Roman" w:hint="eastAsia"/>
          <w:sz w:val="24"/>
        </w:rPr>
        <w:t>证券资管产品</w:t>
      </w:r>
      <w:proofErr w:type="gramEnd"/>
      <w:r>
        <w:rPr>
          <w:rFonts w:ascii="Times New Roman" w:hAnsi="Times New Roman" w:hint="eastAsia"/>
          <w:sz w:val="24"/>
        </w:rPr>
        <w:t>及中国证监会认定的其他主体为交易对手开展逆回购交易的，可接受质押品的资质要求应当与基金合同约定的投资范围保持一致；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11</w:t>
      </w:r>
      <w:r>
        <w:rPr>
          <w:rFonts w:ascii="Times New Roman" w:hAnsi="Times New Roman" w:hint="eastAsia"/>
          <w:sz w:val="24"/>
        </w:rPr>
        <w:t>）本基金资产总值不超过基金资产净值的</w:t>
      </w:r>
      <w:r>
        <w:rPr>
          <w:rFonts w:ascii="Times New Roman" w:hAnsi="Times New Roman"/>
          <w:sz w:val="24"/>
        </w:rPr>
        <w:t>140%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12</w:t>
      </w:r>
      <w:r>
        <w:rPr>
          <w:rFonts w:ascii="Times New Roman" w:hAnsi="Times New Roman" w:hint="eastAsia"/>
          <w:sz w:val="24"/>
        </w:rPr>
        <w:t>）本基金参与股指期货交易，则：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）本基金在任何交易日日终，持有的买入股指期货合约价值，不得超过基金资产净值的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）本基金在任何交易日日终，持有的买入股指期货合约价值与有价证券市值之和，不得超过基金资产净值的</w:t>
      </w:r>
      <w:r>
        <w:rPr>
          <w:rFonts w:ascii="Times New Roman" w:hAnsi="Times New Roman"/>
          <w:sz w:val="24"/>
        </w:rPr>
        <w:t>100%</w:t>
      </w:r>
      <w:r>
        <w:rPr>
          <w:rFonts w:ascii="Times New Roman" w:hAnsi="Times New Roman" w:hint="eastAsia"/>
          <w:sz w:val="24"/>
        </w:rPr>
        <w:t>。其中，有价证券指股票、债券（不含到期日在一年以内的政府债券）、资产支持证券、买入返售金融资产（不含质押式回购）等；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）本基金在任何交易日日终，持有的卖出股指期货合约价值不得超过基金持有的股票总市值的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hint="eastAsia"/>
          <w:sz w:val="24"/>
        </w:rPr>
        <w:t>）本基金所持有的股票市值和买入、卖出股指期货合约价值，合计（轧差计算）应当符合基金合同关于股票投资比例的有关约定；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）本基金在任何交易日内交易（不包括平仓）的股指期货合约的成交金额不得超过上一交易日基金资产净值的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13</w:t>
      </w:r>
      <w:r>
        <w:rPr>
          <w:rFonts w:ascii="Times New Roman" w:hAnsi="Times New Roman" w:hint="eastAsia"/>
          <w:sz w:val="24"/>
        </w:rPr>
        <w:t>）本基金参与融资业务后，每个交易日日终，本基金持有的融资买入股票与其他有价证券市值之和，不得超过基金资产净值的</w:t>
      </w:r>
      <w:r>
        <w:rPr>
          <w:rFonts w:ascii="Times New Roman" w:hAnsi="Times New Roman" w:hint="eastAsia"/>
          <w:sz w:val="24"/>
        </w:rPr>
        <w:t>95%</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14</w:t>
      </w:r>
      <w:r>
        <w:rPr>
          <w:rFonts w:ascii="Times New Roman" w:hAnsi="Times New Roman" w:hint="eastAsia"/>
          <w:sz w:val="24"/>
        </w:rPr>
        <w:t>）本基金参与转融通证券出借业务，需遵守下列投资限制：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）出借证券资产不得超过基金资产净值的</w:t>
      </w:r>
      <w:r>
        <w:rPr>
          <w:rFonts w:ascii="Times New Roman" w:hAnsi="Times New Roman" w:hint="eastAsia"/>
          <w:sz w:val="24"/>
        </w:rPr>
        <w:t>30%</w:t>
      </w:r>
      <w:r>
        <w:rPr>
          <w:rFonts w:ascii="Times New Roman" w:hAnsi="Times New Roman" w:hint="eastAsia"/>
          <w:sz w:val="24"/>
        </w:rPr>
        <w:t>，出借期限在</w:t>
      </w:r>
      <w:r>
        <w:rPr>
          <w:rFonts w:ascii="Times New Roman" w:hAnsi="Times New Roman" w:hint="eastAsia"/>
          <w:sz w:val="24"/>
        </w:rPr>
        <w:t>10</w:t>
      </w:r>
      <w:r>
        <w:rPr>
          <w:rFonts w:ascii="Times New Roman" w:hAnsi="Times New Roman" w:hint="eastAsia"/>
          <w:sz w:val="24"/>
        </w:rPr>
        <w:t>个交易日以上的出借证券应纳入《流动性风险管理规定》所述流动性受限证券的范围；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）参与出借业务的单只证券不得超过本基金持有该证券总量的</w:t>
      </w:r>
      <w:r>
        <w:rPr>
          <w:rFonts w:ascii="Times New Roman" w:hAnsi="Times New Roman" w:hint="eastAsia"/>
          <w:sz w:val="24"/>
        </w:rPr>
        <w:t>50%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3</w:t>
      </w:r>
      <w:r>
        <w:rPr>
          <w:rFonts w:ascii="Times New Roman" w:hAnsi="Times New Roman" w:hint="eastAsia"/>
          <w:sz w:val="24"/>
        </w:rPr>
        <w:t>）最近</w:t>
      </w:r>
      <w:r>
        <w:rPr>
          <w:rFonts w:ascii="Times New Roman" w:hAnsi="Times New Roman" w:hint="eastAsia"/>
          <w:sz w:val="24"/>
        </w:rPr>
        <w:t>6</w:t>
      </w:r>
      <w:r>
        <w:rPr>
          <w:rFonts w:ascii="Times New Roman" w:hAnsi="Times New Roman" w:hint="eastAsia"/>
          <w:sz w:val="24"/>
        </w:rPr>
        <w:t>个月内日均基金资产净值不得低于</w:t>
      </w:r>
      <w:r>
        <w:rPr>
          <w:rFonts w:ascii="Times New Roman" w:hAnsi="Times New Roman" w:hint="eastAsia"/>
          <w:sz w:val="24"/>
        </w:rPr>
        <w:t>2</w:t>
      </w:r>
      <w:r>
        <w:rPr>
          <w:rFonts w:ascii="Times New Roman" w:hAnsi="Times New Roman" w:hint="eastAsia"/>
          <w:sz w:val="24"/>
        </w:rPr>
        <w:t>亿元；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4</w:t>
      </w:r>
      <w:r>
        <w:rPr>
          <w:rFonts w:ascii="Times New Roman" w:hAnsi="Times New Roman" w:hint="eastAsia"/>
          <w:sz w:val="24"/>
        </w:rPr>
        <w:t>）证券出借的平均剩余期限不得超过</w:t>
      </w:r>
      <w:r>
        <w:rPr>
          <w:rFonts w:ascii="Times New Roman" w:hAnsi="Times New Roman" w:hint="eastAsia"/>
          <w:sz w:val="24"/>
        </w:rPr>
        <w:t>30</w:t>
      </w:r>
      <w:r>
        <w:rPr>
          <w:rFonts w:ascii="Times New Roman" w:hAnsi="Times New Roman" w:hint="eastAsia"/>
          <w:sz w:val="24"/>
        </w:rPr>
        <w:t>天，平均剩余期限按照市值加权平均计算；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因证券市场波动、上市公司合并、基金规模变动等基金管理人之外的因素致使基金投资不符合上述规定的，基金管理人不得新增出借业务；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15</w:t>
      </w:r>
      <w:r>
        <w:rPr>
          <w:rFonts w:ascii="Times New Roman" w:hAnsi="Times New Roman" w:hint="eastAsia"/>
          <w:sz w:val="24"/>
        </w:rPr>
        <w:t>）本基金投资存托凭证的比例限制依照境内上市交易的股票执行；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16</w:t>
      </w:r>
      <w:r>
        <w:rPr>
          <w:rFonts w:ascii="Times New Roman" w:hAnsi="Times New Roman" w:hint="eastAsia"/>
          <w:sz w:val="24"/>
        </w:rPr>
        <w:t>）法律法规及中国证监会规定的和《基金合同》约定的其他投资限制。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除上述（</w:t>
      </w:r>
      <w:r>
        <w:rPr>
          <w:rFonts w:ascii="Times New Roman" w:hAnsi="Times New Roman"/>
          <w:sz w:val="24"/>
        </w:rPr>
        <w:t>2</w:t>
      </w:r>
      <w:r>
        <w:rPr>
          <w:rFonts w:ascii="Times New Roman" w:hAnsi="Times New Roman" w:hint="eastAsia"/>
          <w:sz w:val="24"/>
        </w:rPr>
        <w:t>）、（</w:t>
      </w:r>
      <w:r>
        <w:rPr>
          <w:rFonts w:ascii="Times New Roman" w:hAnsi="Times New Roman"/>
          <w:sz w:val="24"/>
        </w:rPr>
        <w:t>7</w:t>
      </w:r>
      <w:r>
        <w:rPr>
          <w:rFonts w:ascii="Times New Roman" w:hAnsi="Times New Roman" w:hint="eastAsia"/>
          <w:sz w:val="24"/>
        </w:rPr>
        <w:t>）、（</w:t>
      </w:r>
      <w:r>
        <w:rPr>
          <w:rFonts w:ascii="Times New Roman" w:hAnsi="Times New Roman"/>
          <w:sz w:val="24"/>
        </w:rPr>
        <w:t>9</w:t>
      </w:r>
      <w:r>
        <w:rPr>
          <w:rFonts w:ascii="Times New Roman" w:hAnsi="Times New Roman" w:hint="eastAsia"/>
          <w:sz w:val="24"/>
        </w:rPr>
        <w:t>）、（</w:t>
      </w:r>
      <w:r>
        <w:rPr>
          <w:rFonts w:ascii="Times New Roman" w:hAnsi="Times New Roman"/>
          <w:sz w:val="24"/>
        </w:rPr>
        <w:t>10</w:t>
      </w:r>
      <w:r>
        <w:rPr>
          <w:rFonts w:ascii="Times New Roman" w:hAnsi="Times New Roman" w:hint="eastAsia"/>
          <w:sz w:val="24"/>
        </w:rPr>
        <w:t>）、（</w:t>
      </w:r>
      <w:r>
        <w:rPr>
          <w:rFonts w:ascii="Times New Roman" w:hAnsi="Times New Roman" w:hint="eastAsia"/>
          <w:sz w:val="24"/>
        </w:rPr>
        <w:t>14</w:t>
      </w:r>
      <w:r>
        <w:rPr>
          <w:rFonts w:ascii="Times New Roman" w:hAnsi="Times New Roman" w:hint="eastAsia"/>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ascii="Times New Roman" w:hAnsi="Times New Roman"/>
          <w:sz w:val="24"/>
        </w:rPr>
        <w:t>10</w:t>
      </w:r>
      <w:r>
        <w:rPr>
          <w:rFonts w:ascii="Times New Roman" w:hAnsi="Times New Roman" w:hint="eastAsia"/>
          <w:sz w:val="24"/>
        </w:rPr>
        <w:t>个交易日内进行调整，但中国证监会规定的特殊情形除外。法律法规另有规定的，从其规定。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基金管理人应当自基金合同生效之日起</w:t>
      </w:r>
      <w:r>
        <w:rPr>
          <w:rFonts w:ascii="Times New Roman" w:hAnsi="Times New Roman"/>
          <w:sz w:val="24"/>
        </w:rPr>
        <w:t>6</w:t>
      </w:r>
      <w:r>
        <w:rPr>
          <w:rFonts w:ascii="Times New Roman" w:hAnsi="Times New Roman"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法律法规或监管部门取消或变更上述限制，如适用于本基金，基金管理人在履行适当程序后，则本基金投资不再受相关限制或以变更后的规定为准。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、禁止行为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为维护基金份额持有人的合法权益，基金财产不得用于下列投资或者活动：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）承销证券；</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）违反规定向他人贷款或者提供担保；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）从事承担无限责任的投资；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）买卖其他基金份额，但是中国证监会另有规定的除外；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）向其基金管理人、基金托管人出资；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）从事内幕交易、操纵证券交易价格及其他不正当的证券交易活动；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7</w:t>
      </w:r>
      <w:r>
        <w:rPr>
          <w:rFonts w:ascii="Times New Roman" w:hAnsi="Times New Roman"/>
          <w:sz w:val="24"/>
        </w:rPr>
        <w:t>）法律、行政法规和中国证监会规定禁止的其他活动。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w:t>
      </w:r>
      <w:r>
        <w:rPr>
          <w:rFonts w:ascii="Times New Roman" w:hAnsi="Times New Roman"/>
          <w:sz w:val="24"/>
        </w:rPr>
        <w:lastRenderedPageBreak/>
        <w:t>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如法律、行政法规或监管部门取消</w:t>
      </w:r>
      <w:r>
        <w:rPr>
          <w:rFonts w:ascii="Times New Roman" w:hAnsi="Times New Roman" w:hint="eastAsia"/>
          <w:bCs/>
          <w:sz w:val="24"/>
        </w:rPr>
        <w:t>或变更</w:t>
      </w:r>
      <w:r>
        <w:rPr>
          <w:rFonts w:ascii="Times New Roman" w:hAnsi="Times New Roman"/>
          <w:sz w:val="24"/>
        </w:rPr>
        <w:t>上述规定，如适用于本基金，基金管理人在履行适当程序后，本基金可不受上述规定的限制</w:t>
      </w:r>
      <w:r>
        <w:rPr>
          <w:rFonts w:ascii="Times New Roman" w:hAnsi="Times New Roman" w:hint="eastAsia"/>
          <w:bCs/>
          <w:sz w:val="24"/>
        </w:rPr>
        <w:t>或以变更后的规定为准</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（五）业绩比较基准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本基金业绩比较基准：</w:t>
      </w:r>
      <w:r>
        <w:rPr>
          <w:rFonts w:ascii="Times New Roman" w:hAnsi="Times New Roman" w:hint="eastAsia"/>
          <w:sz w:val="24"/>
        </w:rPr>
        <w:t>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w:t>
      </w:r>
      <w:r>
        <w:rPr>
          <w:rFonts w:ascii="Times New Roman" w:hAnsi="Times New Roman"/>
          <w:sz w:val="24"/>
        </w:rPr>
        <w:t>收益率</w:t>
      </w:r>
      <w:r>
        <w:rPr>
          <w:rFonts w:ascii="Times New Roman" w:hAnsi="Times New Roman" w:hint="eastAsia"/>
          <w:sz w:val="24"/>
        </w:rPr>
        <w:t>（经估值汇率调整）</w:t>
      </w:r>
      <w:r>
        <w:rPr>
          <w:rFonts w:ascii="Times New Roman" w:hAnsi="Times New Roman"/>
          <w:sz w:val="24"/>
        </w:rPr>
        <w:t>×95%</w:t>
      </w:r>
      <w:r>
        <w:rPr>
          <w:rFonts w:ascii="Times New Roman" w:hAnsi="Times New Roman"/>
          <w:sz w:val="24"/>
        </w:rPr>
        <w:t>＋人民币银行活期存款利率（税后）</w:t>
      </w:r>
      <w:r>
        <w:rPr>
          <w:rFonts w:ascii="Times New Roman" w:hAnsi="Times New Roman"/>
          <w:sz w:val="24"/>
        </w:rPr>
        <w:t>×5%</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ascii="Times New Roman" w:hAnsi="Times New Roman"/>
          <w:sz w:val="24"/>
        </w:rPr>
        <w:t>6</w:t>
      </w:r>
      <w:r>
        <w:rPr>
          <w:rFonts w:ascii="Times New Roman" w:hAnsi="Times New Roman"/>
          <w:sz w:val="24"/>
        </w:rPr>
        <w:t>个月内召集基金份额持有人大会进行表决，基金份额持有人大会未成功召开或就上述事项表决未通过的，基金合同终止。</w:t>
      </w:r>
      <w:r>
        <w:rPr>
          <w:rFonts w:ascii="Times New Roman" w:hAnsi="Times New Roman" w:hint="eastAsia"/>
          <w:sz w:val="24"/>
        </w:rPr>
        <w:t>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proofErr w:type="gramStart"/>
      <w:r>
        <w:rPr>
          <w:rFonts w:ascii="Times New Roman" w:hAnsi="Times New Roman"/>
          <w:sz w:val="24"/>
        </w:rPr>
        <w:t>自指数</w:t>
      </w:r>
      <w:proofErr w:type="gramEnd"/>
      <w:r>
        <w:rPr>
          <w:rFonts w:ascii="Times New Roman" w:hAnsi="Times New Roman"/>
          <w:sz w:val="24"/>
        </w:rPr>
        <w:t>编制机构停止标的指数的编制及发布</w:t>
      </w:r>
      <w:proofErr w:type="gramStart"/>
      <w:r>
        <w:rPr>
          <w:rFonts w:ascii="Times New Roman" w:hAnsi="Times New Roman"/>
          <w:sz w:val="24"/>
        </w:rPr>
        <w:t>至解决</w:t>
      </w:r>
      <w:proofErr w:type="gramEnd"/>
      <w:r>
        <w:rPr>
          <w:rFonts w:ascii="Times New Roman" w:hAnsi="Times New Roman"/>
          <w:sz w:val="24"/>
        </w:rPr>
        <w:t>方案确定期间，基金管理人应按照指数编制机构提供的最近一个交易日的指数信息遵循基金份额持有人利益优先原则维持基金投资运作。</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本基金运作过程中，当标的指数成份股发生明显负面事件面临退市风险，且指数编制机构暂未</w:t>
      </w:r>
      <w:proofErr w:type="gramStart"/>
      <w:r>
        <w:rPr>
          <w:rFonts w:ascii="Times New Roman" w:hAnsi="Times New Roman" w:hint="eastAsia"/>
          <w:sz w:val="24"/>
        </w:rPr>
        <w:t>作出</w:t>
      </w:r>
      <w:proofErr w:type="gramEnd"/>
      <w:r>
        <w:rPr>
          <w:rFonts w:ascii="Times New Roman" w:hAnsi="Times New Roman" w:hint="eastAsia"/>
          <w:sz w:val="24"/>
        </w:rPr>
        <w:t>调整的，基金管理人应当按照持有人利益优先的原则，履行内部决策程序后及时对相关成份</w:t>
      </w:r>
      <w:r>
        <w:rPr>
          <w:rFonts w:hint="eastAsia"/>
          <w:bCs/>
          <w:sz w:val="24"/>
        </w:rPr>
        <w:t>股</w:t>
      </w:r>
      <w:r>
        <w:rPr>
          <w:rFonts w:ascii="Times New Roman" w:hAnsi="Times New Roman" w:hint="eastAsia"/>
          <w:sz w:val="24"/>
        </w:rPr>
        <w:t>进行调整。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proofErr w:type="gramStart"/>
      <w:r>
        <w:rPr>
          <w:rFonts w:ascii="Times New Roman" w:hAnsi="Times New Roman"/>
          <w:sz w:val="24"/>
        </w:rPr>
        <w:t>若基金</w:t>
      </w:r>
      <w:proofErr w:type="gramEnd"/>
      <w:r>
        <w:rPr>
          <w:rFonts w:ascii="Times New Roman" w:hAnsi="Times New Roman"/>
          <w:sz w:val="24"/>
        </w:rPr>
        <w:t>标的指数发生变更，基金业绩比较基准随之变更，由基金管理人根据标的指数变更情形履行对应适当程序，并在调整实施前依照《信息披露办法》的有关规定在</w:t>
      </w:r>
      <w:r>
        <w:rPr>
          <w:rFonts w:ascii="Times New Roman" w:hAnsi="Times New Roman" w:hint="eastAsia"/>
          <w:sz w:val="24"/>
        </w:rPr>
        <w:t>规定</w:t>
      </w:r>
      <w:r>
        <w:rPr>
          <w:rFonts w:ascii="Times New Roman" w:hAnsi="Times New Roman"/>
          <w:sz w:val="24"/>
        </w:rPr>
        <w:t>媒介上刊登公告。</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（六）风险收益特征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本基金是一只股票型基金，其预期风险和预期收益</w:t>
      </w:r>
      <w:r>
        <w:rPr>
          <w:rFonts w:ascii="Times New Roman" w:hAnsi="Times New Roman" w:hint="eastAsia"/>
          <w:sz w:val="24"/>
        </w:rPr>
        <w:t>理论上</w:t>
      </w:r>
      <w:r>
        <w:rPr>
          <w:rFonts w:ascii="Times New Roman" w:hAnsi="Times New Roman"/>
          <w:sz w:val="24"/>
        </w:rPr>
        <w:t>高于混合型基金、债券型基金和货币市场基金。</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本基金为指数型基金，主要采用</w:t>
      </w:r>
      <w:r>
        <w:rPr>
          <w:rFonts w:ascii="Times New Roman" w:hAnsi="Times New Roman" w:hint="eastAsia"/>
          <w:sz w:val="24"/>
        </w:rPr>
        <w:t>完全复制法跟踪中证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指数，具</w:t>
      </w:r>
      <w:r>
        <w:rPr>
          <w:rFonts w:ascii="Times New Roman" w:hAnsi="Times New Roman" w:hint="eastAsia"/>
          <w:sz w:val="24"/>
        </w:rPr>
        <w:lastRenderedPageBreak/>
        <w:t>有与标的指数相似的风险收益特征。</w:t>
      </w:r>
    </w:p>
    <w:p w:rsidR="009A4701" w:rsidRDefault="00677B65">
      <w:pPr>
        <w:spacing w:line="360" w:lineRule="auto"/>
        <w:ind w:firstLineChars="200" w:firstLine="480"/>
        <w:rPr>
          <w:bCs/>
          <w:sz w:val="24"/>
        </w:rPr>
      </w:pPr>
      <w:r>
        <w:rPr>
          <w:rFonts w:hint="eastAsia"/>
          <w:bCs/>
          <w:sz w:val="24"/>
        </w:rPr>
        <w:t>本基金投资港股通标的股票，</w:t>
      </w:r>
      <w:r>
        <w:rPr>
          <w:bCs/>
          <w:sz w:val="24"/>
        </w:rPr>
        <w:t>会面临</w:t>
      </w:r>
      <w:r>
        <w:rPr>
          <w:rFonts w:hint="eastAsia"/>
          <w:bCs/>
          <w:sz w:val="24"/>
        </w:rPr>
        <w:t>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（七）基金管理人代表基金行使股东或债权人权利的处理原则及方法</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、基金管理人按照国家有关规定代表基金独立行使股东或债权人权利，保护基金份额持有人的利益；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、不谋求对上市公司的控股；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、有利于基金财产的安全与增值；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、不通过关联交易为自身、雇员、授权代理人或任何存在利害关系的第三人牟取任何不当利益。</w:t>
      </w:r>
    </w:p>
    <w:p w:rsidR="009A4701" w:rsidRDefault="00677B65">
      <w:pPr>
        <w:spacing w:line="360" w:lineRule="auto"/>
        <w:ind w:firstLineChars="200" w:firstLine="482"/>
        <w:rPr>
          <w:rFonts w:ascii="Times New Roman" w:hAnsi="Times New Roman"/>
          <w:b/>
          <w:kern w:val="0"/>
          <w:sz w:val="24"/>
        </w:rPr>
      </w:pPr>
      <w:r>
        <w:rPr>
          <w:rFonts w:ascii="Times New Roman" w:hAnsi="Times New Roman" w:hint="eastAsia"/>
          <w:b/>
          <w:kern w:val="0"/>
          <w:sz w:val="24"/>
        </w:rPr>
        <w:t>（八）</w:t>
      </w:r>
      <w:proofErr w:type="gramStart"/>
      <w:r>
        <w:rPr>
          <w:rFonts w:ascii="Times New Roman" w:hAnsi="Times New Roman" w:hint="eastAsia"/>
          <w:b/>
          <w:kern w:val="0"/>
          <w:sz w:val="24"/>
        </w:rPr>
        <w:t>侧袋机制</w:t>
      </w:r>
      <w:proofErr w:type="gramEnd"/>
      <w:r>
        <w:rPr>
          <w:rFonts w:ascii="Times New Roman" w:hAnsi="Times New Roman" w:hint="eastAsia"/>
          <w:b/>
          <w:kern w:val="0"/>
          <w:sz w:val="24"/>
        </w:rPr>
        <w:t>的实施和投资运作安排</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imes New Roman" w:hAnsi="Times New Roman" w:hint="eastAsia"/>
          <w:bCs/>
          <w:sz w:val="24"/>
        </w:rPr>
        <w:t>启用侧袋机制</w:t>
      </w:r>
      <w:proofErr w:type="gramEnd"/>
      <w:r>
        <w:rPr>
          <w:rFonts w:ascii="Times New Roman" w:hAnsi="Times New Roman" w:hint="eastAsia"/>
          <w:bCs/>
          <w:sz w:val="24"/>
        </w:rPr>
        <w:t>。</w:t>
      </w:r>
    </w:p>
    <w:p w:rsidR="009A4701" w:rsidRDefault="00677B65">
      <w:pPr>
        <w:spacing w:line="360" w:lineRule="auto"/>
        <w:ind w:firstLineChars="200" w:firstLine="480"/>
        <w:rPr>
          <w:rFonts w:ascii="Times New Roman" w:hAnsi="Times New Roman"/>
          <w:bCs/>
          <w:sz w:val="24"/>
        </w:rPr>
      </w:pPr>
      <w:proofErr w:type="gramStart"/>
      <w:r>
        <w:rPr>
          <w:rFonts w:ascii="Times New Roman" w:hAnsi="Times New Roman" w:hint="eastAsia"/>
          <w:bCs/>
          <w:sz w:val="24"/>
        </w:rPr>
        <w:t>侧袋机制</w:t>
      </w:r>
      <w:proofErr w:type="gramEnd"/>
      <w:r>
        <w:rPr>
          <w:rFonts w:ascii="Times New Roman" w:hAnsi="Times New Roman" w:hint="eastAsia"/>
          <w:bCs/>
          <w:sz w:val="24"/>
        </w:rPr>
        <w:t>实施期间，本部分约定的投资组合比例、投资策略、组合限制、业绩比较基准、风险收益特征等约定仅</w:t>
      </w:r>
      <w:proofErr w:type="gramStart"/>
      <w:r>
        <w:rPr>
          <w:rFonts w:ascii="Times New Roman" w:hAnsi="Times New Roman" w:hint="eastAsia"/>
          <w:bCs/>
          <w:sz w:val="24"/>
        </w:rPr>
        <w:t>适用于主袋账户</w:t>
      </w:r>
      <w:proofErr w:type="gramEnd"/>
      <w:r>
        <w:rPr>
          <w:rFonts w:ascii="Times New Roman" w:hAnsi="Times New Roman" w:hint="eastAsia"/>
          <w:bCs/>
          <w:sz w:val="24"/>
        </w:rPr>
        <w:t>。</w:t>
      </w:r>
    </w:p>
    <w:p w:rsidR="009A4701" w:rsidRDefault="00677B65">
      <w:pPr>
        <w:spacing w:line="360" w:lineRule="auto"/>
        <w:ind w:firstLineChars="200" w:firstLine="480"/>
        <w:rPr>
          <w:rFonts w:ascii="Times New Roman" w:hAnsi="Times New Roman"/>
          <w:bCs/>
          <w:sz w:val="24"/>
        </w:rPr>
      </w:pPr>
      <w:proofErr w:type="gramStart"/>
      <w:r>
        <w:rPr>
          <w:rFonts w:ascii="Times New Roman" w:hAnsi="Times New Roman" w:hint="eastAsia"/>
          <w:bCs/>
          <w:sz w:val="24"/>
        </w:rPr>
        <w:t>侧袋账户</w:t>
      </w:r>
      <w:proofErr w:type="gramEnd"/>
      <w:r>
        <w:rPr>
          <w:rFonts w:ascii="Times New Roman" w:hAnsi="Times New Roman" w:hint="eastAsia"/>
          <w:bCs/>
          <w:sz w:val="24"/>
        </w:rPr>
        <w:t>的实施条件、实施程序、运作安排、投资安排、特定资产的处置变现和支付等对投资者权益有重大影响的事项详见本招募说明书“侧袋机制”部分的规定。</w:t>
      </w:r>
    </w:p>
    <w:p w:rsidR="009A4701" w:rsidRDefault="009A4701">
      <w:pPr>
        <w:widowControl/>
        <w:jc w:val="left"/>
        <w:rPr>
          <w:rFonts w:ascii="Times New Roman" w:hAnsi="Times New Roman"/>
          <w:bCs/>
          <w:sz w:val="24"/>
        </w:rPr>
      </w:pPr>
    </w:p>
    <w:p w:rsidR="009A4701" w:rsidRDefault="00677B65">
      <w:pPr>
        <w:widowControl/>
        <w:jc w:val="left"/>
        <w:rPr>
          <w:rFonts w:ascii="Times New Roman" w:hAnsi="Times New Roman"/>
          <w:b/>
          <w:bCs/>
          <w:kern w:val="44"/>
          <w:sz w:val="30"/>
          <w:szCs w:val="44"/>
        </w:rPr>
      </w:pPr>
      <w:bookmarkStart w:id="24" w:name="_Toc147840628"/>
      <w:r>
        <w:rPr>
          <w:rFonts w:ascii="Times New Roman" w:hAnsi="Times New Roman"/>
          <w:sz w:val="30"/>
        </w:rPr>
        <w:br w:type="page"/>
      </w: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lastRenderedPageBreak/>
        <w:t>十、基金的财产</w:t>
      </w:r>
      <w:bookmarkEnd w:id="24"/>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（一）基金资产总值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基金资产总值是指基金拥有的各类有价证券、股指期货合约、银行存款本息、基金应收款项及其他资产的价值总和。</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（二）基金资产净值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基金资产净值是指基金资产总值减去基金负债后的价值。</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（三）基金财产的账户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（四）基金财产的保管和处分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Times New Roman" w:hAnsi="Times New Roman"/>
          <w:sz w:val="24"/>
        </w:rPr>
        <w:t>律法规</w:t>
      </w:r>
      <w:proofErr w:type="gramEnd"/>
      <w:r>
        <w:rPr>
          <w:rFonts w:ascii="Times New Roman" w:hAnsi="Times New Roman"/>
          <w:sz w:val="24"/>
        </w:rPr>
        <w:t>和《基金合同》的规定处分外，基金财产不得被处分。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Times New Roman" w:hAnsi="Times New Roman"/>
          <w:sz w:val="24"/>
        </w:rPr>
        <w:t>抵销</w:t>
      </w:r>
      <w:proofErr w:type="gramEnd"/>
      <w:r>
        <w:rPr>
          <w:rFonts w:ascii="Times New Roman" w:hAnsi="Times New Roman"/>
          <w:sz w:val="24"/>
        </w:rPr>
        <w:t>；基金管理人管理运作不同基金的基金财产所产生的债权债务不得相互</w:t>
      </w:r>
      <w:proofErr w:type="gramStart"/>
      <w:r>
        <w:rPr>
          <w:rFonts w:ascii="Times New Roman" w:hAnsi="Times New Roman"/>
          <w:sz w:val="24"/>
        </w:rPr>
        <w:t>抵销</w:t>
      </w:r>
      <w:proofErr w:type="gramEnd"/>
      <w:r>
        <w:rPr>
          <w:rFonts w:ascii="Times New Roman" w:hAnsi="Times New Roman"/>
          <w:sz w:val="24"/>
        </w:rPr>
        <w:t>。非因基金财产本身承担的债务，不得对基金财产强制执行。</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25" w:name="_Toc147840629"/>
      <w:r>
        <w:rPr>
          <w:rFonts w:ascii="Times New Roman" w:hAnsi="Times New Roman"/>
          <w:sz w:val="30"/>
        </w:rPr>
        <w:lastRenderedPageBreak/>
        <w:t>十</w:t>
      </w:r>
      <w:r>
        <w:rPr>
          <w:rFonts w:ascii="Times New Roman" w:hAnsi="Times New Roman" w:hint="eastAsia"/>
          <w:sz w:val="30"/>
        </w:rPr>
        <w:t>一</w:t>
      </w:r>
      <w:r>
        <w:rPr>
          <w:rFonts w:ascii="Times New Roman" w:hAnsi="Times New Roman"/>
          <w:sz w:val="30"/>
        </w:rPr>
        <w:t>、基金资产的估值</w:t>
      </w:r>
      <w:bookmarkEnd w:id="25"/>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（一）估值日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本基金的估值日为本基金相关的证券交易场所的交易日以及国家法律法规规定需要对外披露基金净值的</w:t>
      </w:r>
      <w:proofErr w:type="gramStart"/>
      <w:r>
        <w:rPr>
          <w:rFonts w:ascii="Times New Roman" w:hAnsi="Times New Roman"/>
          <w:sz w:val="24"/>
        </w:rPr>
        <w:t>非交易</w:t>
      </w:r>
      <w:proofErr w:type="gramEnd"/>
      <w:r>
        <w:rPr>
          <w:rFonts w:ascii="Times New Roman" w:hAnsi="Times New Roman"/>
          <w:sz w:val="24"/>
        </w:rPr>
        <w:t>日。</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（二）估值对象</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基金所拥有的股票、债券、资产支持证券、衍生工具和其他投资等持续以公允价值计量的金融资产及负债。</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（三）估值原则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基金管理人在确定相关金融资产和金融负债的公允价值时，应符合《企业会计准则》、监管部门有关规定。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与上述投资品种</w:t>
      </w:r>
      <w:r>
        <w:rPr>
          <w:rFonts w:ascii="Times New Roman" w:hAnsi="Times New Roman" w:hint="eastAsia"/>
          <w:sz w:val="24"/>
        </w:rPr>
        <w:t>相</w:t>
      </w:r>
      <w:r>
        <w:rPr>
          <w:rFonts w:ascii="Times New Roman" w:hAnsi="Times New Roman"/>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、如经济环境发生重大变化或证券发行人发生影响证券价格的重大事件，使潜在估值调整对前一估值日的基金资产净值的影响在</w:t>
      </w:r>
      <w:r>
        <w:rPr>
          <w:rFonts w:ascii="Times New Roman" w:hAnsi="Times New Roman"/>
          <w:sz w:val="24"/>
        </w:rPr>
        <w:t>0.25%</w:t>
      </w:r>
      <w:r>
        <w:rPr>
          <w:rFonts w:ascii="Times New Roman" w:hAnsi="Times New Roman"/>
          <w:sz w:val="24"/>
        </w:rPr>
        <w:t>以上的，应对估值进行调整并确定公允价值。</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（四）估值方法</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、交易所上市的有价证券（包括股票等，另有规定的除外），以其估值日在证</w:t>
      </w:r>
      <w:r>
        <w:rPr>
          <w:rFonts w:ascii="Times New Roman" w:hAnsi="Times New Roman" w:hint="eastAsia"/>
          <w:sz w:val="24"/>
        </w:rPr>
        <w:lastRenderedPageBreak/>
        <w:t>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、处于未上市期间的有价证券应区分如下情况处理：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）送股、转增股、配股和公开增发的新股，按估值日在证券交易所挂牌的同一股票的估值方法估值；该日无交易的，以最近一日的市价（收盘价）估值；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）首次公开发行未上市的股票和债券，采用估值技术确定公允价值；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imes New Roman" w:hAnsi="Times New Roman" w:hint="eastAsia"/>
          <w:sz w:val="24"/>
        </w:rPr>
        <w:t>券</w:t>
      </w:r>
      <w:proofErr w:type="gramEnd"/>
      <w:r>
        <w:rPr>
          <w:rFonts w:ascii="Times New Roman" w:hAnsi="Times New Roman" w:hint="eastAsia"/>
          <w:sz w:val="24"/>
        </w:rPr>
        <w:t>等流通受限股票，按监管机构或行业协会有关规定确定公允价值。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、对于已上市或已挂牌转让的不含</w:t>
      </w:r>
      <w:proofErr w:type="gramStart"/>
      <w:r>
        <w:rPr>
          <w:rFonts w:ascii="Times New Roman" w:hAnsi="Times New Roman" w:hint="eastAsia"/>
          <w:sz w:val="24"/>
        </w:rPr>
        <w:t>权固定</w:t>
      </w:r>
      <w:proofErr w:type="gramEnd"/>
      <w:r>
        <w:rPr>
          <w:rFonts w:ascii="Times New Roman" w:hAnsi="Times New Roman" w:hint="eastAsia"/>
          <w:sz w:val="24"/>
        </w:rPr>
        <w:t>收益品种（另有规定的除外），选取第三方估值基准服务机构提供的相应品种当日的估值全价进行估值。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4</w:t>
      </w:r>
      <w:r>
        <w:rPr>
          <w:rFonts w:ascii="Times New Roman" w:hAnsi="Times New Roman" w:hint="eastAsia"/>
          <w:sz w:val="24"/>
        </w:rPr>
        <w:t>、对于已上市或已挂牌转让的含</w:t>
      </w:r>
      <w:proofErr w:type="gramStart"/>
      <w:r>
        <w:rPr>
          <w:rFonts w:ascii="Times New Roman" w:hAnsi="Times New Roman" w:hint="eastAsia"/>
          <w:sz w:val="24"/>
        </w:rPr>
        <w:t>权固定</w:t>
      </w:r>
      <w:proofErr w:type="gramEnd"/>
      <w:r>
        <w:rPr>
          <w:rFonts w:ascii="Times New Roman" w:hAnsi="Times New Roman" w:hint="eastAsia"/>
          <w:sz w:val="24"/>
        </w:rPr>
        <w:t>收益品种（另有规定的除外），选取第三方估值基准服务机构提供的相应品种当日的唯一估值全价或推荐估值全价进行估值。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5</w:t>
      </w:r>
      <w:r>
        <w:rPr>
          <w:rFonts w:ascii="Times New Roman" w:hAnsi="Times New Roman"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6</w:t>
      </w:r>
      <w:r>
        <w:rPr>
          <w:rFonts w:ascii="Times New Roman" w:hAnsi="Times New Roman" w:hint="eastAsia"/>
          <w:sz w:val="24"/>
        </w:rPr>
        <w:t>、对于未上市或未挂牌转让且不存在活跃市场的固定收益品种，采用在当前情况下适用并且有足够可利用数据和其他信息支持的估值技术确定其公允价值。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7</w:t>
      </w:r>
      <w:r>
        <w:rPr>
          <w:rFonts w:ascii="Times New Roman" w:hAnsi="Times New Roman" w:hint="eastAsia"/>
          <w:sz w:val="24"/>
        </w:rPr>
        <w:t>、本基金投资股指期货合约，一般以估值当日结算价进行估值，估值当日无结算价的，且最近交易日后经济环境未发生重大变化的，采用最近交易日结算价估值。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8</w:t>
      </w:r>
      <w:r>
        <w:rPr>
          <w:rFonts w:ascii="Times New Roman" w:hAnsi="Times New Roman" w:hint="eastAsia"/>
          <w:sz w:val="24"/>
        </w:rPr>
        <w:t>、同一证券同时在两个或两个以上市场交易的，按证券所处的市场分别估值。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9</w:t>
      </w:r>
      <w:r>
        <w:rPr>
          <w:rFonts w:ascii="Times New Roman" w:hAnsi="Times New Roman" w:hint="eastAsia"/>
          <w:sz w:val="24"/>
        </w:rPr>
        <w:t>、估值计算中涉及港币对人民币汇率的，将依据下列信息提供机构所提供的汇率为基准：当日中国人民银行或其授权机构公布的人民币与港币的中间价。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10</w:t>
      </w:r>
      <w:r>
        <w:rPr>
          <w:rFonts w:ascii="Times New Roman" w:hAnsi="Times New Roman" w:hint="eastAsia"/>
          <w:sz w:val="24"/>
        </w:rPr>
        <w:t>、对于因税收规定调整或其他原因导致本基金实际交纳税金与估算的应交税金有差异的，本基金将在相关税金调整日或实际支付日进行相应的会计处理。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sz w:val="24"/>
        </w:rPr>
        <w:t>1</w:t>
      </w:r>
      <w:r>
        <w:rPr>
          <w:rFonts w:ascii="Times New Roman" w:hAnsi="Times New Roman" w:hint="eastAsia"/>
          <w:sz w:val="24"/>
        </w:rPr>
        <w:t>、本基金投资存托凭证的估值核算依照境内上市交易的股票执行。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sz w:val="24"/>
        </w:rPr>
        <w:t>2</w:t>
      </w:r>
      <w:r>
        <w:rPr>
          <w:rFonts w:ascii="Times New Roman" w:hAnsi="Times New Roman" w:hint="eastAsia"/>
          <w:sz w:val="24"/>
        </w:rPr>
        <w:t>、基金参与融资和转融通证券出借业务的，应参照相关法律法规和中国证券投资基金业协会发布的相关规定进行估值。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sz w:val="24"/>
        </w:rPr>
        <w:t>3</w:t>
      </w:r>
      <w:r>
        <w:rPr>
          <w:rFonts w:ascii="Times New Roman" w:hAnsi="Times New Roman" w:hint="eastAsia"/>
          <w:sz w:val="24"/>
        </w:rPr>
        <w:t>、如有确凿证据表明按上述方法进行估值不能客观反映其公允价值的，基金管理人可根据具体情况与基金托管人商定后，按最能反映公允价值的价格估值。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sz w:val="24"/>
        </w:rPr>
        <w:t>4</w:t>
      </w:r>
      <w:r>
        <w:rPr>
          <w:rFonts w:ascii="Times New Roman" w:hAnsi="Times New Roman" w:hint="eastAsia"/>
          <w:sz w:val="24"/>
        </w:rPr>
        <w:t>、当发生大额申购或赎回情形时，基金管理人可以采用摆动定价机制，以确保基金估值的公平性。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sz w:val="24"/>
        </w:rPr>
        <w:t>5</w:t>
      </w:r>
      <w:r>
        <w:rPr>
          <w:rFonts w:ascii="Times New Roman" w:hAnsi="Times New Roman" w:hint="eastAsia"/>
          <w:sz w:val="24"/>
        </w:rPr>
        <w:t>、相关法律法规以及监管部门有强制规定的，从其规定。如有新增事项，按国家最新规定估值。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Times New Roman" w:hAnsi="Times New Roman" w:hint="eastAsia"/>
          <w:sz w:val="24"/>
        </w:rPr>
        <w:t>信息</w:t>
      </w:r>
      <w:r>
        <w:rPr>
          <w:rFonts w:ascii="Times New Roman" w:hAnsi="Times New Roman"/>
          <w:sz w:val="24"/>
        </w:rPr>
        <w:t>的计算结果对外予以公布。</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（五）估值程序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、各类基金份额的基金份额净值是按照每个工作日闭市后，该类基金份额的基金资产净值除以当日</w:t>
      </w:r>
      <w:r>
        <w:rPr>
          <w:rFonts w:ascii="Times New Roman" w:hAnsi="Times New Roman" w:hint="eastAsia"/>
          <w:sz w:val="24"/>
        </w:rPr>
        <w:t>该类</w:t>
      </w:r>
      <w:r>
        <w:rPr>
          <w:rFonts w:ascii="Times New Roman" w:hAnsi="Times New Roman"/>
          <w:sz w:val="24"/>
        </w:rPr>
        <w:t>基金份额的余额数量计算，精确到</w:t>
      </w:r>
      <w:r>
        <w:rPr>
          <w:rFonts w:ascii="Times New Roman" w:hAnsi="Times New Roman"/>
          <w:sz w:val="24"/>
        </w:rPr>
        <w:t>0.0001</w:t>
      </w:r>
      <w:r>
        <w:rPr>
          <w:rFonts w:ascii="Times New Roman" w:hAnsi="Times New Roman"/>
          <w:sz w:val="24"/>
        </w:rPr>
        <w:t>元，小数点后第</w:t>
      </w:r>
      <w:r>
        <w:rPr>
          <w:rFonts w:ascii="Times New Roman" w:hAnsi="Times New Roman"/>
          <w:sz w:val="24"/>
        </w:rPr>
        <w:t>5</w:t>
      </w:r>
      <w:r>
        <w:rPr>
          <w:rFonts w:ascii="Times New Roman" w:hAnsi="Times New Roman"/>
          <w:sz w:val="24"/>
        </w:rPr>
        <w:t>位四舍五入。基金管理人可以设立大额赎回情形下的净值精度应急调整机制，具体可参见相关公告。国家另有规定的，从其规定。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基金管理人于每个工作日计算各类基金份额的基金资产净值及基金份额净值，</w:t>
      </w:r>
      <w:r>
        <w:rPr>
          <w:rFonts w:hint="eastAsia"/>
          <w:bCs/>
          <w:sz w:val="24"/>
        </w:rPr>
        <w:t>经基金托管人复核，</w:t>
      </w:r>
      <w:r>
        <w:rPr>
          <w:rFonts w:ascii="Times New Roman" w:hAnsi="Times New Roman"/>
          <w:sz w:val="24"/>
        </w:rPr>
        <w:t>并按规定公告。如遇特殊情况，经</w:t>
      </w:r>
      <w:r>
        <w:rPr>
          <w:rFonts w:ascii="Times New Roman" w:hAnsi="Times New Roman" w:hint="eastAsia"/>
          <w:bCs/>
          <w:sz w:val="24"/>
        </w:rPr>
        <w:t>履行适当程序</w:t>
      </w:r>
      <w:r>
        <w:rPr>
          <w:rFonts w:ascii="Times New Roman" w:hAnsi="Times New Roman"/>
          <w:sz w:val="24"/>
        </w:rPr>
        <w:t>，可以适当延迟计算或公告。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2</w:t>
      </w:r>
      <w:r>
        <w:rPr>
          <w:rFonts w:ascii="Times New Roman" w:hAnsi="Times New Roman"/>
          <w:sz w:val="24"/>
        </w:rPr>
        <w:t>、基金管理人</w:t>
      </w:r>
      <w:proofErr w:type="gramStart"/>
      <w:r>
        <w:rPr>
          <w:rFonts w:ascii="Times New Roman" w:hAnsi="Times New Roman"/>
          <w:sz w:val="24"/>
        </w:rPr>
        <w:t>应每个</w:t>
      </w:r>
      <w:proofErr w:type="gramEnd"/>
      <w:r>
        <w:rPr>
          <w:rFonts w:ascii="Times New Roman" w:hAnsi="Times New Roman"/>
          <w:sz w:val="24"/>
        </w:rPr>
        <w:t>工作日对基金资产估值</w:t>
      </w:r>
      <w:r>
        <w:rPr>
          <w:rFonts w:ascii="Times New Roman" w:hAnsi="Times New Roman" w:hint="eastAsia"/>
          <w:sz w:val="24"/>
        </w:rPr>
        <w:t>，</w:t>
      </w:r>
      <w:r>
        <w:rPr>
          <w:rFonts w:ascii="Times New Roman" w:hAnsi="Times New Roman"/>
          <w:sz w:val="24"/>
        </w:rPr>
        <w:t>但基金管理人根据法律法规或基金合同的规定暂停估值时除外。基金管理人每个工作日对基金资产估值后，将</w:t>
      </w:r>
      <w:r>
        <w:rPr>
          <w:rFonts w:ascii="Times New Roman" w:hAnsi="Times New Roman" w:hint="eastAsia"/>
          <w:bCs/>
          <w:sz w:val="24"/>
        </w:rPr>
        <w:t>基金资产净值、</w:t>
      </w:r>
      <w:r>
        <w:rPr>
          <w:rFonts w:ascii="Times New Roman" w:hAnsi="Times New Roman"/>
          <w:sz w:val="24"/>
        </w:rPr>
        <w:t>各类基金份额净值结果发送基金托管人，经基金托管人复核无误后，由基金管理人依据基金合同和相关法律法规的规定对外公布。</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（六）估值错误的处理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基金管理人和基金托管人将采取必要、适当、合理的措施确保基金资产估值的准确性、及时性。当基金份额净值小数点后</w:t>
      </w:r>
      <w:r>
        <w:rPr>
          <w:rFonts w:ascii="Times New Roman" w:hAnsi="Times New Roman"/>
          <w:sz w:val="24"/>
        </w:rPr>
        <w:t>4</w:t>
      </w:r>
      <w:r>
        <w:rPr>
          <w:rFonts w:ascii="Times New Roman" w:hAnsi="Times New Roman"/>
          <w:sz w:val="24"/>
        </w:rPr>
        <w:t>位以内（含第</w:t>
      </w:r>
      <w:r>
        <w:rPr>
          <w:rFonts w:ascii="Times New Roman" w:hAnsi="Times New Roman"/>
          <w:sz w:val="24"/>
        </w:rPr>
        <w:t>4</w:t>
      </w:r>
      <w:r>
        <w:rPr>
          <w:rFonts w:ascii="Times New Roman" w:hAnsi="Times New Roman"/>
          <w:sz w:val="24"/>
        </w:rPr>
        <w:t>位）发生估值错误时，视为基金份额净值错误。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基金合同的当事人应按照以下约定处理：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、估值错误类型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imes New Roman" w:hAnsi="Times New Roman"/>
          <w:sz w:val="24"/>
        </w:rPr>
        <w:t>“</w:t>
      </w:r>
      <w:r>
        <w:rPr>
          <w:rFonts w:ascii="Times New Roman" w:hAnsi="Times New Roman"/>
          <w:sz w:val="24"/>
        </w:rPr>
        <w:t>受损方</w:t>
      </w:r>
      <w:r>
        <w:rPr>
          <w:rFonts w:ascii="Times New Roman" w:hAnsi="Times New Roman"/>
          <w:sz w:val="24"/>
        </w:rPr>
        <w:t>”</w:t>
      </w:r>
      <w:r>
        <w:rPr>
          <w:rFonts w:ascii="Times New Roman" w:hAnsi="Times New Roman"/>
          <w:sz w:val="24"/>
        </w:rPr>
        <w:t>）的直接损失按下述</w:t>
      </w:r>
      <w:r>
        <w:rPr>
          <w:rFonts w:ascii="Times New Roman" w:hAnsi="Times New Roman"/>
          <w:sz w:val="24"/>
        </w:rPr>
        <w:t>“</w:t>
      </w:r>
      <w:r>
        <w:rPr>
          <w:rFonts w:ascii="Times New Roman" w:hAnsi="Times New Roman"/>
          <w:sz w:val="24"/>
        </w:rPr>
        <w:t>估值错误处理原则</w:t>
      </w:r>
      <w:r>
        <w:rPr>
          <w:rFonts w:ascii="Times New Roman" w:hAnsi="Times New Roman"/>
          <w:sz w:val="24"/>
        </w:rPr>
        <w:t>”</w:t>
      </w:r>
      <w:r>
        <w:rPr>
          <w:rFonts w:ascii="Times New Roman" w:hAnsi="Times New Roman"/>
          <w:sz w:val="24"/>
        </w:rPr>
        <w:t>给予赔偿，承担赔偿责任。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上述估值错误的主要类型包括但不限于：资料申报差错、数据传输差错、数据计算差错、系统故障差错、下达指令差错等。</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对于因技术原因引起的差错，若系同行业现有技术水平无法预见、无法避免、无法抗拒，则属不可抗力，按照下述规定执行。</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、估值错误处理原则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）估值错误的责任方对有关当事人的直接损失负责，不对间接损失负责，并且仅对估值错误的有关直接当事人负责，不对第三方负责。</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w:t>
      </w:r>
      <w:r>
        <w:rPr>
          <w:rFonts w:ascii="Times New Roman" w:hAnsi="Times New Roman"/>
          <w:sz w:val="24"/>
        </w:rPr>
        <w:t>3</w:t>
      </w:r>
      <w:r>
        <w:rPr>
          <w:rFonts w:ascii="Times New Roman" w:hAnsi="Times New Roman"/>
          <w:sz w:val="24"/>
        </w:rPr>
        <w:t>）因估值错误而获得不当得利的当事人负有及时返还不当得利的义务。但估值错误责任方仍应对估值错误负责。如果由于获得不当得利的当事人</w:t>
      </w:r>
      <w:proofErr w:type="gramStart"/>
      <w:r>
        <w:rPr>
          <w:rFonts w:ascii="Times New Roman" w:hAnsi="Times New Roman"/>
          <w:sz w:val="24"/>
        </w:rPr>
        <w:t>不</w:t>
      </w:r>
      <w:proofErr w:type="gramEnd"/>
      <w:r>
        <w:rPr>
          <w:rFonts w:ascii="Times New Roman" w:hAnsi="Times New Roman"/>
          <w:sz w:val="24"/>
        </w:rPr>
        <w:t>返还或不全部返还不当得利造成其他当事人的利益损失（</w:t>
      </w:r>
      <w:r>
        <w:rPr>
          <w:rFonts w:ascii="Times New Roman" w:hAnsi="Times New Roman"/>
          <w:sz w:val="24"/>
        </w:rPr>
        <w:t>“</w:t>
      </w:r>
      <w:r>
        <w:rPr>
          <w:rFonts w:ascii="Times New Roman" w:hAnsi="Times New Roman"/>
          <w:sz w:val="24"/>
        </w:rPr>
        <w:t>受损方</w:t>
      </w:r>
      <w:r>
        <w:rPr>
          <w:rFonts w:ascii="Times New Roman" w:hAnsi="Times New Roman"/>
          <w:sz w:val="24"/>
        </w:rPr>
        <w:t>”</w:t>
      </w:r>
      <w:r>
        <w:rPr>
          <w:rFonts w:ascii="Times New Roman" w:hAnsi="Times New Roman"/>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）估值错误调整采用尽量恢复至假设未发生估值错误的正确情形的方式。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）按法律法规规定的其他原则处理估值错误。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、估值错误处理程序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估值错误被发现后，有关的当事人应当及时进行处理，处理的程序如下：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）查明估值错误发生的原因，列明所有的当事人，并根据估值错误发生的原因确定估值错误的责任方；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）根据估值错误处理原则或当事人协商的方法对因估值错误造成的损失进行评估；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）根据估值错误处理原则或当事人协商的方法由估值错误的责任方进行更正和赔偿损失；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）根据估值错误处理的方法，需要修改基金登记机构交易数据的，由基金登记机构进行更正，并就估值错误的更正向有关当事人进行确认。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、基金份额净值估值错误处理的方法如下：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）基金份额净值计算出现错误时，基金管理人应当立即予以纠正，通报基金托管人，并采取合理的措施防止损失进一步扩大。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）错误偏差达到</w:t>
      </w:r>
      <w:r>
        <w:rPr>
          <w:rFonts w:ascii="Times New Roman" w:hAnsi="Times New Roman" w:hint="eastAsia"/>
          <w:sz w:val="24"/>
        </w:rPr>
        <w:t>该类</w:t>
      </w:r>
      <w:r>
        <w:rPr>
          <w:rFonts w:ascii="Times New Roman" w:hAnsi="Times New Roman"/>
          <w:sz w:val="24"/>
        </w:rPr>
        <w:t>基金份额净值的</w:t>
      </w:r>
      <w:r>
        <w:rPr>
          <w:rFonts w:ascii="Times New Roman" w:hAnsi="Times New Roman"/>
          <w:sz w:val="24"/>
        </w:rPr>
        <w:t>0.25%</w:t>
      </w:r>
      <w:r>
        <w:rPr>
          <w:rFonts w:ascii="Times New Roman" w:hAnsi="Times New Roman"/>
          <w:sz w:val="24"/>
        </w:rPr>
        <w:t>时，基金管理人应当通报基金托管人并报中国证监会备案；错误偏差达到</w:t>
      </w:r>
      <w:r>
        <w:rPr>
          <w:rFonts w:ascii="Times New Roman" w:hAnsi="Times New Roman" w:hint="eastAsia"/>
          <w:sz w:val="24"/>
        </w:rPr>
        <w:t>该类</w:t>
      </w:r>
      <w:r>
        <w:rPr>
          <w:rFonts w:ascii="Times New Roman" w:hAnsi="Times New Roman"/>
          <w:sz w:val="24"/>
        </w:rPr>
        <w:t>基金份额净值的</w:t>
      </w:r>
      <w:r>
        <w:rPr>
          <w:rFonts w:ascii="Times New Roman" w:hAnsi="Times New Roman"/>
          <w:sz w:val="24"/>
        </w:rPr>
        <w:t>0.5%</w:t>
      </w:r>
      <w:r>
        <w:rPr>
          <w:rFonts w:ascii="Times New Roman" w:hAnsi="Times New Roman"/>
          <w:sz w:val="24"/>
        </w:rPr>
        <w:t>时，基金管理人应当公告，并报中国证监会备案。</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）前述内容</w:t>
      </w:r>
      <w:r>
        <w:rPr>
          <w:rFonts w:ascii="Times New Roman" w:hAnsi="Times New Roman" w:hint="eastAsia"/>
          <w:sz w:val="24"/>
        </w:rPr>
        <w:t>如法律法规或监管机关另有规定的，从其规定处理。</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（七）暂停估值的情形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、基金投资所涉及的证券</w:t>
      </w:r>
      <w:r>
        <w:rPr>
          <w:rFonts w:ascii="Times New Roman" w:hAnsi="Times New Roman"/>
          <w:sz w:val="24"/>
        </w:rPr>
        <w:t>/</w:t>
      </w:r>
      <w:r>
        <w:rPr>
          <w:rFonts w:ascii="Times New Roman" w:hAnsi="Times New Roman"/>
          <w:sz w:val="24"/>
        </w:rPr>
        <w:t>期货交易市场</w:t>
      </w:r>
      <w:r>
        <w:rPr>
          <w:rFonts w:hint="eastAsia"/>
          <w:bCs/>
          <w:sz w:val="24"/>
        </w:rPr>
        <w:t>或外汇市场</w:t>
      </w:r>
      <w:r>
        <w:rPr>
          <w:rFonts w:ascii="Times New Roman" w:hAnsi="Times New Roman"/>
          <w:sz w:val="24"/>
        </w:rPr>
        <w:t>遇法定节假日或因其他原因暂停营业时；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、因不可抗力致使基金管理人、基金托管人无法准确评估基金资产价值时；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lastRenderedPageBreak/>
        <w:t>3</w:t>
      </w:r>
      <w:r>
        <w:rPr>
          <w:rFonts w:ascii="Times New Roman" w:hAnsi="Times New Roman" w:hint="eastAsia"/>
          <w:sz w:val="24"/>
        </w:rPr>
        <w:t>、当特定资产占前一估值日基金资产净值</w:t>
      </w:r>
      <w:r>
        <w:rPr>
          <w:rFonts w:ascii="Times New Roman" w:hAnsi="Times New Roman"/>
          <w:sz w:val="24"/>
        </w:rPr>
        <w:t>50%</w:t>
      </w:r>
      <w:r>
        <w:rPr>
          <w:rFonts w:ascii="Times New Roman" w:hAnsi="Times New Roman" w:hint="eastAsia"/>
          <w:sz w:val="24"/>
        </w:rPr>
        <w:t>以上的，经与基金托管人协商确认后，基金管理人应当暂停估值；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、法律法规、中国证监会和基金合同认定的其它情形。</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（八）基金净值的确认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（九）特殊情形的处理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、基金管理人或基金托管人按估值方法的第</w:t>
      </w:r>
      <w:r>
        <w:rPr>
          <w:rFonts w:ascii="Times New Roman" w:hAnsi="Times New Roman"/>
          <w:sz w:val="24"/>
        </w:rPr>
        <w:t>13</w:t>
      </w:r>
      <w:r>
        <w:rPr>
          <w:rFonts w:ascii="Times New Roman" w:hAnsi="Times New Roman"/>
          <w:sz w:val="24"/>
        </w:rPr>
        <w:t>项进行估值时，所造成的误差不作为基金资产估值错误处理。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、由于不可抗力原因，或由于证券</w:t>
      </w:r>
      <w:r>
        <w:rPr>
          <w:rFonts w:ascii="Times New Roman" w:hAnsi="Times New Roman"/>
          <w:sz w:val="24"/>
        </w:rPr>
        <w:t>/</w:t>
      </w:r>
      <w:r>
        <w:rPr>
          <w:rFonts w:ascii="Times New Roman" w:hAnsi="Times New Roman"/>
          <w:sz w:val="24"/>
        </w:rPr>
        <w:t>期货交易所、证券</w:t>
      </w:r>
      <w:r>
        <w:rPr>
          <w:rFonts w:ascii="Times New Roman" w:hAnsi="Times New Roman"/>
          <w:sz w:val="24"/>
        </w:rPr>
        <w:t>/</w:t>
      </w:r>
      <w:r>
        <w:rPr>
          <w:rFonts w:ascii="Times New Roman" w:hAnsi="Times New Roman"/>
          <w:sz w:val="24"/>
        </w:rPr>
        <w:t>期货经纪机构、登记结算公司</w:t>
      </w:r>
      <w:r>
        <w:rPr>
          <w:rFonts w:ascii="Times New Roman" w:hAnsi="Times New Roman" w:hint="eastAsia"/>
          <w:sz w:val="24"/>
        </w:rPr>
        <w:t>、指数编制机构</w:t>
      </w:r>
      <w:r>
        <w:rPr>
          <w:rFonts w:ascii="Times New Roman" w:hAnsi="Times New Roman"/>
          <w:sz w:val="24"/>
        </w:rPr>
        <w:t>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（十）实施</w:t>
      </w:r>
      <w:proofErr w:type="gramStart"/>
      <w:r>
        <w:rPr>
          <w:rFonts w:ascii="Times New Roman" w:hAnsi="Times New Roman"/>
          <w:b/>
          <w:sz w:val="24"/>
        </w:rPr>
        <w:t>侧袋机制</w:t>
      </w:r>
      <w:proofErr w:type="gramEnd"/>
      <w:r>
        <w:rPr>
          <w:rFonts w:ascii="Times New Roman" w:hAnsi="Times New Roman"/>
          <w:b/>
          <w:sz w:val="24"/>
        </w:rPr>
        <w:t>期间的基金资产估值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本基金实施</w:t>
      </w:r>
      <w:proofErr w:type="gramStart"/>
      <w:r>
        <w:rPr>
          <w:rFonts w:ascii="Times New Roman" w:hAnsi="Times New Roman"/>
          <w:sz w:val="24"/>
        </w:rPr>
        <w:t>侧袋机制</w:t>
      </w:r>
      <w:proofErr w:type="gramEnd"/>
      <w:r>
        <w:rPr>
          <w:rFonts w:ascii="Times New Roman" w:hAnsi="Times New Roman"/>
          <w:sz w:val="24"/>
        </w:rPr>
        <w:t>的，应根据本部分的约定</w:t>
      </w:r>
      <w:proofErr w:type="gramStart"/>
      <w:r>
        <w:rPr>
          <w:rFonts w:ascii="Times New Roman" w:hAnsi="Times New Roman"/>
          <w:sz w:val="24"/>
        </w:rPr>
        <w:t>对主袋账户</w:t>
      </w:r>
      <w:proofErr w:type="gramEnd"/>
      <w:r>
        <w:rPr>
          <w:rFonts w:ascii="Times New Roman" w:hAnsi="Times New Roman"/>
          <w:sz w:val="24"/>
        </w:rPr>
        <w:t>资产进行估值并</w:t>
      </w:r>
      <w:proofErr w:type="gramStart"/>
      <w:r>
        <w:rPr>
          <w:rFonts w:ascii="Times New Roman" w:hAnsi="Times New Roman"/>
          <w:sz w:val="24"/>
        </w:rPr>
        <w:t>披露主袋账户</w:t>
      </w:r>
      <w:proofErr w:type="gramEnd"/>
      <w:r>
        <w:rPr>
          <w:rFonts w:ascii="Times New Roman" w:hAnsi="Times New Roman"/>
          <w:sz w:val="24"/>
        </w:rPr>
        <w:t>的基金净值信息，暂停</w:t>
      </w:r>
      <w:proofErr w:type="gramStart"/>
      <w:r>
        <w:rPr>
          <w:rFonts w:ascii="Times New Roman" w:hAnsi="Times New Roman"/>
          <w:sz w:val="24"/>
        </w:rPr>
        <w:t>披露侧袋账户</w:t>
      </w:r>
      <w:proofErr w:type="gramEnd"/>
      <w:r>
        <w:rPr>
          <w:rFonts w:ascii="Times New Roman" w:hAnsi="Times New Roman"/>
          <w:sz w:val="24"/>
        </w:rPr>
        <w:t>份额净值。</w:t>
      </w:r>
    </w:p>
    <w:p w:rsidR="009A4701" w:rsidRDefault="009A4701">
      <w:pPr>
        <w:autoSpaceDE w:val="0"/>
        <w:autoSpaceDN w:val="0"/>
        <w:adjustRightInd w:val="0"/>
        <w:spacing w:line="360" w:lineRule="auto"/>
        <w:rPr>
          <w:rFonts w:ascii="Times New Roman" w:hAnsi="Times New Roman"/>
          <w:szCs w:val="24"/>
        </w:rPr>
      </w:pPr>
    </w:p>
    <w:p w:rsidR="009A4701" w:rsidRDefault="00677B65">
      <w:pPr>
        <w:widowControl/>
        <w:jc w:val="left"/>
        <w:rPr>
          <w:rFonts w:ascii="Times New Roman" w:hAnsi="Times New Roman"/>
          <w:b/>
          <w:bCs/>
          <w:kern w:val="44"/>
          <w:sz w:val="30"/>
          <w:szCs w:val="44"/>
        </w:rPr>
      </w:pPr>
      <w:bookmarkStart w:id="26" w:name="_Toc147840630"/>
      <w:r>
        <w:rPr>
          <w:rFonts w:ascii="Times New Roman" w:hAnsi="Times New Roman"/>
          <w:sz w:val="30"/>
        </w:rPr>
        <w:br w:type="page"/>
      </w: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lastRenderedPageBreak/>
        <w:t>十</w:t>
      </w:r>
      <w:r>
        <w:rPr>
          <w:rFonts w:ascii="Times New Roman" w:hAnsi="Times New Roman" w:hint="eastAsia"/>
          <w:sz w:val="30"/>
        </w:rPr>
        <w:t>二</w:t>
      </w:r>
      <w:r>
        <w:rPr>
          <w:rFonts w:ascii="Times New Roman" w:hAnsi="Times New Roman"/>
          <w:sz w:val="30"/>
        </w:rPr>
        <w:t>、基金收益与分配</w:t>
      </w:r>
      <w:bookmarkEnd w:id="26"/>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（一）基金利润的构成</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基金利润指基金利息收入、投资收益、公允价值变动收益和其他收入扣除相关费用后的余额，基金已实现收益指基金利润减去公允价值变动收益后的余额。</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（二）基金可供分配利润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基金可供分配利润指截至收益分配基准日基金未分配利润与未分配利润中已实现收益的孰低数。</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（三）基金收益分配原则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、由于本基金</w:t>
      </w:r>
      <w:r>
        <w:rPr>
          <w:rFonts w:ascii="Times New Roman" w:hAnsi="Times New Roman"/>
          <w:sz w:val="24"/>
        </w:rPr>
        <w:t>A</w:t>
      </w:r>
      <w:r>
        <w:rPr>
          <w:rFonts w:ascii="Times New Roman" w:hAnsi="Times New Roman"/>
          <w:sz w:val="24"/>
        </w:rPr>
        <w:t>类基金份额不收取销售服务费，</w:t>
      </w:r>
      <w:r>
        <w:rPr>
          <w:rFonts w:ascii="Times New Roman" w:hAnsi="Times New Roman"/>
          <w:sz w:val="24"/>
        </w:rPr>
        <w:t>C</w:t>
      </w:r>
      <w:r>
        <w:rPr>
          <w:rFonts w:ascii="Times New Roman" w:hAnsi="Times New Roman"/>
          <w:sz w:val="24"/>
        </w:rPr>
        <w:t>类基金份额收取销售服务费，各基金份额类别对应的可供分配利润将有所不同；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、基金管理人可每季度对基金相对业绩比较基准的超额收益率以及基金的可供分配利润进行评价，在符合收益分配相关规定的前提下，基金管理人可进行收益分配；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、在符合有关基金分红条件的前提下，本基金可每季度进行收益分配，基金管理人也可根据实际情况在其他日期对本基金进行收益分配，具体分配方案以公告为准；若《基金合同》生效不满</w:t>
      </w:r>
      <w:r>
        <w:rPr>
          <w:rFonts w:ascii="Times New Roman" w:hAnsi="Times New Roman" w:hint="eastAsia"/>
          <w:sz w:val="24"/>
        </w:rPr>
        <w:t>3</w:t>
      </w:r>
      <w:r>
        <w:rPr>
          <w:rFonts w:ascii="Times New Roman" w:hAnsi="Times New Roman" w:hint="eastAsia"/>
          <w:sz w:val="24"/>
        </w:rPr>
        <w:t>个月可不进行收益分配；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类基金份额分别选择不同的收益分配方式；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、本基金同一基金份额类别的每一基金份额享有同等分配权；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w:t>
      </w:r>
      <w:r>
        <w:rPr>
          <w:rFonts w:ascii="Times New Roman" w:hAnsi="Times New Roman"/>
          <w:sz w:val="24"/>
        </w:rPr>
        <w:t>、法律法规或监管机关另有规定的，从其规定。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基金管理人可在不违反法律法规且对基金份额持有人利益无实质性不利影响的前提下，对上述原则进行修改或调整，而无需召开基金份额持有人大会审议。</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b/>
          <w:sz w:val="24"/>
        </w:rPr>
        <w:t>（四）</w:t>
      </w:r>
      <w:r>
        <w:rPr>
          <w:rFonts w:ascii="Times New Roman" w:hAnsi="Times New Roman" w:hint="eastAsia"/>
          <w:b/>
          <w:sz w:val="24"/>
        </w:rPr>
        <w:t>基金相对业绩比较基准的超额收益率计算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在评价日，基金管理人计算基金累计报酬率、业绩比较基准同期累计报酬率。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基金评价日本基金相对业绩比较基准的超额收益率＝基金累计报酬率－业绩比较基准同期累计报酬率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基金累计报酬率＝（</w:t>
      </w:r>
      <w:proofErr w:type="gramStart"/>
      <w:r>
        <w:rPr>
          <w:rFonts w:ascii="Times New Roman" w:hAnsi="Times New Roman" w:hint="eastAsia"/>
          <w:sz w:val="24"/>
        </w:rPr>
        <w:t>评价日</w:t>
      </w:r>
      <w:proofErr w:type="gramEnd"/>
      <w:r>
        <w:rPr>
          <w:rFonts w:ascii="Times New Roman" w:hAnsi="Times New Roman" w:hint="eastAsia"/>
          <w:sz w:val="24"/>
        </w:rPr>
        <w:t>基金份额净值</w:t>
      </w:r>
      <w:r>
        <w:rPr>
          <w:rFonts w:ascii="Times New Roman" w:hAnsi="Times New Roman"/>
          <w:sz w:val="24"/>
        </w:rPr>
        <w:t>/</w:t>
      </w:r>
      <w:r>
        <w:rPr>
          <w:rFonts w:ascii="Times New Roman" w:hAnsi="Times New Roman" w:hint="eastAsia"/>
          <w:sz w:val="24"/>
        </w:rPr>
        <w:t>基金合同生效日所对应的</w:t>
      </w:r>
      <w:r>
        <w:rPr>
          <w:rFonts w:ascii="Times New Roman" w:hAnsi="Times New Roman"/>
          <w:sz w:val="24"/>
        </w:rPr>
        <w:t xml:space="preserve"> 3 </w:t>
      </w:r>
      <w:proofErr w:type="gramStart"/>
      <w:r>
        <w:rPr>
          <w:rFonts w:ascii="Times New Roman" w:hAnsi="Times New Roman" w:hint="eastAsia"/>
          <w:sz w:val="24"/>
        </w:rPr>
        <w:t>个</w:t>
      </w:r>
      <w:proofErr w:type="gramEnd"/>
      <w:r>
        <w:rPr>
          <w:rFonts w:ascii="Times New Roman" w:hAnsi="Times New Roman" w:hint="eastAsia"/>
          <w:sz w:val="24"/>
        </w:rPr>
        <w:t>月月</w:t>
      </w:r>
      <w:r>
        <w:rPr>
          <w:rFonts w:ascii="Times New Roman" w:hAnsi="Times New Roman" w:hint="eastAsia"/>
          <w:sz w:val="24"/>
        </w:rPr>
        <w:lastRenderedPageBreak/>
        <w:t>度对日的前一工作日基金份额净值－</w:t>
      </w:r>
      <w:r>
        <w:rPr>
          <w:rFonts w:ascii="Times New Roman" w:hAnsi="Times New Roman"/>
          <w:sz w:val="24"/>
        </w:rPr>
        <w:t>1</w:t>
      </w:r>
      <w:r>
        <w:rPr>
          <w:rFonts w:ascii="Times New Roman" w:hAnsi="Times New Roman" w:hint="eastAsia"/>
          <w:sz w:val="24"/>
        </w:rPr>
        <w:t>）×</w:t>
      </w:r>
      <w:r>
        <w:rPr>
          <w:rFonts w:ascii="Times New Roman" w:hAnsi="Times New Roman"/>
          <w:sz w:val="24"/>
        </w:rPr>
        <w:t>100%</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业绩比较基准同期累计报酬率＝（</w:t>
      </w:r>
      <w:proofErr w:type="gramStart"/>
      <w:r>
        <w:rPr>
          <w:rFonts w:ascii="Times New Roman" w:hAnsi="Times New Roman" w:hint="eastAsia"/>
          <w:sz w:val="24"/>
        </w:rPr>
        <w:t>评价日业绩</w:t>
      </w:r>
      <w:proofErr w:type="gramEnd"/>
      <w:r>
        <w:rPr>
          <w:rFonts w:ascii="Times New Roman" w:hAnsi="Times New Roman" w:hint="eastAsia"/>
          <w:sz w:val="24"/>
        </w:rPr>
        <w:t>比较基准数值</w:t>
      </w:r>
      <w:r>
        <w:rPr>
          <w:rFonts w:ascii="Times New Roman" w:hAnsi="Times New Roman"/>
          <w:sz w:val="24"/>
        </w:rPr>
        <w:t>/</w:t>
      </w:r>
      <w:r>
        <w:rPr>
          <w:rFonts w:ascii="Times New Roman" w:hAnsi="Times New Roman" w:hint="eastAsia"/>
          <w:sz w:val="24"/>
        </w:rPr>
        <w:t>基金合同生效日所对应的</w:t>
      </w:r>
      <w:r>
        <w:rPr>
          <w:rFonts w:ascii="Times New Roman" w:hAnsi="Times New Roman"/>
          <w:sz w:val="24"/>
        </w:rPr>
        <w:t xml:space="preserve"> 3 </w:t>
      </w:r>
      <w:proofErr w:type="gramStart"/>
      <w:r>
        <w:rPr>
          <w:rFonts w:ascii="Times New Roman" w:hAnsi="Times New Roman" w:hint="eastAsia"/>
          <w:sz w:val="24"/>
        </w:rPr>
        <w:t>个</w:t>
      </w:r>
      <w:proofErr w:type="gramEnd"/>
      <w:r>
        <w:rPr>
          <w:rFonts w:ascii="Times New Roman" w:hAnsi="Times New Roman" w:hint="eastAsia"/>
          <w:sz w:val="24"/>
        </w:rPr>
        <w:t>月月度对日的前一工作日业绩比较基准数值－</w:t>
      </w:r>
      <w:r>
        <w:rPr>
          <w:rFonts w:ascii="Times New Roman" w:hAnsi="Times New Roman"/>
          <w:sz w:val="24"/>
        </w:rPr>
        <w:t>1</w:t>
      </w:r>
      <w:r>
        <w:rPr>
          <w:rFonts w:ascii="Times New Roman" w:hAnsi="Times New Roman" w:hint="eastAsia"/>
          <w:sz w:val="24"/>
        </w:rPr>
        <w:t>）×</w:t>
      </w:r>
      <w:r>
        <w:rPr>
          <w:rFonts w:ascii="Times New Roman" w:hAnsi="Times New Roman"/>
          <w:sz w:val="24"/>
        </w:rPr>
        <w:t>100%</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个月月度对日指某一特定日期在之后第</w:t>
      </w:r>
      <w:r>
        <w:rPr>
          <w:rFonts w:ascii="Times New Roman" w:hAnsi="Times New Roman" w:hint="eastAsia"/>
          <w:sz w:val="24"/>
        </w:rPr>
        <w:t>3</w:t>
      </w:r>
      <w:r>
        <w:rPr>
          <w:rFonts w:ascii="Times New Roman" w:hAnsi="Times New Roman" w:hint="eastAsia"/>
          <w:sz w:val="24"/>
        </w:rPr>
        <w:t>个月月度中的对应日期，若该日历月度中不存在对应日期，则取该月度最后一日。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如基金份额发生折算，则采用剔除折算因素的基金份额净值，详见届时基金管理人发布的相关公告。</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w:t>
      </w:r>
      <w:r>
        <w:rPr>
          <w:rFonts w:ascii="Times New Roman" w:hAnsi="Times New Roman" w:hint="eastAsia"/>
          <w:b/>
          <w:sz w:val="24"/>
        </w:rPr>
        <w:t>五</w:t>
      </w:r>
      <w:r>
        <w:rPr>
          <w:rFonts w:ascii="Times New Roman" w:hAnsi="Times New Roman"/>
          <w:b/>
          <w:sz w:val="24"/>
        </w:rPr>
        <w:t>）收益分配方案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基金收益分配方案中应载明截止收益分配基准日的可供分配利润、基金收益分配对象、分配时间、分配数额及比例、分配方式等内容。</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w:t>
      </w:r>
      <w:r>
        <w:rPr>
          <w:rFonts w:ascii="Times New Roman" w:hAnsi="Times New Roman" w:hint="eastAsia"/>
          <w:b/>
          <w:sz w:val="24"/>
        </w:rPr>
        <w:t>六</w:t>
      </w:r>
      <w:r>
        <w:rPr>
          <w:rFonts w:ascii="Times New Roman" w:hAnsi="Times New Roman"/>
          <w:b/>
          <w:sz w:val="24"/>
        </w:rPr>
        <w:t>）收益分配方案的确定、公告与实施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本基金收益分配方案由基金管理人拟定，并由基金托管人复核，依照《信息披露办法》的规定在规定媒介公告。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法律法规或监管机关另有规定的，从其规定。</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w:t>
      </w:r>
      <w:r>
        <w:rPr>
          <w:rFonts w:ascii="Times New Roman" w:hAnsi="Times New Roman" w:hint="eastAsia"/>
          <w:b/>
          <w:sz w:val="24"/>
        </w:rPr>
        <w:t>七</w:t>
      </w:r>
      <w:r>
        <w:rPr>
          <w:rFonts w:ascii="Times New Roman" w:hAnsi="Times New Roman"/>
          <w:b/>
          <w:sz w:val="24"/>
        </w:rPr>
        <w:t>）基金收益分配中发生的费用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w:t>
      </w:r>
      <w:r>
        <w:rPr>
          <w:rFonts w:ascii="Times New Roman" w:hAnsi="Times New Roman" w:hint="eastAsia"/>
          <w:b/>
          <w:sz w:val="24"/>
        </w:rPr>
        <w:t>八</w:t>
      </w:r>
      <w:r>
        <w:rPr>
          <w:rFonts w:ascii="Times New Roman" w:hAnsi="Times New Roman"/>
          <w:b/>
          <w:sz w:val="24"/>
        </w:rPr>
        <w:t>）收益分配方式的修改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投资人可至销售机构办理收益分配方式的修改，投资人对本基金不同的</w:t>
      </w:r>
      <w:r>
        <w:rPr>
          <w:rFonts w:ascii="Times New Roman" w:hAnsi="Times New Roman" w:hint="eastAsia"/>
          <w:sz w:val="24"/>
        </w:rPr>
        <w:t>基金</w:t>
      </w:r>
      <w:r>
        <w:rPr>
          <w:rFonts w:ascii="Times New Roman" w:hAnsi="Times New Roman"/>
          <w:sz w:val="24"/>
        </w:rPr>
        <w:t>交易账户可设置不同的收益分配方式。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投资人同一日多次申报收益分配方式变更的，按照《业务规则》执行，最终确认的收益分配方式以登记机构记录为准。</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hint="eastAsia"/>
          <w:b/>
          <w:sz w:val="24"/>
        </w:rPr>
        <w:t>（九）实施</w:t>
      </w:r>
      <w:proofErr w:type="gramStart"/>
      <w:r>
        <w:rPr>
          <w:rFonts w:ascii="Times New Roman" w:hAnsi="Times New Roman" w:hint="eastAsia"/>
          <w:b/>
          <w:sz w:val="24"/>
        </w:rPr>
        <w:t>侧袋机制</w:t>
      </w:r>
      <w:proofErr w:type="gramEnd"/>
      <w:r>
        <w:rPr>
          <w:rFonts w:ascii="Times New Roman" w:hAnsi="Times New Roman" w:hint="eastAsia"/>
          <w:b/>
          <w:sz w:val="24"/>
        </w:rPr>
        <w:t>期间的收益分配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本基金实施</w:t>
      </w:r>
      <w:proofErr w:type="gramStart"/>
      <w:r>
        <w:rPr>
          <w:rFonts w:ascii="Times New Roman" w:hAnsi="Times New Roman" w:hint="eastAsia"/>
          <w:sz w:val="24"/>
        </w:rPr>
        <w:t>侧袋机制</w:t>
      </w:r>
      <w:proofErr w:type="gramEnd"/>
      <w:r>
        <w:rPr>
          <w:rFonts w:ascii="Times New Roman" w:hAnsi="Times New Roman" w:hint="eastAsia"/>
          <w:sz w:val="24"/>
        </w:rPr>
        <w:t>的，</w:t>
      </w:r>
      <w:proofErr w:type="gramStart"/>
      <w:r>
        <w:rPr>
          <w:rFonts w:ascii="Times New Roman" w:hAnsi="Times New Roman" w:hint="eastAsia"/>
          <w:sz w:val="24"/>
        </w:rPr>
        <w:t>侧袋账户</w:t>
      </w:r>
      <w:proofErr w:type="gramEnd"/>
      <w:r>
        <w:rPr>
          <w:rFonts w:ascii="Times New Roman" w:hAnsi="Times New Roman" w:hint="eastAsia"/>
          <w:sz w:val="24"/>
        </w:rPr>
        <w:t>不进行收益分配。</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27" w:name="_Toc147840631"/>
      <w:r>
        <w:rPr>
          <w:rFonts w:ascii="Times New Roman" w:hAnsi="Times New Roman"/>
          <w:sz w:val="30"/>
        </w:rPr>
        <w:lastRenderedPageBreak/>
        <w:t>十</w:t>
      </w:r>
      <w:r>
        <w:rPr>
          <w:rFonts w:ascii="Times New Roman" w:hAnsi="Times New Roman" w:hint="eastAsia"/>
          <w:sz w:val="30"/>
        </w:rPr>
        <w:t>三</w:t>
      </w:r>
      <w:r>
        <w:rPr>
          <w:rFonts w:ascii="Times New Roman" w:hAnsi="Times New Roman"/>
          <w:sz w:val="30"/>
        </w:rPr>
        <w:t>、基金的费用与税收</w:t>
      </w:r>
      <w:bookmarkEnd w:id="27"/>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（一）基金费用的种类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、基金管理人的管理费；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、基金托管人的托管费；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、《基金合同》生效后与基金相关的信息披露费用；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、《基金合同》生效后与基金相关的会计师费、律师费、仲裁费和诉讼费；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、基金份额持有人大会费用；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、基金的证券</w:t>
      </w:r>
      <w:r>
        <w:rPr>
          <w:rFonts w:ascii="Times New Roman" w:hAnsi="Times New Roman"/>
          <w:sz w:val="24"/>
        </w:rPr>
        <w:t>/</w:t>
      </w:r>
      <w:r>
        <w:rPr>
          <w:rFonts w:ascii="Times New Roman" w:hAnsi="Times New Roman"/>
          <w:sz w:val="24"/>
        </w:rPr>
        <w:t>期货交易费用；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、基金的银行汇划费用；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、基金的开户费用、账户维护费用；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9</w:t>
      </w:r>
      <w:r>
        <w:rPr>
          <w:rFonts w:ascii="Times New Roman" w:hAnsi="Times New Roman"/>
          <w:sz w:val="24"/>
        </w:rPr>
        <w:t>、</w:t>
      </w:r>
      <w:r>
        <w:rPr>
          <w:rFonts w:ascii="Times New Roman" w:hAnsi="Times New Roman" w:hint="eastAsia"/>
          <w:sz w:val="24"/>
        </w:rPr>
        <w:t>因投资港股通标的股票而产生的各项合理费用；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10</w:t>
      </w:r>
      <w:r>
        <w:rPr>
          <w:rFonts w:ascii="Times New Roman" w:hAnsi="Times New Roman" w:hint="eastAsia"/>
          <w:sz w:val="24"/>
        </w:rPr>
        <w:t>、</w:t>
      </w:r>
      <w:r>
        <w:rPr>
          <w:rFonts w:ascii="Times New Roman" w:hAnsi="Times New Roman"/>
          <w:sz w:val="24"/>
        </w:rPr>
        <w:t>本基金从</w:t>
      </w:r>
      <w:r>
        <w:rPr>
          <w:rFonts w:ascii="Times New Roman" w:hAnsi="Times New Roman"/>
          <w:sz w:val="24"/>
        </w:rPr>
        <w:t>C</w:t>
      </w:r>
      <w:r>
        <w:rPr>
          <w:rFonts w:ascii="Times New Roman" w:hAnsi="Times New Roman"/>
          <w:sz w:val="24"/>
        </w:rPr>
        <w:t>类基金份额的基金财产中计提的销售服务费；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、按照国家有关规定和《基金合同》约定，可以在基金财产中列支的其他费用。</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（二）基金费用计提方法、计提标准和支付方式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、与基金运作有关的费用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）基金管理人的管理费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本基金的管理费按前一日基金资产净值的</w:t>
      </w:r>
      <w:r>
        <w:rPr>
          <w:rFonts w:ascii="Times New Roman" w:hAnsi="Times New Roman"/>
          <w:sz w:val="24"/>
        </w:rPr>
        <w:t>0.5%</w:t>
      </w:r>
      <w:r>
        <w:rPr>
          <w:rFonts w:ascii="Times New Roman" w:hAnsi="Times New Roman"/>
          <w:sz w:val="24"/>
        </w:rPr>
        <w:t>年费率计提。管理费的计算方法如下：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H</w:t>
      </w:r>
      <w:r>
        <w:rPr>
          <w:rFonts w:ascii="Times New Roman" w:hAnsi="Times New Roman"/>
          <w:sz w:val="24"/>
        </w:rPr>
        <w:t>＝</w:t>
      </w:r>
      <w:r>
        <w:rPr>
          <w:rFonts w:ascii="Times New Roman" w:hAnsi="Times New Roman"/>
          <w:sz w:val="24"/>
        </w:rPr>
        <w:t>E×0.5%÷</w:t>
      </w:r>
      <w:r>
        <w:rPr>
          <w:rFonts w:ascii="Times New Roman" w:hAnsi="Times New Roman"/>
          <w:sz w:val="24"/>
        </w:rPr>
        <w:t>当年天数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H</w:t>
      </w:r>
      <w:r>
        <w:rPr>
          <w:rFonts w:ascii="Times New Roman" w:hAnsi="Times New Roman"/>
          <w:sz w:val="24"/>
        </w:rPr>
        <w:t>为每日应计提的基金管理费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E</w:t>
      </w:r>
      <w:r>
        <w:rPr>
          <w:rFonts w:ascii="Times New Roman" w:hAnsi="Times New Roman"/>
          <w:sz w:val="24"/>
        </w:rPr>
        <w:t>为前一日的基金资产净值</w:t>
      </w:r>
    </w:p>
    <w:p w:rsidR="009A4701" w:rsidRDefault="00677B65">
      <w:pPr>
        <w:spacing w:line="360" w:lineRule="auto"/>
        <w:ind w:firstLineChars="200" w:firstLine="480"/>
        <w:rPr>
          <w:bCs/>
          <w:sz w:val="24"/>
        </w:rPr>
      </w:pPr>
      <w:bookmarkStart w:id="28" w:name="_Hlk181868896"/>
      <w:r>
        <w:rPr>
          <w:rFonts w:hint="eastAsia"/>
          <w:bCs/>
          <w:sz w:val="24"/>
        </w:rPr>
        <w:t>基金管理费每日计提，逐日累计至每月月末，按月支付。由基金管理人向基金托管人发送基金管理费划款指令，基金托管人复核后于次月首日起</w:t>
      </w:r>
      <w:r>
        <w:rPr>
          <w:rFonts w:hint="eastAsia"/>
          <w:bCs/>
          <w:sz w:val="24"/>
        </w:rPr>
        <w:t>5</w:t>
      </w:r>
      <w:r>
        <w:rPr>
          <w:rFonts w:hint="eastAsia"/>
          <w:bCs/>
          <w:sz w:val="24"/>
        </w:rPr>
        <w:t>个工作日内从基金财产中一次性支付给基金管理人。若遇法定节假日、休息日或不可抗力致使无法按时支付的，</w:t>
      </w:r>
      <w:r>
        <w:rPr>
          <w:bCs/>
          <w:sz w:val="24"/>
        </w:rPr>
        <w:t>顺延至最近可支付日支付</w:t>
      </w:r>
      <w:r>
        <w:rPr>
          <w:rFonts w:hint="eastAsia"/>
          <w:bCs/>
          <w:sz w:val="24"/>
        </w:rPr>
        <w:t>。</w:t>
      </w:r>
    </w:p>
    <w:bookmarkEnd w:id="28"/>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）基金托管人的托管费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本基金的托管费按前一日基金资产净值的</w:t>
      </w:r>
      <w:r>
        <w:rPr>
          <w:rFonts w:ascii="Times New Roman" w:hAnsi="Times New Roman"/>
          <w:sz w:val="24"/>
        </w:rPr>
        <w:t>0.1%</w:t>
      </w:r>
      <w:r>
        <w:rPr>
          <w:rFonts w:ascii="Times New Roman" w:hAnsi="Times New Roman"/>
          <w:sz w:val="24"/>
        </w:rPr>
        <w:t>的年费率计提。托管费的计算方法如下：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H</w:t>
      </w:r>
      <w:r>
        <w:rPr>
          <w:rFonts w:ascii="Times New Roman" w:hAnsi="Times New Roman"/>
          <w:sz w:val="24"/>
        </w:rPr>
        <w:t>＝</w:t>
      </w:r>
      <w:r>
        <w:rPr>
          <w:rFonts w:ascii="Times New Roman" w:hAnsi="Times New Roman"/>
          <w:sz w:val="24"/>
        </w:rPr>
        <w:t>E×0.1%÷</w:t>
      </w:r>
      <w:r>
        <w:rPr>
          <w:rFonts w:ascii="Times New Roman" w:hAnsi="Times New Roman"/>
          <w:sz w:val="24"/>
        </w:rPr>
        <w:t>当年天数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H</w:t>
      </w:r>
      <w:r>
        <w:rPr>
          <w:rFonts w:ascii="Times New Roman" w:hAnsi="Times New Roman"/>
          <w:sz w:val="24"/>
        </w:rPr>
        <w:t>为每日应计提的基金托管费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E</w:t>
      </w:r>
      <w:r>
        <w:rPr>
          <w:rFonts w:ascii="Times New Roman" w:hAnsi="Times New Roman"/>
          <w:sz w:val="24"/>
        </w:rPr>
        <w:t>为前一日的基金资产净值</w:t>
      </w:r>
    </w:p>
    <w:p w:rsidR="009A4701" w:rsidRDefault="00677B65">
      <w:pPr>
        <w:spacing w:line="360" w:lineRule="auto"/>
        <w:ind w:firstLineChars="200" w:firstLine="480"/>
        <w:rPr>
          <w:bCs/>
          <w:sz w:val="24"/>
        </w:rPr>
      </w:pPr>
      <w:bookmarkStart w:id="29" w:name="_Hlk181868915"/>
      <w:r>
        <w:rPr>
          <w:rFonts w:hint="eastAsia"/>
          <w:bCs/>
          <w:sz w:val="24"/>
        </w:rPr>
        <w:t>基金托管费每日计提，逐日累计至每月月末，按月支付。由基金管理人向基金托管人发送基金托管费划款指令，基金托管人复核后于次月首日起</w:t>
      </w:r>
      <w:r>
        <w:rPr>
          <w:rFonts w:hint="eastAsia"/>
          <w:bCs/>
          <w:sz w:val="24"/>
        </w:rPr>
        <w:t>5</w:t>
      </w:r>
      <w:r>
        <w:rPr>
          <w:rFonts w:hint="eastAsia"/>
          <w:bCs/>
          <w:sz w:val="24"/>
        </w:rPr>
        <w:t>个工作日内从基金财产中一次性支付给基金托管人。若遇法定节假日、休息日或不可抗力致使无法按时支付的，</w:t>
      </w:r>
      <w:r>
        <w:rPr>
          <w:bCs/>
          <w:sz w:val="24"/>
        </w:rPr>
        <w:t>顺延至最近可支付日支付</w:t>
      </w:r>
      <w:r>
        <w:rPr>
          <w:rFonts w:hint="eastAsia"/>
          <w:bCs/>
          <w:sz w:val="24"/>
        </w:rPr>
        <w:t>。</w:t>
      </w:r>
    </w:p>
    <w:bookmarkEnd w:id="29"/>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w:t>
      </w:r>
      <w:r>
        <w:rPr>
          <w:rFonts w:ascii="Times New Roman" w:hAnsi="Times New Roman"/>
          <w:sz w:val="24"/>
        </w:rPr>
        <w:t>C</w:t>
      </w:r>
      <w:r>
        <w:rPr>
          <w:rFonts w:ascii="Times New Roman" w:hAnsi="Times New Roman"/>
          <w:sz w:val="24"/>
        </w:rPr>
        <w:t>类基金份额的销售服务费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w:t>
      </w:r>
      <w:r>
        <w:rPr>
          <w:rFonts w:ascii="Times New Roman" w:hAnsi="Times New Roman"/>
          <w:sz w:val="24"/>
        </w:rPr>
        <w:t>A</w:t>
      </w:r>
      <w:r>
        <w:rPr>
          <w:rFonts w:ascii="Times New Roman" w:hAnsi="Times New Roman"/>
          <w:sz w:val="24"/>
        </w:rPr>
        <w:t>类基金份额不收取销售服务费，</w:t>
      </w:r>
      <w:r>
        <w:rPr>
          <w:rFonts w:ascii="Times New Roman" w:hAnsi="Times New Roman"/>
          <w:sz w:val="24"/>
        </w:rPr>
        <w:t>C</w:t>
      </w:r>
      <w:r>
        <w:rPr>
          <w:rFonts w:ascii="Times New Roman" w:hAnsi="Times New Roman"/>
          <w:sz w:val="24"/>
        </w:rPr>
        <w:t>类基金份额的销售服务费按前一日</w:t>
      </w:r>
      <w:r>
        <w:rPr>
          <w:rFonts w:ascii="Times New Roman" w:hAnsi="Times New Roman"/>
          <w:sz w:val="24"/>
        </w:rPr>
        <w:t>C</w:t>
      </w:r>
      <w:r>
        <w:rPr>
          <w:rFonts w:ascii="Times New Roman" w:hAnsi="Times New Roman"/>
          <w:sz w:val="24"/>
        </w:rPr>
        <w:t>类基金</w:t>
      </w:r>
      <w:r>
        <w:rPr>
          <w:rFonts w:hint="eastAsia"/>
          <w:bCs/>
          <w:sz w:val="24"/>
        </w:rPr>
        <w:t>份额的</w:t>
      </w:r>
      <w:r>
        <w:rPr>
          <w:rFonts w:ascii="Times New Roman" w:hAnsi="Times New Roman"/>
          <w:sz w:val="24"/>
        </w:rPr>
        <w:t>资产净值的</w:t>
      </w:r>
      <w:r>
        <w:rPr>
          <w:rFonts w:ascii="Times New Roman" w:hAnsi="Times New Roman"/>
          <w:sz w:val="24"/>
        </w:rPr>
        <w:t>0.25%</w:t>
      </w:r>
      <w:r>
        <w:rPr>
          <w:rFonts w:ascii="Times New Roman" w:hAnsi="Times New Roman"/>
          <w:sz w:val="24"/>
        </w:rPr>
        <w:t>年费率计提。</w:t>
      </w:r>
      <w:r>
        <w:rPr>
          <w:rFonts w:hint="eastAsia"/>
          <w:bCs/>
          <w:sz w:val="24"/>
        </w:rPr>
        <w:t>销售服务费的</w:t>
      </w:r>
      <w:r>
        <w:rPr>
          <w:rFonts w:ascii="Times New Roman" w:hAnsi="Times New Roman"/>
          <w:sz w:val="24"/>
        </w:rPr>
        <w:t>计算方法如下：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H</w:t>
      </w:r>
      <w:r>
        <w:rPr>
          <w:rFonts w:ascii="Times New Roman" w:hAnsi="Times New Roman"/>
          <w:sz w:val="24"/>
        </w:rPr>
        <w:t>＝</w:t>
      </w:r>
      <w:r>
        <w:rPr>
          <w:rFonts w:ascii="Times New Roman" w:hAnsi="Times New Roman"/>
          <w:sz w:val="24"/>
        </w:rPr>
        <w:t>E×0.25%÷</w:t>
      </w:r>
      <w:r>
        <w:rPr>
          <w:rFonts w:ascii="Times New Roman" w:hAnsi="Times New Roman"/>
          <w:sz w:val="24"/>
        </w:rPr>
        <w:t>当年天数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H</w:t>
      </w:r>
      <w:r>
        <w:rPr>
          <w:rFonts w:ascii="Times New Roman" w:hAnsi="Times New Roman"/>
          <w:sz w:val="24"/>
        </w:rPr>
        <w:t>为</w:t>
      </w:r>
      <w:r>
        <w:rPr>
          <w:rFonts w:ascii="Times New Roman" w:hAnsi="Times New Roman"/>
          <w:sz w:val="24"/>
        </w:rPr>
        <w:t>C</w:t>
      </w:r>
      <w:r>
        <w:rPr>
          <w:rFonts w:ascii="Times New Roman" w:hAnsi="Times New Roman"/>
          <w:sz w:val="24"/>
        </w:rPr>
        <w:t>类基金份额每日应计提的销售服务费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E</w:t>
      </w:r>
      <w:r>
        <w:rPr>
          <w:rFonts w:ascii="Times New Roman" w:hAnsi="Times New Roman"/>
          <w:sz w:val="24"/>
        </w:rPr>
        <w:t>为</w:t>
      </w:r>
      <w:r>
        <w:rPr>
          <w:rFonts w:ascii="Times New Roman" w:hAnsi="Times New Roman"/>
          <w:sz w:val="24"/>
        </w:rPr>
        <w:t>C</w:t>
      </w:r>
      <w:r>
        <w:rPr>
          <w:rFonts w:ascii="Times New Roman" w:hAnsi="Times New Roman"/>
          <w:sz w:val="24"/>
        </w:rPr>
        <w:t>类基金份额前一日基金资产净值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C</w:t>
      </w:r>
      <w:r>
        <w:rPr>
          <w:rFonts w:ascii="Times New Roman" w:hAnsi="Times New Roman" w:hint="eastAsia"/>
          <w:sz w:val="24"/>
        </w:rPr>
        <w:t>类基金份额销售服务费每日计提，逐日累计至每月月末，按月支付。由基金管理人向基金托管人发送销售服务费划付指令，经基金托管人复核后于次月首日起</w:t>
      </w:r>
      <w:r>
        <w:rPr>
          <w:rFonts w:ascii="Times New Roman" w:hAnsi="Times New Roman" w:hint="eastAsia"/>
          <w:sz w:val="24"/>
        </w:rPr>
        <w:t>5</w:t>
      </w:r>
      <w:r>
        <w:rPr>
          <w:rFonts w:ascii="Times New Roman" w:hAnsi="Times New Roman" w:hint="eastAsia"/>
          <w:sz w:val="24"/>
        </w:rPr>
        <w:t>个工作日内从基金财产中一次性支付给基金管理人，由基金管理人代付给销售机构。若遇法定节假日、休息日或不可抗力致使无法按时支付的，顺延至最近可支付日支付。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C</w:t>
      </w:r>
      <w:r>
        <w:rPr>
          <w:rFonts w:ascii="Times New Roman" w:hAnsi="Times New Roman"/>
          <w:sz w:val="24"/>
        </w:rPr>
        <w:t>类基金份额的销售服务费将专门用于本基金的推广、销售与基金份额持有人服务。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）上述</w:t>
      </w:r>
      <w:r>
        <w:rPr>
          <w:rFonts w:ascii="Times New Roman" w:hAnsi="Times New Roman"/>
          <w:sz w:val="24"/>
        </w:rPr>
        <w:t>“</w:t>
      </w:r>
      <w:r>
        <w:rPr>
          <w:rFonts w:ascii="Times New Roman" w:hAnsi="Times New Roman"/>
          <w:sz w:val="24"/>
        </w:rPr>
        <w:t>（一）基金费用的种类</w:t>
      </w:r>
      <w:r>
        <w:rPr>
          <w:rFonts w:ascii="Times New Roman" w:hAnsi="Times New Roman"/>
          <w:sz w:val="24"/>
        </w:rPr>
        <w:t>”</w:t>
      </w:r>
      <w:r>
        <w:rPr>
          <w:rFonts w:ascii="Times New Roman" w:hAnsi="Times New Roman"/>
          <w:sz w:val="24"/>
        </w:rPr>
        <w:t>中第</w:t>
      </w:r>
      <w:r>
        <w:rPr>
          <w:rFonts w:ascii="Times New Roman" w:hAnsi="Times New Roman"/>
          <w:sz w:val="24"/>
        </w:rPr>
        <w:t>3</w:t>
      </w:r>
      <w:r>
        <w:rPr>
          <w:rFonts w:ascii="Times New Roman" w:hAnsi="Times New Roman"/>
          <w:sz w:val="24"/>
        </w:rPr>
        <w:t>－</w:t>
      </w:r>
      <w:r>
        <w:rPr>
          <w:rFonts w:ascii="Times New Roman" w:hAnsi="Times New Roman"/>
          <w:sz w:val="24"/>
        </w:rPr>
        <w:t>9</w:t>
      </w:r>
      <w:r>
        <w:rPr>
          <w:rFonts w:ascii="Times New Roman" w:hAnsi="Times New Roman"/>
          <w:sz w:val="24"/>
        </w:rPr>
        <w:t>项、第</w:t>
      </w:r>
      <w:r>
        <w:rPr>
          <w:rFonts w:ascii="Times New Roman" w:hAnsi="Times New Roman"/>
          <w:sz w:val="24"/>
        </w:rPr>
        <w:t>11</w:t>
      </w:r>
      <w:r>
        <w:rPr>
          <w:rFonts w:ascii="Times New Roman" w:hAnsi="Times New Roman"/>
          <w:sz w:val="24"/>
        </w:rPr>
        <w:t>项费用，根据有关法规及相应协议规定，按费用实际支出金额列入当期费用，由基金托管人从基金财产中支付。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、与基金销售有关的费用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）申购费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本基金申购费的费率水平、计算公式和收取方式详见</w:t>
      </w:r>
      <w:r>
        <w:rPr>
          <w:rFonts w:ascii="Times New Roman" w:hAnsi="Times New Roman"/>
          <w:sz w:val="24"/>
        </w:rPr>
        <w:t>“</w:t>
      </w:r>
      <w:r>
        <w:rPr>
          <w:rFonts w:ascii="Times New Roman" w:hAnsi="Times New Roman"/>
          <w:sz w:val="24"/>
        </w:rPr>
        <w:t>基金份额的申购与赎回</w:t>
      </w:r>
      <w:r>
        <w:rPr>
          <w:rFonts w:ascii="Times New Roman" w:hAnsi="Times New Roman"/>
          <w:sz w:val="24"/>
        </w:rPr>
        <w:t>”</w:t>
      </w:r>
      <w:r>
        <w:rPr>
          <w:rFonts w:ascii="Times New Roman" w:hAnsi="Times New Roman"/>
          <w:sz w:val="24"/>
        </w:rPr>
        <w:t>一章。</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）赎回费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本基金赎回费的费率水平、计算公式和收取方式详见</w:t>
      </w:r>
      <w:r>
        <w:rPr>
          <w:rFonts w:ascii="Times New Roman" w:hAnsi="Times New Roman"/>
          <w:sz w:val="24"/>
        </w:rPr>
        <w:t>“</w:t>
      </w:r>
      <w:r>
        <w:rPr>
          <w:rFonts w:ascii="Times New Roman" w:hAnsi="Times New Roman"/>
          <w:sz w:val="24"/>
        </w:rPr>
        <w:t>基金份额的申购与赎回</w:t>
      </w:r>
      <w:r>
        <w:rPr>
          <w:rFonts w:ascii="Times New Roman" w:hAnsi="Times New Roman"/>
          <w:sz w:val="24"/>
        </w:rPr>
        <w:t>”</w:t>
      </w:r>
      <w:r>
        <w:rPr>
          <w:rFonts w:ascii="Times New Roman" w:hAnsi="Times New Roman"/>
          <w:sz w:val="24"/>
        </w:rPr>
        <w:t>一章。</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lastRenderedPageBreak/>
        <w:t>（三）不列入基金费用的项目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下列费用不列入基金费用：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、基金管理人和基金托管人因未履行或未完全履行义务导致的费用支出或基金财产的损失；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、基金管理人和基金托管人处理与基金运作无关的事项发生的费用；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、《基金合同》生效前的相关费用；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w:t>
      </w:r>
      <w:r>
        <w:rPr>
          <w:rFonts w:ascii="Times New Roman" w:hAnsi="Times New Roman" w:hint="eastAsia"/>
          <w:sz w:val="24"/>
        </w:rPr>
        <w:t>标的指数许可使用费（由基金管理人承担）；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hint="eastAsia"/>
          <w:sz w:val="24"/>
        </w:rPr>
        <w:t>、</w:t>
      </w:r>
      <w:r>
        <w:rPr>
          <w:rFonts w:ascii="Times New Roman" w:hAnsi="Times New Roman"/>
          <w:sz w:val="24"/>
        </w:rPr>
        <w:t>其他根据相关法律法规及中国证监会的有关规定不得列入基金费用的项目。</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b/>
          <w:sz w:val="24"/>
        </w:rPr>
        <w:t>（四）</w:t>
      </w:r>
      <w:r>
        <w:rPr>
          <w:rFonts w:ascii="Times New Roman" w:hAnsi="Times New Roman" w:hint="eastAsia"/>
          <w:b/>
          <w:sz w:val="24"/>
        </w:rPr>
        <w:t>实施</w:t>
      </w:r>
      <w:proofErr w:type="gramStart"/>
      <w:r>
        <w:rPr>
          <w:rFonts w:ascii="Times New Roman" w:hAnsi="Times New Roman" w:hint="eastAsia"/>
          <w:b/>
          <w:sz w:val="24"/>
        </w:rPr>
        <w:t>侧袋机制</w:t>
      </w:r>
      <w:proofErr w:type="gramEnd"/>
      <w:r>
        <w:rPr>
          <w:rFonts w:ascii="Times New Roman" w:hAnsi="Times New Roman" w:hint="eastAsia"/>
          <w:b/>
          <w:sz w:val="24"/>
        </w:rPr>
        <w:t>期间的基金费用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本基金实施</w:t>
      </w:r>
      <w:proofErr w:type="gramStart"/>
      <w:r>
        <w:rPr>
          <w:rFonts w:ascii="Times New Roman" w:hAnsi="Times New Roman" w:hint="eastAsia"/>
          <w:sz w:val="24"/>
        </w:rPr>
        <w:t>侧袋机制</w:t>
      </w:r>
      <w:proofErr w:type="gramEnd"/>
      <w:r>
        <w:rPr>
          <w:rFonts w:ascii="Times New Roman" w:hAnsi="Times New Roman" w:hint="eastAsia"/>
          <w:sz w:val="24"/>
        </w:rPr>
        <w:t>的，</w:t>
      </w:r>
      <w:proofErr w:type="gramStart"/>
      <w:r>
        <w:rPr>
          <w:rFonts w:ascii="Times New Roman" w:hAnsi="Times New Roman" w:hint="eastAsia"/>
          <w:sz w:val="24"/>
        </w:rPr>
        <w:t>与侧袋账户</w:t>
      </w:r>
      <w:proofErr w:type="gramEnd"/>
      <w:r>
        <w:rPr>
          <w:rFonts w:ascii="Times New Roman" w:hAnsi="Times New Roman" w:hint="eastAsia"/>
          <w:sz w:val="24"/>
        </w:rPr>
        <w:t>有关的费用可以</w:t>
      </w:r>
      <w:proofErr w:type="gramStart"/>
      <w:r>
        <w:rPr>
          <w:rFonts w:ascii="Times New Roman" w:hAnsi="Times New Roman" w:hint="eastAsia"/>
          <w:sz w:val="24"/>
        </w:rPr>
        <w:t>从侧袋账户</w:t>
      </w:r>
      <w:proofErr w:type="gramEnd"/>
      <w:r>
        <w:rPr>
          <w:rFonts w:ascii="Times New Roman" w:hAnsi="Times New Roman" w:hint="eastAsia"/>
          <w:sz w:val="24"/>
        </w:rPr>
        <w:t>中列支，但应</w:t>
      </w:r>
      <w:proofErr w:type="gramStart"/>
      <w:r>
        <w:rPr>
          <w:rFonts w:ascii="Times New Roman" w:hAnsi="Times New Roman" w:hint="eastAsia"/>
          <w:sz w:val="24"/>
        </w:rPr>
        <w:t>待侧袋</w:t>
      </w:r>
      <w:proofErr w:type="gramEnd"/>
      <w:r>
        <w:rPr>
          <w:rFonts w:ascii="Times New Roman" w:hAnsi="Times New Roman" w:hint="eastAsia"/>
          <w:sz w:val="24"/>
        </w:rPr>
        <w:t>账户资产变现后方可列支，有关费用可酌情收取或减免，但不得收取管理费，详见本招募说明书“侧袋机制”部分的规定。</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hint="eastAsia"/>
          <w:b/>
          <w:sz w:val="24"/>
        </w:rPr>
        <w:t>（五）</w:t>
      </w:r>
      <w:r>
        <w:rPr>
          <w:rFonts w:ascii="Times New Roman" w:hAnsi="Times New Roman"/>
          <w:b/>
          <w:sz w:val="24"/>
        </w:rPr>
        <w:t>基金税收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30" w:name="_Toc147840632"/>
      <w:r>
        <w:rPr>
          <w:rFonts w:ascii="Times New Roman" w:hAnsi="Times New Roman"/>
          <w:sz w:val="30"/>
        </w:rPr>
        <w:lastRenderedPageBreak/>
        <w:t>十</w:t>
      </w:r>
      <w:r>
        <w:rPr>
          <w:rFonts w:ascii="Times New Roman" w:hAnsi="Times New Roman" w:hint="eastAsia"/>
          <w:sz w:val="30"/>
        </w:rPr>
        <w:t>四</w:t>
      </w:r>
      <w:r>
        <w:rPr>
          <w:rFonts w:ascii="Times New Roman" w:hAnsi="Times New Roman"/>
          <w:sz w:val="30"/>
        </w:rPr>
        <w:t>、基金的会计与审计</w:t>
      </w:r>
      <w:bookmarkEnd w:id="30"/>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（一）基金会计政策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、基金管理人为本基金的基金会计责任方；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、基金的会计年度为公历年度的</w:t>
      </w:r>
      <w:r>
        <w:rPr>
          <w:rFonts w:ascii="Times New Roman" w:hAnsi="Times New Roman"/>
          <w:sz w:val="24"/>
        </w:rPr>
        <w:t>1</w:t>
      </w:r>
      <w:r>
        <w:rPr>
          <w:rFonts w:ascii="Times New Roman" w:hAnsi="Times New Roman"/>
          <w:sz w:val="24"/>
        </w:rPr>
        <w:t>月</w:t>
      </w:r>
      <w:r>
        <w:rPr>
          <w:rFonts w:ascii="Times New Roman" w:hAnsi="Times New Roman"/>
          <w:sz w:val="24"/>
        </w:rPr>
        <w:t>1</w:t>
      </w:r>
      <w:r>
        <w:rPr>
          <w:rFonts w:ascii="Times New Roman" w:hAnsi="Times New Roman"/>
          <w:sz w:val="24"/>
        </w:rPr>
        <w:t>日至</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日；基金首次募集的会计年度按如下原则：如果《基金合同》生效少于</w:t>
      </w:r>
      <w:r>
        <w:rPr>
          <w:rFonts w:ascii="Times New Roman" w:hAnsi="Times New Roman"/>
          <w:sz w:val="24"/>
        </w:rPr>
        <w:t>2</w:t>
      </w:r>
      <w:r>
        <w:rPr>
          <w:rFonts w:ascii="Times New Roman" w:hAnsi="Times New Roman"/>
          <w:sz w:val="24"/>
        </w:rPr>
        <w:t>个月，可以并入下一个会计年度披露；</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、基金核算以人民币为记账本位币，以人民币元为记账单位；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、会计制度执行国家有关会计制度；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、本基金独立建账、独立核算；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、基金管理人及基金托管人各自保留完整的会计账目、凭证并进行日常的会计核算，按照有关规定编制基金会计报表；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、基金托管人每月与基金管理人就基金的会计核算、报表编制等进行核对并以</w:t>
      </w:r>
      <w:r>
        <w:rPr>
          <w:rFonts w:ascii="Times New Roman" w:hAnsi="Times New Roman" w:hint="eastAsia"/>
          <w:sz w:val="24"/>
        </w:rPr>
        <w:t>双方认可的</w:t>
      </w:r>
      <w:r>
        <w:rPr>
          <w:rFonts w:ascii="Times New Roman" w:hAnsi="Times New Roman"/>
          <w:sz w:val="24"/>
        </w:rPr>
        <w:t>方式确认。</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（二）基金的年度审计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、基金管理人聘请与基金管理人、基金托管人相互独立的符合《中华人民共和国证券法》规定的会计师事务所及其注册会计师对本基金的年度财务报表进行审计。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、会计师事务所更换经办注册会计师，应事先征得基金管理人同意。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、基金管理人认为有充足理由更换会计师事务所，须通报基金托管人。更换会计师事务所需</w:t>
      </w:r>
      <w:r>
        <w:rPr>
          <w:rFonts w:ascii="Times New Roman" w:hAnsi="Times New Roman" w:hint="eastAsia"/>
          <w:sz w:val="24"/>
        </w:rPr>
        <w:t>依</w:t>
      </w:r>
      <w:r>
        <w:rPr>
          <w:rFonts w:ascii="Times New Roman" w:hAnsi="Times New Roman"/>
          <w:sz w:val="24"/>
        </w:rPr>
        <w:t>照《信息披露办法》的规定在规定媒介公告。</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31" w:name="_Toc147840633"/>
      <w:r>
        <w:rPr>
          <w:rFonts w:ascii="Times New Roman" w:hAnsi="Times New Roman"/>
          <w:sz w:val="30"/>
        </w:rPr>
        <w:lastRenderedPageBreak/>
        <w:t>十</w:t>
      </w:r>
      <w:r>
        <w:rPr>
          <w:rFonts w:ascii="Times New Roman" w:hAnsi="Times New Roman" w:hint="eastAsia"/>
          <w:sz w:val="30"/>
        </w:rPr>
        <w:t>五</w:t>
      </w:r>
      <w:r>
        <w:rPr>
          <w:rFonts w:ascii="Times New Roman" w:hAnsi="Times New Roman"/>
          <w:sz w:val="30"/>
        </w:rPr>
        <w:t>、基金的信息披露</w:t>
      </w:r>
      <w:bookmarkEnd w:id="31"/>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（一）本基金的信息披露应符合《基金法》、《运作办法》、《信息披露办法》、《流动性风险管理规定》、《基金合同》及其他有关规定。</w:t>
      </w:r>
      <w:r>
        <w:rPr>
          <w:rFonts w:ascii="Times New Roman" w:hAnsi="Times New Roman" w:hint="eastAsia"/>
          <w:b/>
          <w:sz w:val="24"/>
        </w:rPr>
        <w:t>相关法律法规关于信息披露的规定发生变化时，本基金从其最新规定。</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（二）信息披露义务人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本基金信息披露义务人包括基金管理人、基金托管人、召集基金份额持有人大会的基金份额持有人等法律、行政法规和中国证监会规定的自然人、法人和非法人组织。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本基金信息披露义务人以保护基金份额持有人利益为根本出发点，按照法律法规和中国证监会的规定披露基金信息，并保证所披露信息的真实性、准确性、完整性、及时性、简明性和易得性。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本基金信息披露义务人应当在中国证监会规定时间内，将应予披露的基金信息通过符合中国证监会规定条件的全国性报刊（以下简称</w:t>
      </w:r>
      <w:r>
        <w:rPr>
          <w:rFonts w:ascii="Times New Roman" w:hAnsi="Times New Roman"/>
          <w:sz w:val="24"/>
        </w:rPr>
        <w:t>“</w:t>
      </w:r>
      <w:r>
        <w:rPr>
          <w:rFonts w:ascii="Times New Roman" w:hAnsi="Times New Roman"/>
          <w:sz w:val="24"/>
        </w:rPr>
        <w:t>规定报刊</w:t>
      </w:r>
      <w:r>
        <w:rPr>
          <w:rFonts w:ascii="Times New Roman" w:hAnsi="Times New Roman"/>
          <w:sz w:val="24"/>
        </w:rPr>
        <w:t>”</w:t>
      </w:r>
      <w:r>
        <w:rPr>
          <w:rFonts w:ascii="Times New Roman" w:hAnsi="Times New Roman"/>
          <w:sz w:val="24"/>
        </w:rPr>
        <w:t>）及《信息披露办法》规定的互联网网站（以下简称</w:t>
      </w:r>
      <w:r>
        <w:rPr>
          <w:rFonts w:ascii="Times New Roman" w:hAnsi="Times New Roman"/>
          <w:sz w:val="24"/>
        </w:rPr>
        <w:t>“</w:t>
      </w:r>
      <w:r>
        <w:rPr>
          <w:rFonts w:ascii="Times New Roman" w:hAnsi="Times New Roman"/>
          <w:sz w:val="24"/>
        </w:rPr>
        <w:t>规定网站</w:t>
      </w:r>
      <w:r>
        <w:rPr>
          <w:rFonts w:ascii="Times New Roman" w:hAnsi="Times New Roman"/>
          <w:sz w:val="24"/>
        </w:rPr>
        <w:t>”</w:t>
      </w:r>
      <w:r>
        <w:rPr>
          <w:rFonts w:ascii="Times New Roman" w:hAnsi="Times New Roman"/>
          <w:sz w:val="24"/>
        </w:rPr>
        <w:t>）等媒介披露，并保证基金投资者能够按照《基金合同》约定的时间和方式查阅或者复制公开披露的信息资料。</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（三）本基金信息披露义务人承诺公开披露的基金信息，不得有下列行为：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、虚假记载、误导性陈述或者重大遗漏；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、对证券投资业绩进行预测；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、违规承诺收益或者承担损失；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、诋毁其他基金管理人、基金托管人或者基金销售机构；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、登载任何自然人、法人和非法人组织的祝贺性、恭维性或推荐性的文字；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、中国证监会禁止的其他行为。</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（四）本基金公开披露的信息应采用中文文本。如同时采用外文文本的，基金信息披露义务人应保证不同文本的内容一致。不同文本之间发生歧义的，以中文文本为准。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本基金公开披露的信息采用阿拉伯数字；除特别说明外，货币单位为人民币元。</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（五）公开披露的基金信息</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公开披露的基金信息包括：</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1</w:t>
      </w:r>
      <w:r>
        <w:rPr>
          <w:rFonts w:ascii="Times New Roman" w:hAnsi="Times New Roman"/>
          <w:sz w:val="24"/>
        </w:rPr>
        <w:t>、基金招募说明书、《基金合同》、基金托管协议、基金产品资料概要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）《基金合同》是界定《基金合同》当事人的各项权利、义务关系，明确基金份额持有人大会召开的规则及具体程序，说明基金产品的特性等涉及基金投资者重大利益的事项的法律文件。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）基金托管协议是界定基金托管人和基金管理人在基金财产保管及基金运作监督等活动中的权利、义务关系的法律文件。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9A4701" w:rsidRDefault="00677B65">
      <w:pPr>
        <w:spacing w:line="360" w:lineRule="auto"/>
        <w:ind w:firstLineChars="200" w:firstLine="480"/>
        <w:rPr>
          <w:rFonts w:ascii="Times New Roman" w:hAnsi="Times New Roman"/>
          <w:bCs/>
          <w:sz w:val="24"/>
        </w:rPr>
      </w:pPr>
      <w:r>
        <w:rPr>
          <w:rFonts w:ascii="Times New Roman" w:hAnsi="Times New Roman"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、基金份额发售公告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基金管理人应当就基金份额发售的具体事宜编制基金份额发售公告，并在披露招募说明书的当日登载于规定媒介上。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、《基金合同》生效公告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基金管理人应当在收到中国证监会确认文件的次日在规定媒介上登载《基金合同》生效公告。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4</w:t>
      </w:r>
      <w:r>
        <w:rPr>
          <w:rFonts w:ascii="Times New Roman" w:hAnsi="Times New Roman"/>
          <w:sz w:val="24"/>
        </w:rPr>
        <w:t>、基金净值信息</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《基金合同》生效后，在开始办理基金份额申购或者赎回前，基金管理人应当至少每周在规定网站分别披露一次</w:t>
      </w:r>
      <w:r>
        <w:rPr>
          <w:rFonts w:ascii="Times New Roman" w:hAnsi="Times New Roman"/>
          <w:sz w:val="24"/>
        </w:rPr>
        <w:t>A</w:t>
      </w:r>
      <w:r>
        <w:rPr>
          <w:rFonts w:ascii="Times New Roman" w:hAnsi="Times New Roman" w:hint="eastAsia"/>
          <w:sz w:val="24"/>
        </w:rPr>
        <w:t>类基金份额和</w:t>
      </w:r>
      <w:r>
        <w:rPr>
          <w:rFonts w:ascii="Times New Roman" w:hAnsi="Times New Roman"/>
          <w:sz w:val="24"/>
        </w:rPr>
        <w:t>C</w:t>
      </w:r>
      <w:r>
        <w:rPr>
          <w:rFonts w:ascii="Times New Roman" w:hAnsi="Times New Roman" w:hint="eastAsia"/>
          <w:sz w:val="24"/>
        </w:rPr>
        <w:t>类基金份额所对应的基金份额净值和基金份额累计净值。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在开始办理基金份额申购或者赎回后，基金管理人应当在不晚于每个开放日的次日，通过规定网站、基金销售机构网站或者营业网点分别披露开放日的</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类基金份额所对应的基金份额净值和基金份额累计净值。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基金管理人应当在不晚于半年度和年度最后一日的次日，在规定网站披露半年度和年度最后一日</w:t>
      </w:r>
      <w:r>
        <w:rPr>
          <w:rFonts w:ascii="Times New Roman" w:hAnsi="Times New Roman"/>
          <w:sz w:val="24"/>
        </w:rPr>
        <w:t>A</w:t>
      </w:r>
      <w:r>
        <w:rPr>
          <w:rFonts w:ascii="Times New Roman" w:hAnsi="Times New Roman"/>
          <w:sz w:val="24"/>
        </w:rPr>
        <w:t>类基金份额和</w:t>
      </w:r>
      <w:r>
        <w:rPr>
          <w:rFonts w:ascii="Times New Roman" w:hAnsi="Times New Roman"/>
          <w:sz w:val="24"/>
        </w:rPr>
        <w:t>C</w:t>
      </w:r>
      <w:r>
        <w:rPr>
          <w:rFonts w:ascii="Times New Roman" w:hAnsi="Times New Roman"/>
          <w:sz w:val="24"/>
        </w:rPr>
        <w:t>类基金份额所对应的基金份额净值和基金份额累计净值。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、基金份额申购、赎回价格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基金管理人应当在《基金合同》、招募说明书等信息披露文件上载</w:t>
      </w:r>
      <w:proofErr w:type="gramStart"/>
      <w:r>
        <w:rPr>
          <w:rFonts w:ascii="Times New Roman" w:hAnsi="Times New Roman"/>
          <w:sz w:val="24"/>
        </w:rPr>
        <w:t>明基金</w:t>
      </w:r>
      <w:proofErr w:type="gramEnd"/>
      <w:r>
        <w:rPr>
          <w:rFonts w:ascii="Times New Roman" w:hAnsi="Times New Roman"/>
          <w:sz w:val="24"/>
        </w:rPr>
        <w:t>份额申购、赎回价格的计算方式及有关申购、赎回费率，并保证投资者能够在基金销售机构网站或营业网点查阅或者复制前述信息资料。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、基金定期报告，包括基金年度报告、基金中期报告和基金季度报告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基金管理人应当在每年结束之日起三个月内，编制完成基金年度报告，将年度报告登载在规定网站上，并将年度报告提示性公告登载在规定报刊上。基金年度报告中的财务会计报告应当经</w:t>
      </w:r>
      <w:r>
        <w:rPr>
          <w:rFonts w:ascii="Times New Roman" w:hAnsi="Times New Roman" w:hint="eastAsia"/>
          <w:sz w:val="24"/>
        </w:rPr>
        <w:t>过</w:t>
      </w:r>
      <w:r>
        <w:rPr>
          <w:rFonts w:ascii="Times New Roman" w:hAnsi="Times New Roman"/>
          <w:sz w:val="24"/>
        </w:rPr>
        <w:t>符合《中华人民共和国证券法》规定的会计师事务所审计。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基金管理人应当在上半年结束之日起两个月内，编制完成基金中期报告，将中期报告登载在规定网站上，并将中期报告提示性公告登载在规定报刊上。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基金管理人应当在季度结束之日起</w:t>
      </w:r>
      <w:r>
        <w:rPr>
          <w:rFonts w:ascii="Times New Roman" w:hAnsi="Times New Roman"/>
          <w:sz w:val="24"/>
        </w:rPr>
        <w:t>15</w:t>
      </w:r>
      <w:r>
        <w:rPr>
          <w:rFonts w:ascii="Times New Roman" w:hAnsi="Times New Roman"/>
          <w:sz w:val="24"/>
        </w:rPr>
        <w:t>个工作日内，编制完成基金季度报告，将季度报告登载在规定网站上，并将季度报告提示性公告登载在规定报刊上。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《基金合同》生效不足</w:t>
      </w:r>
      <w:r>
        <w:rPr>
          <w:rFonts w:ascii="Times New Roman" w:hAnsi="Times New Roman"/>
          <w:sz w:val="24"/>
        </w:rPr>
        <w:t>2</w:t>
      </w:r>
      <w:r>
        <w:rPr>
          <w:rFonts w:ascii="Times New Roman" w:hAnsi="Times New Roman"/>
          <w:sz w:val="24"/>
        </w:rPr>
        <w:t>个月的，基金管理人可以不编制当期季度报告、中期报告或者年度报告。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如报告期内出现单一投资者持有基金份额达到或超过基金总份额</w:t>
      </w:r>
      <w:r>
        <w:rPr>
          <w:rFonts w:ascii="Times New Roman" w:hAnsi="Times New Roman"/>
          <w:sz w:val="24"/>
        </w:rPr>
        <w:t>20%</w:t>
      </w:r>
      <w:r>
        <w:rPr>
          <w:rFonts w:ascii="Times New Roman" w:hAnsi="Times New Roman"/>
          <w:sz w:val="24"/>
        </w:rPr>
        <w:t>的情形，为保障其他投资者的权益，基金管理人至少应当在定期报告</w:t>
      </w:r>
      <w:r>
        <w:rPr>
          <w:rFonts w:ascii="Times New Roman" w:hAnsi="Times New Roman"/>
          <w:sz w:val="24"/>
        </w:rPr>
        <w:t>“</w:t>
      </w:r>
      <w:r>
        <w:rPr>
          <w:rFonts w:ascii="Times New Roman" w:hAnsi="Times New Roman"/>
          <w:sz w:val="24"/>
        </w:rPr>
        <w:t>影响投资者决策的其他重要信息</w:t>
      </w:r>
      <w:r>
        <w:rPr>
          <w:rFonts w:ascii="Times New Roman" w:hAnsi="Times New Roman"/>
          <w:sz w:val="24"/>
        </w:rPr>
        <w:t>”</w:t>
      </w:r>
      <w:r>
        <w:rPr>
          <w:rFonts w:ascii="Times New Roman" w:hAnsi="Times New Roman"/>
          <w:sz w:val="24"/>
        </w:rPr>
        <w:t>项下披露该投资者的类别、报告期末持有份额及占比、报告期内持有份额变化情况及本基金的特有风险，中国证监会认定的特殊情形除外。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基金管理人应当在基金年度报告和中期报告中披露基金组合资产情况及其流动</w:t>
      </w:r>
      <w:r>
        <w:rPr>
          <w:rFonts w:ascii="Times New Roman" w:hAnsi="Times New Roman"/>
          <w:sz w:val="24"/>
        </w:rPr>
        <w:lastRenderedPageBreak/>
        <w:t>性风险分析等。</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、临时报告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本基金发生重大事件，有关信息披露义务人应当依照《信息披露办法》的规定编制临时报告书，并登载在规定报刊和规定网站上。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前款所称重大事件，是指可能对基金份额持有人权益或者基金份额的价格产生重大影响的下列事件：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）基金份额持有人大会的召开及决定的事项；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）《基金合同》终止、基金清算；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）转换基金运作方式、基金合并；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）更换基金管理人、基金托管人、基金份额登记机构，基金改聘会计师事务所；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）基金管理人委托基金服务机构代为办理基金的份额登记、核算、估值等事项，基金托管人委托基金服务机构代为办理基金的核算、估值、复核等事项；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）基金管理人、基金托管人的法定名称、住所发生变更；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7</w:t>
      </w:r>
      <w:r>
        <w:rPr>
          <w:rFonts w:ascii="Times New Roman" w:hAnsi="Times New Roman"/>
          <w:sz w:val="24"/>
        </w:rPr>
        <w:t>）基金管理人变更持有百分之五以上股权的股东、基金管理人的实际控制人变更；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8</w:t>
      </w:r>
      <w:r>
        <w:rPr>
          <w:rFonts w:ascii="Times New Roman" w:hAnsi="Times New Roman"/>
          <w:sz w:val="24"/>
        </w:rPr>
        <w:t>）基金募集期延长或提前结束募集；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9</w:t>
      </w:r>
      <w:r>
        <w:rPr>
          <w:rFonts w:ascii="Times New Roman" w:hAnsi="Times New Roman"/>
          <w:sz w:val="24"/>
        </w:rPr>
        <w:t>）基金管理人的高级管理人员、基金经理和基金托管人专门基金托管部门负责人发生变动；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10</w:t>
      </w:r>
      <w:r>
        <w:rPr>
          <w:rFonts w:ascii="Times New Roman" w:hAnsi="Times New Roman"/>
          <w:sz w:val="24"/>
        </w:rPr>
        <w:t>）基金管理人的董事在最近</w:t>
      </w:r>
      <w:r>
        <w:rPr>
          <w:rFonts w:ascii="Times New Roman" w:hAnsi="Times New Roman"/>
          <w:sz w:val="24"/>
        </w:rPr>
        <w:t>12</w:t>
      </w:r>
      <w:r>
        <w:rPr>
          <w:rFonts w:ascii="Times New Roman" w:hAnsi="Times New Roman"/>
          <w:sz w:val="24"/>
        </w:rPr>
        <w:t>个月内变更超过百分之五十，基金管理人、基金托管人专门基金托管部门的主要业务人员在最近</w:t>
      </w:r>
      <w:r>
        <w:rPr>
          <w:rFonts w:ascii="Times New Roman" w:hAnsi="Times New Roman"/>
          <w:sz w:val="24"/>
        </w:rPr>
        <w:t>12</w:t>
      </w:r>
      <w:r>
        <w:rPr>
          <w:rFonts w:ascii="Times New Roman" w:hAnsi="Times New Roman"/>
          <w:sz w:val="24"/>
        </w:rPr>
        <w:t>个月内变动超过百分之三十；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11</w:t>
      </w:r>
      <w:r>
        <w:rPr>
          <w:rFonts w:ascii="Times New Roman" w:hAnsi="Times New Roman"/>
          <w:sz w:val="24"/>
        </w:rPr>
        <w:t>）涉及基金财产、基金管理业务、基金托管业务的诉讼或仲裁；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12</w:t>
      </w:r>
      <w:r>
        <w:rPr>
          <w:rFonts w:ascii="Times New Roman" w:hAnsi="Times New Roman"/>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13</w:t>
      </w:r>
      <w:r>
        <w:rPr>
          <w:rFonts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14</w:t>
      </w:r>
      <w:r>
        <w:rPr>
          <w:rFonts w:ascii="Times New Roman" w:hAnsi="Times New Roman"/>
          <w:sz w:val="24"/>
        </w:rPr>
        <w:t>）基金收益分配事项；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w:t>
      </w:r>
      <w:r>
        <w:rPr>
          <w:rFonts w:ascii="Times New Roman" w:hAnsi="Times New Roman"/>
          <w:sz w:val="24"/>
        </w:rPr>
        <w:t>15</w:t>
      </w:r>
      <w:r>
        <w:rPr>
          <w:rFonts w:ascii="Times New Roman" w:hAnsi="Times New Roman"/>
          <w:sz w:val="24"/>
        </w:rPr>
        <w:t>）管理费、托管费、销售服务费、申购费、赎回费等费用计提标准、计提方式和费率发生变更；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16</w:t>
      </w:r>
      <w:r>
        <w:rPr>
          <w:rFonts w:ascii="Times New Roman" w:hAnsi="Times New Roman"/>
          <w:sz w:val="24"/>
        </w:rPr>
        <w:t>）任一类基金份额净值计价错误达该类基金份额净值百分之零点五；</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17</w:t>
      </w:r>
      <w:r>
        <w:rPr>
          <w:rFonts w:ascii="Times New Roman" w:hAnsi="Times New Roman"/>
          <w:sz w:val="24"/>
        </w:rPr>
        <w:t>）本基金开始办理申购、赎回；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18</w:t>
      </w:r>
      <w:r>
        <w:rPr>
          <w:rFonts w:ascii="Times New Roman" w:hAnsi="Times New Roman"/>
          <w:sz w:val="24"/>
        </w:rPr>
        <w:t>）本基金发生巨额赎回并延期办理；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19</w:t>
      </w:r>
      <w:r>
        <w:rPr>
          <w:rFonts w:ascii="Times New Roman" w:hAnsi="Times New Roman"/>
          <w:sz w:val="24"/>
        </w:rPr>
        <w:t>）本基金连续发生巨额赎回并暂停接受赎回申请或延缓支付赎回款项；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20</w:t>
      </w:r>
      <w:r>
        <w:rPr>
          <w:rFonts w:ascii="Times New Roman" w:hAnsi="Times New Roman"/>
          <w:sz w:val="24"/>
        </w:rPr>
        <w:t>）本基金暂停接受申购、赎回申请或重新接受申购、赎回申请；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21</w:t>
      </w:r>
      <w:r>
        <w:rPr>
          <w:rFonts w:ascii="Times New Roman" w:hAnsi="Times New Roman"/>
          <w:sz w:val="24"/>
        </w:rPr>
        <w:t>）发生涉及基金申购、赎回事项调整或潜在影响投资者赎回等重大事项时；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22</w:t>
      </w:r>
      <w:r>
        <w:rPr>
          <w:rFonts w:ascii="Times New Roman" w:hAnsi="Times New Roman"/>
          <w:sz w:val="24"/>
        </w:rPr>
        <w:t>）基金管理人采用摆动定价机制进行估值；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23</w:t>
      </w:r>
      <w:r>
        <w:rPr>
          <w:rFonts w:ascii="Times New Roman" w:hAnsi="Times New Roman"/>
          <w:sz w:val="24"/>
        </w:rPr>
        <w:t>）本基金增加或调整基金份额类别；</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24</w:t>
      </w:r>
      <w:r>
        <w:rPr>
          <w:rFonts w:ascii="Times New Roman" w:hAnsi="Times New Roman"/>
          <w:sz w:val="24"/>
        </w:rPr>
        <w:t>）</w:t>
      </w:r>
      <w:r>
        <w:rPr>
          <w:rFonts w:ascii="Times New Roman" w:hAnsi="Times New Roman" w:hint="eastAsia"/>
          <w:sz w:val="24"/>
        </w:rPr>
        <w:t>本基金推出新业务或服务；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25</w:t>
      </w:r>
      <w:r>
        <w:rPr>
          <w:rFonts w:ascii="Times New Roman" w:hAnsi="Times New Roman"/>
          <w:sz w:val="24"/>
        </w:rPr>
        <w:t>）《基金合同》生效后，</w:t>
      </w:r>
      <w:r>
        <w:rPr>
          <w:rFonts w:ascii="Times New Roman" w:hAnsi="Times New Roman" w:hint="eastAsia"/>
          <w:sz w:val="24"/>
        </w:rPr>
        <w:t>连续</w:t>
      </w:r>
      <w:r>
        <w:rPr>
          <w:rFonts w:ascii="Times New Roman" w:hAnsi="Times New Roman"/>
          <w:sz w:val="24"/>
        </w:rPr>
        <w:t>30</w:t>
      </w:r>
      <w:r>
        <w:rPr>
          <w:rFonts w:ascii="Times New Roman" w:hAnsi="Times New Roman" w:hint="eastAsia"/>
          <w:sz w:val="24"/>
        </w:rPr>
        <w:t>、</w:t>
      </w:r>
      <w:r>
        <w:rPr>
          <w:rFonts w:ascii="Times New Roman" w:hAnsi="Times New Roman"/>
          <w:sz w:val="24"/>
        </w:rPr>
        <w:t>40</w:t>
      </w:r>
      <w:r>
        <w:rPr>
          <w:rFonts w:ascii="Times New Roman" w:hAnsi="Times New Roman" w:hint="eastAsia"/>
          <w:sz w:val="24"/>
        </w:rPr>
        <w:t>、</w:t>
      </w:r>
      <w:r>
        <w:rPr>
          <w:rFonts w:ascii="Times New Roman" w:hAnsi="Times New Roman"/>
          <w:sz w:val="24"/>
        </w:rPr>
        <w:t>45</w:t>
      </w:r>
      <w:r>
        <w:rPr>
          <w:rFonts w:ascii="Times New Roman" w:hAnsi="Times New Roman" w:hint="eastAsia"/>
          <w:sz w:val="24"/>
        </w:rPr>
        <w:t>个工作日出现基金份额持有人数量不满</w:t>
      </w:r>
      <w:r>
        <w:rPr>
          <w:rFonts w:ascii="Times New Roman" w:hAnsi="Times New Roman"/>
          <w:sz w:val="24"/>
        </w:rPr>
        <w:t>200</w:t>
      </w:r>
      <w:r>
        <w:rPr>
          <w:rFonts w:ascii="Times New Roman" w:hAnsi="Times New Roman" w:hint="eastAsia"/>
          <w:sz w:val="24"/>
        </w:rPr>
        <w:t>人或者基金资产净值低于</w:t>
      </w:r>
      <w:r>
        <w:rPr>
          <w:rFonts w:ascii="Times New Roman" w:hAnsi="Times New Roman"/>
          <w:sz w:val="24"/>
        </w:rPr>
        <w:t>5000</w:t>
      </w:r>
      <w:r>
        <w:rPr>
          <w:rFonts w:ascii="Times New Roman" w:hAnsi="Times New Roman" w:hint="eastAsia"/>
          <w:sz w:val="24"/>
        </w:rPr>
        <w:t>万元情形，基金管理人应当发布提示性公告；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26</w:t>
      </w:r>
      <w:r>
        <w:rPr>
          <w:rFonts w:ascii="Times New Roman" w:hAnsi="Times New Roman"/>
          <w:sz w:val="24"/>
        </w:rPr>
        <w:t>）基金信息披露义务人认为可能对基金份额持有人权益或者基金份额的价格产生重大影响的其他事项或中国证监会规定</w:t>
      </w:r>
      <w:r>
        <w:rPr>
          <w:rFonts w:ascii="Times New Roman" w:hAnsi="Times New Roman" w:hint="eastAsia"/>
          <w:bCs/>
          <w:sz w:val="24"/>
        </w:rPr>
        <w:t>和基金合同约定</w:t>
      </w:r>
      <w:r>
        <w:rPr>
          <w:rFonts w:ascii="Times New Roman" w:hAnsi="Times New Roman"/>
          <w:sz w:val="24"/>
        </w:rPr>
        <w:t>的其他事项。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、澄清公告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、基金份额持有人大会决议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基金份额持有人大会决定的事项，应当依法报中国证监会备案，并予以公告。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基金份额持有人依法自行召集基金份额持有人大会，基金管理人、基金托管人对基金份额持有人大会决定的事项不依法履行信息披露义务的，召集人应当履行相关信息披露义务。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10</w:t>
      </w:r>
      <w:r>
        <w:rPr>
          <w:rFonts w:ascii="Times New Roman" w:hAnsi="Times New Roman"/>
          <w:sz w:val="24"/>
        </w:rPr>
        <w:t>、</w:t>
      </w:r>
      <w:r>
        <w:rPr>
          <w:rFonts w:ascii="Times New Roman" w:hAnsi="Times New Roman" w:hint="eastAsia"/>
          <w:sz w:val="24"/>
        </w:rPr>
        <w:t>实施</w:t>
      </w:r>
      <w:proofErr w:type="gramStart"/>
      <w:r>
        <w:rPr>
          <w:rFonts w:ascii="Times New Roman" w:hAnsi="Times New Roman" w:hint="eastAsia"/>
          <w:sz w:val="24"/>
        </w:rPr>
        <w:t>侧袋机制</w:t>
      </w:r>
      <w:proofErr w:type="gramEnd"/>
      <w:r>
        <w:rPr>
          <w:rFonts w:ascii="Times New Roman" w:hAnsi="Times New Roman" w:hint="eastAsia"/>
          <w:sz w:val="24"/>
        </w:rPr>
        <w:t>期间的信息披露</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本基金实施</w:t>
      </w:r>
      <w:proofErr w:type="gramStart"/>
      <w:r>
        <w:rPr>
          <w:rFonts w:ascii="Times New Roman" w:hAnsi="Times New Roman" w:hint="eastAsia"/>
          <w:sz w:val="24"/>
        </w:rPr>
        <w:t>侧袋机制</w:t>
      </w:r>
      <w:proofErr w:type="gramEnd"/>
      <w:r>
        <w:rPr>
          <w:rFonts w:ascii="Times New Roman" w:hAnsi="Times New Roman" w:hint="eastAsia"/>
          <w:sz w:val="24"/>
        </w:rPr>
        <w:t>的，相关信息披露义务人应当根据法律法规、基金合同和招募说明书的规定进行信息披露，详见本招募说明书“侧袋机制”部分的规定。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11</w:t>
      </w:r>
      <w:r>
        <w:rPr>
          <w:rFonts w:ascii="Times New Roman" w:hAnsi="Times New Roman" w:hint="eastAsia"/>
          <w:sz w:val="24"/>
        </w:rPr>
        <w:t>、清算报告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基金合同终止的，基金管理人应当依法组织清算小组对基金财产进行清算并</w:t>
      </w:r>
      <w:proofErr w:type="gramStart"/>
      <w:r>
        <w:rPr>
          <w:rFonts w:ascii="Times New Roman" w:hAnsi="Times New Roman" w:hint="eastAsia"/>
          <w:sz w:val="24"/>
        </w:rPr>
        <w:t>作出</w:t>
      </w:r>
      <w:proofErr w:type="gramEnd"/>
      <w:r>
        <w:rPr>
          <w:rFonts w:ascii="Times New Roman" w:hAnsi="Times New Roman" w:hint="eastAsia"/>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hint="eastAsia"/>
          <w:sz w:val="24"/>
        </w:rPr>
        <w:t>、</w:t>
      </w:r>
      <w:r>
        <w:rPr>
          <w:rFonts w:ascii="Times New Roman" w:hAnsi="Times New Roman"/>
          <w:sz w:val="24"/>
        </w:rPr>
        <w:t>基金投资资产支持证券情况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本基金可投资资产支持证券，基金管理人应在</w:t>
      </w:r>
      <w:r>
        <w:rPr>
          <w:rFonts w:ascii="Times New Roman" w:hAnsi="Times New Roman" w:hint="eastAsia"/>
          <w:sz w:val="24"/>
        </w:rPr>
        <w:t>基金</w:t>
      </w:r>
      <w:r>
        <w:rPr>
          <w:rFonts w:ascii="Times New Roman" w:hAnsi="Times New Roman"/>
          <w:sz w:val="24"/>
        </w:rPr>
        <w:t>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ascii="Times New Roman" w:hAnsi="Times New Roman"/>
          <w:sz w:val="24"/>
        </w:rPr>
        <w:t>10</w:t>
      </w:r>
      <w:r>
        <w:rPr>
          <w:rFonts w:ascii="Times New Roman" w:hAnsi="Times New Roman"/>
          <w:sz w:val="24"/>
        </w:rPr>
        <w:t>名资产支持证券明细。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13</w:t>
      </w:r>
      <w:r>
        <w:rPr>
          <w:rFonts w:ascii="Times New Roman" w:hAnsi="Times New Roman"/>
          <w:sz w:val="24"/>
        </w:rPr>
        <w:t>、基金投资股指期货情况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rsidR="009A4701" w:rsidRDefault="00677B65">
      <w:pPr>
        <w:spacing w:line="360" w:lineRule="auto"/>
        <w:ind w:firstLineChars="200" w:firstLine="480"/>
        <w:rPr>
          <w:bCs/>
          <w:sz w:val="24"/>
        </w:rPr>
      </w:pPr>
      <w:r>
        <w:rPr>
          <w:rFonts w:ascii="Times New Roman" w:hAnsi="Times New Roman"/>
          <w:sz w:val="24"/>
        </w:rPr>
        <w:t>14</w:t>
      </w:r>
      <w:r>
        <w:rPr>
          <w:rFonts w:ascii="Times New Roman" w:hAnsi="Times New Roman"/>
          <w:sz w:val="24"/>
        </w:rPr>
        <w:t>、</w:t>
      </w:r>
      <w:r>
        <w:rPr>
          <w:rFonts w:hint="eastAsia"/>
          <w:bCs/>
          <w:sz w:val="24"/>
        </w:rPr>
        <w:t>基金投资港股通标的股票情况</w:t>
      </w:r>
    </w:p>
    <w:p w:rsidR="009A4701" w:rsidRDefault="00677B65">
      <w:pPr>
        <w:spacing w:line="360" w:lineRule="auto"/>
        <w:ind w:firstLineChars="200" w:firstLine="480"/>
        <w:rPr>
          <w:bCs/>
          <w:sz w:val="24"/>
        </w:rPr>
      </w:pPr>
      <w:r>
        <w:rPr>
          <w:rFonts w:hint="eastAsia"/>
          <w:bCs/>
          <w:sz w:val="24"/>
        </w:rPr>
        <w:t>本基金投资于港股通标的股票，基金应当在季度报告、中期报告、年度报告等定期报告和招募说明书（更新）等文件中披露港股通标的股票的投资情况。法律法规或中国证监会另有规定的，从其规定。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15</w:t>
      </w:r>
      <w:r>
        <w:rPr>
          <w:rFonts w:ascii="Times New Roman" w:hAnsi="Times New Roman" w:hint="eastAsia"/>
          <w:sz w:val="24"/>
        </w:rPr>
        <w:t>、基金参与融资和转融通证券出借业务情况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本基金参与转融通证券出借业务的，基金管理人应当在基金定期报告等文件中就报告期内发生的重大关联交易事项做详细说明。</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未来在法律法规允许的前提下，本基金可依据法律法规的相关规定参与融券业务，并相应履行信息披露义务。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1</w:t>
      </w:r>
      <w:r>
        <w:rPr>
          <w:rFonts w:ascii="Times New Roman" w:hAnsi="Times New Roman"/>
          <w:sz w:val="24"/>
        </w:rPr>
        <w:t>6</w:t>
      </w:r>
      <w:r>
        <w:rPr>
          <w:rFonts w:ascii="Times New Roman" w:hAnsi="Times New Roman" w:hint="eastAsia"/>
          <w:sz w:val="24"/>
        </w:rPr>
        <w:t>、</w:t>
      </w:r>
      <w:r>
        <w:rPr>
          <w:rFonts w:ascii="Times New Roman" w:hAnsi="Times New Roman"/>
          <w:sz w:val="24"/>
        </w:rPr>
        <w:t>中国证监会规定的其他信息。</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（六）信息披露事务管理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基金管理人、基金托管人应当建立健全信息披露管理制度，指定专门部门及高级管理人员负责管理信息披露事务。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基金信息披露义务人公开披露基金信息，应当符合中国证监会相关基金信息披露内容与格式准则等法律法规</w:t>
      </w:r>
      <w:r>
        <w:rPr>
          <w:rFonts w:ascii="Times New Roman" w:hAnsi="Times New Roman" w:hint="eastAsia"/>
          <w:bCs/>
          <w:sz w:val="24"/>
        </w:rPr>
        <w:t>的</w:t>
      </w:r>
      <w:r>
        <w:rPr>
          <w:rFonts w:ascii="Times New Roman" w:hAnsi="Times New Roman"/>
          <w:sz w:val="24"/>
        </w:rPr>
        <w:t>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基金托管人应当按照相关法律法规、中国证监会的规定和《基金合同》的约定，对基金管理人编制的基金资产净值、</w:t>
      </w:r>
      <w:r>
        <w:rPr>
          <w:rFonts w:ascii="Times New Roman" w:hAnsi="Times New Roman" w:hint="eastAsia"/>
          <w:bCs/>
          <w:sz w:val="24"/>
        </w:rPr>
        <w:t>各类基金份额的</w:t>
      </w:r>
      <w:r>
        <w:rPr>
          <w:rFonts w:ascii="Times New Roman" w:hAnsi="Times New Roman"/>
          <w:sz w:val="24"/>
        </w:rPr>
        <w:t>基金份额净值、基金份额申购赎回价格、基金定期报告、更新的招募说明书、基金产品资料概要、基金清算报告等相关基金信息进行复核、审查，并向基金管理人进行书面或电子确认。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基金管理人、基金托管人应当在规定报刊中选择一家披露信息</w:t>
      </w:r>
      <w:r>
        <w:rPr>
          <w:rFonts w:ascii="Times New Roman" w:hAnsi="Times New Roman" w:hint="eastAsia"/>
          <w:bCs/>
          <w:sz w:val="24"/>
        </w:rPr>
        <w:t>的报刊</w:t>
      </w:r>
      <w:r>
        <w:rPr>
          <w:rFonts w:ascii="Times New Roman" w:hAnsi="Times New Roman"/>
          <w:sz w:val="24"/>
        </w:rPr>
        <w:t>。基金管理人、基金托管人应当向中国证监会基金电子披露网站报送拟披露的基金信息，并保证相关报送信息的真实、准确、完整、及时。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为基金信息披露义务人公开披露的基金信息出具审计报告、法律意见书的专业机构，应当制作工作底稿，并将相关档案至少保存到《基金合同》终止后</w:t>
      </w:r>
      <w:r>
        <w:rPr>
          <w:rFonts w:ascii="Times New Roman" w:hAnsi="Times New Roman"/>
          <w:sz w:val="24"/>
        </w:rPr>
        <w:t>10</w:t>
      </w:r>
      <w:r>
        <w:rPr>
          <w:rFonts w:ascii="Times New Roman" w:hAnsi="Times New Roman"/>
          <w:sz w:val="24"/>
        </w:rPr>
        <w:t>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基金管理人、基金托管人除按法律法规要求披露信息外，也可着眼于为投资者决策提供有用信息的角度，在保证公平对待投资者、</w:t>
      </w:r>
      <w:proofErr w:type="gramStart"/>
      <w:r>
        <w:rPr>
          <w:rFonts w:ascii="Times New Roman" w:hAnsi="Times New Roman"/>
          <w:sz w:val="24"/>
        </w:rPr>
        <w:t>不</w:t>
      </w:r>
      <w:proofErr w:type="gramEnd"/>
      <w:r>
        <w:rPr>
          <w:rFonts w:ascii="Times New Roman" w:hAnsi="Times New Roman"/>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（七）信息披露文件的存放与查阅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依法必须披露的信息发布后，基金管理人、基金托管人应当按照相关法律法规规定将信息置备于各自</w:t>
      </w:r>
      <w:r>
        <w:rPr>
          <w:rFonts w:ascii="Times New Roman" w:hAnsi="Times New Roman" w:hint="eastAsia"/>
          <w:bCs/>
          <w:sz w:val="24"/>
        </w:rPr>
        <w:t>办公场所</w:t>
      </w:r>
      <w:r>
        <w:rPr>
          <w:rFonts w:ascii="Times New Roman" w:hAnsi="Times New Roman"/>
          <w:sz w:val="24"/>
        </w:rPr>
        <w:t>，供社会公众查阅、复制。</w:t>
      </w:r>
    </w:p>
    <w:p w:rsidR="009A4701" w:rsidRDefault="00677B65">
      <w:pPr>
        <w:pStyle w:val="1"/>
        <w:snapToGrid w:val="0"/>
        <w:spacing w:beforeLines="0" w:before="240" w:after="240"/>
        <w:rPr>
          <w:rFonts w:ascii="Times New Roman" w:hAnsi="Times New Roman"/>
          <w:b w:val="0"/>
          <w:kern w:val="0"/>
          <w:sz w:val="30"/>
        </w:rPr>
      </w:pPr>
      <w:r>
        <w:rPr>
          <w:rFonts w:ascii="Times New Roman" w:hAnsi="Times New Roman"/>
          <w:sz w:val="24"/>
        </w:rPr>
        <w:br w:type="page"/>
      </w:r>
      <w:bookmarkStart w:id="32" w:name="_Toc48122017"/>
      <w:bookmarkStart w:id="33" w:name="_Toc147840634"/>
      <w:r>
        <w:rPr>
          <w:rFonts w:ascii="Times New Roman" w:hAnsi="Times New Roman" w:hint="eastAsia"/>
          <w:sz w:val="30"/>
        </w:rPr>
        <w:lastRenderedPageBreak/>
        <w:t>十六、</w:t>
      </w:r>
      <w:proofErr w:type="gramStart"/>
      <w:r>
        <w:rPr>
          <w:rFonts w:ascii="Times New Roman" w:hAnsi="Times New Roman" w:hint="eastAsia"/>
          <w:sz w:val="30"/>
        </w:rPr>
        <w:t>侧袋机制</w:t>
      </w:r>
      <w:bookmarkEnd w:id="32"/>
      <w:bookmarkEnd w:id="33"/>
      <w:proofErr w:type="gramEnd"/>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（一）</w:t>
      </w:r>
      <w:proofErr w:type="gramStart"/>
      <w:r>
        <w:rPr>
          <w:rFonts w:ascii="Times New Roman" w:hAnsi="Times New Roman" w:hint="eastAsia"/>
          <w:b/>
          <w:sz w:val="24"/>
        </w:rPr>
        <w:t>侧袋机制</w:t>
      </w:r>
      <w:proofErr w:type="gramEnd"/>
      <w:r>
        <w:rPr>
          <w:rFonts w:ascii="Times New Roman" w:hAnsi="Times New Roman" w:hint="eastAsia"/>
          <w:b/>
          <w:sz w:val="24"/>
        </w:rPr>
        <w:t>的实施条件</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imes New Roman" w:hAnsi="Times New Roman" w:hint="eastAsia"/>
          <w:sz w:val="24"/>
        </w:rPr>
        <w:t>启用侧袋机制</w:t>
      </w:r>
      <w:proofErr w:type="gramEnd"/>
      <w:r>
        <w:rPr>
          <w:rFonts w:ascii="Times New Roman" w:hAnsi="Times New Roman" w:hint="eastAsia"/>
          <w:sz w:val="24"/>
        </w:rPr>
        <w:t>。</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基金管理人应当在启用</w:t>
      </w:r>
      <w:proofErr w:type="gramStart"/>
      <w:r>
        <w:rPr>
          <w:rFonts w:ascii="Times New Roman" w:hAnsi="Times New Roman" w:hint="eastAsia"/>
          <w:sz w:val="24"/>
        </w:rPr>
        <w:t>侧袋机制</w:t>
      </w:r>
      <w:proofErr w:type="gramEnd"/>
      <w:r>
        <w:rPr>
          <w:rFonts w:ascii="Times New Roman" w:hAnsi="Times New Roman" w:hint="eastAsia"/>
          <w:sz w:val="24"/>
        </w:rPr>
        <w:t>后及时发布临时公告，</w:t>
      </w:r>
      <w:bookmarkStart w:id="34" w:name="_Hlk45746268"/>
      <w:r>
        <w:rPr>
          <w:rFonts w:ascii="Times New Roman" w:hAnsi="Times New Roman" w:hint="eastAsia"/>
          <w:sz w:val="24"/>
        </w:rPr>
        <w:t>并在</w:t>
      </w:r>
      <w:bookmarkStart w:id="35" w:name="_Hlk45746204"/>
      <w:r>
        <w:rPr>
          <w:rFonts w:ascii="Times New Roman" w:hAnsi="Times New Roman" w:hint="eastAsia"/>
          <w:sz w:val="24"/>
        </w:rPr>
        <w:t>五个工作日内</w:t>
      </w:r>
      <w:bookmarkEnd w:id="34"/>
      <w:bookmarkEnd w:id="35"/>
      <w:r>
        <w:rPr>
          <w:rFonts w:ascii="Times New Roman" w:hAnsi="Times New Roman" w:hint="eastAsia"/>
          <w:sz w:val="24"/>
        </w:rPr>
        <w:t>聘请</w:t>
      </w:r>
      <w:bookmarkStart w:id="36" w:name="_Hlk45746277"/>
      <w:proofErr w:type="gramStart"/>
      <w:r>
        <w:rPr>
          <w:rFonts w:ascii="Times New Roman" w:hAnsi="Times New Roman" w:hint="eastAsia"/>
          <w:sz w:val="24"/>
        </w:rPr>
        <w:t>侧袋机制</w:t>
      </w:r>
      <w:proofErr w:type="gramEnd"/>
      <w:r>
        <w:rPr>
          <w:rFonts w:ascii="Times New Roman" w:hAnsi="Times New Roman" w:hint="eastAsia"/>
          <w:sz w:val="24"/>
        </w:rPr>
        <w:t>启用日发表意见且</w:t>
      </w:r>
      <w:bookmarkEnd w:id="36"/>
      <w:r>
        <w:rPr>
          <w:rFonts w:ascii="Times New Roman" w:hAnsi="Times New Roman" w:hint="eastAsia"/>
          <w:sz w:val="24"/>
        </w:rPr>
        <w:t>符合《中华人民共和国证券法》规定的会计师事务所</w:t>
      </w:r>
      <w:bookmarkStart w:id="37" w:name="_Hlk45746299"/>
      <w:r>
        <w:rPr>
          <w:rFonts w:ascii="Times New Roman" w:hAnsi="Times New Roman" w:hint="eastAsia"/>
          <w:sz w:val="24"/>
        </w:rPr>
        <w:t>进行审计并披露</w:t>
      </w:r>
      <w:bookmarkEnd w:id="37"/>
      <w:r>
        <w:rPr>
          <w:rFonts w:ascii="Times New Roman" w:hAnsi="Times New Roman" w:hint="eastAsia"/>
          <w:sz w:val="24"/>
        </w:rPr>
        <w:t>专项审计意见。</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（二）实施</w:t>
      </w:r>
      <w:proofErr w:type="gramStart"/>
      <w:r>
        <w:rPr>
          <w:rFonts w:ascii="Times New Roman" w:hAnsi="Times New Roman" w:hint="eastAsia"/>
          <w:b/>
          <w:sz w:val="24"/>
        </w:rPr>
        <w:t>侧袋机制</w:t>
      </w:r>
      <w:proofErr w:type="gramEnd"/>
      <w:r>
        <w:rPr>
          <w:rFonts w:ascii="Times New Roman" w:hAnsi="Times New Roman" w:hint="eastAsia"/>
          <w:b/>
          <w:sz w:val="24"/>
        </w:rPr>
        <w:t>期间基金份额的申购与赎回</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、启用</w:t>
      </w:r>
      <w:proofErr w:type="gramStart"/>
      <w:r>
        <w:rPr>
          <w:rFonts w:ascii="Times New Roman" w:hAnsi="Times New Roman" w:hint="eastAsia"/>
          <w:sz w:val="24"/>
        </w:rPr>
        <w:t>侧袋机制</w:t>
      </w:r>
      <w:proofErr w:type="gramEnd"/>
      <w:r>
        <w:rPr>
          <w:rFonts w:ascii="Times New Roman" w:hAnsi="Times New Roman" w:hint="eastAsia"/>
          <w:sz w:val="24"/>
        </w:rPr>
        <w:t>当日，基金登记机构以基金份额持有人的原有账户份额为基础，确认</w:t>
      </w:r>
      <w:proofErr w:type="gramStart"/>
      <w:r>
        <w:rPr>
          <w:rFonts w:ascii="Times New Roman" w:hAnsi="Times New Roman" w:hint="eastAsia"/>
          <w:sz w:val="24"/>
        </w:rPr>
        <w:t>相应侧袋账户</w:t>
      </w:r>
      <w:proofErr w:type="gramEnd"/>
      <w:r>
        <w:rPr>
          <w:rFonts w:ascii="Times New Roman" w:hAnsi="Times New Roman" w:hint="eastAsia"/>
          <w:sz w:val="24"/>
        </w:rPr>
        <w:t>基金份额持有人名册和份额；当日收到的申购申请，按照启用</w:t>
      </w:r>
      <w:proofErr w:type="gramStart"/>
      <w:r>
        <w:rPr>
          <w:rFonts w:ascii="Times New Roman" w:hAnsi="Times New Roman" w:hint="eastAsia"/>
          <w:sz w:val="24"/>
        </w:rPr>
        <w:t>侧袋机制</w:t>
      </w:r>
      <w:proofErr w:type="gramEnd"/>
      <w:r>
        <w:rPr>
          <w:rFonts w:ascii="Times New Roman" w:hAnsi="Times New Roman" w:hint="eastAsia"/>
          <w:sz w:val="24"/>
        </w:rPr>
        <w:t>后</w:t>
      </w:r>
      <w:proofErr w:type="gramStart"/>
      <w:r>
        <w:rPr>
          <w:rFonts w:ascii="Times New Roman" w:hAnsi="Times New Roman" w:hint="eastAsia"/>
          <w:sz w:val="24"/>
        </w:rPr>
        <w:t>的主袋账户</w:t>
      </w:r>
      <w:proofErr w:type="gramEnd"/>
      <w:r>
        <w:rPr>
          <w:rFonts w:ascii="Times New Roman" w:hAnsi="Times New Roman" w:hint="eastAsia"/>
          <w:sz w:val="24"/>
        </w:rPr>
        <w:t>份额办理；当日收到的赎回申请，仅</w:t>
      </w:r>
      <w:proofErr w:type="gramStart"/>
      <w:r>
        <w:rPr>
          <w:rFonts w:ascii="Times New Roman" w:hAnsi="Times New Roman" w:hint="eastAsia"/>
          <w:sz w:val="24"/>
        </w:rPr>
        <w:t>办理主袋账户</w:t>
      </w:r>
      <w:proofErr w:type="gramEnd"/>
      <w:r>
        <w:rPr>
          <w:rFonts w:ascii="Times New Roman" w:hAnsi="Times New Roman" w:hint="eastAsia"/>
          <w:sz w:val="24"/>
        </w:rPr>
        <w:t>的赎回申请并支付赎回款项。</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、实施</w:t>
      </w:r>
      <w:proofErr w:type="gramStart"/>
      <w:r>
        <w:rPr>
          <w:rFonts w:ascii="Times New Roman" w:hAnsi="Times New Roman" w:hint="eastAsia"/>
          <w:sz w:val="24"/>
        </w:rPr>
        <w:t>侧袋机制</w:t>
      </w:r>
      <w:proofErr w:type="gramEnd"/>
      <w:r>
        <w:rPr>
          <w:rFonts w:ascii="Times New Roman" w:hAnsi="Times New Roman" w:hint="eastAsia"/>
          <w:sz w:val="24"/>
        </w:rPr>
        <w:t>期间，基金管理人不</w:t>
      </w:r>
      <w:proofErr w:type="gramStart"/>
      <w:r>
        <w:rPr>
          <w:rFonts w:ascii="Times New Roman" w:hAnsi="Times New Roman" w:hint="eastAsia"/>
          <w:sz w:val="24"/>
        </w:rPr>
        <w:t>办理侧袋账户</w:t>
      </w:r>
      <w:proofErr w:type="gramEnd"/>
      <w:r>
        <w:rPr>
          <w:rFonts w:ascii="Times New Roman" w:hAnsi="Times New Roman" w:hint="eastAsia"/>
          <w:sz w:val="24"/>
        </w:rPr>
        <w:t>份额的申购、赎回和转换；同时，基金管理人按照基金合同和招募说明书的约定</w:t>
      </w:r>
      <w:proofErr w:type="gramStart"/>
      <w:r>
        <w:rPr>
          <w:rFonts w:ascii="Times New Roman" w:hAnsi="Times New Roman" w:hint="eastAsia"/>
          <w:sz w:val="24"/>
        </w:rPr>
        <w:t>办理主袋账户</w:t>
      </w:r>
      <w:proofErr w:type="gramEnd"/>
      <w:r>
        <w:rPr>
          <w:rFonts w:ascii="Times New Roman" w:hAnsi="Times New Roman" w:hint="eastAsia"/>
          <w:sz w:val="24"/>
        </w:rPr>
        <w:t>份额的赎回，并</w:t>
      </w:r>
      <w:proofErr w:type="gramStart"/>
      <w:r>
        <w:rPr>
          <w:rFonts w:ascii="Times New Roman" w:hAnsi="Times New Roman" w:hint="eastAsia"/>
          <w:sz w:val="24"/>
        </w:rPr>
        <w:t>根据主袋账户</w:t>
      </w:r>
      <w:proofErr w:type="gramEnd"/>
      <w:r>
        <w:rPr>
          <w:rFonts w:ascii="Times New Roman" w:hAnsi="Times New Roman" w:hint="eastAsia"/>
          <w:sz w:val="24"/>
        </w:rPr>
        <w:t>运作情况确定是否暂停申购。</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、除基金管理人应</w:t>
      </w:r>
      <w:proofErr w:type="gramStart"/>
      <w:r>
        <w:rPr>
          <w:rFonts w:ascii="Times New Roman" w:hAnsi="Times New Roman" w:hint="eastAsia"/>
          <w:sz w:val="24"/>
        </w:rPr>
        <w:t>按照主袋账户</w:t>
      </w:r>
      <w:proofErr w:type="gramEnd"/>
      <w:r>
        <w:rPr>
          <w:rFonts w:ascii="Times New Roman" w:hAnsi="Times New Roman" w:hint="eastAsia"/>
          <w:sz w:val="24"/>
        </w:rPr>
        <w:t>的份额净值</w:t>
      </w:r>
      <w:proofErr w:type="gramStart"/>
      <w:r>
        <w:rPr>
          <w:rFonts w:ascii="Times New Roman" w:hAnsi="Times New Roman" w:hint="eastAsia"/>
          <w:sz w:val="24"/>
        </w:rPr>
        <w:t>办理主袋账户</w:t>
      </w:r>
      <w:proofErr w:type="gramEnd"/>
      <w:r>
        <w:rPr>
          <w:rFonts w:ascii="Times New Roman" w:hAnsi="Times New Roman" w:hint="eastAsia"/>
          <w:sz w:val="24"/>
        </w:rPr>
        <w:t>份额的申购和赎回外，本招募说明书“基金份额的申购与赎回”部分的申购、赎回规定</w:t>
      </w:r>
      <w:proofErr w:type="gramStart"/>
      <w:r>
        <w:rPr>
          <w:rFonts w:ascii="Times New Roman" w:hAnsi="Times New Roman" w:hint="eastAsia"/>
          <w:sz w:val="24"/>
        </w:rPr>
        <w:t>适用于主袋账户</w:t>
      </w:r>
      <w:proofErr w:type="gramEnd"/>
      <w:r>
        <w:rPr>
          <w:rFonts w:ascii="Times New Roman" w:hAnsi="Times New Roman" w:hint="eastAsia"/>
          <w:sz w:val="24"/>
        </w:rPr>
        <w:t>份额。巨额赎回按照单个开放</w:t>
      </w:r>
      <w:proofErr w:type="gramStart"/>
      <w:r>
        <w:rPr>
          <w:rFonts w:ascii="Times New Roman" w:hAnsi="Times New Roman" w:hint="eastAsia"/>
          <w:sz w:val="24"/>
        </w:rPr>
        <w:t>日内主袋账户</w:t>
      </w:r>
      <w:proofErr w:type="gramEnd"/>
      <w:r>
        <w:rPr>
          <w:rFonts w:ascii="Times New Roman" w:hAnsi="Times New Roman" w:hint="eastAsia"/>
          <w:sz w:val="24"/>
        </w:rPr>
        <w:t>份额净赎回申请超过前一开放</w:t>
      </w:r>
      <w:proofErr w:type="gramStart"/>
      <w:r>
        <w:rPr>
          <w:rFonts w:ascii="Times New Roman" w:hAnsi="Times New Roman" w:hint="eastAsia"/>
          <w:sz w:val="24"/>
        </w:rPr>
        <w:t>日主袋账户</w:t>
      </w:r>
      <w:proofErr w:type="gramEnd"/>
      <w:r>
        <w:rPr>
          <w:rFonts w:ascii="Times New Roman" w:hAnsi="Times New Roman" w:hint="eastAsia"/>
          <w:sz w:val="24"/>
        </w:rPr>
        <w:t>总份额的</w:t>
      </w:r>
      <w:r>
        <w:rPr>
          <w:rFonts w:ascii="Times New Roman" w:hAnsi="Times New Roman"/>
          <w:sz w:val="24"/>
        </w:rPr>
        <w:t>10%</w:t>
      </w:r>
      <w:r>
        <w:rPr>
          <w:rFonts w:ascii="Times New Roman" w:hAnsi="Times New Roman" w:hint="eastAsia"/>
          <w:sz w:val="24"/>
        </w:rPr>
        <w:t>认定。</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（三）实施</w:t>
      </w:r>
      <w:proofErr w:type="gramStart"/>
      <w:r>
        <w:rPr>
          <w:rFonts w:ascii="Times New Roman" w:hAnsi="Times New Roman" w:hint="eastAsia"/>
          <w:b/>
          <w:sz w:val="24"/>
        </w:rPr>
        <w:t>侧袋机制</w:t>
      </w:r>
      <w:proofErr w:type="gramEnd"/>
      <w:r>
        <w:rPr>
          <w:rFonts w:ascii="Times New Roman" w:hAnsi="Times New Roman" w:hint="eastAsia"/>
          <w:b/>
          <w:sz w:val="24"/>
        </w:rPr>
        <w:t>期间的基金投资</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侧袋机制</w:t>
      </w:r>
      <w:proofErr w:type="gramEnd"/>
      <w:r>
        <w:rPr>
          <w:rFonts w:ascii="Times New Roman" w:hAnsi="Times New Roman" w:hint="eastAsia"/>
          <w:sz w:val="24"/>
        </w:rPr>
        <w:t>实施期间，招募说明书“基金的投资”部分约定的</w:t>
      </w:r>
      <w:r>
        <w:rPr>
          <w:rFonts w:ascii="Times New Roman" w:hAnsi="Times New Roman"/>
          <w:sz w:val="24"/>
        </w:rPr>
        <w:t>投资组合比例</w:t>
      </w:r>
      <w:r>
        <w:rPr>
          <w:rFonts w:ascii="Times New Roman" w:hAnsi="Times New Roman" w:hint="eastAsia"/>
          <w:sz w:val="24"/>
        </w:rPr>
        <w:t>、投资策略、</w:t>
      </w:r>
      <w:r>
        <w:rPr>
          <w:rFonts w:ascii="Times New Roman" w:hAnsi="Times New Roman"/>
          <w:sz w:val="24"/>
        </w:rPr>
        <w:t>组合限制</w:t>
      </w:r>
      <w:r>
        <w:rPr>
          <w:rFonts w:ascii="Times New Roman" w:hAnsi="Times New Roman" w:hint="eastAsia"/>
          <w:sz w:val="24"/>
        </w:rPr>
        <w:t>、业绩比较基准、风险收益特征等约定仅</w:t>
      </w:r>
      <w:proofErr w:type="gramStart"/>
      <w:r>
        <w:rPr>
          <w:rFonts w:ascii="Times New Roman" w:hAnsi="Times New Roman" w:hint="eastAsia"/>
          <w:sz w:val="24"/>
        </w:rPr>
        <w:t>适用于主袋账户</w:t>
      </w:r>
      <w:proofErr w:type="gramEnd"/>
      <w:r>
        <w:rPr>
          <w:rFonts w:ascii="Times New Roman" w:hAnsi="Times New Roman" w:hint="eastAsia"/>
          <w:sz w:val="24"/>
        </w:rPr>
        <w:t>。基金管理人计算各项投资运作指标和基金业绩指标时仅需</w:t>
      </w:r>
      <w:proofErr w:type="gramStart"/>
      <w:r>
        <w:rPr>
          <w:rFonts w:ascii="Times New Roman" w:hAnsi="Times New Roman" w:hint="eastAsia"/>
          <w:sz w:val="24"/>
        </w:rPr>
        <w:t>考虑主袋账户</w:t>
      </w:r>
      <w:proofErr w:type="gramEnd"/>
      <w:r>
        <w:rPr>
          <w:rFonts w:ascii="Times New Roman" w:hAnsi="Times New Roman" w:hint="eastAsia"/>
          <w:sz w:val="24"/>
        </w:rPr>
        <w:t>资产。</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基金管理人原则上应当在</w:t>
      </w:r>
      <w:proofErr w:type="gramStart"/>
      <w:r>
        <w:rPr>
          <w:rFonts w:ascii="Times New Roman" w:hAnsi="Times New Roman" w:hint="eastAsia"/>
          <w:sz w:val="24"/>
        </w:rPr>
        <w:t>侧袋</w:t>
      </w:r>
      <w:r>
        <w:rPr>
          <w:rFonts w:ascii="Times New Roman" w:hAnsi="Times New Roman"/>
          <w:sz w:val="24"/>
        </w:rPr>
        <w:t>机制</w:t>
      </w:r>
      <w:proofErr w:type="gramEnd"/>
      <w:r>
        <w:rPr>
          <w:rFonts w:ascii="Times New Roman" w:hAnsi="Times New Roman"/>
          <w:sz w:val="24"/>
        </w:rPr>
        <w:t>启用后</w:t>
      </w:r>
      <w:r>
        <w:rPr>
          <w:rFonts w:ascii="Times New Roman" w:hAnsi="Times New Roman"/>
          <w:sz w:val="24"/>
        </w:rPr>
        <w:t>20</w:t>
      </w:r>
      <w:r>
        <w:rPr>
          <w:rFonts w:ascii="Times New Roman" w:hAnsi="Times New Roman"/>
          <w:sz w:val="24"/>
        </w:rPr>
        <w:t>个交易日内完成</w:t>
      </w:r>
      <w:proofErr w:type="gramStart"/>
      <w:r>
        <w:rPr>
          <w:rFonts w:ascii="Times New Roman" w:hAnsi="Times New Roman"/>
          <w:sz w:val="24"/>
        </w:rPr>
        <w:t>对主袋账户</w:t>
      </w:r>
      <w:proofErr w:type="gramEnd"/>
      <w:r>
        <w:rPr>
          <w:rFonts w:ascii="Times New Roman" w:hAnsi="Times New Roman"/>
          <w:sz w:val="24"/>
        </w:rPr>
        <w:t>投资组合的调整，</w:t>
      </w:r>
      <w:r>
        <w:rPr>
          <w:rFonts w:ascii="Times New Roman" w:hAnsi="Times New Roman" w:hint="eastAsia"/>
          <w:sz w:val="24"/>
        </w:rPr>
        <w:t>因资产流动性受限等中国证监会规定的情形除外。</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基金管理人不得</w:t>
      </w:r>
      <w:proofErr w:type="gramStart"/>
      <w:r>
        <w:rPr>
          <w:rFonts w:ascii="Times New Roman" w:hAnsi="Times New Roman" w:hint="eastAsia"/>
          <w:sz w:val="24"/>
        </w:rPr>
        <w:t>在侧袋账户</w:t>
      </w:r>
      <w:proofErr w:type="gramEnd"/>
      <w:r>
        <w:rPr>
          <w:rFonts w:ascii="Times New Roman" w:hAnsi="Times New Roman" w:hint="eastAsia"/>
          <w:sz w:val="24"/>
        </w:rPr>
        <w:t>中进行除特定资产处置变现以外的其他投资操作。</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（四）实施</w:t>
      </w:r>
      <w:proofErr w:type="gramStart"/>
      <w:r>
        <w:rPr>
          <w:rFonts w:ascii="Times New Roman" w:hAnsi="Times New Roman" w:hint="eastAsia"/>
          <w:b/>
          <w:sz w:val="24"/>
        </w:rPr>
        <w:t>侧袋机制</w:t>
      </w:r>
      <w:proofErr w:type="gramEnd"/>
      <w:r>
        <w:rPr>
          <w:rFonts w:ascii="Times New Roman" w:hAnsi="Times New Roman" w:hint="eastAsia"/>
          <w:b/>
          <w:sz w:val="24"/>
        </w:rPr>
        <w:t>期间的基金估值</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本基金实施</w:t>
      </w:r>
      <w:proofErr w:type="gramStart"/>
      <w:r>
        <w:rPr>
          <w:rFonts w:ascii="Times New Roman" w:hAnsi="Times New Roman" w:hint="eastAsia"/>
          <w:sz w:val="24"/>
        </w:rPr>
        <w:t>侧袋机制</w:t>
      </w:r>
      <w:proofErr w:type="gramEnd"/>
      <w:r>
        <w:rPr>
          <w:rFonts w:ascii="Times New Roman" w:hAnsi="Times New Roman" w:hint="eastAsia"/>
          <w:sz w:val="24"/>
        </w:rPr>
        <w:t>的，基金管理人和基金托管人</w:t>
      </w:r>
      <w:proofErr w:type="gramStart"/>
      <w:r>
        <w:rPr>
          <w:rFonts w:ascii="Times New Roman" w:hAnsi="Times New Roman" w:hint="eastAsia"/>
          <w:sz w:val="24"/>
        </w:rPr>
        <w:t>应对主袋账户</w:t>
      </w:r>
      <w:proofErr w:type="gramEnd"/>
      <w:r>
        <w:rPr>
          <w:rFonts w:ascii="Times New Roman" w:hAnsi="Times New Roman" w:hint="eastAsia"/>
          <w:sz w:val="24"/>
        </w:rPr>
        <w:t>资产进行估值</w:t>
      </w:r>
      <w:r>
        <w:rPr>
          <w:rFonts w:ascii="Times New Roman" w:hAnsi="Times New Roman" w:hint="eastAsia"/>
          <w:sz w:val="24"/>
        </w:rPr>
        <w:lastRenderedPageBreak/>
        <w:t>并</w:t>
      </w:r>
      <w:proofErr w:type="gramStart"/>
      <w:r>
        <w:rPr>
          <w:rFonts w:ascii="Times New Roman" w:hAnsi="Times New Roman" w:hint="eastAsia"/>
          <w:sz w:val="24"/>
        </w:rPr>
        <w:t>披露主袋账户</w:t>
      </w:r>
      <w:proofErr w:type="gramEnd"/>
      <w:r>
        <w:rPr>
          <w:rFonts w:ascii="Times New Roman" w:hAnsi="Times New Roman" w:hint="eastAsia"/>
          <w:sz w:val="24"/>
        </w:rPr>
        <w:t>的基金净值信息，暂停</w:t>
      </w:r>
      <w:proofErr w:type="gramStart"/>
      <w:r>
        <w:rPr>
          <w:rFonts w:ascii="Times New Roman" w:hAnsi="Times New Roman" w:hint="eastAsia"/>
          <w:sz w:val="24"/>
        </w:rPr>
        <w:t>披露侧袋账户</w:t>
      </w:r>
      <w:proofErr w:type="gramEnd"/>
      <w:r>
        <w:rPr>
          <w:rFonts w:ascii="Times New Roman" w:hAnsi="Times New Roman" w:hint="eastAsia"/>
          <w:sz w:val="24"/>
        </w:rPr>
        <w:t>份额净值。</w:t>
      </w:r>
      <w:proofErr w:type="gramStart"/>
      <w:r>
        <w:rPr>
          <w:rFonts w:ascii="Times New Roman" w:hAnsi="Times New Roman" w:hint="eastAsia"/>
          <w:sz w:val="24"/>
        </w:rPr>
        <w:t>侧袋账户</w:t>
      </w:r>
      <w:proofErr w:type="gramEnd"/>
      <w:r>
        <w:rPr>
          <w:rFonts w:ascii="Times New Roman" w:hAnsi="Times New Roman" w:hint="eastAsia"/>
          <w:sz w:val="24"/>
        </w:rPr>
        <w:t>的会计核算应符合《企业会计准则》的相关要求。</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（五）</w:t>
      </w:r>
      <w:proofErr w:type="gramStart"/>
      <w:r>
        <w:rPr>
          <w:rFonts w:ascii="Times New Roman" w:hAnsi="Times New Roman" w:hint="eastAsia"/>
          <w:b/>
          <w:sz w:val="24"/>
        </w:rPr>
        <w:t>实施侧袋账户</w:t>
      </w:r>
      <w:proofErr w:type="gramEnd"/>
      <w:r>
        <w:rPr>
          <w:rFonts w:ascii="Times New Roman" w:hAnsi="Times New Roman" w:hint="eastAsia"/>
          <w:b/>
          <w:sz w:val="24"/>
        </w:rPr>
        <w:t>期间的基金费用</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、本基金实施</w:t>
      </w:r>
      <w:proofErr w:type="gramStart"/>
      <w:r>
        <w:rPr>
          <w:rFonts w:ascii="Times New Roman" w:hAnsi="Times New Roman" w:hint="eastAsia"/>
          <w:sz w:val="24"/>
        </w:rPr>
        <w:t>侧袋机制</w:t>
      </w:r>
      <w:proofErr w:type="gramEnd"/>
      <w:r>
        <w:rPr>
          <w:rFonts w:ascii="Times New Roman" w:hAnsi="Times New Roman" w:hint="eastAsia"/>
          <w:sz w:val="24"/>
        </w:rPr>
        <w:t>的，管理费和托管费等</w:t>
      </w:r>
      <w:proofErr w:type="gramStart"/>
      <w:r>
        <w:rPr>
          <w:rFonts w:ascii="Times New Roman" w:hAnsi="Times New Roman" w:hint="eastAsia"/>
          <w:sz w:val="24"/>
        </w:rPr>
        <w:t>按主袋账户</w:t>
      </w:r>
      <w:proofErr w:type="gramEnd"/>
      <w:r>
        <w:rPr>
          <w:rFonts w:ascii="Times New Roman" w:hAnsi="Times New Roman" w:hint="eastAsia"/>
          <w:sz w:val="24"/>
        </w:rPr>
        <w:t>基金资产净值作为基数计提。</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w:t>
      </w:r>
      <w:proofErr w:type="gramStart"/>
      <w:r>
        <w:rPr>
          <w:rFonts w:ascii="Times New Roman" w:hAnsi="Times New Roman" w:hint="eastAsia"/>
          <w:sz w:val="24"/>
        </w:rPr>
        <w:t>与侧袋账户</w:t>
      </w:r>
      <w:proofErr w:type="gramEnd"/>
      <w:r>
        <w:rPr>
          <w:rFonts w:ascii="Times New Roman" w:hAnsi="Times New Roman" w:hint="eastAsia"/>
          <w:sz w:val="24"/>
        </w:rPr>
        <w:t>有关的费用可</w:t>
      </w:r>
      <w:proofErr w:type="gramStart"/>
      <w:r>
        <w:rPr>
          <w:rFonts w:ascii="Times New Roman" w:hAnsi="Times New Roman" w:hint="eastAsia"/>
          <w:sz w:val="24"/>
        </w:rPr>
        <w:t>从侧袋账户</w:t>
      </w:r>
      <w:proofErr w:type="gramEnd"/>
      <w:r>
        <w:rPr>
          <w:rFonts w:ascii="Times New Roman" w:hAnsi="Times New Roman" w:hint="eastAsia"/>
          <w:sz w:val="24"/>
        </w:rPr>
        <w:t>中列支，但应</w:t>
      </w:r>
      <w:proofErr w:type="gramStart"/>
      <w:r>
        <w:rPr>
          <w:rFonts w:ascii="Times New Roman" w:hAnsi="Times New Roman" w:hint="eastAsia"/>
          <w:sz w:val="24"/>
        </w:rPr>
        <w:t>待侧袋</w:t>
      </w:r>
      <w:proofErr w:type="gramEnd"/>
      <w:r>
        <w:rPr>
          <w:rFonts w:ascii="Times New Roman" w:hAnsi="Times New Roman" w:hint="eastAsia"/>
          <w:sz w:val="24"/>
        </w:rPr>
        <w:t>账户资产变现后方可列支，有关费用可酌情收取或减免，但不得收取管理费。</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（六）</w:t>
      </w:r>
      <w:proofErr w:type="gramStart"/>
      <w:r>
        <w:rPr>
          <w:rFonts w:ascii="Times New Roman" w:hAnsi="Times New Roman" w:hint="eastAsia"/>
          <w:b/>
          <w:sz w:val="24"/>
        </w:rPr>
        <w:t>侧袋账户</w:t>
      </w:r>
      <w:proofErr w:type="gramEnd"/>
      <w:r>
        <w:rPr>
          <w:rFonts w:ascii="Times New Roman" w:hAnsi="Times New Roman" w:hint="eastAsia"/>
          <w:b/>
          <w:sz w:val="24"/>
        </w:rPr>
        <w:t>中特定资产的处置变现和支付</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特定资产以可出售、可转让、恢复交易等方式恢复流动性后，基金管理人应当按照基金份额持有人利益最大化原则，采取将特定资产予以处置变现等方式，及时</w:t>
      </w:r>
      <w:proofErr w:type="gramStart"/>
      <w:r>
        <w:rPr>
          <w:rFonts w:ascii="Times New Roman" w:hAnsi="Times New Roman" w:hint="eastAsia"/>
          <w:sz w:val="24"/>
        </w:rPr>
        <w:t>向侧袋账户</w:t>
      </w:r>
      <w:proofErr w:type="gramEnd"/>
      <w:r>
        <w:rPr>
          <w:rFonts w:ascii="Times New Roman" w:hAnsi="Times New Roman" w:hint="eastAsia"/>
          <w:sz w:val="24"/>
        </w:rPr>
        <w:t>份额持有人支付对应变现款项。</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侧袋机制</w:t>
      </w:r>
      <w:proofErr w:type="gramEnd"/>
      <w:r>
        <w:rPr>
          <w:rFonts w:ascii="Times New Roman" w:hAnsi="Times New Roman" w:hint="eastAsia"/>
          <w:sz w:val="24"/>
        </w:rPr>
        <w:t>实施期间，</w:t>
      </w:r>
      <w:proofErr w:type="gramStart"/>
      <w:r>
        <w:rPr>
          <w:rFonts w:ascii="Times New Roman" w:hAnsi="Times New Roman" w:hint="eastAsia"/>
          <w:sz w:val="24"/>
        </w:rPr>
        <w:t>无论侧袋账户</w:t>
      </w:r>
      <w:proofErr w:type="gramEnd"/>
      <w:r>
        <w:rPr>
          <w:rFonts w:ascii="Times New Roman" w:hAnsi="Times New Roman" w:hint="eastAsia"/>
          <w:sz w:val="24"/>
        </w:rPr>
        <w:t>资产是否全部完成变现，基金管理人都应当及时</w:t>
      </w:r>
      <w:proofErr w:type="gramStart"/>
      <w:r>
        <w:rPr>
          <w:rFonts w:ascii="Times New Roman" w:hAnsi="Times New Roman" w:hint="eastAsia"/>
          <w:sz w:val="24"/>
        </w:rPr>
        <w:t>向侧袋账户</w:t>
      </w:r>
      <w:proofErr w:type="gramEnd"/>
      <w:r>
        <w:rPr>
          <w:rFonts w:ascii="Times New Roman" w:hAnsi="Times New Roman" w:hint="eastAsia"/>
          <w:sz w:val="24"/>
        </w:rPr>
        <w:t>全部份额持有人支付已变现部分对应的款项。</w:t>
      </w:r>
      <w:proofErr w:type="gramStart"/>
      <w:r>
        <w:rPr>
          <w:rFonts w:ascii="Times New Roman" w:hAnsi="Times New Roman" w:hint="eastAsia"/>
          <w:sz w:val="24"/>
        </w:rPr>
        <w:t>若侧袋</w:t>
      </w:r>
      <w:proofErr w:type="gramEnd"/>
      <w:r>
        <w:rPr>
          <w:rFonts w:ascii="Times New Roman" w:hAnsi="Times New Roman" w:hint="eastAsia"/>
          <w:sz w:val="24"/>
        </w:rPr>
        <w:t>账户资产无法一次性完成处置变现，基金管理人在每次处置变现后均应按照相关法律法规要求及时发布临时公告。</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侧袋账户</w:t>
      </w:r>
      <w:proofErr w:type="gramEnd"/>
      <w:r>
        <w:rPr>
          <w:rFonts w:ascii="Times New Roman" w:hAnsi="Times New Roman" w:hint="eastAsia"/>
          <w:sz w:val="24"/>
        </w:rPr>
        <w:t>资产全部完成变现并终止</w:t>
      </w:r>
      <w:proofErr w:type="gramStart"/>
      <w:r>
        <w:rPr>
          <w:rFonts w:ascii="Times New Roman" w:hAnsi="Times New Roman" w:hint="eastAsia"/>
          <w:sz w:val="24"/>
        </w:rPr>
        <w:t>侧袋机制</w:t>
      </w:r>
      <w:proofErr w:type="gramEnd"/>
      <w:r>
        <w:rPr>
          <w:rFonts w:ascii="Times New Roman" w:hAnsi="Times New Roman" w:hint="eastAsia"/>
          <w:sz w:val="24"/>
        </w:rPr>
        <w:t>后，基金管理人应及时聘请符合《中华人民共和国证券法》规定的会计师事务所进行审计并披露专项审计意见。</w:t>
      </w:r>
    </w:p>
    <w:p w:rsidR="009A4701" w:rsidRDefault="00677B65">
      <w:pPr>
        <w:adjustRightInd w:val="0"/>
        <w:snapToGrid w:val="0"/>
        <w:spacing w:line="360" w:lineRule="auto"/>
        <w:ind w:firstLineChars="200" w:firstLine="482"/>
        <w:outlineLvl w:val="1"/>
        <w:rPr>
          <w:rFonts w:ascii="Times New Roman" w:hAnsi="Times New Roman"/>
          <w:b/>
          <w:sz w:val="24"/>
        </w:rPr>
      </w:pPr>
      <w:r>
        <w:rPr>
          <w:rFonts w:ascii="Times New Roman" w:hAnsi="Times New Roman" w:hint="eastAsia"/>
          <w:b/>
          <w:sz w:val="24"/>
        </w:rPr>
        <w:t>（七）</w:t>
      </w:r>
      <w:proofErr w:type="gramStart"/>
      <w:r>
        <w:rPr>
          <w:rFonts w:ascii="Times New Roman" w:hAnsi="Times New Roman" w:hint="eastAsia"/>
          <w:b/>
          <w:sz w:val="24"/>
        </w:rPr>
        <w:t>侧袋机制</w:t>
      </w:r>
      <w:proofErr w:type="gramEnd"/>
      <w:r>
        <w:rPr>
          <w:rFonts w:ascii="Times New Roman" w:hAnsi="Times New Roman" w:hint="eastAsia"/>
          <w:b/>
          <w:sz w:val="24"/>
        </w:rPr>
        <w:t>的信息披露</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1</w:t>
      </w:r>
      <w:r>
        <w:rPr>
          <w:rFonts w:ascii="Times New Roman" w:hAnsi="Times New Roman" w:hint="eastAsia"/>
          <w:sz w:val="24"/>
        </w:rPr>
        <w:t>、临时公告</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在</w:t>
      </w:r>
      <w:proofErr w:type="gramStart"/>
      <w:r>
        <w:rPr>
          <w:rFonts w:ascii="Times New Roman" w:hAnsi="Times New Roman" w:hint="eastAsia"/>
          <w:sz w:val="24"/>
        </w:rPr>
        <w:t>启用侧袋机制</w:t>
      </w:r>
      <w:proofErr w:type="gramEnd"/>
      <w:r>
        <w:rPr>
          <w:rFonts w:ascii="Times New Roman" w:hAnsi="Times New Roman" w:hint="eastAsia"/>
          <w:sz w:val="24"/>
        </w:rPr>
        <w:t>、处置特定资产、终止</w:t>
      </w:r>
      <w:proofErr w:type="gramStart"/>
      <w:r>
        <w:rPr>
          <w:rFonts w:ascii="Times New Roman" w:hAnsi="Times New Roman" w:hint="eastAsia"/>
          <w:sz w:val="24"/>
        </w:rPr>
        <w:t>侧袋机制</w:t>
      </w:r>
      <w:proofErr w:type="gramEnd"/>
      <w:r>
        <w:rPr>
          <w:rFonts w:ascii="Times New Roman" w:hAnsi="Times New Roman" w:hint="eastAsia"/>
          <w:sz w:val="24"/>
        </w:rPr>
        <w:t>以及发生其他可能对投资者利益产生重大影响的事项后基金管理人应及时发布临时公告。</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2</w:t>
      </w:r>
      <w:r>
        <w:rPr>
          <w:rFonts w:ascii="Times New Roman" w:hAnsi="Times New Roman" w:hint="eastAsia"/>
          <w:sz w:val="24"/>
        </w:rPr>
        <w:t>、基金净值信息</w:t>
      </w:r>
    </w:p>
    <w:p w:rsidR="009A4701" w:rsidRDefault="00677B65">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基金管理人应按照招募说明书“基金的信息披露”部分规定的基金净值信息披露方式和频率</w:t>
      </w:r>
      <w:proofErr w:type="gramStart"/>
      <w:r>
        <w:rPr>
          <w:rFonts w:ascii="Times New Roman" w:hAnsi="Times New Roman" w:hint="eastAsia"/>
          <w:sz w:val="24"/>
        </w:rPr>
        <w:t>披露主袋账户</w:t>
      </w:r>
      <w:proofErr w:type="gramEnd"/>
      <w:r>
        <w:rPr>
          <w:rFonts w:ascii="Times New Roman" w:hAnsi="Times New Roman" w:hint="eastAsia"/>
          <w:sz w:val="24"/>
        </w:rPr>
        <w:t>份额的基金净值信息。实施</w:t>
      </w:r>
      <w:proofErr w:type="gramStart"/>
      <w:r>
        <w:rPr>
          <w:rFonts w:ascii="Times New Roman" w:hAnsi="Times New Roman" w:hint="eastAsia"/>
          <w:sz w:val="24"/>
        </w:rPr>
        <w:t>侧袋机制</w:t>
      </w:r>
      <w:proofErr w:type="gramEnd"/>
      <w:r>
        <w:rPr>
          <w:rFonts w:ascii="Times New Roman" w:hAnsi="Times New Roman" w:hint="eastAsia"/>
          <w:sz w:val="24"/>
        </w:rPr>
        <w:t>期间本基金暂停</w:t>
      </w:r>
      <w:proofErr w:type="gramStart"/>
      <w:r>
        <w:rPr>
          <w:rFonts w:ascii="Times New Roman" w:hAnsi="Times New Roman" w:hint="eastAsia"/>
          <w:sz w:val="24"/>
        </w:rPr>
        <w:t>披露侧袋账户</w:t>
      </w:r>
      <w:proofErr w:type="gramEnd"/>
      <w:r>
        <w:rPr>
          <w:rFonts w:ascii="Times New Roman" w:hAnsi="Times New Roman" w:hint="eastAsia"/>
          <w:sz w:val="24"/>
        </w:rPr>
        <w:t>份额净值和累计净值。</w:t>
      </w:r>
    </w:p>
    <w:p w:rsidR="009A4701" w:rsidRDefault="00677B65">
      <w:pPr>
        <w:adjustRightInd w:val="0"/>
        <w:snapToGrid w:val="0"/>
        <w:spacing w:line="360" w:lineRule="auto"/>
        <w:ind w:firstLineChars="200" w:firstLine="480"/>
        <w:outlineLvl w:val="2"/>
        <w:rPr>
          <w:rFonts w:ascii="Times New Roman" w:hAnsi="Times New Roman"/>
          <w:sz w:val="24"/>
        </w:rPr>
      </w:pPr>
      <w:r>
        <w:rPr>
          <w:rFonts w:ascii="Times New Roman" w:hAnsi="Times New Roman"/>
          <w:sz w:val="24"/>
        </w:rPr>
        <w:t>3</w:t>
      </w:r>
      <w:r>
        <w:rPr>
          <w:rFonts w:ascii="Times New Roman" w:hAnsi="Times New Roman" w:hint="eastAsia"/>
          <w:sz w:val="24"/>
        </w:rPr>
        <w:t>、定期报告</w:t>
      </w:r>
    </w:p>
    <w:p w:rsidR="009A4701" w:rsidRDefault="00677B65">
      <w:pPr>
        <w:adjustRightInd w:val="0"/>
        <w:snapToGrid w:val="0"/>
        <w:spacing w:line="360" w:lineRule="auto"/>
        <w:ind w:firstLineChars="200" w:firstLine="480"/>
        <w:rPr>
          <w:rFonts w:ascii="Times New Roman" w:hAnsi="Times New Roman"/>
          <w:sz w:val="24"/>
        </w:rPr>
      </w:pPr>
      <w:proofErr w:type="gramStart"/>
      <w:r>
        <w:rPr>
          <w:rFonts w:ascii="Times New Roman" w:hAnsi="Times New Roman" w:hint="eastAsia"/>
          <w:sz w:val="24"/>
        </w:rPr>
        <w:t>侧袋机制</w:t>
      </w:r>
      <w:proofErr w:type="gramEnd"/>
      <w:r>
        <w:rPr>
          <w:rFonts w:ascii="Times New Roman" w:hAnsi="Times New Roman" w:hint="eastAsia"/>
          <w:sz w:val="24"/>
        </w:rPr>
        <w:t>实施期间，基金管理人应当在基金定期报告中披露报告期</w:t>
      </w:r>
      <w:proofErr w:type="gramStart"/>
      <w:r>
        <w:rPr>
          <w:rFonts w:ascii="Times New Roman" w:hAnsi="Times New Roman" w:hint="eastAsia"/>
          <w:sz w:val="24"/>
        </w:rPr>
        <w:t>内侧袋</w:t>
      </w:r>
      <w:proofErr w:type="gramEnd"/>
      <w:r>
        <w:rPr>
          <w:rFonts w:ascii="Times New Roman" w:hAnsi="Times New Roman" w:hint="eastAsia"/>
          <w:sz w:val="24"/>
        </w:rPr>
        <w:t>账户相关信息，基金定期报告中的基金会计报表仅需</w:t>
      </w:r>
      <w:proofErr w:type="gramStart"/>
      <w:r>
        <w:rPr>
          <w:rFonts w:ascii="Times New Roman" w:hAnsi="Times New Roman" w:hint="eastAsia"/>
          <w:sz w:val="24"/>
        </w:rPr>
        <w:t>针对主袋账户</w:t>
      </w:r>
      <w:proofErr w:type="gramEnd"/>
      <w:r>
        <w:rPr>
          <w:rFonts w:ascii="Times New Roman" w:hAnsi="Times New Roman" w:hint="eastAsia"/>
          <w:sz w:val="24"/>
        </w:rPr>
        <w:t>进行编制。</w:t>
      </w:r>
      <w:bookmarkStart w:id="38" w:name="_Hlk45747214"/>
      <w:r>
        <w:rPr>
          <w:rFonts w:ascii="Times New Roman" w:hAnsi="Times New Roman" w:hint="eastAsia"/>
          <w:sz w:val="24"/>
        </w:rPr>
        <w:t>会计师事务所对基金年度报告进行审计时，应对报告期内基金</w:t>
      </w:r>
      <w:proofErr w:type="gramStart"/>
      <w:r>
        <w:rPr>
          <w:rFonts w:ascii="Times New Roman" w:hAnsi="Times New Roman" w:hint="eastAsia"/>
          <w:sz w:val="24"/>
        </w:rPr>
        <w:t>侧袋机制</w:t>
      </w:r>
      <w:proofErr w:type="gramEnd"/>
      <w:r>
        <w:rPr>
          <w:rFonts w:ascii="Times New Roman" w:hAnsi="Times New Roman" w:hint="eastAsia"/>
          <w:sz w:val="24"/>
        </w:rPr>
        <w:t>运行相关的会计核算和年度报告披露等发表审计意见。</w:t>
      </w:r>
      <w:bookmarkEnd w:id="38"/>
    </w:p>
    <w:p w:rsidR="009A4701" w:rsidRDefault="00677B65">
      <w:pPr>
        <w:pStyle w:val="1"/>
        <w:snapToGrid w:val="0"/>
        <w:spacing w:beforeLines="0" w:before="240" w:after="240"/>
        <w:rPr>
          <w:rFonts w:ascii="Times New Roman" w:hAnsi="Times New Roman"/>
          <w:szCs w:val="30"/>
        </w:rPr>
      </w:pPr>
      <w:bookmarkStart w:id="39" w:name="_Toc147840635"/>
      <w:r>
        <w:rPr>
          <w:rFonts w:ascii="Times New Roman" w:hAnsi="Times New Roman"/>
          <w:sz w:val="30"/>
        </w:rPr>
        <w:lastRenderedPageBreak/>
        <w:t>十</w:t>
      </w:r>
      <w:r>
        <w:rPr>
          <w:rFonts w:ascii="Times New Roman" w:hAnsi="Times New Roman" w:hint="eastAsia"/>
          <w:sz w:val="30"/>
        </w:rPr>
        <w:t>七</w:t>
      </w:r>
      <w:r>
        <w:rPr>
          <w:rFonts w:ascii="Times New Roman" w:hAnsi="Times New Roman"/>
          <w:sz w:val="30"/>
        </w:rPr>
        <w:t>、风险揭示</w:t>
      </w:r>
      <w:bookmarkEnd w:id="39"/>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证券投资基金（以下简称</w:t>
      </w:r>
      <w:r>
        <w:rPr>
          <w:rFonts w:ascii="Times New Roman" w:hAnsi="Times New Roman"/>
          <w:sz w:val="24"/>
        </w:rPr>
        <w:t>“</w:t>
      </w:r>
      <w:r>
        <w:rPr>
          <w:rFonts w:ascii="Times New Roman" w:hAnsi="Times New Roman"/>
          <w:sz w:val="24"/>
        </w:rPr>
        <w:t>基金</w:t>
      </w:r>
      <w:r>
        <w:rPr>
          <w:rFonts w:ascii="Times New Roman" w:hAnsi="Times New Roman"/>
          <w:sz w:val="24"/>
        </w:rPr>
        <w:t>”</w:t>
      </w:r>
      <w:r>
        <w:rPr>
          <w:rFonts w:ascii="Times New Roman" w:hAnsi="Times New Roman"/>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基金在投资运作过程中可能面临各种风险，既包括市场风险，也包括基金自身的管理风险、技术风险和合</w:t>
      </w:r>
      <w:proofErr w:type="gramStart"/>
      <w:r>
        <w:rPr>
          <w:rFonts w:ascii="Times New Roman" w:hAnsi="Times New Roman"/>
          <w:sz w:val="24"/>
        </w:rPr>
        <w:t>规</w:t>
      </w:r>
      <w:proofErr w:type="gramEnd"/>
      <w:r>
        <w:rPr>
          <w:rFonts w:ascii="Times New Roman" w:hAnsi="Times New Roman"/>
          <w:sz w:val="24"/>
        </w:rPr>
        <w:t>风险等。巨额赎回风险是开放式基金所特有的一种风险，即当单个开放日基金的净赎回申请（赎回申请份额总数加上基金转换中转出申请份额总数</w:t>
      </w:r>
      <w:r>
        <w:rPr>
          <w:rFonts w:ascii="Times New Roman" w:hAnsi="Times New Roman" w:hint="eastAsia"/>
          <w:sz w:val="24"/>
        </w:rPr>
        <w:t>后</w:t>
      </w:r>
      <w:r>
        <w:rPr>
          <w:rFonts w:ascii="Times New Roman" w:hAnsi="Times New Roman"/>
          <w:sz w:val="24"/>
        </w:rPr>
        <w:t>扣除申购申请份额总数及基金转换中转入申请份额总数后的余额）超过上一开放日基金总份额的百分之十时，投资人将可能无法及时赎回持有的全部基金份额。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投资人应当认真阅读《基金合同》、《招募说明书》、基金产品资料概要等基金法律文件，了解基金的风险收益特征，并根据自身的投资目的、投资期限、投资经验、资产状况</w:t>
      </w:r>
      <w:proofErr w:type="gramStart"/>
      <w:r>
        <w:rPr>
          <w:rFonts w:ascii="Times New Roman" w:hAnsi="Times New Roman"/>
          <w:sz w:val="24"/>
        </w:rPr>
        <w:t>等判断</w:t>
      </w:r>
      <w:proofErr w:type="gramEnd"/>
      <w:r>
        <w:rPr>
          <w:rFonts w:ascii="Times New Roman" w:hAnsi="Times New Roman"/>
          <w:sz w:val="24"/>
        </w:rPr>
        <w:t>基金是否和投资人的风险承受能力相适应。</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因拆分、分红等行为导致基金份额净值变化，不会改变基金的风险收益特征，不会降低基金投资风险或提高基金投资收益。以</w:t>
      </w:r>
      <w:r>
        <w:rPr>
          <w:rFonts w:ascii="Times New Roman" w:hAnsi="Times New Roman"/>
          <w:sz w:val="24"/>
        </w:rPr>
        <w:t>1</w:t>
      </w:r>
      <w:r>
        <w:rPr>
          <w:rFonts w:ascii="Times New Roman" w:hAnsi="Times New Roman"/>
          <w:sz w:val="24"/>
        </w:rPr>
        <w:t>元初始面值开展基金募集或因拆分、分红等行为导致基金份额净值调整至</w:t>
      </w:r>
      <w:r>
        <w:rPr>
          <w:rFonts w:ascii="Times New Roman" w:hAnsi="Times New Roman"/>
          <w:sz w:val="24"/>
        </w:rPr>
        <w:t>1</w:t>
      </w:r>
      <w:r>
        <w:rPr>
          <w:rFonts w:ascii="Times New Roman" w:hAnsi="Times New Roman"/>
          <w:sz w:val="24"/>
        </w:rPr>
        <w:t>元初始面值或</w:t>
      </w:r>
      <w:r>
        <w:rPr>
          <w:rFonts w:ascii="Times New Roman" w:hAnsi="Times New Roman"/>
          <w:sz w:val="24"/>
        </w:rPr>
        <w:t>1</w:t>
      </w:r>
      <w:r>
        <w:rPr>
          <w:rFonts w:ascii="Times New Roman" w:hAnsi="Times New Roman"/>
          <w:sz w:val="24"/>
        </w:rPr>
        <w:t>元附近，在市场波动等因素的影响下，基金投资仍有可能出现亏损或基金净值仍有可能低于初始面值。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基金管理人承诺以诚实信用、</w:t>
      </w:r>
      <w:r>
        <w:rPr>
          <w:rFonts w:ascii="Times New Roman" w:hAnsi="Times New Roman" w:hint="eastAsia"/>
          <w:sz w:val="24"/>
        </w:rPr>
        <w:t>谨慎</w:t>
      </w:r>
      <w:r>
        <w:rPr>
          <w:rFonts w:ascii="Times New Roman" w:hAnsi="Times New Roman"/>
          <w:sz w:val="24"/>
        </w:rPr>
        <w:t>勤勉的原则管理和运用基金资产，但不保证投资于本基金一定盈利，也不保证最低收益。基金管理人管理的其他基金的业绩不构成对本基金业绩表现的保证。基金管理人提醒投资人基金投资的</w:t>
      </w:r>
      <w:r>
        <w:rPr>
          <w:rFonts w:ascii="Times New Roman" w:hAnsi="Times New Roman"/>
          <w:sz w:val="24"/>
        </w:rPr>
        <w:t>“</w:t>
      </w:r>
      <w:r>
        <w:rPr>
          <w:rFonts w:ascii="Times New Roman" w:hAnsi="Times New Roman"/>
          <w:sz w:val="24"/>
        </w:rPr>
        <w:t>买者自负</w:t>
      </w:r>
      <w:r>
        <w:rPr>
          <w:rFonts w:ascii="Times New Roman" w:hAnsi="Times New Roman"/>
          <w:sz w:val="24"/>
        </w:rPr>
        <w:t>”</w:t>
      </w:r>
      <w:r>
        <w:rPr>
          <w:rFonts w:ascii="Times New Roman" w:hAnsi="Times New Roman"/>
          <w:sz w:val="24"/>
        </w:rPr>
        <w:t>原则，在做出投资决策后，基金运营状况与基金净值变化引致的投资风险，由投资人</w:t>
      </w:r>
      <w:r>
        <w:rPr>
          <w:rFonts w:ascii="Times New Roman" w:hAnsi="Times New Roman"/>
          <w:sz w:val="24"/>
        </w:rPr>
        <w:lastRenderedPageBreak/>
        <w:t>自行负担。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基金份额持有人须了解并承受以下风险：</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（一）市场风险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证券市场价格因受到经济因素、政治因素、投资心理和交易制度等各种因素的影响而引起的波动，将对基金收益水平产生潜在风险，主要包括：</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、政策风险。因国家宏观政策（如货币政策、财政政策、行业政策、地区发展政策等）和证券市场监管政策发生变化，导致市场价格波动而产生风险。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、经济周期风险。证券市场受宏观经济运行的影响，而经济运行具有周期性的特点，宏观经济运行状况将对证券市场的收益水平产生影响，从而对基金收益造成影响。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、购买力风险。基金投资的目的是基金资产的保值增值，如果发生通货膨胀，基金投资于证券所获得的收益可能会被通货膨胀抵消，从而使基金的实际收益下降，影响基金资产的保值增值。</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（二）管理风险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（三）流动性风险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w:t>
      </w:r>
      <w:r>
        <w:rPr>
          <w:rFonts w:ascii="Times New Roman" w:hAnsi="Times New Roman"/>
          <w:sz w:val="24"/>
        </w:rPr>
        <w:lastRenderedPageBreak/>
        <w:t>资产变现能力差，可能会产生基金</w:t>
      </w:r>
      <w:proofErr w:type="gramStart"/>
      <w:r>
        <w:rPr>
          <w:rFonts w:ascii="Times New Roman" w:hAnsi="Times New Roman"/>
          <w:sz w:val="24"/>
        </w:rPr>
        <w:t>仓位</w:t>
      </w:r>
      <w:proofErr w:type="gramEnd"/>
      <w:r>
        <w:rPr>
          <w:rFonts w:ascii="Times New Roman" w:hAnsi="Times New Roman"/>
          <w:sz w:val="24"/>
        </w:rPr>
        <w:t>调整的困难，导致流动性风险，可能影响基金份额净值。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、本基金的申购、赎回安排</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本基金采用开放方式运作，基金管理人在开放日办理基金份额的申购和赎回，具体办理时间为上海证券交易所、深圳证券交易所的正常交易日的交易时间</w:t>
      </w:r>
      <w:r>
        <w:rPr>
          <w:rFonts w:ascii="Times New Roman" w:hAnsi="Times New Roman" w:hint="eastAsia"/>
          <w:sz w:val="24"/>
        </w:rPr>
        <w:t>（若该工作日为非港股</w:t>
      </w:r>
      <w:proofErr w:type="gramStart"/>
      <w:r>
        <w:rPr>
          <w:rFonts w:ascii="Times New Roman" w:hAnsi="Times New Roman" w:hint="eastAsia"/>
          <w:sz w:val="24"/>
        </w:rPr>
        <w:t>通交易</w:t>
      </w:r>
      <w:proofErr w:type="gramEnd"/>
      <w:r>
        <w:rPr>
          <w:rFonts w:ascii="Times New Roman" w:hAnsi="Times New Roman" w:hint="eastAsia"/>
          <w:sz w:val="24"/>
        </w:rPr>
        <w:t>日，则本基金不开放）</w:t>
      </w:r>
      <w:r>
        <w:rPr>
          <w:rFonts w:ascii="Times New Roman" w:hAnsi="Times New Roman"/>
          <w:sz w:val="24"/>
        </w:rPr>
        <w:t>，但基金管理人根据法律法规、中国证监会的要求或基金合同的规定公告暂停申购、赎回时除外。基金管理人</w:t>
      </w:r>
      <w:r>
        <w:rPr>
          <w:rFonts w:ascii="Times New Roman" w:hAnsi="Times New Roman" w:hint="eastAsia"/>
          <w:bCs/>
          <w:sz w:val="24"/>
        </w:rPr>
        <w:t>可根据实际情况依法决定本基金开始办理申购的具体日期，具体业务办理时间在申购开始公告中规定。基金管理人</w:t>
      </w:r>
      <w:r>
        <w:rPr>
          <w:rFonts w:ascii="Times New Roman" w:hAnsi="Times New Roman"/>
          <w:sz w:val="24"/>
        </w:rPr>
        <w:t>自基金合同生效之日起不超过</w:t>
      </w:r>
      <w:r>
        <w:rPr>
          <w:rFonts w:ascii="Times New Roman" w:hAnsi="Times New Roman"/>
          <w:sz w:val="24"/>
        </w:rPr>
        <w:t>3</w:t>
      </w:r>
      <w:r>
        <w:rPr>
          <w:rFonts w:ascii="Times New Roman" w:hAnsi="Times New Roman"/>
          <w:sz w:val="24"/>
        </w:rPr>
        <w:t>个月开始办理赎回业务，具体业务办理时间在赎回开始公告中规定。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、投资市场、行业及资产的流动性风险评估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本基金的投资市场主要为证券交易所、全国银行间债券市场等流动性较好的规范型交易场所，主要投资对象为具有良好流动性的金融工具，同时本基金基于分散投资的原则在行业和个</w:t>
      </w:r>
      <w:proofErr w:type="gramStart"/>
      <w:r>
        <w:rPr>
          <w:rFonts w:ascii="Times New Roman" w:hAnsi="Times New Roman"/>
          <w:sz w:val="24"/>
        </w:rPr>
        <w:t>券</w:t>
      </w:r>
      <w:proofErr w:type="gramEnd"/>
      <w:r>
        <w:rPr>
          <w:rFonts w:ascii="Times New Roman" w:hAnsi="Times New Roman"/>
          <w:sz w:val="24"/>
        </w:rPr>
        <w:t>方面未有高集中度的特征，综合评估在正常市场环境下本基金的流动性风险适中。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、巨额赎回情形下的流动性风险管理措施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ascii="Times New Roman" w:hAnsi="Times New Roman"/>
          <w:sz w:val="24"/>
        </w:rPr>
        <w:t>，即认为是发生了巨额赎回。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当基金出现巨额赎回时，基金管理人可以根据基金当时的资产组合状况决定全额赎回或部分延期赎回。</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）全额赎回：当基金管理人认为有能力支付投资人的全部赎回申请时，按正常赎回程序执行。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w:t>
      </w:r>
      <w:r>
        <w:rPr>
          <w:rFonts w:ascii="Times New Roman" w:hAnsi="Times New Roman"/>
          <w:sz w:val="24"/>
        </w:rPr>
        <w:lastRenderedPageBreak/>
        <w:t>赎回申请将被撤销。延期的赎回申请与下一开放日赎回申请一并处理，无优先权</w:t>
      </w:r>
      <w:proofErr w:type="gramStart"/>
      <w:r>
        <w:rPr>
          <w:rFonts w:ascii="Times New Roman" w:hAnsi="Times New Roman"/>
          <w:sz w:val="24"/>
        </w:rPr>
        <w:t>并以下</w:t>
      </w:r>
      <w:proofErr w:type="gramEnd"/>
      <w:r>
        <w:rPr>
          <w:rFonts w:ascii="Times New Roman" w:hAnsi="Times New Roman"/>
          <w:sz w:val="24"/>
        </w:rPr>
        <w:t>一开放日</w:t>
      </w:r>
      <w:r>
        <w:rPr>
          <w:rFonts w:ascii="Times New Roman" w:hAnsi="Times New Roman" w:hint="eastAsia"/>
          <w:sz w:val="24"/>
        </w:rPr>
        <w:t>该类基金份额的</w:t>
      </w:r>
      <w:r>
        <w:rPr>
          <w:rFonts w:ascii="Times New Roman" w:hAnsi="Times New Roman"/>
          <w:sz w:val="24"/>
        </w:rPr>
        <w:t>基金份额净值为基础计算赎回金额，以此类推，直到全部赎回为止。如投资人在提交赎回申请时未作明确选择，投资人未能赎回部分作自动延期赎回处理。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）本基金如发生巨额赎回且单个开放日内单个基金份额持有人申请赎回的基金份额超过前一开放日的基金总份额的</w:t>
      </w:r>
      <w:r>
        <w:rPr>
          <w:rFonts w:ascii="Times New Roman" w:hAnsi="Times New Roman"/>
          <w:sz w:val="24"/>
        </w:rPr>
        <w:t>20%</w:t>
      </w:r>
      <w:r>
        <w:rPr>
          <w:rFonts w:ascii="Times New Roman" w:hAnsi="Times New Roman"/>
          <w:sz w:val="24"/>
        </w:rPr>
        <w:t>时，本基金管理人有权采取如下措施：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对于基金份额持有人当日超过</w:t>
      </w:r>
      <w:r>
        <w:rPr>
          <w:rFonts w:ascii="Times New Roman" w:hAnsi="Times New Roman"/>
          <w:sz w:val="24"/>
        </w:rPr>
        <w:t>20%</w:t>
      </w:r>
      <w:r>
        <w:rPr>
          <w:rFonts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imes New Roman" w:hAnsi="Times New Roman"/>
          <w:sz w:val="24"/>
        </w:rPr>
        <w:t>并以下</w:t>
      </w:r>
      <w:proofErr w:type="gramEnd"/>
      <w:r>
        <w:rPr>
          <w:rFonts w:ascii="Times New Roman" w:hAnsi="Times New Roman"/>
          <w:sz w:val="24"/>
        </w:rPr>
        <w:t>一开放日</w:t>
      </w:r>
      <w:r>
        <w:rPr>
          <w:rFonts w:ascii="Times New Roman" w:hAnsi="Times New Roman" w:hint="eastAsia"/>
          <w:bCs/>
          <w:sz w:val="24"/>
        </w:rPr>
        <w:t>该类基金份额</w:t>
      </w:r>
      <w:r>
        <w:rPr>
          <w:rFonts w:ascii="Times New Roman" w:hAnsi="Times New Roman"/>
          <w:sz w:val="24"/>
        </w:rPr>
        <w:t>的基金份额净值为基础计算赎回金额，以此类推，直到全部赎回为止。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对于基金份额持有人未超过上述比例的部分，基金管理人可以根据</w:t>
      </w:r>
      <w:r>
        <w:rPr>
          <w:rFonts w:ascii="Times New Roman" w:hAnsi="Times New Roman" w:hint="eastAsia"/>
          <w:sz w:val="24"/>
        </w:rPr>
        <w:t>前述</w:t>
      </w:r>
      <w:r>
        <w:rPr>
          <w:rFonts w:ascii="Times New Roman" w:hAnsi="Times New Roman"/>
          <w:sz w:val="24"/>
        </w:rPr>
        <w:t>“</w:t>
      </w:r>
      <w:r>
        <w:rPr>
          <w:rFonts w:ascii="Times New Roman" w:hAnsi="Times New Roman"/>
          <w:sz w:val="24"/>
        </w:rPr>
        <w:t>（</w:t>
      </w:r>
      <w:r>
        <w:rPr>
          <w:rFonts w:ascii="Times New Roman" w:hAnsi="Times New Roman"/>
          <w:sz w:val="24"/>
        </w:rPr>
        <w:t>1</w:t>
      </w:r>
      <w:r>
        <w:rPr>
          <w:rFonts w:ascii="Times New Roman" w:hAnsi="Times New Roman"/>
          <w:sz w:val="24"/>
        </w:rPr>
        <w:t>）全额赎回</w:t>
      </w:r>
      <w:r>
        <w:rPr>
          <w:rFonts w:ascii="Times New Roman" w:hAnsi="Times New Roman"/>
          <w:sz w:val="24"/>
        </w:rPr>
        <w:t>”</w:t>
      </w:r>
      <w:r>
        <w:rPr>
          <w:rFonts w:ascii="Times New Roman" w:hAnsi="Times New Roman"/>
          <w:sz w:val="24"/>
        </w:rPr>
        <w:t>或</w:t>
      </w:r>
      <w:r>
        <w:rPr>
          <w:rFonts w:ascii="Times New Roman" w:hAnsi="Times New Roman"/>
          <w:sz w:val="24"/>
        </w:rPr>
        <w:t>“</w:t>
      </w:r>
      <w:r>
        <w:rPr>
          <w:rFonts w:ascii="Times New Roman" w:hAnsi="Times New Roman"/>
          <w:sz w:val="24"/>
        </w:rPr>
        <w:t>（</w:t>
      </w:r>
      <w:r>
        <w:rPr>
          <w:rFonts w:ascii="Times New Roman" w:hAnsi="Times New Roman"/>
          <w:sz w:val="24"/>
        </w:rPr>
        <w:t>2</w:t>
      </w:r>
      <w:r>
        <w:rPr>
          <w:rFonts w:ascii="Times New Roman" w:hAnsi="Times New Roman"/>
          <w:sz w:val="24"/>
        </w:rPr>
        <w:t>）部分延期赎回</w:t>
      </w:r>
      <w:r>
        <w:rPr>
          <w:rFonts w:ascii="Times New Roman" w:hAnsi="Times New Roman"/>
          <w:sz w:val="24"/>
        </w:rPr>
        <w:t>”</w:t>
      </w:r>
      <w:r>
        <w:rPr>
          <w:rFonts w:ascii="Times New Roman" w:hAnsi="Times New Roman"/>
          <w:sz w:val="24"/>
        </w:rPr>
        <w:t>的约定方式与其他基金份额持有人的赎回申请一并办理。但是，如基金份额持有人在当日选择取消赎回，则其当日未获受理的部分赎回申请将被撤销。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）暂停赎回：连续</w:t>
      </w:r>
      <w:r>
        <w:rPr>
          <w:rFonts w:ascii="Times New Roman" w:hAnsi="Times New Roman"/>
          <w:sz w:val="24"/>
        </w:rPr>
        <w:t>2</w:t>
      </w:r>
      <w:r>
        <w:rPr>
          <w:rFonts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ascii="Times New Roman" w:hAnsi="Times New Roman"/>
          <w:sz w:val="24"/>
        </w:rPr>
        <w:t>个工作日，并应当在规定媒介上进行公告。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、实施备用的流动性风险管理工具的情形、程序及对投资者的潜在影响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本基金在面临大规模赎回的情况下有可能因为无法变现造成流动性风险。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w:t>
      </w:r>
      <w:proofErr w:type="gramStart"/>
      <w:r>
        <w:rPr>
          <w:rFonts w:ascii="Times New Roman" w:hAnsi="Times New Roman" w:hint="eastAsia"/>
          <w:sz w:val="24"/>
        </w:rPr>
        <w:t>侧袋机制</w:t>
      </w:r>
      <w:proofErr w:type="gramEnd"/>
      <w:r>
        <w:rPr>
          <w:rFonts w:ascii="Times New Roman" w:hAnsi="Times New Roman" w:hint="eastAsia"/>
          <w:sz w:val="24"/>
        </w:rPr>
        <w:t>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侧袋机制</w:t>
      </w:r>
      <w:proofErr w:type="gramEnd"/>
      <w:r>
        <w:rPr>
          <w:rFonts w:ascii="Times New Roman" w:hAnsi="Times New Roman" w:hint="eastAsia"/>
          <w:sz w:val="24"/>
        </w:rPr>
        <w:t>是一种流动性风险管理工具，是将特定资产分离</w:t>
      </w:r>
      <w:proofErr w:type="gramStart"/>
      <w:r>
        <w:rPr>
          <w:rFonts w:ascii="Times New Roman" w:hAnsi="Times New Roman" w:hint="eastAsia"/>
          <w:sz w:val="24"/>
        </w:rPr>
        <w:t>至专门的侧袋</w:t>
      </w:r>
      <w:proofErr w:type="gramEnd"/>
      <w:r>
        <w:rPr>
          <w:rFonts w:ascii="Times New Roman" w:hAnsi="Times New Roman" w:hint="eastAsia"/>
          <w:sz w:val="24"/>
        </w:rPr>
        <w:t>账户进</w:t>
      </w:r>
      <w:r>
        <w:rPr>
          <w:rFonts w:ascii="Times New Roman" w:hAnsi="Times New Roman" w:hint="eastAsia"/>
          <w:sz w:val="24"/>
        </w:rPr>
        <w:lastRenderedPageBreak/>
        <w:t>行处置清算，并以处置变现后的款项向基金份额持有人进行支付，目的在于有效隔离并化解风险。但基金启用</w:t>
      </w:r>
      <w:proofErr w:type="gramStart"/>
      <w:r>
        <w:rPr>
          <w:rFonts w:ascii="Times New Roman" w:hAnsi="Times New Roman" w:hint="eastAsia"/>
          <w:sz w:val="24"/>
        </w:rPr>
        <w:t>侧袋机制</w:t>
      </w:r>
      <w:proofErr w:type="gramEnd"/>
      <w:r>
        <w:rPr>
          <w:rFonts w:ascii="Times New Roman" w:hAnsi="Times New Roman" w:hint="eastAsia"/>
          <w:sz w:val="24"/>
        </w:rPr>
        <w:t>后，</w:t>
      </w:r>
      <w:proofErr w:type="gramStart"/>
      <w:r>
        <w:rPr>
          <w:rFonts w:ascii="Times New Roman" w:hAnsi="Times New Roman" w:hint="eastAsia"/>
          <w:sz w:val="24"/>
        </w:rPr>
        <w:t>侧袋账户</w:t>
      </w:r>
      <w:proofErr w:type="gramEnd"/>
      <w:r>
        <w:rPr>
          <w:rFonts w:ascii="Times New Roman" w:hAnsi="Times New Roman" w:hint="eastAsia"/>
          <w:sz w:val="24"/>
        </w:rPr>
        <w:t>份额将停止披露基金份额净值，并不得办理申购、赎回和转换，因此启用</w:t>
      </w:r>
      <w:proofErr w:type="gramStart"/>
      <w:r>
        <w:rPr>
          <w:rFonts w:ascii="Times New Roman" w:hAnsi="Times New Roman" w:hint="eastAsia"/>
          <w:sz w:val="24"/>
        </w:rPr>
        <w:t>侧袋机制</w:t>
      </w:r>
      <w:proofErr w:type="gramEnd"/>
      <w:r>
        <w:rPr>
          <w:rFonts w:ascii="Times New Roman" w:hAnsi="Times New Roman" w:hint="eastAsia"/>
          <w:sz w:val="24"/>
        </w:rPr>
        <w:t>时持有基金份额的持有人将在启用</w:t>
      </w:r>
      <w:proofErr w:type="gramStart"/>
      <w:r>
        <w:rPr>
          <w:rFonts w:ascii="Times New Roman" w:hAnsi="Times New Roman" w:hint="eastAsia"/>
          <w:sz w:val="24"/>
        </w:rPr>
        <w:t>侧袋机制</w:t>
      </w:r>
      <w:proofErr w:type="gramEnd"/>
      <w:r>
        <w:rPr>
          <w:rFonts w:ascii="Times New Roman" w:hAnsi="Times New Roman" w:hint="eastAsia"/>
          <w:sz w:val="24"/>
        </w:rPr>
        <w:t>后同时</w:t>
      </w:r>
      <w:proofErr w:type="gramStart"/>
      <w:r>
        <w:rPr>
          <w:rFonts w:ascii="Times New Roman" w:hAnsi="Times New Roman" w:hint="eastAsia"/>
          <w:sz w:val="24"/>
        </w:rPr>
        <w:t>持有主袋账户</w:t>
      </w:r>
      <w:proofErr w:type="gramEnd"/>
      <w:r>
        <w:rPr>
          <w:rFonts w:ascii="Times New Roman" w:hAnsi="Times New Roman" w:hint="eastAsia"/>
          <w:sz w:val="24"/>
        </w:rPr>
        <w:t>份额和</w:t>
      </w:r>
      <w:proofErr w:type="gramStart"/>
      <w:r>
        <w:rPr>
          <w:rFonts w:ascii="Times New Roman" w:hAnsi="Times New Roman" w:hint="eastAsia"/>
          <w:sz w:val="24"/>
        </w:rPr>
        <w:t>侧袋</w:t>
      </w:r>
      <w:proofErr w:type="gramEnd"/>
      <w:r>
        <w:rPr>
          <w:rFonts w:ascii="Times New Roman" w:hAnsi="Times New Roman" w:hint="eastAsia"/>
          <w:sz w:val="24"/>
        </w:rPr>
        <w:t>账户份额，</w:t>
      </w:r>
      <w:proofErr w:type="gramStart"/>
      <w:r>
        <w:rPr>
          <w:rFonts w:ascii="Times New Roman" w:hAnsi="Times New Roman" w:hint="eastAsia"/>
          <w:sz w:val="24"/>
        </w:rPr>
        <w:t>侧袋账户</w:t>
      </w:r>
      <w:proofErr w:type="gramEnd"/>
      <w:r>
        <w:rPr>
          <w:rFonts w:ascii="Times New Roman" w:hAnsi="Times New Roman" w:hint="eastAsia"/>
          <w:sz w:val="24"/>
        </w:rPr>
        <w:t>份额不能赎回，其对应特定资产的变现时间具有不确定性，最终变现价格也具有不确定性并且有可能大幅低于启用</w:t>
      </w:r>
      <w:proofErr w:type="gramStart"/>
      <w:r>
        <w:rPr>
          <w:rFonts w:ascii="Times New Roman" w:hAnsi="Times New Roman" w:hint="eastAsia"/>
          <w:sz w:val="24"/>
        </w:rPr>
        <w:t>侧袋机制</w:t>
      </w:r>
      <w:proofErr w:type="gramEnd"/>
      <w:r>
        <w:rPr>
          <w:rFonts w:ascii="Times New Roman" w:hAnsi="Times New Roman" w:hint="eastAsia"/>
          <w:sz w:val="24"/>
        </w:rPr>
        <w:t>时的特定资产的估值，基金份额持有人可能因此面临损失。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实施</w:t>
      </w:r>
      <w:proofErr w:type="gramStart"/>
      <w:r>
        <w:rPr>
          <w:rFonts w:ascii="Times New Roman" w:hAnsi="Times New Roman" w:hint="eastAsia"/>
          <w:sz w:val="24"/>
        </w:rPr>
        <w:t>侧袋机制</w:t>
      </w:r>
      <w:proofErr w:type="gramEnd"/>
      <w:r>
        <w:rPr>
          <w:rFonts w:ascii="Times New Roman" w:hAnsi="Times New Roman" w:hint="eastAsia"/>
          <w:sz w:val="24"/>
        </w:rPr>
        <w:t>期间，因本基金不</w:t>
      </w:r>
      <w:proofErr w:type="gramStart"/>
      <w:r>
        <w:rPr>
          <w:rFonts w:ascii="Times New Roman" w:hAnsi="Times New Roman" w:hint="eastAsia"/>
          <w:sz w:val="24"/>
        </w:rPr>
        <w:t>披露侧袋账户</w:t>
      </w:r>
      <w:proofErr w:type="gramEnd"/>
      <w:r>
        <w:rPr>
          <w:rFonts w:ascii="Times New Roman" w:hAnsi="Times New Roman" w:hint="eastAsia"/>
          <w:sz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基金管理人将</w:t>
      </w:r>
      <w:proofErr w:type="gramStart"/>
      <w:r>
        <w:rPr>
          <w:rFonts w:ascii="Times New Roman" w:hAnsi="Times New Roman" w:hint="eastAsia"/>
          <w:sz w:val="24"/>
        </w:rPr>
        <w:t>根据主袋账户</w:t>
      </w:r>
      <w:proofErr w:type="gramEnd"/>
      <w:r>
        <w:rPr>
          <w:rFonts w:ascii="Times New Roman" w:hAnsi="Times New Roman" w:hint="eastAsia"/>
          <w:sz w:val="24"/>
        </w:rPr>
        <w:t>运作情况合理确定申购政策，因此实施</w:t>
      </w:r>
      <w:proofErr w:type="gramStart"/>
      <w:r>
        <w:rPr>
          <w:rFonts w:ascii="Times New Roman" w:hAnsi="Times New Roman" w:hint="eastAsia"/>
          <w:sz w:val="24"/>
        </w:rPr>
        <w:t>侧袋机制</w:t>
      </w:r>
      <w:proofErr w:type="gramEnd"/>
      <w:r>
        <w:rPr>
          <w:rFonts w:ascii="Times New Roman" w:hAnsi="Times New Roman" w:hint="eastAsia"/>
          <w:sz w:val="24"/>
        </w:rPr>
        <w:t>后主袋账户份额存在暂停申购的可能。</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启用</w:t>
      </w:r>
      <w:proofErr w:type="gramStart"/>
      <w:r>
        <w:rPr>
          <w:rFonts w:ascii="Times New Roman" w:hAnsi="Times New Roman" w:hint="eastAsia"/>
          <w:sz w:val="24"/>
        </w:rPr>
        <w:t>侧袋机制</w:t>
      </w:r>
      <w:proofErr w:type="gramEnd"/>
      <w:r>
        <w:rPr>
          <w:rFonts w:ascii="Times New Roman" w:hAnsi="Times New Roman" w:hint="eastAsia"/>
          <w:sz w:val="24"/>
        </w:rPr>
        <w:t>后，基金管理人计算各项投资运作指标和基金业绩指标时仅需</w:t>
      </w:r>
      <w:proofErr w:type="gramStart"/>
      <w:r>
        <w:rPr>
          <w:rFonts w:ascii="Times New Roman" w:hAnsi="Times New Roman" w:hint="eastAsia"/>
          <w:sz w:val="24"/>
        </w:rPr>
        <w:t>考虑主袋账户</w:t>
      </w:r>
      <w:proofErr w:type="gramEnd"/>
      <w:r>
        <w:rPr>
          <w:rFonts w:ascii="Times New Roman" w:hAnsi="Times New Roman" w:hint="eastAsia"/>
          <w:sz w:val="24"/>
        </w:rPr>
        <w:t>资产，基金业绩指标应当</w:t>
      </w:r>
      <w:proofErr w:type="gramStart"/>
      <w:r>
        <w:rPr>
          <w:rFonts w:ascii="Times New Roman" w:hAnsi="Times New Roman" w:hint="eastAsia"/>
          <w:sz w:val="24"/>
        </w:rPr>
        <w:t>以主袋账户</w:t>
      </w:r>
      <w:proofErr w:type="gramEnd"/>
      <w:r>
        <w:rPr>
          <w:rFonts w:ascii="Times New Roman" w:hAnsi="Times New Roman" w:hint="eastAsia"/>
          <w:sz w:val="24"/>
        </w:rPr>
        <w:t>资产为基准，因此本基金披露的业绩指标不能反映特定资产的真实价值及变化情况。</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（四）信用风险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基金在交易过程发生交收违约，或者基金所投资债券之发行人出现违约、拒绝支付到期本息，都可能导致基金资产损失和收益变化，从而产生风险。</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（五）本基金的特有风险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、本基金为股票型基金，投资于</w:t>
      </w:r>
      <w:r>
        <w:rPr>
          <w:rFonts w:ascii="Times New Roman" w:hAnsi="Times New Roman" w:hint="eastAsia"/>
          <w:sz w:val="24"/>
        </w:rPr>
        <w:t>中证</w:t>
      </w:r>
      <w:r>
        <w:rPr>
          <w:rFonts w:ascii="Times New Roman" w:hAnsi="Times New Roman"/>
          <w:sz w:val="24"/>
        </w:rPr>
        <w:t>港股</w:t>
      </w:r>
      <w:proofErr w:type="gramStart"/>
      <w:r>
        <w:rPr>
          <w:rFonts w:ascii="Times New Roman" w:hAnsi="Times New Roman"/>
          <w:sz w:val="24"/>
        </w:rPr>
        <w:t>通央企</w:t>
      </w:r>
      <w:proofErr w:type="gramEnd"/>
      <w:r>
        <w:rPr>
          <w:rFonts w:ascii="Times New Roman" w:hAnsi="Times New Roman"/>
          <w:sz w:val="24"/>
        </w:rPr>
        <w:t>红利</w:t>
      </w:r>
      <w:r>
        <w:rPr>
          <w:rFonts w:ascii="Times New Roman" w:hAnsi="Times New Roman" w:hint="eastAsia"/>
          <w:sz w:val="24"/>
        </w:rPr>
        <w:t>指数</w:t>
      </w:r>
      <w:r>
        <w:rPr>
          <w:rFonts w:ascii="Times New Roman" w:hAnsi="Times New Roman"/>
          <w:sz w:val="24"/>
        </w:rPr>
        <w:t>成份股</w:t>
      </w:r>
      <w:r>
        <w:rPr>
          <w:rFonts w:ascii="Times New Roman" w:hAnsi="Times New Roman" w:hint="eastAsia"/>
          <w:bCs/>
          <w:sz w:val="24"/>
        </w:rPr>
        <w:t>（</w:t>
      </w:r>
      <w:proofErr w:type="gramStart"/>
      <w:r>
        <w:rPr>
          <w:rFonts w:ascii="Times New Roman" w:hAnsi="Times New Roman" w:hint="eastAsia"/>
          <w:bCs/>
          <w:sz w:val="24"/>
        </w:rPr>
        <w:t>含存托</w:t>
      </w:r>
      <w:proofErr w:type="gramEnd"/>
      <w:r>
        <w:rPr>
          <w:rFonts w:ascii="Times New Roman" w:hAnsi="Times New Roman" w:hint="eastAsia"/>
          <w:bCs/>
          <w:sz w:val="24"/>
        </w:rPr>
        <w:t>凭证）</w:t>
      </w:r>
      <w:r>
        <w:rPr>
          <w:rFonts w:ascii="Times New Roman" w:hAnsi="Times New Roman"/>
          <w:sz w:val="24"/>
        </w:rPr>
        <w:t>及备选成份股</w:t>
      </w:r>
      <w:r>
        <w:rPr>
          <w:rFonts w:ascii="Times New Roman" w:hAnsi="Times New Roman" w:hint="eastAsia"/>
          <w:bCs/>
          <w:sz w:val="24"/>
        </w:rPr>
        <w:t>（</w:t>
      </w:r>
      <w:proofErr w:type="gramStart"/>
      <w:r>
        <w:rPr>
          <w:rFonts w:ascii="Times New Roman" w:hAnsi="Times New Roman" w:hint="eastAsia"/>
          <w:bCs/>
          <w:sz w:val="24"/>
        </w:rPr>
        <w:t>含存托</w:t>
      </w:r>
      <w:proofErr w:type="gramEnd"/>
      <w:r>
        <w:rPr>
          <w:rFonts w:ascii="Times New Roman" w:hAnsi="Times New Roman" w:hint="eastAsia"/>
          <w:bCs/>
          <w:sz w:val="24"/>
        </w:rPr>
        <w:t>凭证）</w:t>
      </w:r>
      <w:r>
        <w:rPr>
          <w:rFonts w:ascii="Times New Roman" w:hAnsi="Times New Roman"/>
          <w:sz w:val="24"/>
        </w:rPr>
        <w:t>的比例不低于基金资产净值的</w:t>
      </w:r>
      <w:r>
        <w:rPr>
          <w:rFonts w:ascii="Times New Roman" w:hAnsi="Times New Roman"/>
          <w:sz w:val="24"/>
        </w:rPr>
        <w:t>90%</w:t>
      </w:r>
      <w:r>
        <w:rPr>
          <w:rFonts w:ascii="Times New Roman" w:hAnsi="Times New Roman" w:hint="eastAsia"/>
          <w:sz w:val="24"/>
        </w:rPr>
        <w:t>且不低于非现金基金资产的</w:t>
      </w:r>
      <w:r>
        <w:rPr>
          <w:rFonts w:ascii="Times New Roman" w:hAnsi="Times New Roman" w:hint="eastAsia"/>
          <w:sz w:val="24"/>
        </w:rPr>
        <w:t>80%</w:t>
      </w:r>
      <w:r>
        <w:rPr>
          <w:rFonts w:ascii="Times New Roman" w:hAnsi="Times New Roman"/>
          <w:sz w:val="24"/>
        </w:rPr>
        <w:t>，因投资权益类资产而面临权益类资产市场的系统性风险和个股风险；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、标的指数回报与股票市场平均回报偏离的风险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标的指数并不能代表整个股票市场。标的指数成份股的平均回报率与整个股票市场的平均回报率可能存在偏离。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、标的指数波动的风险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标的指数成份股的价格可能受到政治因素、经济因素、上市公司经营状况、投资人心理和交易制度等各种因素的影响而波动，导致指数波动，从而使基金收益水平发生变化，产生风险。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4</w:t>
      </w:r>
      <w:r>
        <w:rPr>
          <w:rFonts w:ascii="Times New Roman" w:hAnsi="Times New Roman" w:hint="eastAsia"/>
          <w:sz w:val="24"/>
        </w:rPr>
        <w:t>、标的指数成分股主题集中风险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本基金标的指数成分股主要集中于</w:t>
      </w:r>
      <w:r>
        <w:rPr>
          <w:rFonts w:ascii="Times New Roman" w:hAnsi="Times New Roman" w:hint="eastAsia"/>
          <w:sz w:val="24"/>
        </w:rPr>
        <w:t>港股</w:t>
      </w:r>
      <w:proofErr w:type="gramStart"/>
      <w:r>
        <w:rPr>
          <w:rFonts w:ascii="Times New Roman" w:hAnsi="Times New Roman" w:hint="eastAsia"/>
          <w:sz w:val="24"/>
        </w:rPr>
        <w:t>通央企</w:t>
      </w:r>
      <w:proofErr w:type="gramEnd"/>
      <w:r>
        <w:rPr>
          <w:rFonts w:ascii="Times New Roman" w:hAnsi="Times New Roman" w:hint="eastAsia"/>
          <w:sz w:val="24"/>
        </w:rPr>
        <w:t>红利主题相关上市公司，须承受因政府政策变化、市场情况变化等影响相关主题股票的因素所带来的风险。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hint="eastAsia"/>
          <w:sz w:val="24"/>
        </w:rPr>
        <w:t>、基金投资组合回报与标的指数回报偏离及跟踪误差控制未达约定目标的风险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以下因素可能使基金投资组合的收益率与标的指数的收益率发生偏离</w:t>
      </w:r>
      <w:r>
        <w:rPr>
          <w:rFonts w:ascii="Times New Roman" w:hAnsi="Times New Roman" w:hint="eastAsia"/>
          <w:sz w:val="24"/>
        </w:rPr>
        <w:t>，也可能使基金的跟踪误差控制未达约定目标</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）由于标的指数调整成份股或变更编制方法，使本基金在相应的组合调整中产生跟踪偏离度与跟踪误差。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）由于标的指数成份股发生配股、增发等行为导致成份股在标的指数中的权重发生变化，使本基金在相应的组合调整中产生跟踪偏离度和跟踪误差。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）标的指数成份股派发现金红利、新股市值配售收益将导致基金收益率超过标的指数收益率，产生正的跟踪偏离度。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）由于标的指数成份股停牌、摘牌或流动性差等原因使本基金无法及时调整投资组合或承担冲击成本而产生跟踪偏离度和跟踪误差。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）因法律法规的限制或其他限制，本基金可能不能投资于部分标的指数成</w:t>
      </w:r>
      <w:r>
        <w:rPr>
          <w:rFonts w:ascii="宋体" w:hAnsi="宋体" w:hint="eastAsia"/>
          <w:sz w:val="24"/>
        </w:rPr>
        <w:t>份</w:t>
      </w:r>
      <w:r>
        <w:rPr>
          <w:rFonts w:ascii="Times New Roman" w:hAnsi="Times New Roman"/>
          <w:sz w:val="24"/>
        </w:rPr>
        <w:t>股。在使用替代方法，如投资同行业中相关性较高的股票以替代上述投资受限股票时，会产生一定的跟踪偏离度和跟踪误差。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）基金有投资成本、各种费用及税收，而指数编制不考虑费用和税收，这将导致基金收益率落后于标的指数收益率，产生负的跟踪偏离度。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7</w:t>
      </w:r>
      <w:r>
        <w:rPr>
          <w:rFonts w:ascii="Times New Roman" w:hAnsi="Times New Roman"/>
          <w:sz w:val="24"/>
        </w:rPr>
        <w:t>）在本基金指数</w:t>
      </w:r>
      <w:proofErr w:type="gramStart"/>
      <w:r>
        <w:rPr>
          <w:rFonts w:ascii="Times New Roman" w:hAnsi="Times New Roman"/>
          <w:sz w:val="24"/>
        </w:rPr>
        <w:t>化投资</w:t>
      </w:r>
      <w:proofErr w:type="gramEnd"/>
      <w:r>
        <w:rPr>
          <w:rFonts w:ascii="Times New Roman" w:hAnsi="Times New Roman"/>
          <w:sz w:val="24"/>
        </w:rPr>
        <w:t>过程中，基金管理人的管理能力，例如跟踪指数的水平、技术手段、买入卖出的时机选择等，都会对本基金的收益产生影响，从而影响本基金对标的指数的跟踪程度。</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）其他因素产生的偏离。如因受到最低买入股数的限制，基金投资组合中个别股票的持有比例与标的指数中该股票的权重可能不完全相同；因缺乏卖空、对</w:t>
      </w:r>
      <w:proofErr w:type="gramStart"/>
      <w:r>
        <w:rPr>
          <w:rFonts w:ascii="Times New Roman" w:hAnsi="Times New Roman"/>
          <w:sz w:val="24"/>
        </w:rPr>
        <w:t>冲机制</w:t>
      </w:r>
      <w:proofErr w:type="gramEnd"/>
      <w:r>
        <w:rPr>
          <w:rFonts w:ascii="Times New Roman" w:hAnsi="Times New Roman"/>
          <w:sz w:val="24"/>
        </w:rPr>
        <w:t>及其他工具造成的指数跟踪成本较大；因基金申购与赎回带来的现金变动；因指数发布机构指数编制错误等，由此产生跟踪偏离度与跟踪误差。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w:t>
      </w:r>
      <w:r>
        <w:rPr>
          <w:rFonts w:ascii="Times New Roman" w:hAnsi="Times New Roman" w:hint="eastAsia"/>
          <w:sz w:val="24"/>
        </w:rPr>
        <w:t>9</w:t>
      </w:r>
      <w:r>
        <w:rPr>
          <w:rFonts w:ascii="Times New Roman" w:hAnsi="Times New Roman" w:hint="eastAsia"/>
          <w:sz w:val="24"/>
        </w:rPr>
        <w:t>）</w:t>
      </w:r>
      <w:r>
        <w:rPr>
          <w:rFonts w:ascii="Times New Roman" w:hAnsi="Times New Roman"/>
          <w:sz w:val="24"/>
        </w:rPr>
        <w:t>在正常市场情况下</w:t>
      </w:r>
      <w:r>
        <w:rPr>
          <w:rFonts w:ascii="Times New Roman" w:hAnsi="Times New Roman" w:hint="eastAsia"/>
          <w:sz w:val="24"/>
        </w:rPr>
        <w:t>，</w:t>
      </w:r>
      <w:r>
        <w:rPr>
          <w:rFonts w:ascii="Times New Roman" w:hAnsi="Times New Roman"/>
          <w:sz w:val="24"/>
        </w:rPr>
        <w:t>本基金力争控制本基金日均跟踪偏离度的绝对值不超过</w:t>
      </w:r>
      <w:r>
        <w:rPr>
          <w:rFonts w:ascii="Times New Roman" w:hAnsi="Times New Roman"/>
          <w:sz w:val="24"/>
        </w:rPr>
        <w:t>0.35%</w:t>
      </w:r>
      <w:r>
        <w:rPr>
          <w:rFonts w:ascii="Times New Roman" w:hAnsi="Times New Roman"/>
          <w:sz w:val="24"/>
        </w:rPr>
        <w:t>，年跟踪误差不超过</w:t>
      </w:r>
      <w:r>
        <w:rPr>
          <w:rFonts w:ascii="Times New Roman" w:hAnsi="Times New Roman"/>
          <w:sz w:val="24"/>
        </w:rPr>
        <w:t>4%</w:t>
      </w:r>
      <w:r>
        <w:rPr>
          <w:rFonts w:ascii="Times New Roman" w:hAnsi="Times New Roman"/>
          <w:sz w:val="24"/>
        </w:rPr>
        <w:t>。但因标的指数编制规则调整或其他因素可能导致跟踪</w:t>
      </w:r>
      <w:r>
        <w:rPr>
          <w:rFonts w:ascii="Times New Roman" w:hAnsi="Times New Roman" w:hint="eastAsia"/>
          <w:sz w:val="24"/>
        </w:rPr>
        <w:t>偏离度和跟踪</w:t>
      </w:r>
      <w:r>
        <w:rPr>
          <w:rFonts w:ascii="Times New Roman" w:hAnsi="Times New Roman"/>
          <w:sz w:val="24"/>
        </w:rPr>
        <w:t>误差超过上述范围，本基金净值表现与指数价格走势可能发生</w:t>
      </w:r>
      <w:r>
        <w:rPr>
          <w:rFonts w:ascii="Times New Roman" w:hAnsi="Times New Roman"/>
          <w:sz w:val="24"/>
        </w:rPr>
        <w:lastRenderedPageBreak/>
        <w:t>较大偏离。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、指数编制机构停止服务的风险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本基金的标的指数</w:t>
      </w:r>
      <w:proofErr w:type="gramStart"/>
      <w:r>
        <w:rPr>
          <w:rFonts w:ascii="Times New Roman" w:hAnsi="Times New Roman"/>
          <w:sz w:val="24"/>
        </w:rPr>
        <w:t>由指数</w:t>
      </w:r>
      <w:proofErr w:type="gramEnd"/>
      <w:r>
        <w:rPr>
          <w:rFonts w:ascii="Times New Roman" w:hAnsi="Times New Roman"/>
          <w:sz w:val="24"/>
        </w:rPr>
        <w:t>编制机构发布并管理和维护，未来指数编制机构可能由于各种原因停止对</w:t>
      </w:r>
      <w:r>
        <w:rPr>
          <w:rFonts w:ascii="Times New Roman" w:hAnsi="Times New Roman" w:hint="eastAsia"/>
          <w:sz w:val="24"/>
        </w:rPr>
        <w:t>标的</w:t>
      </w:r>
      <w:r>
        <w:rPr>
          <w:rFonts w:ascii="Times New Roman" w:hAnsi="Times New Roman"/>
          <w:sz w:val="24"/>
        </w:rPr>
        <w:t>指数的管理和维护，本基金将根据基金合同的约定自该情形发生之日起十个工作日内向中国证监会报告并提出解决方案，如转换运作方式，与其他基金合并或者终止基金合同等，并在</w:t>
      </w:r>
      <w:r>
        <w:rPr>
          <w:rFonts w:ascii="Times New Roman" w:hAnsi="Times New Roman"/>
          <w:sz w:val="24"/>
        </w:rPr>
        <w:t>6</w:t>
      </w:r>
      <w:r>
        <w:rPr>
          <w:rFonts w:ascii="Times New Roman" w:hAnsi="Times New Roman"/>
          <w:sz w:val="24"/>
        </w:rPr>
        <w:t>个月内召集基金份额持有人大会进行表决，基金份额持有人大会未成功召开或就上述事项表决未通过的，基金合同终止。投资人将面临转换运作方式，与其他基金合并或者终止基金合同等风险。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proofErr w:type="gramStart"/>
      <w:r>
        <w:rPr>
          <w:rFonts w:ascii="Times New Roman" w:hAnsi="Times New Roman"/>
          <w:sz w:val="24"/>
        </w:rPr>
        <w:t>自指数</w:t>
      </w:r>
      <w:proofErr w:type="gramEnd"/>
      <w:r>
        <w:rPr>
          <w:rFonts w:ascii="Times New Roman" w:hAnsi="Times New Roman"/>
          <w:sz w:val="24"/>
        </w:rPr>
        <w:t>编制机构停止标的指数的编制及发布</w:t>
      </w:r>
      <w:proofErr w:type="gramStart"/>
      <w:r>
        <w:rPr>
          <w:rFonts w:ascii="Times New Roman" w:hAnsi="Times New Roman"/>
          <w:sz w:val="24"/>
        </w:rPr>
        <w:t>至解决</w:t>
      </w:r>
      <w:proofErr w:type="gramEnd"/>
      <w:r>
        <w:rPr>
          <w:rFonts w:ascii="Times New Roman" w:hAnsi="Times New Roman"/>
          <w:sz w:val="24"/>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、成份股停牌的风险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标的指数成份股可能因各种原因临时或长期停牌，发生成份股停牌时可能面临如下风险：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）基金可能因无法及时调整投资组合而导致跟踪偏离度和跟踪误差扩大。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）若成份股停牌时间较长，在约定时间内仍未能及时买入或卖出的，由此可能影响投资者的投资损益并使基金产生跟踪偏离度和跟踪误差。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在极端情况下，标的指数成份股可能大面积停牌，基金可能无法及时卖出成份股以获取足额的符合要求的赎回款项，由此基金管理人可能采取暂停赎回的措施，投资者将面临无法赎回全部或部分基金份额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本基金运作过程中，当标的指数成份股发生明显负面事件面临退市</w:t>
      </w:r>
      <w:r>
        <w:rPr>
          <w:rFonts w:ascii="Times New Roman" w:hAnsi="Times New Roman" w:hint="eastAsia"/>
          <w:sz w:val="24"/>
        </w:rPr>
        <w:t>风险</w:t>
      </w:r>
      <w:r>
        <w:rPr>
          <w:rFonts w:ascii="Times New Roman" w:hAnsi="Times New Roman"/>
          <w:sz w:val="24"/>
        </w:rPr>
        <w:t>，且指数编制机构暂未</w:t>
      </w:r>
      <w:proofErr w:type="gramStart"/>
      <w:r>
        <w:rPr>
          <w:rFonts w:ascii="Times New Roman" w:hAnsi="Times New Roman"/>
          <w:sz w:val="24"/>
        </w:rPr>
        <w:t>作出</w:t>
      </w:r>
      <w:proofErr w:type="gramEnd"/>
      <w:r>
        <w:rPr>
          <w:rFonts w:ascii="Times New Roman" w:hAnsi="Times New Roman"/>
          <w:sz w:val="24"/>
        </w:rPr>
        <w:t>调整的，基金管理人应当按照持有人利益优先的原则，履行内部决策程序后及时对相关成份股进行调整，可能影响投资者的投资损益并使基金产生跟踪偏离度和跟踪误差。</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8</w:t>
      </w:r>
      <w:r>
        <w:rPr>
          <w:rFonts w:ascii="Times New Roman" w:hAnsi="Times New Roman" w:hint="eastAsia"/>
          <w:sz w:val="24"/>
        </w:rPr>
        <w:t>、</w:t>
      </w:r>
      <w:r>
        <w:rPr>
          <w:rFonts w:ascii="Times New Roman" w:hAnsi="Times New Roman"/>
          <w:sz w:val="24"/>
        </w:rPr>
        <w:t>基金合同提前终止风险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bCs/>
          <w:sz w:val="24"/>
        </w:rPr>
        <w:t>《基金合同》生效后，</w:t>
      </w:r>
      <w:r>
        <w:rPr>
          <w:rFonts w:ascii="Times New Roman" w:hAnsi="Times New Roman" w:hint="eastAsia"/>
          <w:sz w:val="24"/>
        </w:rPr>
        <w:t>连续</w:t>
      </w:r>
      <w:r>
        <w:rPr>
          <w:rFonts w:ascii="Times New Roman" w:hAnsi="Times New Roman"/>
          <w:sz w:val="24"/>
        </w:rPr>
        <w:t>50</w:t>
      </w:r>
      <w:r>
        <w:rPr>
          <w:rFonts w:ascii="Times New Roman" w:hAnsi="Times New Roman" w:hint="eastAsia"/>
          <w:sz w:val="24"/>
        </w:rPr>
        <w:t>个工作日出现基金份额持有人数量不满</w:t>
      </w:r>
      <w:r>
        <w:rPr>
          <w:rFonts w:ascii="Times New Roman" w:hAnsi="Times New Roman"/>
          <w:sz w:val="24"/>
        </w:rPr>
        <w:t>200</w:t>
      </w:r>
      <w:r>
        <w:rPr>
          <w:rFonts w:ascii="Times New Roman" w:hAnsi="Times New Roman" w:hint="eastAsia"/>
          <w:sz w:val="24"/>
        </w:rPr>
        <w:t>人或者基金资产净值低于</w:t>
      </w:r>
      <w:r>
        <w:rPr>
          <w:rFonts w:ascii="Times New Roman" w:hAnsi="Times New Roman"/>
          <w:sz w:val="24"/>
        </w:rPr>
        <w:t>5000</w:t>
      </w:r>
      <w:r>
        <w:rPr>
          <w:rFonts w:ascii="Times New Roman" w:hAnsi="Times New Roman" w:hint="eastAsia"/>
          <w:sz w:val="24"/>
        </w:rPr>
        <w:t>万元情形的，基金合同终止，不需召开基金份额持有人大会。因此，</w:t>
      </w:r>
      <w:r>
        <w:rPr>
          <w:rFonts w:ascii="Times New Roman" w:hAnsi="Times New Roman" w:hint="eastAsia"/>
          <w:kern w:val="0"/>
          <w:sz w:val="24"/>
        </w:rPr>
        <w:t>投资者可能面临基金合同提前终止的风险。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9</w:t>
      </w:r>
      <w:r>
        <w:rPr>
          <w:rFonts w:ascii="Times New Roman" w:hAnsi="Times New Roman"/>
          <w:sz w:val="24"/>
        </w:rPr>
        <w:t>、本基金可投资创业板股票，创业板个股上市后的前五个交易日不设价格涨</w:t>
      </w:r>
      <w:r>
        <w:rPr>
          <w:rFonts w:ascii="Times New Roman" w:hAnsi="Times New Roman"/>
          <w:sz w:val="24"/>
        </w:rPr>
        <w:lastRenderedPageBreak/>
        <w:t>跌幅限制，第六个交易日开始涨跌幅限制比例为</w:t>
      </w:r>
      <w:r>
        <w:rPr>
          <w:rFonts w:ascii="Times New Roman" w:hAnsi="Times New Roman"/>
          <w:sz w:val="24"/>
        </w:rPr>
        <w:t>20%</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10</w:t>
      </w:r>
      <w:r>
        <w:rPr>
          <w:rFonts w:ascii="Times New Roman" w:hAnsi="Times New Roman" w:hint="eastAsia"/>
          <w:sz w:val="24"/>
        </w:rPr>
        <w:t>、投资港股通标的股票的特定风险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本基金投资于港股通标的股票，会面临港股</w:t>
      </w:r>
      <w:proofErr w:type="gramStart"/>
      <w:r>
        <w:rPr>
          <w:rFonts w:ascii="Times New Roman" w:hAnsi="Times New Roman" w:hint="eastAsia"/>
          <w:sz w:val="24"/>
        </w:rPr>
        <w:t>通机制</w:t>
      </w:r>
      <w:proofErr w:type="gramEnd"/>
      <w:r>
        <w:rPr>
          <w:rFonts w:ascii="Times New Roman" w:hAnsi="Times New Roman" w:hint="eastAsia"/>
          <w:sz w:val="24"/>
        </w:rPr>
        <w:t>下因投资环境、投资标的、市场制度以及交易规则等差异带来的特有风险，具体如下：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）港股交易失败风险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w:t>
      </w:r>
      <w:proofErr w:type="gramStart"/>
      <w:r>
        <w:rPr>
          <w:rFonts w:ascii="Times New Roman" w:hAnsi="Times New Roman" w:hint="eastAsia"/>
          <w:sz w:val="24"/>
        </w:rPr>
        <w:t>通进行</w:t>
      </w:r>
      <w:proofErr w:type="gramEnd"/>
      <w:r>
        <w:rPr>
          <w:rFonts w:ascii="Times New Roman" w:hAnsi="Times New Roman" w:hint="eastAsia"/>
          <w:sz w:val="24"/>
        </w:rPr>
        <w:t>买入交易的风险。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）汇率风险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本基金将投资港股通标的股票，在交易时间内提交订单依据的港币买入参考汇率和卖出参考汇率，并不等于最终结算汇率。港股</w:t>
      </w:r>
      <w:proofErr w:type="gramStart"/>
      <w:r>
        <w:rPr>
          <w:rFonts w:ascii="Times New Roman" w:hAnsi="Times New Roman" w:hint="eastAsia"/>
          <w:sz w:val="24"/>
        </w:rPr>
        <w:t>通交易</w:t>
      </w:r>
      <w:proofErr w:type="gramEnd"/>
      <w:r>
        <w:rPr>
          <w:rFonts w:ascii="Times New Roman" w:hAnsi="Times New Roman" w:hint="eastAsia"/>
          <w:sz w:val="24"/>
        </w:rPr>
        <w:t>日日终，中国证券登记结算有限责任公司进行净额换汇，将换汇成本按成交金额分摊至每笔交易，确定交易实际适用的结算汇率。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）境外市场的风险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）香港市场交易规则有别于内地</w:t>
      </w:r>
      <w:r>
        <w:rPr>
          <w:rFonts w:ascii="Times New Roman" w:hAnsi="Times New Roman"/>
          <w:sz w:val="24"/>
        </w:rPr>
        <w:t>A</w:t>
      </w:r>
      <w:r>
        <w:rPr>
          <w:rFonts w:ascii="Times New Roman" w:hAnsi="Times New Roman" w:hint="eastAsia"/>
          <w:sz w:val="24"/>
        </w:rPr>
        <w:t>股市场规则，此外，在“内地与香港股票市场交易互联互通机制”下参与香港股票投资还将面临包括但不限于如下特殊风险：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a</w:t>
      </w:r>
      <w:r>
        <w:rPr>
          <w:rFonts w:ascii="Times New Roman" w:hAnsi="Times New Roman" w:hint="eastAsia"/>
          <w:sz w:val="24"/>
        </w:rPr>
        <w:t>）香港市场实行</w:t>
      </w:r>
      <w:r>
        <w:rPr>
          <w:rFonts w:ascii="Times New Roman" w:hAnsi="Times New Roman"/>
          <w:sz w:val="24"/>
        </w:rPr>
        <w:t>T+0</w:t>
      </w:r>
      <w:r>
        <w:rPr>
          <w:rFonts w:ascii="Times New Roman" w:hAnsi="Times New Roman" w:hint="eastAsia"/>
          <w:sz w:val="24"/>
        </w:rPr>
        <w:t>回转交易机制（即当日买入的股票，在交收前可以于当日卖出），且证券交易价格并无涨跌幅上下限的规定，因此每日涨跌</w:t>
      </w:r>
      <w:proofErr w:type="gramStart"/>
      <w:r>
        <w:rPr>
          <w:rFonts w:ascii="Times New Roman" w:hAnsi="Times New Roman" w:hint="eastAsia"/>
          <w:sz w:val="24"/>
        </w:rPr>
        <w:t>幅空间</w:t>
      </w:r>
      <w:proofErr w:type="gramEnd"/>
      <w:r>
        <w:rPr>
          <w:rFonts w:ascii="Times New Roman" w:hAnsi="Times New Roman" w:hint="eastAsia"/>
          <w:sz w:val="24"/>
        </w:rPr>
        <w:t>相对较大，可能表现出比</w:t>
      </w:r>
      <w:r>
        <w:rPr>
          <w:rFonts w:ascii="Times New Roman" w:hAnsi="Times New Roman"/>
          <w:sz w:val="24"/>
        </w:rPr>
        <w:t>A</w:t>
      </w:r>
      <w:r>
        <w:rPr>
          <w:rFonts w:ascii="Times New Roman" w:hAnsi="Times New Roman" w:hint="eastAsia"/>
          <w:sz w:val="24"/>
        </w:rPr>
        <w:t>股更为剧烈的股价波动；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b</w:t>
      </w:r>
      <w:r>
        <w:rPr>
          <w:rFonts w:ascii="Times New Roman" w:hAnsi="Times New Roman" w:hint="eastAsia"/>
          <w:sz w:val="24"/>
        </w:rPr>
        <w:t>）只有沪港深三地均为</w:t>
      </w:r>
      <w:proofErr w:type="gramStart"/>
      <w:r>
        <w:rPr>
          <w:rFonts w:ascii="Times New Roman" w:hAnsi="Times New Roman" w:hint="eastAsia"/>
          <w:sz w:val="24"/>
        </w:rPr>
        <w:t>交易日且能够</w:t>
      </w:r>
      <w:proofErr w:type="gramEnd"/>
      <w:r>
        <w:rPr>
          <w:rFonts w:ascii="Times New Roman" w:hAnsi="Times New Roman" w:hint="eastAsia"/>
          <w:sz w:val="24"/>
        </w:rPr>
        <w:t>满足结算安排的交易日才为港股</w:t>
      </w:r>
      <w:proofErr w:type="gramStart"/>
      <w:r>
        <w:rPr>
          <w:rFonts w:ascii="Times New Roman" w:hAnsi="Times New Roman" w:hint="eastAsia"/>
          <w:sz w:val="24"/>
        </w:rPr>
        <w:t>通交易</w:t>
      </w:r>
      <w:proofErr w:type="gramEnd"/>
      <w:r>
        <w:rPr>
          <w:rFonts w:ascii="Times New Roman" w:hAnsi="Times New Roman" w:hint="eastAsia"/>
          <w:sz w:val="24"/>
        </w:rPr>
        <w:t>日，存在港股</w:t>
      </w:r>
      <w:proofErr w:type="gramStart"/>
      <w:r>
        <w:rPr>
          <w:rFonts w:ascii="Times New Roman" w:hAnsi="Times New Roman" w:hint="eastAsia"/>
          <w:sz w:val="24"/>
        </w:rPr>
        <w:t>通交易</w:t>
      </w:r>
      <w:proofErr w:type="gramEnd"/>
      <w:r>
        <w:rPr>
          <w:rFonts w:ascii="Times New Roman" w:hAnsi="Times New Roman" w:hint="eastAsia"/>
          <w:sz w:val="24"/>
        </w:rPr>
        <w:t>日不连贯的情形（如内地市场因放假等原因休市而香港市场照</w:t>
      </w:r>
      <w:r>
        <w:rPr>
          <w:rFonts w:ascii="Times New Roman" w:hAnsi="Times New Roman" w:hint="eastAsia"/>
          <w:sz w:val="24"/>
        </w:rPr>
        <w:lastRenderedPageBreak/>
        <w:t>常交易或内地市场开市香港市场休市但港股</w:t>
      </w:r>
      <w:proofErr w:type="gramStart"/>
      <w:r>
        <w:rPr>
          <w:rFonts w:ascii="Times New Roman" w:hAnsi="Times New Roman" w:hint="eastAsia"/>
          <w:sz w:val="24"/>
        </w:rPr>
        <w:t>通不能</w:t>
      </w:r>
      <w:proofErr w:type="gramEnd"/>
      <w:r>
        <w:rPr>
          <w:rFonts w:ascii="Times New Roman" w:hAnsi="Times New Roman" w:hint="eastAsia"/>
          <w:sz w:val="24"/>
        </w:rPr>
        <w:t>如常进行交易），而导致港股不能及时卖出带来一定的流动性风险；以及基金所持的港股组合在后续港股</w:t>
      </w:r>
      <w:proofErr w:type="gramStart"/>
      <w:r>
        <w:rPr>
          <w:rFonts w:ascii="Times New Roman" w:hAnsi="Times New Roman" w:hint="eastAsia"/>
          <w:sz w:val="24"/>
        </w:rPr>
        <w:t>通交易</w:t>
      </w:r>
      <w:proofErr w:type="gramEnd"/>
      <w:r>
        <w:rPr>
          <w:rFonts w:ascii="Times New Roman" w:hAnsi="Times New Roman" w:hint="eastAsia"/>
          <w:sz w:val="24"/>
        </w:rPr>
        <w:t>日开市交易中集中体现市场反应而造成其价格波动骤然增大，进而导致本基金所持港股组合在资产估值上出现波动增大的风险；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c</w:t>
      </w:r>
      <w:r>
        <w:rPr>
          <w:rFonts w:ascii="Times New Roman" w:hAnsi="Times New Roman" w:hint="eastAsia"/>
          <w:sz w:val="24"/>
        </w:rPr>
        <w:t>）香港联合交易所出现规定的相关情形时，香港联合交易所将可能停市，本基金将面临在停市期间无法进行港股</w:t>
      </w:r>
      <w:proofErr w:type="gramStart"/>
      <w:r>
        <w:rPr>
          <w:rFonts w:ascii="Times New Roman" w:hAnsi="Times New Roman" w:hint="eastAsia"/>
          <w:sz w:val="24"/>
        </w:rPr>
        <w:t>通交易</w:t>
      </w:r>
      <w:proofErr w:type="gramEnd"/>
      <w:r>
        <w:rPr>
          <w:rFonts w:ascii="Times New Roman" w:hAnsi="Times New Roman" w:hint="eastAsia"/>
          <w:sz w:val="24"/>
        </w:rPr>
        <w:t>的风险；出现内地证券交易服务公司认定的交易异常情况时，内地证券交易服务公司将可能暂停提供部分或者全部港股通服务，将面临在暂停服务期间无法进行港股</w:t>
      </w:r>
      <w:proofErr w:type="gramStart"/>
      <w:r>
        <w:rPr>
          <w:rFonts w:ascii="Times New Roman" w:hAnsi="Times New Roman" w:hint="eastAsia"/>
          <w:sz w:val="24"/>
        </w:rPr>
        <w:t>通交易</w:t>
      </w:r>
      <w:proofErr w:type="gramEnd"/>
      <w:r>
        <w:rPr>
          <w:rFonts w:ascii="Times New Roman" w:hAnsi="Times New Roman" w:hint="eastAsia"/>
          <w:sz w:val="24"/>
        </w:rPr>
        <w:t>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d</w:t>
      </w:r>
      <w:r>
        <w:rPr>
          <w:rFonts w:ascii="Times New Roman" w:hAnsi="Times New Roman" w:hint="eastAsia"/>
          <w:sz w:val="24"/>
        </w:rPr>
        <w:t>）投资者因港股</w:t>
      </w:r>
      <w:proofErr w:type="gramStart"/>
      <w:r>
        <w:rPr>
          <w:rFonts w:ascii="Times New Roman" w:hAnsi="Times New Roman" w:hint="eastAsia"/>
          <w:sz w:val="24"/>
        </w:rPr>
        <w:t>通股票</w:t>
      </w:r>
      <w:proofErr w:type="gramEnd"/>
      <w:r>
        <w:rPr>
          <w:rFonts w:ascii="Times New Roman" w:hAnsi="Times New Roman" w:hint="eastAsia"/>
          <w:sz w:val="24"/>
        </w:rPr>
        <w:t>权益分派、转换、上市公司被收购等情形或者异常情况，所取得的港股</w:t>
      </w:r>
      <w:proofErr w:type="gramStart"/>
      <w:r>
        <w:rPr>
          <w:rFonts w:ascii="Times New Roman" w:hAnsi="Times New Roman" w:hint="eastAsia"/>
          <w:sz w:val="24"/>
        </w:rPr>
        <w:t>通股票</w:t>
      </w:r>
      <w:proofErr w:type="gramEnd"/>
      <w:r>
        <w:rPr>
          <w:rFonts w:ascii="Times New Roman" w:hAnsi="Times New Roman" w:hint="eastAsia"/>
          <w:sz w:val="24"/>
        </w:rPr>
        <w:t>以外的香港联合交易所上市证券，只能通过港股通卖出，但不得买入，内地证券交易服务公司另有规定的除外；因港股</w:t>
      </w:r>
      <w:proofErr w:type="gramStart"/>
      <w:r>
        <w:rPr>
          <w:rFonts w:ascii="Times New Roman" w:hAnsi="Times New Roman" w:hint="eastAsia"/>
          <w:sz w:val="24"/>
        </w:rPr>
        <w:t>通股票</w:t>
      </w:r>
      <w:proofErr w:type="gramEnd"/>
      <w:r>
        <w:rPr>
          <w:rFonts w:ascii="Times New Roman" w:hAnsi="Times New Roman" w:hint="eastAsia"/>
          <w:sz w:val="24"/>
        </w:rPr>
        <w:t>发行人供股、港股</w:t>
      </w:r>
      <w:proofErr w:type="gramStart"/>
      <w:r>
        <w:rPr>
          <w:rFonts w:ascii="Times New Roman" w:hAnsi="Times New Roman" w:hint="eastAsia"/>
          <w:sz w:val="24"/>
        </w:rPr>
        <w:t>通股票</w:t>
      </w:r>
      <w:proofErr w:type="gramEnd"/>
      <w:r>
        <w:rPr>
          <w:rFonts w:ascii="Times New Roman" w:hAnsi="Times New Roman" w:hint="eastAsia"/>
          <w:sz w:val="24"/>
        </w:rPr>
        <w:t>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w:t>
      </w:r>
      <w:proofErr w:type="gramStart"/>
      <w:r>
        <w:rPr>
          <w:rFonts w:ascii="Times New Roman" w:hAnsi="Times New Roman" w:hint="eastAsia"/>
          <w:sz w:val="24"/>
        </w:rPr>
        <w:t>通股票</w:t>
      </w:r>
      <w:proofErr w:type="gramEnd"/>
      <w:r>
        <w:rPr>
          <w:rFonts w:ascii="Times New Roman" w:hAnsi="Times New Roman" w:hint="eastAsia"/>
          <w:sz w:val="24"/>
        </w:rPr>
        <w:t>权益分派、转换或者上市公司被收购等所取得的非香港联合交易所上市证券，不得通过港股通买入或卖出；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e</w:t>
      </w:r>
      <w:r>
        <w:rPr>
          <w:rFonts w:ascii="Times New Roman" w:hAnsi="Times New Roman" w:hint="eastAsia"/>
          <w:sz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以上所述因素可能会给本基金投资带来特殊交易风险。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11</w:t>
      </w:r>
      <w:r>
        <w:rPr>
          <w:rFonts w:ascii="Times New Roman" w:hAnsi="Times New Roman" w:hint="eastAsia"/>
          <w:sz w:val="24"/>
        </w:rPr>
        <w:t>、投资股指期货的特定风险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rFonts w:ascii="Times New Roman" w:hAnsi="Times New Roman"/>
          <w:sz w:val="24"/>
        </w:rPr>
        <w:t>基差风险</w:t>
      </w:r>
      <w:proofErr w:type="gramEnd"/>
      <w:r>
        <w:rPr>
          <w:rFonts w:ascii="Times New Roman" w:hAnsi="Times New Roman"/>
          <w:sz w:val="24"/>
        </w:rPr>
        <w:t>、保证金风险、信用风险和操作风险。具体为：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）市场风险是指由于股指期货价格变动而给投资者带来的风险。市场风险是股指期货投资中最主要的风险。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）流动性风险是指由于股指期货合约无法及时变现所带来的风险。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w:t>
      </w:r>
      <w:r>
        <w:rPr>
          <w:rFonts w:ascii="Times New Roman" w:hAnsi="Times New Roman"/>
          <w:sz w:val="24"/>
        </w:rPr>
        <w:t>3</w:t>
      </w:r>
      <w:r>
        <w:rPr>
          <w:rFonts w:ascii="Times New Roman" w:hAnsi="Times New Roman"/>
          <w:sz w:val="24"/>
        </w:rPr>
        <w:t>）</w:t>
      </w:r>
      <w:proofErr w:type="gramStart"/>
      <w:r>
        <w:rPr>
          <w:rFonts w:ascii="Times New Roman" w:hAnsi="Times New Roman"/>
          <w:sz w:val="24"/>
        </w:rPr>
        <w:t>基差风险</w:t>
      </w:r>
      <w:proofErr w:type="gramEnd"/>
      <w:r>
        <w:rPr>
          <w:rFonts w:ascii="Times New Roman" w:hAnsi="Times New Roman"/>
          <w:sz w:val="24"/>
        </w:rPr>
        <w:t>是指股指期货合约价格和指数价格之间的价格差的波动所造成的风险，以及不同股指期货合约价格之间价格差的波动所造成的期现价差风险。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）保证金风险是指由于无法及时筹措资金满足建立或者维持股指期货合约头寸所要求的保证金而带来的风险。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）信用风险是指期货经纪公司违约而产生损失的风险。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）操作风险是指由于内部流程的不完善，业务人员出现差错或者疏漏，或者系统出现故障等原因造成损失的风险。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此外，由于衍生品通常具有杠杆效应，价格波动比标的工具更为剧烈，并且其定价相当复杂，不适当的估值也有可能使基金资产面临损失风险。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12</w:t>
      </w:r>
      <w:r>
        <w:rPr>
          <w:rFonts w:ascii="Times New Roman" w:hAnsi="Times New Roman" w:hint="eastAsia"/>
          <w:sz w:val="24"/>
        </w:rPr>
        <w:t>、投资资产支持证券的特定风险</w:t>
      </w:r>
    </w:p>
    <w:p w:rsidR="009A4701" w:rsidRDefault="00677B65">
      <w:pPr>
        <w:widowControl/>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hint="eastAsia"/>
          <w:sz w:val="24"/>
        </w:rPr>
        <w:t>请基金</w:t>
      </w:r>
      <w:proofErr w:type="gramEnd"/>
      <w:r>
        <w:rPr>
          <w:rFonts w:ascii="Times New Roman" w:hAnsi="Times New Roman" w:hint="eastAsia"/>
          <w:sz w:val="24"/>
        </w:rPr>
        <w:t>份额持有人关注包括投资资</w:t>
      </w:r>
      <w:r>
        <w:rPr>
          <w:rFonts w:ascii="Times New Roman" w:hAnsi="Times New Roman" w:hint="eastAsia"/>
          <w:kern w:val="0"/>
          <w:sz w:val="24"/>
          <w:szCs w:val="24"/>
        </w:rPr>
        <w:t>产支持证券可能导致的基金净值波动在内的各项风险。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13</w:t>
      </w:r>
      <w:r>
        <w:rPr>
          <w:rFonts w:ascii="Times New Roman" w:hAnsi="Times New Roman" w:hint="eastAsia"/>
          <w:sz w:val="24"/>
        </w:rPr>
        <w:t>、投资流通受限证券的特定风险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Pr>
          <w:rFonts w:ascii="Times New Roman" w:hAnsi="Times New Roman" w:hint="eastAsia"/>
          <w:sz w:val="24"/>
        </w:rPr>
        <w:t>券</w:t>
      </w:r>
      <w:proofErr w:type="gramEnd"/>
      <w:r>
        <w:rPr>
          <w:rFonts w:ascii="Times New Roman" w:hAnsi="Times New Roman" w:hint="eastAsia"/>
          <w:sz w:val="24"/>
        </w:rPr>
        <w:t>和个股的流动性风险等。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14</w:t>
      </w:r>
      <w:r>
        <w:rPr>
          <w:rFonts w:ascii="Times New Roman" w:hAnsi="Times New Roman" w:hint="eastAsia"/>
          <w:sz w:val="24"/>
        </w:rPr>
        <w:t>、投资存托凭证的特定风险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具体风险包括：存托凭证持有人与境外基础证券发行人的股东在法律地位、享有权利等方面存在差异可能引发的风险；存托凭证持有人在分红派息、行使表决权等方面的特殊安排可能引发的风险；存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Times New Roman" w:hAnsi="Times New Roman"/>
          <w:sz w:val="24"/>
        </w:rPr>
        <w:t>托协议</w:t>
      </w:r>
      <w:proofErr w:type="gramEnd"/>
      <w:r>
        <w:rPr>
          <w:rFonts w:ascii="Times New Roman" w:hAnsi="Times New Roman"/>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本基金可根据投资策略需要或市场环境的变化，选择将部分基金资产投资于存托凭证或选择不将基金资产投资于存托凭证，基金资产并非必然投资存托凭证。</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15</w:t>
      </w:r>
      <w:r>
        <w:rPr>
          <w:rFonts w:ascii="Times New Roman" w:hAnsi="Times New Roman" w:hint="eastAsia"/>
          <w:sz w:val="24"/>
        </w:rPr>
        <w:t>、投资</w:t>
      </w:r>
      <w:proofErr w:type="gramStart"/>
      <w:r>
        <w:rPr>
          <w:rFonts w:ascii="Times New Roman" w:hAnsi="Times New Roman" w:hint="eastAsia"/>
          <w:sz w:val="24"/>
        </w:rPr>
        <w:t>科创板股票</w:t>
      </w:r>
      <w:proofErr w:type="gramEnd"/>
      <w:r>
        <w:rPr>
          <w:rFonts w:ascii="Times New Roman" w:hAnsi="Times New Roman" w:hint="eastAsia"/>
          <w:sz w:val="24"/>
        </w:rPr>
        <w:t>的特定风险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本基金可根据投资策略需要或市场环境的变化，选择将部分基金资产投资于</w:t>
      </w:r>
      <w:proofErr w:type="gramStart"/>
      <w:r>
        <w:rPr>
          <w:rFonts w:ascii="Times New Roman" w:hAnsi="Times New Roman" w:hint="eastAsia"/>
          <w:sz w:val="24"/>
        </w:rPr>
        <w:t>科创板股票</w:t>
      </w:r>
      <w:proofErr w:type="gramEnd"/>
      <w:r>
        <w:rPr>
          <w:rFonts w:ascii="Times New Roman" w:hAnsi="Times New Roman" w:hint="eastAsia"/>
          <w:sz w:val="24"/>
        </w:rPr>
        <w:t>或选择不将基金资产投资于</w:t>
      </w:r>
      <w:proofErr w:type="gramStart"/>
      <w:r>
        <w:rPr>
          <w:rFonts w:ascii="Times New Roman" w:hAnsi="Times New Roman" w:hint="eastAsia"/>
          <w:sz w:val="24"/>
        </w:rPr>
        <w:t>科创板</w:t>
      </w:r>
      <w:proofErr w:type="gramEnd"/>
      <w:r>
        <w:rPr>
          <w:rFonts w:ascii="Times New Roman" w:hAnsi="Times New Roman" w:hint="eastAsia"/>
          <w:sz w:val="24"/>
        </w:rPr>
        <w:t>股票，基金资产并非必然投资于</w:t>
      </w:r>
      <w:proofErr w:type="gramStart"/>
      <w:r>
        <w:rPr>
          <w:rFonts w:ascii="Times New Roman" w:hAnsi="Times New Roman" w:hint="eastAsia"/>
          <w:sz w:val="24"/>
        </w:rPr>
        <w:t>科创板</w:t>
      </w:r>
      <w:proofErr w:type="gramEnd"/>
      <w:r>
        <w:rPr>
          <w:rFonts w:ascii="Times New Roman" w:hAnsi="Times New Roman" w:hint="eastAsia"/>
          <w:sz w:val="24"/>
        </w:rPr>
        <w:t>股票。基金资产投资于</w:t>
      </w:r>
      <w:proofErr w:type="gramStart"/>
      <w:r>
        <w:rPr>
          <w:rFonts w:ascii="Times New Roman" w:hAnsi="Times New Roman" w:hint="eastAsia"/>
          <w:sz w:val="24"/>
        </w:rPr>
        <w:t>科创板</w:t>
      </w:r>
      <w:proofErr w:type="gramEnd"/>
      <w:r>
        <w:rPr>
          <w:rFonts w:ascii="Times New Roman" w:hAnsi="Times New Roman" w:hint="eastAsia"/>
          <w:sz w:val="24"/>
        </w:rPr>
        <w:t>股票，会</w:t>
      </w:r>
      <w:proofErr w:type="gramStart"/>
      <w:r>
        <w:rPr>
          <w:rFonts w:ascii="Times New Roman" w:hAnsi="Times New Roman" w:hint="eastAsia"/>
          <w:sz w:val="24"/>
        </w:rPr>
        <w:t>面临科创板机制</w:t>
      </w:r>
      <w:proofErr w:type="gramEnd"/>
      <w:r>
        <w:rPr>
          <w:rFonts w:ascii="Times New Roman" w:hAnsi="Times New Roman" w:hint="eastAsia"/>
          <w:sz w:val="24"/>
        </w:rPr>
        <w:t>下因投资标的、市场制度以及交易规则等差异带来的特有风险，包括但不限于市场风险、流动性风险、退市风险、系统性风险、政策风险等。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）市场风险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科创板</w:t>
      </w:r>
      <w:proofErr w:type="gramEnd"/>
      <w:r>
        <w:rPr>
          <w:rFonts w:ascii="Times New Roman" w:hAnsi="Times New Roman" w:hint="eastAsia"/>
          <w:sz w:val="24"/>
        </w:rPr>
        <w:t>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w:t>
      </w:r>
      <w:proofErr w:type="gramStart"/>
      <w:r>
        <w:rPr>
          <w:rFonts w:ascii="Times New Roman" w:hAnsi="Times New Roman" w:hint="eastAsia"/>
          <w:sz w:val="24"/>
        </w:rPr>
        <w:t>个</w:t>
      </w:r>
      <w:proofErr w:type="gramEnd"/>
      <w:r>
        <w:rPr>
          <w:rFonts w:ascii="Times New Roman" w:hAnsi="Times New Roman" w:hint="eastAsia"/>
          <w:sz w:val="24"/>
        </w:rPr>
        <w:t>股市</w:t>
      </w:r>
      <w:proofErr w:type="gramStart"/>
      <w:r>
        <w:rPr>
          <w:rFonts w:ascii="Times New Roman" w:hAnsi="Times New Roman" w:hint="eastAsia"/>
          <w:sz w:val="24"/>
        </w:rPr>
        <w:t>场风险</w:t>
      </w:r>
      <w:proofErr w:type="gramEnd"/>
      <w:r>
        <w:rPr>
          <w:rFonts w:ascii="Times New Roman" w:hAnsi="Times New Roman" w:hint="eastAsia"/>
          <w:sz w:val="24"/>
        </w:rPr>
        <w:t>加大。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科创板</w:t>
      </w:r>
      <w:proofErr w:type="gramEnd"/>
      <w:r>
        <w:rPr>
          <w:rFonts w:ascii="Times New Roman" w:hAnsi="Times New Roman" w:hint="eastAsia"/>
          <w:sz w:val="24"/>
        </w:rPr>
        <w:t>个股上市后的前五个交易日无涨跌停限制，其后涨跌幅限制为</w:t>
      </w:r>
      <w:r>
        <w:rPr>
          <w:rFonts w:ascii="Times New Roman" w:hAnsi="Times New Roman"/>
          <w:sz w:val="24"/>
        </w:rPr>
        <w:t>20%</w:t>
      </w:r>
      <w:r>
        <w:rPr>
          <w:rFonts w:ascii="Times New Roman" w:hAnsi="Times New Roman" w:hint="eastAsia"/>
          <w:sz w:val="24"/>
        </w:rPr>
        <w:t>，</w:t>
      </w:r>
      <w:proofErr w:type="gramStart"/>
      <w:r>
        <w:rPr>
          <w:rFonts w:ascii="Times New Roman" w:hAnsi="Times New Roman" w:hint="eastAsia"/>
          <w:sz w:val="24"/>
        </w:rPr>
        <w:t>科创板股票</w:t>
      </w:r>
      <w:proofErr w:type="gramEnd"/>
      <w:r>
        <w:rPr>
          <w:rFonts w:ascii="Times New Roman" w:hAnsi="Times New Roman" w:hint="eastAsia"/>
          <w:sz w:val="24"/>
        </w:rPr>
        <w:t>上市首日即可作为融资融券标的，可能导致较大的股票价格波动。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）流动性风险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科创板整体</w:t>
      </w:r>
      <w:proofErr w:type="gramEnd"/>
      <w:r>
        <w:rPr>
          <w:rFonts w:ascii="Times New Roman" w:hAnsi="Times New Roman" w:hint="eastAsia"/>
          <w:sz w:val="24"/>
        </w:rPr>
        <w:t>投资门槛较高，二级市场上个人投资者参与度相对较低，机构持有个股大量流通盘导致个股流动性较差，基金组合存在无法及时变</w:t>
      </w:r>
      <w:proofErr w:type="gramStart"/>
      <w:r>
        <w:rPr>
          <w:rFonts w:ascii="Times New Roman" w:hAnsi="Times New Roman" w:hint="eastAsia"/>
          <w:sz w:val="24"/>
        </w:rPr>
        <w:t>现及其</w:t>
      </w:r>
      <w:proofErr w:type="gramEnd"/>
      <w:r>
        <w:rPr>
          <w:rFonts w:ascii="Times New Roman" w:hAnsi="Times New Roman" w:hint="eastAsia"/>
          <w:sz w:val="24"/>
        </w:rPr>
        <w:t>他相关流动性风险。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）退市风险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科创板退</w:t>
      </w:r>
      <w:proofErr w:type="gramEnd"/>
      <w:r>
        <w:rPr>
          <w:rFonts w:ascii="Times New Roman" w:hAnsi="Times New Roman" w:hint="eastAsia"/>
          <w:sz w:val="24"/>
        </w:rPr>
        <w:t>市制度较主板更为严格，且不再设置暂停上市、恢复上市和重新上市环节，上市公司退</w:t>
      </w:r>
      <w:proofErr w:type="gramStart"/>
      <w:r>
        <w:rPr>
          <w:rFonts w:ascii="Times New Roman" w:hAnsi="Times New Roman" w:hint="eastAsia"/>
          <w:sz w:val="24"/>
        </w:rPr>
        <w:t>市风险</w:t>
      </w:r>
      <w:proofErr w:type="gramEnd"/>
      <w:r>
        <w:rPr>
          <w:rFonts w:ascii="Times New Roman" w:hAnsi="Times New Roman" w:hint="eastAsia"/>
          <w:sz w:val="24"/>
        </w:rPr>
        <w:t>更大。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）系统性风险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proofErr w:type="gramStart"/>
      <w:r>
        <w:rPr>
          <w:rFonts w:ascii="Times New Roman" w:hAnsi="Times New Roman" w:hint="eastAsia"/>
          <w:sz w:val="24"/>
        </w:rPr>
        <w:t>科创板企业</w:t>
      </w:r>
      <w:proofErr w:type="gramEnd"/>
      <w:r>
        <w:rPr>
          <w:rFonts w:ascii="Times New Roman" w:hAnsi="Times New Roman" w:hint="eastAsia"/>
          <w:sz w:val="24"/>
        </w:rPr>
        <w:t>均为市场认可度较高的科技创新企业，在企业经营及盈利模式上存在趋同，所以</w:t>
      </w:r>
      <w:proofErr w:type="gramStart"/>
      <w:r>
        <w:rPr>
          <w:rFonts w:ascii="Times New Roman" w:hAnsi="Times New Roman" w:hint="eastAsia"/>
          <w:sz w:val="24"/>
        </w:rPr>
        <w:t>科创板</w:t>
      </w:r>
      <w:proofErr w:type="gramEnd"/>
      <w:r>
        <w:rPr>
          <w:rFonts w:ascii="Times New Roman" w:hAnsi="Times New Roman" w:hint="eastAsia"/>
          <w:sz w:val="24"/>
        </w:rPr>
        <w:t>个股相关性较高，市场表现不佳时，系统性风险将更为显著。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）政策风险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国家对高新技术产业扶持力度及重视程度的变化会对</w:t>
      </w:r>
      <w:proofErr w:type="gramStart"/>
      <w:r>
        <w:rPr>
          <w:rFonts w:ascii="Times New Roman" w:hAnsi="Times New Roman" w:hint="eastAsia"/>
          <w:sz w:val="24"/>
        </w:rPr>
        <w:t>科创板企业</w:t>
      </w:r>
      <w:proofErr w:type="gramEnd"/>
      <w:r>
        <w:rPr>
          <w:rFonts w:ascii="Times New Roman" w:hAnsi="Times New Roman" w:hint="eastAsia"/>
          <w:sz w:val="24"/>
        </w:rPr>
        <w:t>带来较大影响，国际经济形势变化对战略新兴产业及</w:t>
      </w:r>
      <w:proofErr w:type="gramStart"/>
      <w:r>
        <w:rPr>
          <w:rFonts w:ascii="Times New Roman" w:hAnsi="Times New Roman" w:hint="eastAsia"/>
          <w:sz w:val="24"/>
        </w:rPr>
        <w:t>科创板</w:t>
      </w:r>
      <w:proofErr w:type="gramEnd"/>
      <w:r>
        <w:rPr>
          <w:rFonts w:ascii="Times New Roman" w:hAnsi="Times New Roman" w:hint="eastAsia"/>
          <w:sz w:val="24"/>
        </w:rPr>
        <w:t>个股也会带来政策影响。</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Times New Roman" w:hAnsi="Times New Roman"/>
          <w:sz w:val="24"/>
        </w:rPr>
        <w:t>16</w:t>
      </w:r>
      <w:r>
        <w:rPr>
          <w:rFonts w:ascii="Times New Roman" w:hAnsi="Times New Roman" w:hint="eastAsia"/>
          <w:sz w:val="24"/>
        </w:rPr>
        <w:t>、</w:t>
      </w:r>
      <w:r>
        <w:rPr>
          <w:rFonts w:ascii="宋体" w:hAnsi="宋体" w:hint="eastAsia"/>
          <w:sz w:val="24"/>
        </w:rPr>
        <w:t>本基金参与融资业务的特定风险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本基金可根据法律法规的规定参与融资业务，面临的风险包括但不限于：</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w:t>
      </w:r>
      <w:r>
        <w:rPr>
          <w:rFonts w:ascii="宋体" w:hAnsi="宋体"/>
          <w:sz w:val="24"/>
        </w:rPr>
        <w:t>1）市场风险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可能放大投资损失的风险：融资业务具有杠杆效应，它在放大投资收益的同时也必然放大投资风险。将股票作为担保品进行融资交易时，既需要承担原有的股票价格下跌带来的风险，又得承担融资买入股票带来的风险，同时还须支付相应的利息和费用，由此承担的风险可能远远超过普通证券交易。</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2）利率变动带来的成本加大风险：在从事融资交易期间，如中国人民银行规定的同期贷款基准利率调高，证券公司将相应调高融资利率，投资成本也因为利率的上调而增加，将面临融资成本增加的风险。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强制平仓风险：融资交易中，投资组合与证券公司间除了普通交易的委托买卖关系外，还存在着较为复杂的债权债务关系，以及由于债权债务产生的信托关系和担保关系。证券公司为保护自身债权，对投资组合信用账户的资产负债情况实时监控，在一定条件下可以对投资组合担保资产执行强制平仓,且平仓的品种、数量、价格、时机将不受投资组合的控制，平仓的数额可能超过全部负债，由此给投资组合带来损失。</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外部监管风险：在融资交易出现异常或市场出现系统性风险时，监管部门、证券交易所和证券公司都将可能对融资交易采取相应措施，例如提高融资保证金比例、维持担保比例和强制平仓的条件等，以维护市场平稳运行。这些措施将可能给本金带来杠杆效应降低、甚至提前进入追加担保物或强制平仓状态等潜在损失。</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2）流动性风险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融资业务的流动性风险主要指当基金不能按照约定的期限清偿债务，或上市证券价格波动导致担保物价值与融资债务之间的比例低于平仓维持担保比例，且不能按照约定的时间追加担保物时面临强制平仓的风险。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3）信用风险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信用风险主要指交易对手违约产生的风险。一方面，如果证券公司没有按照融资合同的要求履行义务可能带来风险；另一方面，若在从事融资交易期间，证券公司融资业务资格、融资业务交易权限被取消或被暂停，证券公司可能无法履约，则投资组合可能会面临一定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17、</w:t>
      </w:r>
      <w:r>
        <w:rPr>
          <w:rFonts w:ascii="宋体" w:hAnsi="宋体" w:hint="eastAsia"/>
          <w:sz w:val="24"/>
        </w:rPr>
        <w:t>本基金参与转融通证券出借业务的特定风险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本基金可根据法律法规和基金合同的约定参与转融通证券出借业务，面临的风</w:t>
      </w:r>
      <w:r>
        <w:rPr>
          <w:rFonts w:ascii="宋体" w:hAnsi="宋体" w:hint="eastAsia"/>
          <w:sz w:val="24"/>
        </w:rPr>
        <w:lastRenderedPageBreak/>
        <w:t>险包括但不限于：</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1）流动性风险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面对大额赎回时，可能因证券出借原因发生无法及时变现、支付赎回款项的风险；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2）信用风险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证券出借对手方可能无法及时归还证券、无法支付相应权益补偿及借券费用的风险；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3）市场风险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证券出借后可能面临出借期间无法及时处置证券的风险；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（4）其他风险</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如宏观政策变化、证券市场剧烈波动、个别证券出现重大事件、交易对手方违约、业务规则调整、信息技术不能正常运行等风险。</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宋体" w:hAnsi="宋体" w:hint="eastAsia"/>
          <w:b/>
          <w:sz w:val="24"/>
        </w:rPr>
        <w:t>（六）</w:t>
      </w:r>
      <w:r>
        <w:rPr>
          <w:rFonts w:ascii="Times New Roman" w:hAnsi="Times New Roman" w:hint="eastAsia"/>
          <w:b/>
          <w:sz w:val="24"/>
        </w:rPr>
        <w:t>本基金法律文件风险收益特征表述与销售机构基金风险评价可能不一致的风险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w:t>
      </w:r>
      <w:r>
        <w:rPr>
          <w:rFonts w:ascii="Times New Roman" w:hAnsi="Times New Roman" w:hint="eastAsia"/>
          <w:b/>
          <w:sz w:val="24"/>
        </w:rPr>
        <w:t>七</w:t>
      </w:r>
      <w:r>
        <w:rPr>
          <w:rFonts w:ascii="Times New Roman" w:hAnsi="Times New Roman"/>
          <w:b/>
          <w:sz w:val="24"/>
        </w:rPr>
        <w:t>）其他风险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、因技术因素而产生的风险，如电脑系统不可靠产生的风险；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、因基金业务快速发展，在制度建设、人员配备、内控制度建立等方面的不完善产生的风险；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、因人为因素而产生的风险、如内幕交易、欺诈行为等产生的风险；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、对主要业务人员如基金经理的依赖而可能产生的风险；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、因业务竞争压力可能产生的风险；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、战争、自然灾害等不可抗力可能导致基金财产的损失，影响基金收益水平，从而带来风险；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7</w:t>
      </w:r>
      <w:r>
        <w:rPr>
          <w:rFonts w:ascii="Times New Roman" w:hAnsi="Times New Roman"/>
          <w:sz w:val="24"/>
        </w:rPr>
        <w:t>、其他意外导致的风险。</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40" w:name="_Toc147840636"/>
      <w:r>
        <w:rPr>
          <w:rFonts w:ascii="Times New Roman" w:hAnsi="Times New Roman"/>
          <w:sz w:val="30"/>
        </w:rPr>
        <w:lastRenderedPageBreak/>
        <w:t>十</w:t>
      </w:r>
      <w:r>
        <w:rPr>
          <w:rFonts w:ascii="Times New Roman" w:hAnsi="Times New Roman" w:hint="eastAsia"/>
          <w:sz w:val="30"/>
        </w:rPr>
        <w:t>八</w:t>
      </w:r>
      <w:r>
        <w:rPr>
          <w:rFonts w:ascii="Times New Roman" w:hAnsi="Times New Roman"/>
          <w:sz w:val="30"/>
        </w:rPr>
        <w:t>、基金合同的变更、终止与基金财产的清算</w:t>
      </w:r>
      <w:bookmarkEnd w:id="40"/>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（一）《基金合同》的变更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、变更基金合同涉及法律法规规定或基金合同约定应经基金份额持有人大会决议通过的事项的，应召</w:t>
      </w:r>
      <w:proofErr w:type="gramStart"/>
      <w:r>
        <w:rPr>
          <w:rFonts w:ascii="Times New Roman" w:hAnsi="Times New Roman"/>
          <w:sz w:val="24"/>
        </w:rPr>
        <w:t>开基金</w:t>
      </w:r>
      <w:proofErr w:type="gramEnd"/>
      <w:r>
        <w:rPr>
          <w:rFonts w:ascii="Times New Roman" w:hAnsi="Times New Roman"/>
          <w:sz w:val="24"/>
        </w:rPr>
        <w:t>份额持有人大会决议通过。对于法律法规规定和基金合同约定可不经基金份额持有人大会决议通过的事项，由基金管理人和基金托管人同意后变更并公告，并</w:t>
      </w:r>
      <w:r>
        <w:rPr>
          <w:rFonts w:ascii="宋体" w:hAnsi="宋体" w:hint="eastAsia"/>
          <w:sz w:val="24"/>
        </w:rPr>
        <w:t>按规定</w:t>
      </w:r>
      <w:r>
        <w:rPr>
          <w:rFonts w:ascii="Times New Roman" w:hAnsi="Times New Roman"/>
          <w:sz w:val="24"/>
        </w:rPr>
        <w:t>报中国证监会备案。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、关于《基金合同》变更的基金份额持有人大会决议自生效后方可执行，</w:t>
      </w:r>
      <w:proofErr w:type="gramStart"/>
      <w:r>
        <w:rPr>
          <w:rFonts w:ascii="Times New Roman" w:hAnsi="Times New Roman"/>
          <w:sz w:val="24"/>
        </w:rPr>
        <w:t>自决议</w:t>
      </w:r>
      <w:proofErr w:type="gramEnd"/>
      <w:r>
        <w:rPr>
          <w:rFonts w:ascii="Times New Roman" w:hAnsi="Times New Roman"/>
          <w:sz w:val="24"/>
        </w:rPr>
        <w:t>生效后依照《信息披露办法》的规定在规定媒介公告。</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（二）《基金合同》的终止事由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有下列情形之一的，经履行相关程序后，《基金合同》应当终止：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、基金份额持有人大会决定终止的；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、基金管理人、基金托管人职责终止，在</w:t>
      </w:r>
      <w:r>
        <w:rPr>
          <w:rFonts w:ascii="Times New Roman" w:hAnsi="Times New Roman"/>
          <w:sz w:val="24"/>
        </w:rPr>
        <w:t>6</w:t>
      </w:r>
      <w:r>
        <w:rPr>
          <w:rFonts w:ascii="Times New Roman" w:hAnsi="Times New Roman"/>
          <w:sz w:val="24"/>
        </w:rPr>
        <w:t>个月内没有新基金管理人、新基金托管人承接的；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、连续</w:t>
      </w:r>
      <w:r>
        <w:rPr>
          <w:rFonts w:ascii="Times New Roman" w:hAnsi="Times New Roman"/>
          <w:sz w:val="24"/>
        </w:rPr>
        <w:t>50</w:t>
      </w:r>
      <w:r>
        <w:rPr>
          <w:rFonts w:ascii="Times New Roman" w:hAnsi="Times New Roman"/>
          <w:sz w:val="24"/>
        </w:rPr>
        <w:t>个工作日出现基金份额持有人数量不满</w:t>
      </w:r>
      <w:r>
        <w:rPr>
          <w:rFonts w:ascii="Times New Roman" w:hAnsi="Times New Roman"/>
          <w:sz w:val="24"/>
        </w:rPr>
        <w:t>200</w:t>
      </w:r>
      <w:r>
        <w:rPr>
          <w:rFonts w:ascii="Times New Roman" w:hAnsi="Times New Roman"/>
          <w:sz w:val="24"/>
        </w:rPr>
        <w:t>人或者基金资产净值低于</w:t>
      </w:r>
      <w:r>
        <w:rPr>
          <w:rFonts w:ascii="Times New Roman" w:hAnsi="Times New Roman"/>
          <w:sz w:val="24"/>
        </w:rPr>
        <w:t>5000</w:t>
      </w:r>
      <w:r>
        <w:rPr>
          <w:rFonts w:ascii="Times New Roman" w:hAnsi="Times New Roman"/>
          <w:sz w:val="24"/>
        </w:rPr>
        <w:t>万元情形的，基金合同</w:t>
      </w:r>
      <w:r>
        <w:rPr>
          <w:rFonts w:ascii="Times New Roman" w:hAnsi="Times New Roman" w:hint="eastAsia"/>
          <w:sz w:val="24"/>
        </w:rPr>
        <w:t>终止</w:t>
      </w:r>
      <w:r>
        <w:rPr>
          <w:rFonts w:ascii="Times New Roman" w:hAnsi="Times New Roman"/>
          <w:sz w:val="24"/>
        </w:rPr>
        <w:t>，不需召开基金份额持有人大会；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、《基金合同》约定的其他情形；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、相关法律法规和中国证监会规定的其他情况。</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（三）基金财产的清算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、基金财产清算小组：自出现《基金合同》终止事由之日起</w:t>
      </w:r>
      <w:r>
        <w:rPr>
          <w:rFonts w:ascii="Times New Roman" w:hAnsi="Times New Roman"/>
          <w:sz w:val="24"/>
        </w:rPr>
        <w:t>30</w:t>
      </w:r>
      <w:r>
        <w:rPr>
          <w:rFonts w:ascii="Times New Roman" w:hAnsi="Times New Roman"/>
          <w:sz w:val="24"/>
        </w:rPr>
        <w:t>个工作日内成立清算小组，基金管理人组织基金财产清算小组并在中国证监会的监督下进行基金清算。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、基金财产清算小组职责：基金财产清算小组负责基金财产的保管、清理、</w:t>
      </w:r>
      <w:r>
        <w:rPr>
          <w:rFonts w:ascii="Times New Roman" w:hAnsi="Times New Roman"/>
          <w:sz w:val="24"/>
        </w:rPr>
        <w:lastRenderedPageBreak/>
        <w:t>估价、变现和分配。基金财产清算小组可以依法进行必要的民事活动。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、基金财产清算程序：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）《基金合同》终止情形出现时，由基金财产清算小组统一接管基金</w:t>
      </w:r>
      <w:r>
        <w:rPr>
          <w:rFonts w:ascii="Times New Roman" w:hAnsi="Times New Roman" w:hint="eastAsia"/>
          <w:bCs/>
          <w:sz w:val="24"/>
        </w:rPr>
        <w:t>财产</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）对基金财产和债权债务进行清理和确认；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）对基金财产进行估值和变现；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）制作清算报告；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）聘请会计师事务所对清算报告进行外部审计，聘请律师事务所对清算报告出具法律意见书；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）将清算报告报中国证监会备案并公告；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7</w:t>
      </w:r>
      <w:r>
        <w:rPr>
          <w:rFonts w:ascii="Times New Roman" w:hAnsi="Times New Roman"/>
          <w:sz w:val="24"/>
        </w:rPr>
        <w:t>）对基金剩余财产进行分配。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、基金财产清算的期限为</w:t>
      </w:r>
      <w:r>
        <w:rPr>
          <w:rFonts w:ascii="Times New Roman" w:hAnsi="Times New Roman"/>
          <w:sz w:val="24"/>
        </w:rPr>
        <w:t>6</w:t>
      </w:r>
      <w:r>
        <w:rPr>
          <w:rFonts w:ascii="Times New Roman" w:hAnsi="Times New Roman"/>
          <w:sz w:val="24"/>
        </w:rPr>
        <w:t>个月，但因本基金所持证券的流动性受到限制而不能及时变现的，清算期限相应顺延。</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（四）清算费用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清算费用是指基金财产清算小组在进行基金</w:t>
      </w:r>
      <w:r>
        <w:rPr>
          <w:rFonts w:ascii="宋体" w:hAnsi="宋体" w:hint="eastAsia"/>
          <w:sz w:val="24"/>
        </w:rPr>
        <w:t>财产</w:t>
      </w:r>
      <w:r>
        <w:rPr>
          <w:rFonts w:ascii="Times New Roman" w:hAnsi="Times New Roman"/>
          <w:sz w:val="24"/>
        </w:rPr>
        <w:t>清算过程中发生的所有合理费用，清算费用由基金财产清算小组优先从基金财产中支付。</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（五）基金财产清算剩余资产的分配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（六）基金财产清算的公告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清算过程中的有关重大事项须及时公告；基金财产清算报告</w:t>
      </w:r>
      <w:proofErr w:type="gramStart"/>
      <w:r>
        <w:rPr>
          <w:rFonts w:ascii="Times New Roman" w:hAnsi="Times New Roman"/>
          <w:sz w:val="24"/>
        </w:rPr>
        <w:t>经</w:t>
      </w:r>
      <w:r>
        <w:rPr>
          <w:rFonts w:ascii="Times New Roman" w:hAnsi="Times New Roman" w:hint="eastAsia"/>
          <w:bCs/>
          <w:sz w:val="24"/>
        </w:rPr>
        <w:t>符合</w:t>
      </w:r>
      <w:proofErr w:type="gramEnd"/>
      <w:r>
        <w:rPr>
          <w:rFonts w:ascii="Times New Roman" w:hAnsi="Times New Roman" w:hint="eastAsia"/>
          <w:bCs/>
          <w:sz w:val="24"/>
        </w:rPr>
        <w:t>《中华人民共和国证券法》规定的</w:t>
      </w:r>
      <w:r>
        <w:rPr>
          <w:rFonts w:ascii="Times New Roman" w:hAnsi="Times New Roman"/>
          <w:sz w:val="24"/>
        </w:rPr>
        <w:t>会计师事务所审计并由律师事务所出具法律意见书后报中国证监会备案并公告。基金财产清算公告于基金财产清算报告报中国证监会备案后</w:t>
      </w:r>
      <w:r>
        <w:rPr>
          <w:rFonts w:ascii="Times New Roman" w:hAnsi="Times New Roman"/>
          <w:sz w:val="24"/>
        </w:rPr>
        <w:t>5</w:t>
      </w:r>
      <w:r>
        <w:rPr>
          <w:rFonts w:ascii="Times New Roman" w:hAnsi="Times New Roman"/>
          <w:sz w:val="24"/>
        </w:rPr>
        <w:t>个工作日内由基金财产清算小组进行公告</w:t>
      </w:r>
      <w:r>
        <w:rPr>
          <w:rFonts w:ascii="Times New Roman" w:hAnsi="Times New Roman" w:hint="eastAsia"/>
          <w:sz w:val="24"/>
        </w:rPr>
        <w:t>，基金财产清算小组应当将清算报告登载在规定网站上，并将清算报告提示性公告登载在规定报刊上</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（七）基金财产清算账册及文件的保存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基金财产清算账册及有关文件由基金托管人保存</w:t>
      </w:r>
      <w:r>
        <w:rPr>
          <w:rFonts w:ascii="Times New Roman" w:hAnsi="Times New Roman" w:hint="eastAsia"/>
          <w:bCs/>
          <w:sz w:val="24"/>
        </w:rPr>
        <w:t>不低于法律法规规定的最低期限。</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bookmarkStart w:id="41" w:name="_Toc147840637"/>
      <w:r>
        <w:rPr>
          <w:rFonts w:ascii="Times New Roman" w:hAnsi="Times New Roman"/>
          <w:sz w:val="30"/>
        </w:rPr>
        <w:lastRenderedPageBreak/>
        <w:t>十</w:t>
      </w:r>
      <w:r>
        <w:rPr>
          <w:rFonts w:ascii="Times New Roman" w:hAnsi="Times New Roman" w:hint="eastAsia"/>
          <w:sz w:val="30"/>
        </w:rPr>
        <w:t>九</w:t>
      </w:r>
      <w:r>
        <w:rPr>
          <w:rFonts w:ascii="Times New Roman" w:hAnsi="Times New Roman"/>
          <w:sz w:val="30"/>
        </w:rPr>
        <w:t>、基金合同内容摘要</w:t>
      </w:r>
      <w:bookmarkEnd w:id="41"/>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（一）基金份额持有人、基金管理人和基金托管人的权利与义务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、基金管理人的权利与义务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）根据《基金法》、《运作办法》及其他有关规定，基金管理人的权利包括但不限于：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）依法募集资金；</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）自《基金合同》生效之日起，根据法律法规和《基金合同》独立运用并管理基金财产；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）依照《基金合同》收取基金管理费以及法律法规规定或中国证监会批准的其他费用；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）销售基金份额；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）按照规定召集基金份额持有人大会；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）依据《基金合同》及有关法律规定监督基金托管人，如认为基金托管人违反了《基金合同》及国家有关法律规定，应呈报中国证监会和其他监管部门，并采取必要措施保护基金投资者的利益；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）在基金托管人更换时，提名新的基金托管人；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）选择、更换基金销售机构，对基金销售机构的相关行为进行监督和处理；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）担任或委托其他符合条件的机构担任基金登记机构办理基金登记业务并获得《基金合同》规定的费用；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）依据《基金合同》及有关法律规定决定基金收益的分配方案；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）在《基金合同》约定的范围内，拒绝或暂停受理申购与赎回申请；</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sz w:val="24"/>
        </w:rPr>
        <w:t>）依照法律法规为基金的利益对被投资公司行使股东权利，为基金的利益行使因基金财产投资于证券所产生的权利；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13</w:t>
      </w:r>
      <w:r>
        <w:rPr>
          <w:rFonts w:ascii="Times New Roman" w:hAnsi="Times New Roman"/>
          <w:sz w:val="24"/>
        </w:rPr>
        <w:t>）在法律法规允许的前提下，为基金的利益依法为基金进行融资</w:t>
      </w:r>
      <w:r>
        <w:rPr>
          <w:rFonts w:ascii="Times New Roman" w:hAnsi="Times New Roman" w:hint="eastAsia"/>
          <w:sz w:val="24"/>
        </w:rPr>
        <w:t>及转融通证券出借业务</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14</w:t>
      </w:r>
      <w:r>
        <w:rPr>
          <w:rFonts w:ascii="Times New Roman" w:hAnsi="Times New Roman"/>
          <w:sz w:val="24"/>
        </w:rPr>
        <w:t>）以基金管理人的名义，代表基金份额持有人的利益行使诉讼权利或者实施其他法律行为；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15</w:t>
      </w:r>
      <w:r>
        <w:rPr>
          <w:rFonts w:ascii="Times New Roman" w:hAnsi="Times New Roman"/>
          <w:sz w:val="24"/>
        </w:rPr>
        <w:t>）选择、更换律师事务所、会计师事务所、证券经纪商</w:t>
      </w:r>
      <w:r>
        <w:rPr>
          <w:rFonts w:ascii="Times New Roman" w:hAnsi="Times New Roman" w:hint="eastAsia"/>
          <w:bCs/>
          <w:sz w:val="24"/>
        </w:rPr>
        <w:t>、期货经纪机构</w:t>
      </w:r>
      <w:r>
        <w:rPr>
          <w:rFonts w:ascii="Times New Roman" w:hAnsi="Times New Roman"/>
          <w:sz w:val="24"/>
        </w:rPr>
        <w:t>或其他为基金提供服务的外部机构；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16</w:t>
      </w:r>
      <w:r>
        <w:rPr>
          <w:rFonts w:ascii="Times New Roman" w:hAnsi="Times New Roman"/>
          <w:sz w:val="24"/>
        </w:rPr>
        <w:t>）在符合有关法律、法规的前提下，制定和调整有关基金认购、申购、赎回、转换等的业务规则；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17</w:t>
      </w:r>
      <w:r>
        <w:rPr>
          <w:rFonts w:ascii="Times New Roman" w:hAnsi="Times New Roman"/>
          <w:sz w:val="24"/>
        </w:rPr>
        <w:t>）法律法规及中国证监会规定的和《基金合同》约定的其他权利。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）根据《基金法》、《运作办法》及其他有关规定，基金管理人的义务包括但不限于：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）依法募集资金，办理或者委托经中国证监会认定的其他机构办理基金份额的发售、申购、赎回和登记事宜；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）办理基金备案手续；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）自《基金合同》生效之日起，以诚实信用、谨慎勤勉的原则管理和运用基金财产；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）配备足够的具有专业资格的人员进行基金投资分析、决策，以专业化的经营方式管理和运作基金财产；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）建立健全内部风险控制、监察与稽核、财务管理及人事管理等制度，保证所管理的基金财产和基金管理人的财产相互独立，对所管理的不同基金分别管理，分别记账，进行证券投资；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）除依据《基金法》、《基金合同》及其他有关规定外，不得利用基金财产为自己及任何第三人谋取利益，不得委托第三人运作基金财产；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）依法接受基金托管人的监督；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）采取适当合理的措施使计算基金份额认购、申购、赎回和注销价格的方法符合《基金合同》等法律文件的规定，按有关规定计算并公告基金净值信息，确定基金份额申购、赎回的价格；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）进行基金会计核算并编制基金财务会计报告；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）编制季度报告、中期报告和年度报告；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）严格按照《基金法》、《基金合同》及其他有关规定，履行信息披露及报告义务；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sz w:val="24"/>
        </w:rPr>
        <w:t>）保守基金商业秘密，不泄露基金投资计划、投资意向等。除《基金法》、《基金合同》及其他有关规定另有规定外，在基金信息公开披露前应予保密，不向他人泄露；</w:t>
      </w:r>
      <w:r>
        <w:rPr>
          <w:rFonts w:ascii="Times New Roman" w:hAnsi="Times New Roman" w:hint="eastAsia"/>
          <w:sz w:val="24"/>
        </w:rPr>
        <w:t>但根据监管机构、司法机关等有权机关的要求提供，或因审计、法律等外部专业顾问提供服务需要提供的情况除外；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13</w:t>
      </w:r>
      <w:r>
        <w:rPr>
          <w:rFonts w:ascii="Times New Roman" w:hAnsi="Times New Roman"/>
          <w:sz w:val="24"/>
        </w:rPr>
        <w:t>）按《基金合同》的约定确定基金收益分配方案，及时向基金份额持有人分</w:t>
      </w:r>
      <w:r>
        <w:rPr>
          <w:rFonts w:ascii="Times New Roman" w:hAnsi="Times New Roman"/>
          <w:sz w:val="24"/>
        </w:rPr>
        <w:lastRenderedPageBreak/>
        <w:t>配基金收益；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14</w:t>
      </w:r>
      <w:r>
        <w:rPr>
          <w:rFonts w:ascii="Times New Roman" w:hAnsi="Times New Roman"/>
          <w:sz w:val="24"/>
        </w:rPr>
        <w:t>）按规定受理申购与赎回申请，及时、足额支付赎回款项；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15</w:t>
      </w:r>
      <w:r>
        <w:rPr>
          <w:rFonts w:ascii="Times New Roman" w:hAnsi="Times New Roman"/>
          <w:sz w:val="24"/>
        </w:rPr>
        <w:t>）依据《基金法》、《基金合同》及其他有关规定召集基金份额持有人大会或配合基金托管人、基金份额持有人依法召集基金份额持有人大会；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16</w:t>
      </w:r>
      <w:r>
        <w:rPr>
          <w:rFonts w:ascii="Times New Roman" w:hAnsi="Times New Roman"/>
          <w:sz w:val="24"/>
        </w:rPr>
        <w:t>）按规定保存基金财产管理业务活动的会计账册、报表、记录和其他相关资料</w:t>
      </w:r>
      <w:r>
        <w:rPr>
          <w:rFonts w:ascii="Times New Roman" w:hAnsi="Times New Roman" w:hint="eastAsia"/>
          <w:bCs/>
          <w:sz w:val="24"/>
        </w:rPr>
        <w:t>不低于法律法规规定的最低期限</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17</w:t>
      </w:r>
      <w:r>
        <w:rPr>
          <w:rFonts w:ascii="Times New Roman" w:hAnsi="Times New Roman"/>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18</w:t>
      </w:r>
      <w:r>
        <w:rPr>
          <w:rFonts w:ascii="Times New Roman" w:hAnsi="Times New Roman"/>
          <w:sz w:val="24"/>
        </w:rPr>
        <w:t>）组织并参加基金财产清算小组，参与基金财产的保管、清理、估价、变现和分配；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19</w:t>
      </w:r>
      <w:r>
        <w:rPr>
          <w:rFonts w:ascii="Times New Roman" w:hAnsi="Times New Roman"/>
          <w:sz w:val="24"/>
        </w:rPr>
        <w:t>）面临解散、依法被撤销或者被依法宣告破产时，及时报告中国证监会并通知基金托管人；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20</w:t>
      </w:r>
      <w:r>
        <w:rPr>
          <w:rFonts w:ascii="Times New Roman" w:hAnsi="Times New Roman"/>
          <w:sz w:val="24"/>
        </w:rPr>
        <w:t>）因违反《基金合同》导致基金财产的损失或损害基金份额持有人合法权益时，应当承担赔偿责任，其赔偿责任不因其退任而免除；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21</w:t>
      </w:r>
      <w:r>
        <w:rPr>
          <w:rFonts w:ascii="Times New Roman" w:hAnsi="Times New Roman"/>
          <w:sz w:val="24"/>
        </w:rPr>
        <w:t>）监督基金托管人按法律法规和《基金合同》规定履行自己的义务，基金托管人违反《基金合同》造成基金财产损失时，基金管理人应为基金份额持有人利益向基金托管人追偿；</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22</w:t>
      </w:r>
      <w:r>
        <w:rPr>
          <w:rFonts w:ascii="Times New Roman" w:hAnsi="Times New Roman"/>
          <w:sz w:val="24"/>
        </w:rPr>
        <w:t>）当基金管理人将其义务委托第三方处理时，应当对第三方处理有关基金事务的行为承担责任；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23</w:t>
      </w:r>
      <w:r>
        <w:rPr>
          <w:rFonts w:ascii="Times New Roman" w:hAnsi="Times New Roman"/>
          <w:sz w:val="24"/>
        </w:rPr>
        <w:t>）以基金管理人名义，代表基金份额持有人利益行使诉讼权利或实施其他法律行为；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24</w:t>
      </w:r>
      <w:r>
        <w:rPr>
          <w:rFonts w:ascii="Times New Roman" w:hAnsi="Times New Roman"/>
          <w:sz w:val="24"/>
        </w:rPr>
        <w:t>）基金管理人在募集期间未能达到基金的备案条件，《基金合同》不能生效，基金管理人承担因募集行为而产生的债务和费用，将已募集资金并加计银行同期活期存款利息在基金募集期结束后</w:t>
      </w:r>
      <w:r>
        <w:rPr>
          <w:rFonts w:ascii="Times New Roman" w:hAnsi="Times New Roman"/>
          <w:sz w:val="24"/>
        </w:rPr>
        <w:t>30</w:t>
      </w:r>
      <w:r>
        <w:rPr>
          <w:rFonts w:ascii="Times New Roman" w:hAnsi="Times New Roman"/>
          <w:sz w:val="24"/>
        </w:rPr>
        <w:t>日内退还基金认购人；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25</w:t>
      </w:r>
      <w:r>
        <w:rPr>
          <w:rFonts w:ascii="Times New Roman" w:hAnsi="Times New Roman"/>
          <w:sz w:val="24"/>
        </w:rPr>
        <w:t>）执行生效的基金份额持有人大会的决议；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26</w:t>
      </w:r>
      <w:r>
        <w:rPr>
          <w:rFonts w:ascii="Times New Roman" w:hAnsi="Times New Roman"/>
          <w:sz w:val="24"/>
        </w:rPr>
        <w:t>）建立并保存基金份额持有人名册；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27</w:t>
      </w:r>
      <w:r>
        <w:rPr>
          <w:rFonts w:ascii="Times New Roman" w:hAnsi="Times New Roman"/>
          <w:sz w:val="24"/>
        </w:rPr>
        <w:t>）法律法规及中国证监会规定的和《基金合同》约定的其他义务。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、基金托管人的权利与义务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）根据《基金法》、《运作办法》及其他有关规定，基金托管人的权利包括</w:t>
      </w:r>
      <w:r>
        <w:rPr>
          <w:rFonts w:ascii="Times New Roman" w:hAnsi="Times New Roman"/>
          <w:sz w:val="24"/>
        </w:rPr>
        <w:lastRenderedPageBreak/>
        <w:t>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）自《基金合同》生效之日起，依法</w:t>
      </w:r>
      <w:proofErr w:type="gramStart"/>
      <w:r>
        <w:rPr>
          <w:rFonts w:ascii="Times New Roman" w:hAnsi="Times New Roman"/>
          <w:sz w:val="24"/>
        </w:rPr>
        <w:t>律法规</w:t>
      </w:r>
      <w:proofErr w:type="gramEnd"/>
      <w:r>
        <w:rPr>
          <w:rFonts w:ascii="Times New Roman" w:hAnsi="Times New Roman"/>
          <w:sz w:val="24"/>
        </w:rPr>
        <w:t>和《基金合同》的规定安全保管基金财产；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）依《基金合同》约定获得基金托管费以及法律法规规定或监管部门批准的其他费用；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）根据相关市场规则，为基金开设资金账户、证券账户等投资所需账户，为基金办理证券交易资金清算；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）提议召开或召集基金份额持有人大会；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）在基金管理人更换时，提名新的基金管理人；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）法律法规及中国证监会规定的和《基金合同》约定的其他权利。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）根据《基金法》、《运作办法》及其他有关规定，基金托管人的义务包括但不限于：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）以诚实信用、勤勉尽责的原则持有并安全保管基金财产；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）设立专门的基金托管部门，具有符合要求的营业场所，配备足够的、合格的熟悉基金托管业务的专职人员，负责基金财产托管事宜；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）除依据《基金法》、《基金合同》及其他有关规定外，不得利用基金财产为自己及任何第三人谋取利益，不得委托第三人托管基金财产；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）保管由基金管理人代表基金签订的与基金有关的重大合同及有关凭证；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）按规定开设基金财产的资金账户、证券账户等投资所需账户，按照《基金合同》的约定，根据基金管理人的投资指令，及时办理清算、交割事宜；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）保守基金商业秘密，除《基金法》、《基金合同》及其他有关规定另有规定外，在基金信息公开披露前予以保密，不得向他人泄露；</w:t>
      </w:r>
      <w:r>
        <w:rPr>
          <w:rFonts w:ascii="Times New Roman" w:hAnsi="Times New Roman" w:hint="eastAsia"/>
          <w:bCs/>
          <w:sz w:val="24"/>
        </w:rPr>
        <w:t>但根据监管机构、司法机关等有权机关的要求提供，或因审计、法律等外部专业顾问提供服务需要提供的情</w:t>
      </w:r>
      <w:r>
        <w:rPr>
          <w:rFonts w:ascii="Times New Roman" w:hAnsi="Times New Roman" w:hint="eastAsia"/>
          <w:bCs/>
          <w:sz w:val="24"/>
        </w:rPr>
        <w:lastRenderedPageBreak/>
        <w:t>况除外；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）复核、审查基金管理人计算的基金资产净值、</w:t>
      </w:r>
      <w:r>
        <w:rPr>
          <w:rFonts w:ascii="Times New Roman" w:hAnsi="Times New Roman" w:hint="eastAsia"/>
          <w:sz w:val="24"/>
        </w:rPr>
        <w:t>各类</w:t>
      </w:r>
      <w:r>
        <w:rPr>
          <w:rFonts w:ascii="Times New Roman" w:hAnsi="Times New Roman"/>
          <w:sz w:val="24"/>
        </w:rPr>
        <w:t>基金份额净值、基金份额申购、赎回价格；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）办理与基金托管业务活动有关的信息披露事项；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）保存基金托管业务活动的记录、账册、报表和其他相关资料</w:t>
      </w:r>
      <w:r>
        <w:rPr>
          <w:rFonts w:ascii="Times New Roman" w:hAnsi="Times New Roman" w:hint="eastAsia"/>
          <w:bCs/>
          <w:sz w:val="24"/>
        </w:rPr>
        <w:t>不低于法律法规规定的最低期限</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sz w:val="24"/>
        </w:rPr>
        <w:t>）</w:t>
      </w:r>
      <w:r>
        <w:rPr>
          <w:rFonts w:ascii="Times New Roman" w:hAnsi="Times New Roman" w:hint="eastAsia"/>
          <w:sz w:val="24"/>
        </w:rPr>
        <w:t>建立并</w:t>
      </w:r>
      <w:r>
        <w:rPr>
          <w:rFonts w:ascii="Times New Roman" w:hAnsi="Times New Roman"/>
          <w:sz w:val="24"/>
        </w:rPr>
        <w:t>保存基金份额持有人名册；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13</w:t>
      </w:r>
      <w:r>
        <w:rPr>
          <w:rFonts w:ascii="Times New Roman" w:hAnsi="Times New Roman"/>
          <w:sz w:val="24"/>
        </w:rPr>
        <w:t>）按规定制作相关账册并与基金管理人核对；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14</w:t>
      </w:r>
      <w:r>
        <w:rPr>
          <w:rFonts w:ascii="Times New Roman" w:hAnsi="Times New Roman"/>
          <w:sz w:val="24"/>
        </w:rPr>
        <w:t>）依据基金管理人的指令或有关规定向基金份额持有人支付基金收益和赎回款项；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15</w:t>
      </w:r>
      <w:r>
        <w:rPr>
          <w:rFonts w:ascii="Times New Roman" w:hAnsi="Times New Roman"/>
          <w:sz w:val="24"/>
        </w:rPr>
        <w:t>）依据《基金法》、《基金合同》及其他有关规定，召集基金份额持有人大会或配合基金管理人、基金份额持有人依法召集基金份额持有人大会；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16</w:t>
      </w:r>
      <w:r>
        <w:rPr>
          <w:rFonts w:ascii="Times New Roman" w:hAnsi="Times New Roman"/>
          <w:sz w:val="24"/>
        </w:rPr>
        <w:t>）按照法律法规和《基金合同》的规定监督基金管理人的投资运作；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17</w:t>
      </w:r>
      <w:r>
        <w:rPr>
          <w:rFonts w:ascii="Times New Roman" w:hAnsi="Times New Roman"/>
          <w:sz w:val="24"/>
        </w:rPr>
        <w:t>）参加基金财产清算小组，参与基金财产的保管、清理、估价、变现和分配；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18</w:t>
      </w:r>
      <w:r>
        <w:rPr>
          <w:rFonts w:ascii="Times New Roman" w:hAnsi="Times New Roman"/>
          <w:sz w:val="24"/>
        </w:rPr>
        <w:t>）面临解散、依法被撤销或者被依法宣告破产时，及时报告中国证监会，并通知基金管理人；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19</w:t>
      </w:r>
      <w:r>
        <w:rPr>
          <w:rFonts w:ascii="Times New Roman" w:hAnsi="Times New Roman"/>
          <w:sz w:val="24"/>
        </w:rPr>
        <w:t>）因违反《基金合同》导致基金财产损失时，应承担赔偿责任，其赔偿责任不因其退任而免除；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20</w:t>
      </w:r>
      <w:r>
        <w:rPr>
          <w:rFonts w:ascii="Times New Roman" w:hAnsi="Times New Roman"/>
          <w:sz w:val="24"/>
        </w:rPr>
        <w:t>）按规定监督基金管理人按法律法规和《基金合同》规定履行自己的义务，基金管理人因违反《基金合同》造成基金财产损失时，应为基金份额持有人利益向基金管理人追偿；</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21</w:t>
      </w:r>
      <w:r>
        <w:rPr>
          <w:rFonts w:ascii="Times New Roman" w:hAnsi="Times New Roman"/>
          <w:sz w:val="24"/>
        </w:rPr>
        <w:t>）执行生效的基金份额持有人大会的决议；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22</w:t>
      </w:r>
      <w:r>
        <w:rPr>
          <w:rFonts w:ascii="Times New Roman" w:hAnsi="Times New Roman"/>
          <w:sz w:val="24"/>
        </w:rPr>
        <w:t>）法律法规及中国证监会规定的和《基金合同》约定的其他义务。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、基金份额持有人的权利与义务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基金投资者持有本</w:t>
      </w:r>
      <w:proofErr w:type="gramStart"/>
      <w:r>
        <w:rPr>
          <w:rFonts w:ascii="Times New Roman" w:hAnsi="Times New Roman"/>
          <w:sz w:val="24"/>
        </w:rPr>
        <w:t>基金基金</w:t>
      </w:r>
      <w:proofErr w:type="gramEnd"/>
      <w:r>
        <w:rPr>
          <w:rFonts w:ascii="Times New Roman" w:hAnsi="Times New Roman"/>
          <w:sz w:val="24"/>
        </w:rPr>
        <w:t>份额的行为即视为对《基金合同》的承认和接受，</w:t>
      </w:r>
      <w:r>
        <w:rPr>
          <w:rFonts w:ascii="Times New Roman" w:hAnsi="Times New Roman"/>
          <w:sz w:val="24"/>
        </w:rPr>
        <w:lastRenderedPageBreak/>
        <w:t>基金投资者</w:t>
      </w:r>
      <w:proofErr w:type="gramStart"/>
      <w:r>
        <w:rPr>
          <w:rFonts w:ascii="Times New Roman" w:hAnsi="Times New Roman"/>
          <w:sz w:val="24"/>
        </w:rPr>
        <w:t>自依据</w:t>
      </w:r>
      <w:proofErr w:type="gramEnd"/>
      <w:r>
        <w:rPr>
          <w:rFonts w:ascii="Times New Roman" w:hAnsi="Times New Roman"/>
          <w:sz w:val="24"/>
        </w:rPr>
        <w:t>《基金合同》取得本</w:t>
      </w:r>
      <w:proofErr w:type="gramStart"/>
      <w:r>
        <w:rPr>
          <w:rFonts w:ascii="Times New Roman" w:hAnsi="Times New Roman"/>
          <w:sz w:val="24"/>
        </w:rPr>
        <w:t>基金基金</w:t>
      </w:r>
      <w:proofErr w:type="gramEnd"/>
      <w:r>
        <w:rPr>
          <w:rFonts w:ascii="Times New Roman" w:hAnsi="Times New Roman"/>
          <w:sz w:val="24"/>
        </w:rPr>
        <w:t>份额，即成为本</w:t>
      </w:r>
      <w:proofErr w:type="gramStart"/>
      <w:r>
        <w:rPr>
          <w:rFonts w:ascii="Times New Roman" w:hAnsi="Times New Roman" w:hint="eastAsia"/>
          <w:bCs/>
          <w:sz w:val="24"/>
        </w:rPr>
        <w:t>基金</w:t>
      </w:r>
      <w:r>
        <w:rPr>
          <w:rFonts w:ascii="Times New Roman" w:hAnsi="Times New Roman"/>
          <w:sz w:val="24"/>
        </w:rPr>
        <w:t>基金</w:t>
      </w:r>
      <w:proofErr w:type="gramEnd"/>
      <w:r>
        <w:rPr>
          <w:rFonts w:ascii="Times New Roman" w:hAnsi="Times New Roman"/>
          <w:sz w:val="24"/>
        </w:rPr>
        <w:t>份额持有人和《基金合同》的当事人，直至其不再持有本基金的基金份额。基金份额持有人作为《基金合同》当事人并不以在《基金合同》上书面签章或签字为必要条件。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同一类别每份基金份额具有同等的合法权益。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）根据《基金法》、《运作办法》及其他有关规定，基金份额持有人的权利包括但不限于：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）分享基金财产收益；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）参与分配清算后的剩余基金财产；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）依法并按照基金合同和招募说明书的规定转让或者申请赎回其持有的基金份额；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）按照规定要求召开基金份额持有人大会或者召集基金份额持有人大会；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）出席或者委派代表出席基金份额持有人大会，对基金份额持有人大会审议事项行使表决权；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）查阅或者复制公开披露的基金信息资料；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）监督基金管理人的投资运作；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）对基金管理人、基金托管人、基金服务机构损害其合法权益的行为依法提起诉讼或仲裁；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）法律法规及中国证监会规定的和《基金合同》约定的其他权利。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）根据《基金法》、《运作办法》及其他有关规定，基金份额持有人的义务包括但不限于：</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）认真阅读并遵守《基金合同》、招募说明书等信息披露文件；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）了解所投资基金产品，了解自身风险承受能力，自主判断基金的投资价值，自主做出投资决策，自行承担投资风险；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）关注基金信息披露，及时行使权利和履行义务；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）交纳基金认购、申购款项及法律法规和《基金合同》所规定的费用；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）在其持有的基金份额范围内，承担基金亏损或者《基金合同》终止的有限责任；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）不从事任何有损基金及其他《基金合同》当事人合法权益的活动；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）执行生效的基金份额持有人大会的决议；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）返还在基金交易过程中因任何原因获得的不当得利；</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9</w:t>
      </w:r>
      <w:r>
        <w:rPr>
          <w:rFonts w:ascii="Times New Roman" w:hAnsi="Times New Roman"/>
          <w:sz w:val="24"/>
        </w:rPr>
        <w:t>）遵守基金管理人、基金托管人、销售机构和登记机构的相关交易及业务规则；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）提供基金管理人和监管机构依法要求提供的信息，以及不时的更新和补充，并保证其真实性；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）法律法规及中国证监会规定的和《基金合同》约定的其他义务。</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（二）基金份额持有人大会召集、议事及表决的程序和规则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基金份额持有人大会由基金份额持有人组成，基金份额持有人的合法授权代表有权代表基金份额持有人出席会议并表决。基金份额持有人持有的每一基金份额拥有平等的投票权。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本基金份额持有人大会不设日常机构。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、召开事由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）当出现或需要决定下列事由之一的，应当召开基金份额持有人大会，法律法规、中国证监会另有规定的除外：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）终止《基金合同》</w:t>
      </w:r>
      <w:r>
        <w:rPr>
          <w:rFonts w:ascii="Times New Roman" w:hAnsi="Times New Roman" w:hint="eastAsia"/>
          <w:bCs/>
          <w:sz w:val="24"/>
        </w:rPr>
        <w:t>，基金合同另有规定的除外</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）更换基金管理人；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）更换基金托管人；</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）转换基金运作方式；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）调整基金管理人、基金托管人的报酬标准</w:t>
      </w:r>
      <w:r>
        <w:rPr>
          <w:rFonts w:ascii="Times New Roman" w:hAnsi="Times New Roman" w:hint="eastAsia"/>
          <w:bCs/>
          <w:sz w:val="24"/>
        </w:rPr>
        <w:t>或</w:t>
      </w:r>
      <w:r>
        <w:rPr>
          <w:rFonts w:ascii="Times New Roman" w:hAnsi="Times New Roman"/>
          <w:sz w:val="24"/>
        </w:rPr>
        <w:t>提高销售服务费</w:t>
      </w:r>
      <w:r>
        <w:rPr>
          <w:rFonts w:ascii="Times New Roman" w:hAnsi="Times New Roman" w:hint="eastAsia"/>
          <w:sz w:val="24"/>
        </w:rPr>
        <w:t>率</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）变更基金类别；</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）本基金与其他基金的合并；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）变更基金投资目标、范围或策略</w:t>
      </w:r>
      <w:r>
        <w:rPr>
          <w:rFonts w:ascii="Times New Roman" w:hAnsi="Times New Roman" w:hint="eastAsia"/>
          <w:bCs/>
          <w:sz w:val="24"/>
        </w:rPr>
        <w:t>，基金合同另有规定的除外</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）变更基金份额持有人大会程序</w:t>
      </w:r>
      <w:r>
        <w:rPr>
          <w:rFonts w:ascii="Times New Roman" w:hAnsi="Times New Roman" w:hint="eastAsia"/>
          <w:bCs/>
          <w:sz w:val="24"/>
        </w:rPr>
        <w:t>，基金合同另有规定的除外</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）基金管理人或基金托管人要求召开基金份额持有人大会；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11</w:t>
      </w:r>
      <w:r>
        <w:rPr>
          <w:rFonts w:ascii="Times New Roman" w:hAnsi="Times New Roman"/>
          <w:sz w:val="24"/>
        </w:rPr>
        <w:t>）单独或合计持有本基金总份额</w:t>
      </w:r>
      <w:r>
        <w:rPr>
          <w:rFonts w:ascii="Times New Roman" w:hAnsi="Times New Roman"/>
          <w:sz w:val="24"/>
        </w:rPr>
        <w:t>10%</w:t>
      </w:r>
      <w:r>
        <w:rPr>
          <w:rFonts w:ascii="Times New Roman" w:hAnsi="Times New Roman"/>
          <w:sz w:val="24"/>
        </w:rPr>
        <w:t>以上（含</w:t>
      </w:r>
      <w:r>
        <w:rPr>
          <w:rFonts w:ascii="Times New Roman" w:hAnsi="Times New Roman"/>
          <w:sz w:val="24"/>
        </w:rPr>
        <w:t>10%</w:t>
      </w:r>
      <w:r>
        <w:rPr>
          <w:rFonts w:ascii="Times New Roman" w:hAnsi="Times New Roman"/>
          <w:sz w:val="24"/>
        </w:rPr>
        <w:t>）基金份额的基金份额持有人（以基金管理人收到提议当日的基金份额计算，下同）就同一事项书面要求召开基金份额持有人大会；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12</w:t>
      </w:r>
      <w:r>
        <w:rPr>
          <w:rFonts w:ascii="Times New Roman" w:hAnsi="Times New Roman"/>
          <w:sz w:val="24"/>
        </w:rPr>
        <w:t>）对基金合同当事人权利和义务产生重大影响的其他事项；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13</w:t>
      </w:r>
      <w:r>
        <w:rPr>
          <w:rFonts w:ascii="Times New Roman" w:hAnsi="Times New Roman"/>
          <w:sz w:val="24"/>
        </w:rPr>
        <w:t>）法律法规、《基金合同》或中国证监会规定的其他应当召开基金份额持有人大会的事项。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）在法律法规规定和《基金合同》约定的范围内且对基金份额持有人利益</w:t>
      </w:r>
      <w:r>
        <w:rPr>
          <w:rFonts w:ascii="Times New Roman" w:hAnsi="Times New Roman"/>
          <w:sz w:val="24"/>
        </w:rPr>
        <w:lastRenderedPageBreak/>
        <w:t>无实质性不利影响的前提下，以下情况可由基金管理人和基金托管人协商后修改，不需召开基金份额持有人大会：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）调低基金销售服务费</w:t>
      </w:r>
      <w:r>
        <w:rPr>
          <w:rFonts w:ascii="Times New Roman" w:hAnsi="Times New Roman" w:hint="eastAsia"/>
          <w:bCs/>
          <w:sz w:val="24"/>
        </w:rPr>
        <w:t>率</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）法律法规要求增加的基金费用的收取；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）在法律法规和《基金合同》规定的范围内调整本基金的申购费率</w:t>
      </w:r>
      <w:r>
        <w:rPr>
          <w:rFonts w:ascii="Times New Roman" w:hAnsi="Times New Roman" w:hint="eastAsia"/>
          <w:sz w:val="24"/>
        </w:rPr>
        <w:t>、</w:t>
      </w:r>
      <w:r>
        <w:rPr>
          <w:rFonts w:ascii="Times New Roman" w:hAnsi="Times New Roman"/>
          <w:sz w:val="24"/>
        </w:rPr>
        <w:t>在对现有基金份额持有人利益无实质性不利影响的前提下变更收费方式；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w:t>
      </w:r>
      <w:proofErr w:type="gramStart"/>
      <w:r>
        <w:rPr>
          <w:rFonts w:ascii="Times New Roman" w:hAnsi="Times New Roman"/>
          <w:sz w:val="24"/>
        </w:rPr>
        <w:t>因相应</w:t>
      </w:r>
      <w:proofErr w:type="gramEnd"/>
      <w:r>
        <w:rPr>
          <w:rFonts w:ascii="Times New Roman" w:hAnsi="Times New Roman"/>
          <w:sz w:val="24"/>
        </w:rPr>
        <w:t>的法律法规、登记机构的相关业务规则发生变动而应当对《基金合同》进行修改；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）对《基金合同》的修改对基金份额持有人利益无实质性不利影响或修改不涉及《基金合同》当事人权利义务关系发生重大变化；</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）在法律法规允许的情况下，且在对现有基金份额持有人利益无实质性不利影响的前提下，基金</w:t>
      </w:r>
      <w:r>
        <w:rPr>
          <w:rFonts w:ascii="Times New Roman" w:hAnsi="Times New Roman" w:hint="eastAsia"/>
          <w:bCs/>
          <w:sz w:val="24"/>
        </w:rPr>
        <w:t>管理人履行适当程序后，</w:t>
      </w:r>
      <w:r>
        <w:rPr>
          <w:rFonts w:ascii="Times New Roman" w:hAnsi="Times New Roman"/>
          <w:sz w:val="24"/>
        </w:rPr>
        <w:t>推出新业务或服务；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）在符合法律法规及本基金合同规定、并且对基金份额持有人利益无实质</w:t>
      </w:r>
      <w:r>
        <w:rPr>
          <w:rFonts w:ascii="Times New Roman" w:hAnsi="Times New Roman" w:hint="eastAsia"/>
          <w:sz w:val="24"/>
        </w:rPr>
        <w:t>性</w:t>
      </w:r>
      <w:r>
        <w:rPr>
          <w:rFonts w:ascii="Times New Roman" w:hAnsi="Times New Roman"/>
          <w:sz w:val="24"/>
        </w:rPr>
        <w:t>不利影响的前提下，</w:t>
      </w:r>
      <w:r>
        <w:rPr>
          <w:rFonts w:ascii="Times New Roman" w:hAnsi="Times New Roman" w:hint="eastAsia"/>
          <w:bCs/>
          <w:sz w:val="24"/>
        </w:rPr>
        <w:t>增加或</w:t>
      </w:r>
      <w:r>
        <w:rPr>
          <w:rFonts w:ascii="Times New Roman" w:hAnsi="Times New Roman"/>
          <w:sz w:val="24"/>
        </w:rPr>
        <w:t>调整本基金份额类别的设置</w:t>
      </w:r>
      <w:r>
        <w:rPr>
          <w:rFonts w:ascii="Times New Roman" w:hAnsi="Times New Roman" w:hint="eastAsia"/>
          <w:bCs/>
          <w:sz w:val="24"/>
        </w:rPr>
        <w:t>、对基金份额分类办法及规则进行调整</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8</w:t>
      </w:r>
      <w:r>
        <w:rPr>
          <w:rFonts w:ascii="Times New Roman" w:hAnsi="Times New Roman" w:hint="eastAsia"/>
          <w:sz w:val="24"/>
        </w:rPr>
        <w:t>）若将来本基金管理人注册并成立追踪同一标的指数的交易型开放式指数基金（</w:t>
      </w:r>
      <w:r>
        <w:rPr>
          <w:rFonts w:ascii="Times New Roman" w:hAnsi="Times New Roman"/>
          <w:sz w:val="24"/>
        </w:rPr>
        <w:t>ETF</w:t>
      </w:r>
      <w:r>
        <w:rPr>
          <w:rFonts w:ascii="Times New Roman" w:hAnsi="Times New Roman" w:hint="eastAsia"/>
          <w:sz w:val="24"/>
        </w:rPr>
        <w:t>），</w:t>
      </w:r>
      <w:proofErr w:type="gramStart"/>
      <w:r>
        <w:rPr>
          <w:rFonts w:ascii="Times New Roman" w:hAnsi="Times New Roman" w:hint="eastAsia"/>
          <w:sz w:val="24"/>
        </w:rPr>
        <w:t>则基金</w:t>
      </w:r>
      <w:proofErr w:type="gramEnd"/>
      <w:r>
        <w:rPr>
          <w:rFonts w:ascii="Times New Roman" w:hAnsi="Times New Roman" w:hint="eastAsia"/>
          <w:sz w:val="24"/>
        </w:rPr>
        <w:t>管理人在履行适当程序后有权决定将本基金转换为该基金的联接基金，并相应修改《基金合同》；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9</w:t>
      </w:r>
      <w:r>
        <w:rPr>
          <w:rFonts w:ascii="Times New Roman" w:hAnsi="Times New Roman"/>
          <w:sz w:val="24"/>
        </w:rPr>
        <w:t>）</w:t>
      </w:r>
      <w:r>
        <w:rPr>
          <w:rFonts w:ascii="Times New Roman" w:hAnsi="Times New Roman" w:hint="eastAsia"/>
          <w:bCs/>
          <w:sz w:val="24"/>
        </w:rPr>
        <w:t>在不违反法律法规及对基金份额持有人利益无实质性不利影响的前提下，</w:t>
      </w:r>
      <w:r>
        <w:rPr>
          <w:rFonts w:ascii="Times New Roman" w:hAnsi="Times New Roman"/>
          <w:sz w:val="24"/>
        </w:rPr>
        <w:t>基金管理人、登记机构、销售机构调整有关基金认购、申购、赎回、转换、收益分配、</w:t>
      </w:r>
      <w:proofErr w:type="gramStart"/>
      <w:r>
        <w:rPr>
          <w:rFonts w:ascii="Times New Roman" w:hAnsi="Times New Roman"/>
          <w:sz w:val="24"/>
        </w:rPr>
        <w:t>非交易</w:t>
      </w:r>
      <w:proofErr w:type="gramEnd"/>
      <w:r>
        <w:rPr>
          <w:rFonts w:ascii="Times New Roman" w:hAnsi="Times New Roman"/>
          <w:sz w:val="24"/>
        </w:rPr>
        <w:t>过户、转托管等业务的规则；</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sz w:val="24"/>
        </w:rPr>
        <w:t>）按照法律法规和《基金合同》规定不需召开基金份额持有人大会的其他情形。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、会议召集人及召集方式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）除法律法规规定或《基金合同》另有约定外，基金份额持有人大会由基金管理人召集；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）基金管理人未按规定召集或不能召</w:t>
      </w:r>
      <w:r>
        <w:rPr>
          <w:rFonts w:ascii="Times New Roman" w:hAnsi="Times New Roman" w:hint="eastAsia"/>
          <w:sz w:val="24"/>
        </w:rPr>
        <w:t>集</w:t>
      </w:r>
      <w:r>
        <w:rPr>
          <w:rFonts w:ascii="Times New Roman" w:hAnsi="Times New Roman"/>
          <w:sz w:val="24"/>
        </w:rPr>
        <w:t>时，由基金托管人召集；</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）基金托管人认为有必要召开基金份额持有人大会的，应当向基金管理人提出书面提议。基金管理人应当自收到书面提议之日起</w:t>
      </w:r>
      <w:r>
        <w:rPr>
          <w:rFonts w:ascii="Times New Roman" w:hAnsi="Times New Roman"/>
          <w:sz w:val="24"/>
        </w:rPr>
        <w:t>10</w:t>
      </w:r>
      <w:r>
        <w:rPr>
          <w:rFonts w:ascii="Times New Roman" w:hAnsi="Times New Roman"/>
          <w:sz w:val="24"/>
        </w:rPr>
        <w:t>日内决定是否召集，并书面告知基金托管人。基金管理人决定召集的，应当自出具书面决定之日起</w:t>
      </w:r>
      <w:r>
        <w:rPr>
          <w:rFonts w:ascii="Times New Roman" w:hAnsi="Times New Roman"/>
          <w:sz w:val="24"/>
        </w:rPr>
        <w:t>60</w:t>
      </w:r>
      <w:r>
        <w:rPr>
          <w:rFonts w:ascii="Times New Roman" w:hAnsi="Times New Roman"/>
          <w:sz w:val="24"/>
        </w:rPr>
        <w:t>日内召</w:t>
      </w:r>
      <w:r>
        <w:rPr>
          <w:rFonts w:ascii="Times New Roman" w:hAnsi="Times New Roman"/>
          <w:sz w:val="24"/>
        </w:rPr>
        <w:lastRenderedPageBreak/>
        <w:t>开；基金管理人决定不召集，基金托管人仍认为有必要召开的，应当由基金托管人自行召集，并自出具书面决定之日起</w:t>
      </w:r>
      <w:r>
        <w:rPr>
          <w:rFonts w:ascii="Times New Roman" w:hAnsi="Times New Roman"/>
          <w:sz w:val="24"/>
        </w:rPr>
        <w:t>60</w:t>
      </w:r>
      <w:r>
        <w:rPr>
          <w:rFonts w:ascii="Times New Roman" w:hAnsi="Times New Roman"/>
          <w:sz w:val="24"/>
        </w:rPr>
        <w:t>日内召开并告知基金管理人，基金管理人应当配合；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）代表基金份额</w:t>
      </w:r>
      <w:r>
        <w:rPr>
          <w:rFonts w:ascii="Times New Roman" w:hAnsi="Times New Roman"/>
          <w:sz w:val="24"/>
        </w:rPr>
        <w:t>10%</w:t>
      </w:r>
      <w:r>
        <w:rPr>
          <w:rFonts w:ascii="Times New Roman" w:hAnsi="Times New Roman"/>
          <w:sz w:val="24"/>
        </w:rPr>
        <w:t>以上（含</w:t>
      </w:r>
      <w:r>
        <w:rPr>
          <w:rFonts w:ascii="Times New Roman" w:hAnsi="Times New Roman"/>
          <w:sz w:val="24"/>
        </w:rPr>
        <w:t>10%</w:t>
      </w:r>
      <w:r>
        <w:rPr>
          <w:rFonts w:ascii="Times New Roman" w:hAnsi="Times New Roman"/>
          <w:sz w:val="24"/>
        </w:rPr>
        <w:t>）的基金份额持有人就同一事项书面要求召开基金份额持有人大会，应当向基金管理人提出书面提议。基金管理人应当自收到书面提议之日起</w:t>
      </w:r>
      <w:r>
        <w:rPr>
          <w:rFonts w:ascii="Times New Roman" w:hAnsi="Times New Roman"/>
          <w:sz w:val="24"/>
        </w:rPr>
        <w:t>10</w:t>
      </w:r>
      <w:r>
        <w:rPr>
          <w:rFonts w:ascii="Times New Roman" w:hAnsi="Times New Roman"/>
          <w:sz w:val="24"/>
        </w:rPr>
        <w:t>日内决定是否召集，并书面告知提出提议的基金份额持有人代表和基金托管人。基金管理人决定召集的，应当自出具书面决定之日起</w:t>
      </w:r>
      <w:r>
        <w:rPr>
          <w:rFonts w:ascii="Times New Roman" w:hAnsi="Times New Roman"/>
          <w:sz w:val="24"/>
        </w:rPr>
        <w:t>60</w:t>
      </w:r>
      <w:r>
        <w:rPr>
          <w:rFonts w:ascii="Times New Roman" w:hAnsi="Times New Roman"/>
          <w:sz w:val="24"/>
        </w:rPr>
        <w:t>日内召开；基金管理人决定不召集，代表基金份额</w:t>
      </w:r>
      <w:r>
        <w:rPr>
          <w:rFonts w:ascii="Times New Roman" w:hAnsi="Times New Roman"/>
          <w:sz w:val="24"/>
        </w:rPr>
        <w:t>10%</w:t>
      </w:r>
      <w:r>
        <w:rPr>
          <w:rFonts w:ascii="Times New Roman" w:hAnsi="Times New Roman"/>
          <w:sz w:val="24"/>
        </w:rPr>
        <w:t>以上（含</w:t>
      </w:r>
      <w:r>
        <w:rPr>
          <w:rFonts w:ascii="Times New Roman" w:hAnsi="Times New Roman"/>
          <w:sz w:val="24"/>
        </w:rPr>
        <w:t>10%</w:t>
      </w:r>
      <w:r>
        <w:rPr>
          <w:rFonts w:ascii="Times New Roman" w:hAnsi="Times New Roman"/>
          <w:sz w:val="24"/>
        </w:rPr>
        <w:t>）的基金份额持有人仍认为有必要召开的，应当向基金托管人提出书面提议。基金托管人应当自收到书面提议之日起</w:t>
      </w:r>
      <w:r>
        <w:rPr>
          <w:rFonts w:ascii="Times New Roman" w:hAnsi="Times New Roman"/>
          <w:sz w:val="24"/>
        </w:rPr>
        <w:t>10</w:t>
      </w:r>
      <w:r>
        <w:rPr>
          <w:rFonts w:ascii="Times New Roman" w:hAnsi="Times New Roman"/>
          <w:sz w:val="24"/>
        </w:rPr>
        <w:t>日内决定是否召集，并书面告知提出提议的基金份额持有人代表和基金管理人；基金托管人决定召集的，应当自出具书面决定之日起</w:t>
      </w:r>
      <w:r>
        <w:rPr>
          <w:rFonts w:ascii="Times New Roman" w:hAnsi="Times New Roman"/>
          <w:sz w:val="24"/>
        </w:rPr>
        <w:t>60</w:t>
      </w:r>
      <w:r>
        <w:rPr>
          <w:rFonts w:ascii="Times New Roman" w:hAnsi="Times New Roman"/>
          <w:sz w:val="24"/>
        </w:rPr>
        <w:t>日内召开并告知基金管理人，基金管理人应当配合；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）代表基金份额</w:t>
      </w:r>
      <w:r>
        <w:rPr>
          <w:rFonts w:ascii="Times New Roman" w:hAnsi="Times New Roman"/>
          <w:sz w:val="24"/>
        </w:rPr>
        <w:t>10%</w:t>
      </w:r>
      <w:r>
        <w:rPr>
          <w:rFonts w:ascii="Times New Roman" w:hAnsi="Times New Roman"/>
          <w:sz w:val="24"/>
        </w:rPr>
        <w:t>以上（含</w:t>
      </w:r>
      <w:r>
        <w:rPr>
          <w:rFonts w:ascii="Times New Roman" w:hAnsi="Times New Roman"/>
          <w:sz w:val="24"/>
        </w:rPr>
        <w:t>10%</w:t>
      </w:r>
      <w:r>
        <w:rPr>
          <w:rFonts w:ascii="Times New Roman" w:hAnsi="Times New Roman"/>
          <w:sz w:val="24"/>
        </w:rPr>
        <w:t>）的基金份额持有人就同一事项要求召开基金份额持有人大会，而基金管理人、基金托管人都不召集的，单独或合计代表基金份额</w:t>
      </w:r>
      <w:r>
        <w:rPr>
          <w:rFonts w:ascii="Times New Roman" w:hAnsi="Times New Roman"/>
          <w:sz w:val="24"/>
        </w:rPr>
        <w:t>10%</w:t>
      </w:r>
      <w:r>
        <w:rPr>
          <w:rFonts w:ascii="Times New Roman" w:hAnsi="Times New Roman"/>
          <w:sz w:val="24"/>
        </w:rPr>
        <w:t>以上（含</w:t>
      </w:r>
      <w:r>
        <w:rPr>
          <w:rFonts w:ascii="Times New Roman" w:hAnsi="Times New Roman"/>
          <w:sz w:val="24"/>
        </w:rPr>
        <w:t>10%</w:t>
      </w:r>
      <w:r>
        <w:rPr>
          <w:rFonts w:ascii="Times New Roman" w:hAnsi="Times New Roman"/>
          <w:sz w:val="24"/>
        </w:rPr>
        <w:t>）的基金份额持有人有权自行召集，并至少提前</w:t>
      </w:r>
      <w:r>
        <w:rPr>
          <w:rFonts w:ascii="Times New Roman" w:hAnsi="Times New Roman"/>
          <w:sz w:val="24"/>
        </w:rPr>
        <w:t>30</w:t>
      </w:r>
      <w:r>
        <w:rPr>
          <w:rFonts w:ascii="Times New Roman" w:hAnsi="Times New Roman"/>
          <w:sz w:val="24"/>
        </w:rPr>
        <w:t>日报中国证监会备案。基金份额持有人依法自行召集基金份额持有人大会的，基金管理人、基金托管人应当配合，不得阻碍、干扰；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）基金份额持有人会议的召集人负责选择确定开会时间、地点、方式和权益登记日。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、召开基金份额持有人大会的通知时间、通知内容、通知方式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）召开基金份额持有人大会，召集人应于会议召开前</w:t>
      </w:r>
      <w:r>
        <w:rPr>
          <w:rFonts w:ascii="Times New Roman" w:hAnsi="Times New Roman"/>
          <w:sz w:val="24"/>
        </w:rPr>
        <w:t>30</w:t>
      </w:r>
      <w:r>
        <w:rPr>
          <w:rFonts w:ascii="Times New Roman" w:hAnsi="Times New Roman"/>
          <w:sz w:val="24"/>
        </w:rPr>
        <w:t>日，在规定媒介公告。基金份额持有人大会通知应至少载明以下内容：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）会议召开的时间、地点和会议形式；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）会议</w:t>
      </w:r>
      <w:proofErr w:type="gramStart"/>
      <w:r>
        <w:rPr>
          <w:rFonts w:ascii="Times New Roman" w:hAnsi="Times New Roman"/>
          <w:sz w:val="24"/>
        </w:rPr>
        <w:t>拟审议</w:t>
      </w:r>
      <w:proofErr w:type="gramEnd"/>
      <w:r>
        <w:rPr>
          <w:rFonts w:ascii="Times New Roman" w:hAnsi="Times New Roman"/>
          <w:sz w:val="24"/>
        </w:rPr>
        <w:t>的事项、议事程序和表决方式；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）有权出席基金份额持有人大会的基金份额持有人的权益登记日；</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）授权委托证明的内容要求（包括但不限于代理人身份，代理权限和代理有效期限等）、送达时间和地点；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）会务常设联系人姓名及联系电话；</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）出席会议者必须准备的文件和必须履行的手续；</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）召集人需要通知的其他事项。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w:t>
      </w:r>
      <w:r>
        <w:rPr>
          <w:rFonts w:ascii="Times New Roman" w:hAnsi="Times New Roman"/>
          <w:sz w:val="24"/>
        </w:rPr>
        <w:t>2</w:t>
      </w:r>
      <w:r>
        <w:rPr>
          <w:rFonts w:ascii="Times New Roman" w:hAnsi="Times New Roman"/>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imes New Roman" w:hAnsi="Times New Roman"/>
          <w:sz w:val="24"/>
        </w:rPr>
        <w:t>拒不派</w:t>
      </w:r>
      <w:proofErr w:type="gramEnd"/>
      <w:r>
        <w:rPr>
          <w:rFonts w:ascii="Times New Roman" w:hAnsi="Times New Roman"/>
          <w:sz w:val="24"/>
        </w:rPr>
        <w:t>代表对表决意见的计票进行监督的，不影响表决意见的计票效力。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、基金份额持有人出席会议的方式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基金份额持有人大会可通过现场开会方式、通讯开会方式或法律法规</w:t>
      </w:r>
      <w:r>
        <w:rPr>
          <w:rFonts w:ascii="Times New Roman" w:hAnsi="Times New Roman" w:hint="eastAsia"/>
          <w:sz w:val="24"/>
        </w:rPr>
        <w:t>、</w:t>
      </w:r>
      <w:r>
        <w:rPr>
          <w:rFonts w:ascii="Times New Roman" w:hAnsi="Times New Roman"/>
          <w:sz w:val="24"/>
        </w:rPr>
        <w:t>监管机构允许的其他方式召开，会议的召开方式由会议召集人确定。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hAnsi="Times New Roman"/>
          <w:sz w:val="24"/>
        </w:rPr>
        <w:t>3</w:t>
      </w:r>
      <w:r>
        <w:rPr>
          <w:rFonts w:ascii="Times New Roman" w:hAnsi="Times New Roman"/>
          <w:sz w:val="24"/>
        </w:rPr>
        <w:t>个月以后、</w:t>
      </w:r>
      <w:r>
        <w:rPr>
          <w:rFonts w:ascii="Times New Roman" w:hAnsi="Times New Roman"/>
          <w:sz w:val="24"/>
        </w:rPr>
        <w:t>6</w:t>
      </w:r>
      <w:r>
        <w:rPr>
          <w:rFonts w:ascii="Times New Roman" w:hAnsi="Times New Roman"/>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）通讯开会。通讯开会系指基金份额持有人将其对表决事项的投票以会议通知载明的形式或基金合同约定的其他方式在表决截止日以前送达至召集人指定的地址或系统。</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在同时符合以下条件时，通讯开会的方式视为有效：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1</w:t>
      </w:r>
      <w:r>
        <w:rPr>
          <w:rFonts w:ascii="Times New Roman" w:hAnsi="Times New Roman"/>
          <w:sz w:val="24"/>
        </w:rPr>
        <w:t>）会议召集人按《基金合同》约定公布会议通知后，在</w:t>
      </w:r>
      <w:r>
        <w:rPr>
          <w:rFonts w:ascii="Times New Roman" w:hAnsi="Times New Roman"/>
          <w:sz w:val="24"/>
        </w:rPr>
        <w:t>2</w:t>
      </w:r>
      <w:r>
        <w:rPr>
          <w:rFonts w:ascii="Times New Roman" w:hAnsi="Times New Roman"/>
          <w:sz w:val="24"/>
        </w:rPr>
        <w:t>个工作日内连续公布相关提示性公告；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ascii="Times New Roman" w:hAnsi="Times New Roman" w:hint="eastAsia"/>
          <w:bCs/>
          <w:sz w:val="24"/>
        </w:rPr>
        <w:t>的</w:t>
      </w:r>
      <w:r>
        <w:rPr>
          <w:rFonts w:ascii="Times New Roman" w:hAnsi="Times New Roman"/>
          <w:sz w:val="24"/>
        </w:rPr>
        <w:t>基金份额持有人所持有的基金份额小于在权益登记日基金总份额的二分之一，召集人可以在原公告的基金份额持有人大会召开时间的</w:t>
      </w:r>
      <w:r>
        <w:rPr>
          <w:rFonts w:ascii="Times New Roman" w:hAnsi="Times New Roman"/>
          <w:sz w:val="24"/>
        </w:rPr>
        <w:t>3</w:t>
      </w:r>
      <w:r>
        <w:rPr>
          <w:rFonts w:ascii="Times New Roman" w:hAnsi="Times New Roman"/>
          <w:sz w:val="24"/>
        </w:rPr>
        <w:t>个月以后、</w:t>
      </w:r>
      <w:r>
        <w:rPr>
          <w:rFonts w:ascii="Times New Roman" w:hAnsi="Times New Roman"/>
          <w:sz w:val="24"/>
        </w:rPr>
        <w:t>6</w:t>
      </w:r>
      <w:r>
        <w:rPr>
          <w:rFonts w:ascii="Times New Roman" w:hAnsi="Times New Roman"/>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）上述第</w:t>
      </w:r>
      <w:r>
        <w:rPr>
          <w:rFonts w:ascii="Times New Roman" w:hAnsi="Times New Roman"/>
          <w:sz w:val="24"/>
        </w:rPr>
        <w:t>3</w:t>
      </w:r>
      <w:r>
        <w:rPr>
          <w:rFonts w:ascii="Times New Roman" w:hAnsi="Times New Roman"/>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、议事内容与程序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）议事内容及提案权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基金份额持有人大会的召集人发出召集会议的通知后，对原有提案的修改应当在基金份额持有人大会召开前及时公告。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基金份额持有人大会不得对未事先公告的议事内容进行表决。</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）议事程序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）现场开会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在现场开会的方式下，首先由大会主持人按照下列第</w:t>
      </w:r>
      <w:r>
        <w:rPr>
          <w:rFonts w:ascii="Times New Roman" w:hAnsi="Times New Roman"/>
          <w:sz w:val="24"/>
        </w:rPr>
        <w:t>7</w:t>
      </w:r>
      <w:r>
        <w:rPr>
          <w:rFonts w:ascii="Times New Roman" w:hAnsi="Times New Roman"/>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imes New Roman" w:hAnsi="Times New Roman"/>
          <w:sz w:val="24"/>
        </w:rPr>
        <w:t>50%</w:t>
      </w:r>
      <w:r>
        <w:rPr>
          <w:rFonts w:ascii="Times New Roman" w:hAnsi="Times New Roman"/>
          <w:sz w:val="24"/>
        </w:rPr>
        <w:t>以上（含</w:t>
      </w:r>
      <w:r>
        <w:rPr>
          <w:rFonts w:ascii="Times New Roman" w:hAnsi="Times New Roman"/>
          <w:sz w:val="24"/>
        </w:rPr>
        <w:t>50%</w:t>
      </w:r>
      <w:r>
        <w:rPr>
          <w:rFonts w:ascii="Times New Roman" w:hAnsi="Times New Roman"/>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ascii="Times New Roman" w:hAnsi="Times New Roman"/>
          <w:sz w:val="24"/>
        </w:rPr>
        <w:t>作出</w:t>
      </w:r>
      <w:proofErr w:type="gramEnd"/>
      <w:r>
        <w:rPr>
          <w:rFonts w:ascii="Times New Roman" w:hAnsi="Times New Roman"/>
          <w:sz w:val="24"/>
        </w:rPr>
        <w:t>的决议的效力。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会议召集人应当制作出席会议人员的签名册。签名</w:t>
      </w:r>
      <w:proofErr w:type="gramStart"/>
      <w:r>
        <w:rPr>
          <w:rFonts w:ascii="Times New Roman" w:hAnsi="Times New Roman"/>
          <w:sz w:val="24"/>
        </w:rPr>
        <w:t>册</w:t>
      </w:r>
      <w:proofErr w:type="gramEnd"/>
      <w:r>
        <w:rPr>
          <w:rFonts w:ascii="Times New Roman" w:hAnsi="Times New Roman"/>
          <w:sz w:val="24"/>
        </w:rPr>
        <w:t>载明参加会议人员姓名（或单位名称）、身份证明文件号码、持有或代表有表决权的基金份额、委托人姓名（或单位名称）和联系方式等事项。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）通讯开会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在通讯开会的情况下，首先由召集人提前</w:t>
      </w:r>
      <w:r>
        <w:rPr>
          <w:rFonts w:ascii="Times New Roman" w:hAnsi="Times New Roman"/>
          <w:sz w:val="24"/>
        </w:rPr>
        <w:t>30</w:t>
      </w:r>
      <w:r>
        <w:rPr>
          <w:rFonts w:ascii="Times New Roman" w:hAnsi="Times New Roman"/>
          <w:sz w:val="24"/>
        </w:rPr>
        <w:t>日公布提案，在所通知的表决截止日期后</w:t>
      </w:r>
      <w:r>
        <w:rPr>
          <w:rFonts w:ascii="Times New Roman" w:hAnsi="Times New Roman"/>
          <w:sz w:val="24"/>
        </w:rPr>
        <w:t>2</w:t>
      </w:r>
      <w:r>
        <w:rPr>
          <w:rFonts w:ascii="Times New Roman" w:hAnsi="Times New Roman"/>
          <w:sz w:val="24"/>
        </w:rPr>
        <w:t>个工作日内在公证机关监督下由召集人统计全部有效表决，在公证机关监督下形成决议。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、表决</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基金份额持有人所持每份基金份额有一票表决权。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基金份额持有人大会决议分为一般决议和特别决议：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）一般决议，一般决议须经参加大会的基金份额持有人或其代理人所持表决权的二分之一以上（含二分之一）通过方为有效；除下列第（</w:t>
      </w:r>
      <w:r>
        <w:rPr>
          <w:rFonts w:ascii="Times New Roman" w:hAnsi="Times New Roman"/>
          <w:sz w:val="24"/>
        </w:rPr>
        <w:t>2</w:t>
      </w:r>
      <w:r>
        <w:rPr>
          <w:rFonts w:ascii="Times New Roman" w:hAnsi="Times New Roman"/>
          <w:sz w:val="24"/>
        </w:rPr>
        <w:t>）项所规定的须以特别决议通过事项以外的其他事项均以一般决议的方式通过。</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w:t>
      </w:r>
      <w:r>
        <w:rPr>
          <w:rFonts w:ascii="Times New Roman" w:hAnsi="Times New Roman" w:hint="eastAsia"/>
          <w:sz w:val="24"/>
        </w:rPr>
        <w:t>《</w:t>
      </w:r>
      <w:r>
        <w:rPr>
          <w:rFonts w:ascii="Times New Roman" w:hAnsi="Times New Roman"/>
          <w:sz w:val="24"/>
        </w:rPr>
        <w:t>基金合同》和中国证监会另有规定的除外）以特别决议通过方为有效。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lastRenderedPageBreak/>
        <w:t>基金份额持有人大会采取记名方式进行投票表决。</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基金份额持有人大会的各项提案或同一项提案内并列的各项议题应当分开审议、逐项表决。</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、计票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）现场开会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imes New Roman" w:hAnsi="Times New Roman"/>
          <w:sz w:val="24"/>
        </w:rPr>
        <w:t>或大会</w:t>
      </w:r>
      <w:proofErr w:type="gramEnd"/>
      <w:r>
        <w:rPr>
          <w:rFonts w:ascii="Times New Roman" w:hAnsi="Times New Roman"/>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）监票人应当在基金份额持有人表决后立即进行清点并由大会主持人当场公布计票结果。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）如果会议主持人或基金份额持有人或代理人对于提交的表决结果有怀疑，可以在宣布表决结果后立即对所投票</w:t>
      </w:r>
      <w:proofErr w:type="gramStart"/>
      <w:r>
        <w:rPr>
          <w:rFonts w:ascii="Times New Roman" w:hAnsi="Times New Roman"/>
          <w:sz w:val="24"/>
        </w:rPr>
        <w:t>数要求</w:t>
      </w:r>
      <w:proofErr w:type="gramEnd"/>
      <w:r>
        <w:rPr>
          <w:rFonts w:ascii="Times New Roman" w:hAnsi="Times New Roman"/>
          <w:sz w:val="24"/>
        </w:rPr>
        <w:t>进行重新清点。监票人应当进行重新清点，重新清点以一次为限。重新清点后，大会主持人应当当场公布重新清点结果。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）计票过程应由公证机关予以公证，基金管理人或基金托管人拒不出席大会的，不影响计票的效力。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）通讯开会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imes New Roman" w:hAnsi="Times New Roman"/>
          <w:sz w:val="24"/>
        </w:rPr>
        <w:t>人拒派</w:t>
      </w:r>
      <w:proofErr w:type="gramEnd"/>
      <w:r>
        <w:rPr>
          <w:rFonts w:ascii="Times New Roman" w:hAnsi="Times New Roman"/>
          <w:sz w:val="24"/>
        </w:rPr>
        <w:t>代表对表决意见的计票进行监督的，不影响计票和表决结果。</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8</w:t>
      </w:r>
      <w:r>
        <w:rPr>
          <w:rFonts w:ascii="Times New Roman" w:hAnsi="Times New Roman"/>
          <w:sz w:val="24"/>
        </w:rPr>
        <w:t>、生效与公告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基金份额持有人大会的决议，召集人应当自通过之日起</w:t>
      </w:r>
      <w:r>
        <w:rPr>
          <w:rFonts w:ascii="Times New Roman" w:hAnsi="Times New Roman"/>
          <w:sz w:val="24"/>
        </w:rPr>
        <w:t>5</w:t>
      </w:r>
      <w:r>
        <w:rPr>
          <w:rFonts w:ascii="Times New Roman" w:hAnsi="Times New Roman"/>
          <w:sz w:val="24"/>
        </w:rPr>
        <w:t>日内报中国证监会备</w:t>
      </w:r>
      <w:r>
        <w:rPr>
          <w:rFonts w:ascii="Times New Roman" w:hAnsi="Times New Roman"/>
          <w:sz w:val="24"/>
        </w:rPr>
        <w:lastRenderedPageBreak/>
        <w:t>案。基金份额持有人大会的决议自表决通过之日起生效。法律法规另有规定的，从其规定。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基金管理人、基金托管人和基金份额持有人应当执行生效的基金份额持有人大会的决议。生效的基金份额持有人大会决议对全体基金份额持有人、基金管理人、基金托管人均有约束力。</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9</w:t>
      </w:r>
      <w:r>
        <w:rPr>
          <w:rFonts w:ascii="Times New Roman" w:hAnsi="Times New Roman"/>
          <w:sz w:val="24"/>
        </w:rPr>
        <w:t>、</w:t>
      </w:r>
      <w:r>
        <w:rPr>
          <w:rFonts w:ascii="Times New Roman" w:hAnsi="Times New Roman" w:hint="eastAsia"/>
          <w:sz w:val="24"/>
        </w:rPr>
        <w:t>实施</w:t>
      </w:r>
      <w:proofErr w:type="gramStart"/>
      <w:r>
        <w:rPr>
          <w:rFonts w:ascii="Times New Roman" w:hAnsi="Times New Roman" w:hint="eastAsia"/>
          <w:sz w:val="24"/>
        </w:rPr>
        <w:t>侧袋机制</w:t>
      </w:r>
      <w:proofErr w:type="gramEnd"/>
      <w:r>
        <w:rPr>
          <w:rFonts w:ascii="Times New Roman" w:hAnsi="Times New Roman" w:hint="eastAsia"/>
          <w:sz w:val="24"/>
        </w:rPr>
        <w:t>期间基金份额持有人大会的特殊约定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若本基金</w:t>
      </w:r>
      <w:proofErr w:type="gramStart"/>
      <w:r>
        <w:rPr>
          <w:rFonts w:ascii="Times New Roman" w:hAnsi="Times New Roman" w:hint="eastAsia"/>
          <w:sz w:val="24"/>
        </w:rPr>
        <w:t>实施侧袋机制</w:t>
      </w:r>
      <w:proofErr w:type="gramEnd"/>
      <w:r>
        <w:rPr>
          <w:rFonts w:ascii="Times New Roman" w:hAnsi="Times New Roman" w:hint="eastAsia"/>
          <w:sz w:val="24"/>
        </w:rPr>
        <w:t>，</w:t>
      </w:r>
      <w:proofErr w:type="gramStart"/>
      <w:r>
        <w:rPr>
          <w:rFonts w:ascii="Times New Roman" w:hAnsi="Times New Roman" w:hint="eastAsia"/>
          <w:sz w:val="24"/>
        </w:rPr>
        <w:t>则相关</w:t>
      </w:r>
      <w:proofErr w:type="gramEnd"/>
      <w:r>
        <w:rPr>
          <w:rFonts w:ascii="Times New Roman" w:hAnsi="Times New Roman" w:hint="eastAsia"/>
          <w:sz w:val="24"/>
        </w:rPr>
        <w:t>基金份额或表决权的比例</w:t>
      </w:r>
      <w:proofErr w:type="gramStart"/>
      <w:r>
        <w:rPr>
          <w:rFonts w:ascii="Times New Roman" w:hAnsi="Times New Roman" w:hint="eastAsia"/>
          <w:sz w:val="24"/>
        </w:rPr>
        <w:t>指主袋份额</w:t>
      </w:r>
      <w:proofErr w:type="gramEnd"/>
      <w:r>
        <w:rPr>
          <w:rFonts w:ascii="Times New Roman" w:hAnsi="Times New Roman" w:hint="eastAsia"/>
          <w:sz w:val="24"/>
        </w:rPr>
        <w:t>持有</w:t>
      </w:r>
      <w:proofErr w:type="gramStart"/>
      <w:r>
        <w:rPr>
          <w:rFonts w:ascii="Times New Roman" w:hAnsi="Times New Roman" w:hint="eastAsia"/>
          <w:sz w:val="24"/>
        </w:rPr>
        <w:t>人和侧袋份额</w:t>
      </w:r>
      <w:proofErr w:type="gramEnd"/>
      <w:r>
        <w:rPr>
          <w:rFonts w:ascii="Times New Roman" w:hAnsi="Times New Roman" w:hint="eastAsia"/>
          <w:sz w:val="24"/>
        </w:rPr>
        <w:t>持有人分别持有或代表的基金份额或表决权符合该等比例，但</w:t>
      </w:r>
      <w:proofErr w:type="gramStart"/>
      <w:r>
        <w:rPr>
          <w:rFonts w:ascii="Times New Roman" w:hAnsi="Times New Roman" w:hint="eastAsia"/>
          <w:sz w:val="24"/>
        </w:rPr>
        <w:t>若相关</w:t>
      </w:r>
      <w:proofErr w:type="gramEnd"/>
      <w:r>
        <w:rPr>
          <w:rFonts w:ascii="Times New Roman" w:hAnsi="Times New Roman" w:hint="eastAsia"/>
          <w:sz w:val="24"/>
        </w:rPr>
        <w:t>基金份额持有人大会召集和审议事项不</w:t>
      </w:r>
      <w:proofErr w:type="gramStart"/>
      <w:r>
        <w:rPr>
          <w:rFonts w:ascii="Times New Roman" w:hAnsi="Times New Roman" w:hint="eastAsia"/>
          <w:sz w:val="24"/>
        </w:rPr>
        <w:t>涉及侧袋账户</w:t>
      </w:r>
      <w:proofErr w:type="gramEnd"/>
      <w:r>
        <w:rPr>
          <w:rFonts w:ascii="Times New Roman" w:hAnsi="Times New Roman" w:hint="eastAsia"/>
          <w:sz w:val="24"/>
        </w:rPr>
        <w:t>的，则仅</w:t>
      </w:r>
      <w:proofErr w:type="gramStart"/>
      <w:r>
        <w:rPr>
          <w:rFonts w:ascii="Times New Roman" w:hAnsi="Times New Roman" w:hint="eastAsia"/>
          <w:sz w:val="24"/>
        </w:rPr>
        <w:t>指主袋份额</w:t>
      </w:r>
      <w:proofErr w:type="gramEnd"/>
      <w:r>
        <w:rPr>
          <w:rFonts w:ascii="Times New Roman" w:hAnsi="Times New Roman" w:hint="eastAsia"/>
          <w:sz w:val="24"/>
        </w:rPr>
        <w:t>持有人持有或代表的基金份额或表决权符合该等比例：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）基金份额持有人行使提议权、召集权、提名权所需单独或合计代表相关基金份额</w:t>
      </w:r>
      <w:r>
        <w:rPr>
          <w:rFonts w:ascii="Times New Roman" w:hAnsi="Times New Roman"/>
          <w:sz w:val="24"/>
        </w:rPr>
        <w:t>10%</w:t>
      </w:r>
      <w:r>
        <w:rPr>
          <w:rFonts w:ascii="Times New Roman" w:hAnsi="Times New Roman" w:hint="eastAsia"/>
          <w:sz w:val="24"/>
        </w:rPr>
        <w:t>以上（含</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）现场开会的到会者在权益登记日代表的基金份额不少于本基金在权益登记</w:t>
      </w:r>
      <w:proofErr w:type="gramStart"/>
      <w:r>
        <w:rPr>
          <w:rFonts w:ascii="Times New Roman" w:hAnsi="Times New Roman" w:hint="eastAsia"/>
          <w:sz w:val="24"/>
        </w:rPr>
        <w:t>日相关</w:t>
      </w:r>
      <w:proofErr w:type="gramEnd"/>
      <w:r>
        <w:rPr>
          <w:rFonts w:ascii="Times New Roman" w:hAnsi="Times New Roman" w:hint="eastAsia"/>
          <w:sz w:val="24"/>
        </w:rPr>
        <w:t>基金份额的二分之一（含二分之一）；</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）通讯开会的直接出具表决意见或授权他人代表出具表决意见的基金份额持有人所持有的基金份额不小于在权益登记</w:t>
      </w:r>
      <w:proofErr w:type="gramStart"/>
      <w:r>
        <w:rPr>
          <w:rFonts w:ascii="Times New Roman" w:hAnsi="Times New Roman" w:hint="eastAsia"/>
          <w:sz w:val="24"/>
        </w:rPr>
        <w:t>日相关</w:t>
      </w:r>
      <w:proofErr w:type="gramEnd"/>
      <w:r>
        <w:rPr>
          <w:rFonts w:ascii="Times New Roman" w:hAnsi="Times New Roman" w:hint="eastAsia"/>
          <w:sz w:val="24"/>
        </w:rPr>
        <w:t>基金份额的二分之一（含二分之一）；</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）在参与基金份额持有人大会投票的基金份额持有人所持有的基金份额小于在权益登记</w:t>
      </w:r>
      <w:proofErr w:type="gramStart"/>
      <w:r>
        <w:rPr>
          <w:rFonts w:ascii="Times New Roman" w:hAnsi="Times New Roman" w:hint="eastAsia"/>
          <w:sz w:val="24"/>
        </w:rPr>
        <w:t>日相关</w:t>
      </w:r>
      <w:proofErr w:type="gramEnd"/>
      <w:r>
        <w:rPr>
          <w:rFonts w:ascii="Times New Roman" w:hAnsi="Times New Roman" w:hint="eastAsia"/>
          <w:sz w:val="24"/>
        </w:rPr>
        <w:t>基金份额的二分之一、召集人在原公告的基金份额持有人大会召开时间的</w:t>
      </w:r>
      <w:r>
        <w:rPr>
          <w:rFonts w:ascii="Times New Roman" w:hAnsi="Times New Roman"/>
          <w:sz w:val="24"/>
        </w:rPr>
        <w:t>3</w:t>
      </w:r>
      <w:r>
        <w:rPr>
          <w:rFonts w:ascii="Times New Roman" w:hAnsi="Times New Roman" w:hint="eastAsia"/>
          <w:sz w:val="24"/>
        </w:rPr>
        <w:t>个月以后、</w:t>
      </w:r>
      <w:r>
        <w:rPr>
          <w:rFonts w:ascii="Times New Roman" w:hAnsi="Times New Roman"/>
          <w:sz w:val="24"/>
        </w:rPr>
        <w:t>6</w:t>
      </w:r>
      <w:r>
        <w:rPr>
          <w:rFonts w:ascii="Times New Roman" w:hAnsi="Times New Roman" w:hint="eastAsia"/>
          <w:sz w:val="24"/>
        </w:rPr>
        <w:t>个月以内就原定审议事项重新召集的基金份额持有人大会应当有代表三分之一以上（含三分之一）相关基金份额的持有人参与或授权他人参与基金份额持有人大会投票；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）现场开会由出席大会的基金份额持有人和代理人所持表决权的</w:t>
      </w:r>
      <w:r>
        <w:rPr>
          <w:rFonts w:ascii="Times New Roman" w:hAnsi="Times New Roman"/>
          <w:sz w:val="24"/>
        </w:rPr>
        <w:t>50%</w:t>
      </w:r>
      <w:r>
        <w:rPr>
          <w:rFonts w:ascii="Times New Roman" w:hAnsi="Times New Roman" w:hint="eastAsia"/>
          <w:sz w:val="24"/>
        </w:rPr>
        <w:t>以上（含</w:t>
      </w:r>
      <w:r>
        <w:rPr>
          <w:rFonts w:ascii="Times New Roman" w:hAnsi="Times New Roman"/>
          <w:sz w:val="24"/>
        </w:rPr>
        <w:t>50%</w:t>
      </w:r>
      <w:r>
        <w:rPr>
          <w:rFonts w:ascii="Times New Roman" w:hAnsi="Times New Roman" w:hint="eastAsia"/>
          <w:sz w:val="24"/>
        </w:rPr>
        <w:t>）选举产生一名基金份额持有人或代理人作为该次基金份额持有人大会的主持人；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）一般决议须经参加大会的基金份额持有人或其代理人所持表决权的二分之一以上（含二分之一）通过；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Pr>
          <w:rFonts w:ascii="Times New Roman" w:hAnsi="Times New Roman"/>
          <w:sz w:val="24"/>
        </w:rPr>
        <w:t>7</w:t>
      </w:r>
      <w:r>
        <w:rPr>
          <w:rFonts w:ascii="Times New Roman" w:hAnsi="Times New Roman" w:hint="eastAsia"/>
          <w:sz w:val="24"/>
        </w:rPr>
        <w:t>）特别决议应当经参加大会的基金份额持有人或其代理人所持表决权的三分之二以上（含三分之二）通过。</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同</w:t>
      </w:r>
      <w:proofErr w:type="gramStart"/>
      <w:r>
        <w:rPr>
          <w:rFonts w:ascii="Times New Roman" w:hAnsi="Times New Roman" w:hint="eastAsia"/>
          <w:sz w:val="24"/>
        </w:rPr>
        <w:t>一主侧袋账户</w:t>
      </w:r>
      <w:proofErr w:type="gramEnd"/>
      <w:r>
        <w:rPr>
          <w:rFonts w:ascii="Times New Roman" w:hAnsi="Times New Roman" w:hint="eastAsia"/>
          <w:sz w:val="24"/>
        </w:rPr>
        <w:t>内的每份基金份额具有平等的表决权。</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10</w:t>
      </w:r>
      <w:r>
        <w:rPr>
          <w:rFonts w:ascii="Times New Roman" w:hAnsi="Times New Roman" w:hint="eastAsia"/>
          <w:sz w:val="24"/>
        </w:rPr>
        <w:t>、</w:t>
      </w:r>
      <w:proofErr w:type="gramStart"/>
      <w:r>
        <w:rPr>
          <w:rFonts w:ascii="Times New Roman" w:hAnsi="Times New Roman"/>
          <w:sz w:val="24"/>
        </w:rPr>
        <w:t>本部分对基金</w:t>
      </w:r>
      <w:proofErr w:type="gramEnd"/>
      <w:r>
        <w:rPr>
          <w:rFonts w:ascii="Times New Roman" w:hAnsi="Times New Roman"/>
          <w:sz w:val="24"/>
        </w:rPr>
        <w:t>份额持有人大会召开事由、召开条件、议事程序、表决条件等规定，凡是直接引用法律法规</w:t>
      </w:r>
      <w:r>
        <w:rPr>
          <w:rFonts w:ascii="Times New Roman" w:hAnsi="Times New Roman" w:hint="eastAsia"/>
          <w:bCs/>
          <w:sz w:val="24"/>
        </w:rPr>
        <w:t>或监管规则</w:t>
      </w:r>
      <w:r>
        <w:rPr>
          <w:rFonts w:ascii="Times New Roman" w:hAnsi="Times New Roman"/>
          <w:sz w:val="24"/>
        </w:rPr>
        <w:t>的部分，如将来法律法规</w:t>
      </w:r>
      <w:r>
        <w:rPr>
          <w:rFonts w:ascii="Times New Roman" w:hAnsi="Times New Roman" w:hint="eastAsia"/>
          <w:bCs/>
          <w:sz w:val="24"/>
        </w:rPr>
        <w:t>或监管规则</w:t>
      </w:r>
      <w:r>
        <w:rPr>
          <w:rFonts w:ascii="Times New Roman" w:hAnsi="Times New Roman"/>
          <w:sz w:val="24"/>
        </w:rPr>
        <w:t>修改导致相关内容被取消或变更的，基金管理人经与基金托管人协商一致并提前公告后，可直接对本部分内容进行修改和调整，无需召开基金份额持有人大会审议。</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（三）基金合同解除和终止的事由、程序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、《基金合同》的变更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）变更基金合同涉及法律法规规定或本基金合同约定应经基金份额持有人大会决议通过的事项的，应召</w:t>
      </w:r>
      <w:proofErr w:type="gramStart"/>
      <w:r>
        <w:rPr>
          <w:rFonts w:ascii="Times New Roman" w:hAnsi="Times New Roman"/>
          <w:sz w:val="24"/>
        </w:rPr>
        <w:t>开基金</w:t>
      </w:r>
      <w:proofErr w:type="gramEnd"/>
      <w:r>
        <w:rPr>
          <w:rFonts w:ascii="Times New Roman" w:hAnsi="Times New Roman"/>
          <w:sz w:val="24"/>
        </w:rPr>
        <w:t>份额持有人大会决议通过。对于法律法规规定和基金合同约定可不经基金份额持有人大会决议通过的事项，由基金管理人和基金托管人同意后变更并公告，并</w:t>
      </w:r>
      <w:r>
        <w:rPr>
          <w:rFonts w:ascii="Times New Roman" w:hAnsi="Times New Roman" w:hint="eastAsia"/>
          <w:sz w:val="24"/>
        </w:rPr>
        <w:t>按规定</w:t>
      </w:r>
      <w:r>
        <w:rPr>
          <w:rFonts w:ascii="Times New Roman" w:hAnsi="Times New Roman"/>
          <w:sz w:val="24"/>
        </w:rPr>
        <w:t>报中国证监会备案。</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）关于《基金合同》变更的基金份额持有人大会决议自生效后方可执行，</w:t>
      </w:r>
      <w:proofErr w:type="gramStart"/>
      <w:r>
        <w:rPr>
          <w:rFonts w:ascii="Times New Roman" w:hAnsi="Times New Roman"/>
          <w:sz w:val="24"/>
        </w:rPr>
        <w:t>自决议</w:t>
      </w:r>
      <w:proofErr w:type="gramEnd"/>
      <w:r>
        <w:rPr>
          <w:rFonts w:ascii="Times New Roman" w:hAnsi="Times New Roman"/>
          <w:sz w:val="24"/>
        </w:rPr>
        <w:t>生效后依照《信息披露办法》的规定在规定媒介公告。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、《基金合同》的终止事由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有下列情形之一的，经履行相关程序后，《基金合同》应当终止：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）基金份额持有人大会决定终止的；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）基金管理人、基金托管人职责终止，在</w:t>
      </w:r>
      <w:r>
        <w:rPr>
          <w:rFonts w:ascii="Times New Roman" w:hAnsi="Times New Roman"/>
          <w:sz w:val="24"/>
        </w:rPr>
        <w:t>6</w:t>
      </w:r>
      <w:r>
        <w:rPr>
          <w:rFonts w:ascii="Times New Roman" w:hAnsi="Times New Roman"/>
          <w:sz w:val="24"/>
        </w:rPr>
        <w:t>个月内没有新基金管理人、新基金托管人承接的；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）连续</w:t>
      </w:r>
      <w:r>
        <w:rPr>
          <w:rFonts w:ascii="Times New Roman" w:hAnsi="Times New Roman"/>
          <w:sz w:val="24"/>
        </w:rPr>
        <w:t>50</w:t>
      </w:r>
      <w:r>
        <w:rPr>
          <w:rFonts w:ascii="Times New Roman" w:hAnsi="Times New Roman"/>
          <w:sz w:val="24"/>
        </w:rPr>
        <w:t>个工作日出现基金份额持有人数量不满</w:t>
      </w:r>
      <w:r>
        <w:rPr>
          <w:rFonts w:ascii="Times New Roman" w:hAnsi="Times New Roman"/>
          <w:sz w:val="24"/>
        </w:rPr>
        <w:t>200</w:t>
      </w:r>
      <w:r>
        <w:rPr>
          <w:rFonts w:ascii="Times New Roman" w:hAnsi="Times New Roman"/>
          <w:sz w:val="24"/>
        </w:rPr>
        <w:t>人或者基金资产净值低于</w:t>
      </w:r>
      <w:r>
        <w:rPr>
          <w:rFonts w:ascii="Times New Roman" w:hAnsi="Times New Roman"/>
          <w:sz w:val="24"/>
        </w:rPr>
        <w:t>5000</w:t>
      </w:r>
      <w:r>
        <w:rPr>
          <w:rFonts w:ascii="Times New Roman" w:hAnsi="Times New Roman"/>
          <w:sz w:val="24"/>
        </w:rPr>
        <w:t>万元情形的，基金合同</w:t>
      </w:r>
      <w:r>
        <w:rPr>
          <w:rFonts w:ascii="Times New Roman" w:hAnsi="Times New Roman" w:hint="eastAsia"/>
          <w:sz w:val="24"/>
        </w:rPr>
        <w:t>终止</w:t>
      </w:r>
      <w:r>
        <w:rPr>
          <w:rFonts w:ascii="Times New Roman" w:hAnsi="Times New Roman"/>
          <w:sz w:val="24"/>
        </w:rPr>
        <w:t>，不需召开基金份额持有人大会；</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）《基金合同》约定的其他情形；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6</w:t>
      </w:r>
      <w:r>
        <w:rPr>
          <w:rFonts w:ascii="Times New Roman" w:hAnsi="Times New Roman"/>
          <w:sz w:val="24"/>
        </w:rPr>
        <w:t>）相关法律法规和中国证监会规定的其他情况。</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、基金财产的清算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1</w:t>
      </w:r>
      <w:r>
        <w:rPr>
          <w:rFonts w:ascii="Times New Roman" w:hAnsi="Times New Roman"/>
          <w:sz w:val="24"/>
        </w:rPr>
        <w:t>）基金财产清算小组：自出现《基金合同》终止事由之日起</w:t>
      </w:r>
      <w:r>
        <w:rPr>
          <w:rFonts w:ascii="Times New Roman" w:hAnsi="Times New Roman"/>
          <w:sz w:val="24"/>
        </w:rPr>
        <w:t>30</w:t>
      </w:r>
      <w:r>
        <w:rPr>
          <w:rFonts w:ascii="Times New Roman" w:hAnsi="Times New Roman"/>
          <w:sz w:val="24"/>
        </w:rPr>
        <w:t>个工作日内</w:t>
      </w:r>
      <w:r>
        <w:rPr>
          <w:rFonts w:ascii="Times New Roman" w:hAnsi="Times New Roman"/>
          <w:sz w:val="24"/>
        </w:rPr>
        <w:lastRenderedPageBreak/>
        <w:t>成立清算小组，基金管理人组织基金财产清算小组并在中国证监会的监督下进行基金清算。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2</w:t>
      </w:r>
      <w:r>
        <w:rPr>
          <w:rFonts w:ascii="Times New Roman" w:hAnsi="Times New Roman"/>
          <w:sz w:val="24"/>
        </w:rPr>
        <w:t>）基金财产清算小组组成：基金财产清算小组成员由基金管理人、基金托管人、</w:t>
      </w:r>
      <w:r>
        <w:rPr>
          <w:rFonts w:ascii="Times New Roman" w:hAnsi="Times New Roman"/>
          <w:bCs/>
          <w:sz w:val="24"/>
        </w:rPr>
        <w:t>符合《中华人民共和国证券法》规定</w:t>
      </w:r>
      <w:r>
        <w:rPr>
          <w:rFonts w:ascii="Times New Roman" w:hAnsi="Times New Roman"/>
          <w:sz w:val="24"/>
        </w:rPr>
        <w:t>的注册会计师、律师以及中国证监会指定的人员组成。基金财产清算小组可以聘用必要的工作人员。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3</w:t>
      </w:r>
      <w:r>
        <w:rPr>
          <w:rFonts w:ascii="Times New Roman" w:hAnsi="Times New Roman"/>
          <w:sz w:val="24"/>
        </w:rPr>
        <w:t>）基金财产清算小组职责：基金财产清算小组负责基金财产的保管、清理、估价、变现和分配。基金财产清算小组可以依法进行必要的民事活动。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4</w:t>
      </w:r>
      <w:r>
        <w:rPr>
          <w:rFonts w:ascii="Times New Roman" w:hAnsi="Times New Roman"/>
          <w:sz w:val="24"/>
        </w:rPr>
        <w:t>）基金财产清算程序：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1</w:t>
      </w:r>
      <w:r>
        <w:rPr>
          <w:rFonts w:ascii="Times New Roman" w:hAnsi="Times New Roman"/>
          <w:sz w:val="24"/>
        </w:rPr>
        <w:t>）《基金合同》终止情形出现时，由基金财产清算小组统一接管基金</w:t>
      </w:r>
      <w:r>
        <w:rPr>
          <w:rFonts w:ascii="Times New Roman" w:hAnsi="Times New Roman" w:hint="eastAsia"/>
          <w:sz w:val="24"/>
        </w:rPr>
        <w:t>财产</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2</w:t>
      </w:r>
      <w:r>
        <w:rPr>
          <w:rFonts w:ascii="Times New Roman" w:hAnsi="Times New Roman"/>
          <w:sz w:val="24"/>
        </w:rPr>
        <w:t>）对基金财产和债权债务进行清理和确认；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3</w:t>
      </w:r>
      <w:r>
        <w:rPr>
          <w:rFonts w:ascii="Times New Roman" w:hAnsi="Times New Roman"/>
          <w:sz w:val="24"/>
        </w:rPr>
        <w:t>）对基金财产进行估值和变现；</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）制作清算报告；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）聘请会计师事务所对清算报告进行外部审计，聘请律师事务所对清算报告出具法律意见书；</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）将清算报告报中国证监会备案并公告；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）对基金剩余财产进行分配。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w:t>
      </w:r>
      <w:r>
        <w:rPr>
          <w:rFonts w:ascii="Times New Roman" w:hAnsi="Times New Roman"/>
          <w:sz w:val="24"/>
        </w:rPr>
        <w:t>5</w:t>
      </w:r>
      <w:r>
        <w:rPr>
          <w:rFonts w:ascii="Times New Roman" w:hAnsi="Times New Roman"/>
          <w:sz w:val="24"/>
        </w:rPr>
        <w:t>）基金财产清算的期限为</w:t>
      </w:r>
      <w:r>
        <w:rPr>
          <w:rFonts w:ascii="Times New Roman" w:hAnsi="Times New Roman"/>
          <w:sz w:val="24"/>
        </w:rPr>
        <w:t>6</w:t>
      </w:r>
      <w:r>
        <w:rPr>
          <w:rFonts w:ascii="Times New Roman" w:hAnsi="Times New Roman"/>
          <w:sz w:val="24"/>
        </w:rPr>
        <w:t>个月，但因本基金所持证券的流动性受到限制而不能及时变现的，清算期限相应顺延。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4</w:t>
      </w:r>
      <w:r>
        <w:rPr>
          <w:rFonts w:ascii="Times New Roman" w:hAnsi="Times New Roman"/>
          <w:sz w:val="24"/>
        </w:rPr>
        <w:t>、清算费用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清算费用是指基金财产清算小组在进行基金</w:t>
      </w:r>
      <w:r>
        <w:rPr>
          <w:rFonts w:ascii="宋体" w:hAnsi="宋体" w:hint="eastAsia"/>
          <w:sz w:val="24"/>
        </w:rPr>
        <w:t>财产</w:t>
      </w:r>
      <w:r>
        <w:rPr>
          <w:rFonts w:ascii="Times New Roman" w:hAnsi="Times New Roman"/>
          <w:sz w:val="24"/>
        </w:rPr>
        <w:t>清算过程中发生的所有合理费用，清算费用由基金财产清算小组优先从基金财产中支付。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5</w:t>
      </w:r>
      <w:r>
        <w:rPr>
          <w:rFonts w:ascii="Times New Roman" w:hAnsi="Times New Roman"/>
          <w:sz w:val="24"/>
        </w:rPr>
        <w:t>、基金财产清算剩余资产的分配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6</w:t>
      </w:r>
      <w:r>
        <w:rPr>
          <w:rFonts w:ascii="Times New Roman" w:hAnsi="Times New Roman"/>
          <w:sz w:val="24"/>
        </w:rPr>
        <w:t>、基金财产清算的公告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清算过程中的有关重大事项须及时公告；基金财产清算报告</w:t>
      </w:r>
      <w:proofErr w:type="gramStart"/>
      <w:r>
        <w:rPr>
          <w:rFonts w:ascii="Times New Roman" w:hAnsi="Times New Roman"/>
          <w:sz w:val="24"/>
        </w:rPr>
        <w:t>经</w:t>
      </w:r>
      <w:r>
        <w:rPr>
          <w:rFonts w:ascii="Times New Roman" w:hAnsi="Times New Roman" w:hint="eastAsia"/>
          <w:bCs/>
          <w:sz w:val="24"/>
        </w:rPr>
        <w:t>符合</w:t>
      </w:r>
      <w:proofErr w:type="gramEnd"/>
      <w:r>
        <w:rPr>
          <w:rFonts w:ascii="Times New Roman" w:hAnsi="Times New Roman" w:hint="eastAsia"/>
          <w:bCs/>
          <w:sz w:val="24"/>
        </w:rPr>
        <w:t>《中华人民共和国证券法》规定的</w:t>
      </w:r>
      <w:r>
        <w:rPr>
          <w:rFonts w:ascii="Times New Roman" w:hAnsi="Times New Roman"/>
          <w:sz w:val="24"/>
        </w:rPr>
        <w:t>会计师事务所审计并由律师事务所出具法律意见书后报中国证监会备案并公告。基金财产清算公告于基金财产清算报告报中国证监会备案后</w:t>
      </w:r>
      <w:r>
        <w:rPr>
          <w:rFonts w:ascii="Times New Roman" w:hAnsi="Times New Roman"/>
          <w:sz w:val="24"/>
        </w:rPr>
        <w:t>5</w:t>
      </w:r>
      <w:r>
        <w:rPr>
          <w:rFonts w:ascii="Times New Roman" w:hAnsi="Times New Roman"/>
          <w:sz w:val="24"/>
        </w:rPr>
        <w:t>个工作日内由基金财产清算小组进行公告</w:t>
      </w:r>
      <w:r>
        <w:rPr>
          <w:rFonts w:ascii="Times New Roman" w:hAnsi="Times New Roman" w:hint="eastAsia"/>
          <w:sz w:val="24"/>
        </w:rPr>
        <w:t>，基金财产清算小组应当将清算报告登载</w:t>
      </w:r>
      <w:r>
        <w:rPr>
          <w:rFonts w:ascii="Times New Roman" w:hAnsi="Times New Roman" w:hint="eastAsia"/>
          <w:sz w:val="24"/>
        </w:rPr>
        <w:lastRenderedPageBreak/>
        <w:t>在规定网站上，并将清算报告提示性公告登载在规定报刊上</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7</w:t>
      </w:r>
      <w:r>
        <w:rPr>
          <w:rFonts w:ascii="Times New Roman" w:hAnsi="Times New Roman"/>
          <w:sz w:val="24"/>
        </w:rPr>
        <w:t>、基金财产清算账册及文件的保存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基金财产清算账册及有关文件由基金托管人保存</w:t>
      </w:r>
      <w:r>
        <w:rPr>
          <w:rFonts w:ascii="Times New Roman" w:hAnsi="Times New Roman" w:hint="eastAsia"/>
          <w:bCs/>
          <w:sz w:val="24"/>
        </w:rPr>
        <w:t>不低于法律法规规定的最低期限</w:t>
      </w:r>
      <w:r>
        <w:rPr>
          <w:rFonts w:ascii="Times New Roman" w:hAnsi="Times New Roman"/>
          <w:sz w:val="24"/>
        </w:rPr>
        <w:t>。</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（四）争议解决方式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争议处理期间，基金合同当事人应恪守各自的职责，继续忠实、勤勉、尽责地履行基金合同规定的义务，维护基金份额持有人的合法权益。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《基金合同》受中国法律（为本基金合同之目的，不含港澳台地区法律）管辖并从其解释。</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（五）基金合同存放及投资者取得基金合同的方式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《基金合同》正本一式三份，除上报有关监管机构一份外，基金管理人、基金托管人各持有一份，每份具有同等的法律效力。</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《基金合同》可印制成册，供投资者在基金管理人、基金托管人、销售机构的办公场所和营业场所查阅</w:t>
      </w:r>
      <w:r>
        <w:rPr>
          <w:rFonts w:ascii="Times New Roman" w:hAnsi="Times New Roman" w:hint="eastAsia"/>
          <w:bCs/>
          <w:sz w:val="24"/>
        </w:rPr>
        <w:t>，但应以《基金合同》正本为准</w:t>
      </w:r>
      <w:r>
        <w:rPr>
          <w:rFonts w:ascii="Times New Roman" w:hAnsi="Times New Roman"/>
          <w:sz w:val="24"/>
        </w:rPr>
        <w:t>。</w:t>
      </w:r>
    </w:p>
    <w:p w:rsidR="009A4701" w:rsidRDefault="00677B65">
      <w:pPr>
        <w:autoSpaceDE w:val="0"/>
        <w:autoSpaceDN w:val="0"/>
        <w:adjustRightInd w:val="0"/>
        <w:spacing w:line="360" w:lineRule="auto"/>
        <w:ind w:firstLineChars="200" w:firstLine="480"/>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42" w:name="_Toc147840638"/>
      <w:r>
        <w:rPr>
          <w:rFonts w:ascii="Times New Roman" w:hAnsi="Times New Roman"/>
          <w:sz w:val="30"/>
        </w:rPr>
        <w:lastRenderedPageBreak/>
        <w:t>二十、托管协议的内容摘要</w:t>
      </w:r>
      <w:bookmarkEnd w:id="42"/>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（一）托管协议当事人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名称：交银施罗德基金管理有限公司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住所：中国（上海）自由贸易试验区银城中路</w:t>
      </w:r>
      <w:r>
        <w:rPr>
          <w:rFonts w:ascii="Times New Roman" w:hAnsi="Times New Roman" w:hint="eastAsia"/>
          <w:sz w:val="24"/>
        </w:rPr>
        <w:t>188</w:t>
      </w:r>
      <w:r>
        <w:rPr>
          <w:rFonts w:ascii="Times New Roman" w:hAnsi="Times New Roman" w:hint="eastAsia"/>
          <w:sz w:val="24"/>
        </w:rPr>
        <w:t>号交通银行大楼二层（裙）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办公地址：上海市浦东</w:t>
      </w:r>
      <w:proofErr w:type="gramStart"/>
      <w:r>
        <w:rPr>
          <w:rFonts w:ascii="Times New Roman" w:hAnsi="Times New Roman" w:hint="eastAsia"/>
          <w:sz w:val="24"/>
        </w:rPr>
        <w:t>新区世纪</w:t>
      </w:r>
      <w:proofErr w:type="gramEnd"/>
      <w:r>
        <w:rPr>
          <w:rFonts w:ascii="Times New Roman" w:hAnsi="Times New Roman" w:hint="eastAsia"/>
          <w:sz w:val="24"/>
        </w:rPr>
        <w:t>大道</w:t>
      </w:r>
      <w:r>
        <w:rPr>
          <w:rFonts w:ascii="Times New Roman" w:hAnsi="Times New Roman" w:hint="eastAsia"/>
          <w:sz w:val="24"/>
        </w:rPr>
        <w:t>8</w:t>
      </w:r>
      <w:r>
        <w:rPr>
          <w:rFonts w:ascii="Times New Roman" w:hAnsi="Times New Roman" w:hint="eastAsia"/>
          <w:sz w:val="24"/>
        </w:rPr>
        <w:t>号国</w:t>
      </w:r>
      <w:proofErr w:type="gramStart"/>
      <w:r>
        <w:rPr>
          <w:rFonts w:ascii="Times New Roman" w:hAnsi="Times New Roman" w:hint="eastAsia"/>
          <w:sz w:val="24"/>
        </w:rPr>
        <w:t>金中心</w:t>
      </w:r>
      <w:proofErr w:type="gramEnd"/>
      <w:r>
        <w:rPr>
          <w:rFonts w:ascii="Times New Roman" w:hAnsi="Times New Roman" w:hint="eastAsia"/>
          <w:sz w:val="24"/>
        </w:rPr>
        <w:t>二期</w:t>
      </w:r>
      <w:r>
        <w:rPr>
          <w:rFonts w:ascii="Times New Roman" w:hAnsi="Times New Roman" w:hint="eastAsia"/>
          <w:sz w:val="24"/>
        </w:rPr>
        <w:t>21-22</w:t>
      </w:r>
      <w:r>
        <w:rPr>
          <w:rFonts w:ascii="Times New Roman" w:hAnsi="Times New Roman" w:hint="eastAsia"/>
          <w:sz w:val="24"/>
        </w:rPr>
        <w:t>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法定代表人：张宏良</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成立时间：</w:t>
      </w:r>
      <w:r>
        <w:rPr>
          <w:rFonts w:ascii="Times New Roman" w:hAnsi="Times New Roman" w:hint="eastAsia"/>
          <w:sz w:val="24"/>
        </w:rPr>
        <w:t>2005</w:t>
      </w:r>
      <w:r>
        <w:rPr>
          <w:rFonts w:ascii="Times New Roman" w:hAnsi="Times New Roman" w:hint="eastAsia"/>
          <w:sz w:val="24"/>
        </w:rPr>
        <w:t>年</w:t>
      </w:r>
      <w:r>
        <w:rPr>
          <w:rFonts w:ascii="Times New Roman" w:hAnsi="Times New Roman" w:hint="eastAsia"/>
          <w:sz w:val="24"/>
        </w:rPr>
        <w:t>8</w:t>
      </w:r>
      <w:r>
        <w:rPr>
          <w:rFonts w:ascii="Times New Roman" w:hAnsi="Times New Roman" w:hint="eastAsia"/>
          <w:sz w:val="24"/>
        </w:rPr>
        <w:t>月</w:t>
      </w:r>
      <w:r>
        <w:rPr>
          <w:rFonts w:ascii="Times New Roman" w:hAnsi="Times New Roman" w:hint="eastAsia"/>
          <w:sz w:val="24"/>
        </w:rPr>
        <w:t>4</w:t>
      </w:r>
      <w:r>
        <w:rPr>
          <w:rFonts w:ascii="Times New Roman" w:hAnsi="Times New Roman" w:hint="eastAsia"/>
          <w:sz w:val="24"/>
        </w:rPr>
        <w:t>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批准设立机关及批准设立文号：中国证监会证</w:t>
      </w:r>
      <w:proofErr w:type="gramStart"/>
      <w:r>
        <w:rPr>
          <w:rFonts w:ascii="Times New Roman" w:hAnsi="Times New Roman" w:hint="eastAsia"/>
          <w:sz w:val="24"/>
        </w:rPr>
        <w:t>监基金字</w:t>
      </w:r>
      <w:proofErr w:type="gramEnd"/>
      <w:r>
        <w:rPr>
          <w:rFonts w:ascii="Times New Roman" w:hAnsi="Times New Roman" w:hint="eastAsia"/>
          <w:sz w:val="24"/>
        </w:rPr>
        <w:t>[2005]128</w:t>
      </w:r>
      <w:r>
        <w:rPr>
          <w:rFonts w:ascii="Times New Roman" w:hAnsi="Times New Roman" w:hint="eastAsia"/>
          <w:sz w:val="24"/>
        </w:rPr>
        <w:t>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注册资本：</w:t>
      </w:r>
      <w:r>
        <w:rPr>
          <w:rFonts w:ascii="Times New Roman" w:hAnsi="Times New Roman" w:hint="eastAsia"/>
          <w:sz w:val="24"/>
        </w:rPr>
        <w:t>2</w:t>
      </w:r>
      <w:r>
        <w:rPr>
          <w:rFonts w:ascii="Times New Roman" w:hAnsi="Times New Roman" w:hint="eastAsia"/>
          <w:sz w:val="24"/>
        </w:rPr>
        <w:t>亿元人民币</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组织形式</w:t>
      </w:r>
      <w:r>
        <w:rPr>
          <w:rFonts w:ascii="Times New Roman" w:hAnsi="Times New Roman" w:hint="eastAsia"/>
          <w:sz w:val="24"/>
        </w:rPr>
        <w:t xml:space="preserve">: </w:t>
      </w:r>
      <w:r>
        <w:rPr>
          <w:rFonts w:ascii="Times New Roman" w:hAnsi="Times New Roman" w:hint="eastAsia"/>
          <w:sz w:val="24"/>
        </w:rPr>
        <w:t>有限责任公司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存续期间：持续经营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名称：中</w:t>
      </w:r>
      <w:proofErr w:type="gramStart"/>
      <w:r>
        <w:rPr>
          <w:rFonts w:ascii="Times New Roman" w:hAnsi="Times New Roman" w:hint="eastAsia"/>
          <w:sz w:val="24"/>
        </w:rPr>
        <w:t>信建投证券</w:t>
      </w:r>
      <w:proofErr w:type="gramEnd"/>
      <w:r>
        <w:rPr>
          <w:rFonts w:ascii="Times New Roman" w:hAnsi="Times New Roman" w:hint="eastAsia"/>
          <w:sz w:val="24"/>
        </w:rPr>
        <w:t>股份有限公司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住所：北京市朝阳区安立路</w:t>
      </w:r>
      <w:r>
        <w:rPr>
          <w:rFonts w:ascii="Times New Roman" w:hAnsi="Times New Roman" w:hint="eastAsia"/>
          <w:sz w:val="24"/>
        </w:rPr>
        <w:t>66</w:t>
      </w:r>
      <w:r>
        <w:rPr>
          <w:rFonts w:ascii="Times New Roman" w:hAnsi="Times New Roman" w:hint="eastAsia"/>
          <w:sz w:val="24"/>
        </w:rPr>
        <w:t>号</w:t>
      </w:r>
      <w:r>
        <w:rPr>
          <w:rFonts w:ascii="Times New Roman" w:hAnsi="Times New Roman" w:hint="eastAsia"/>
          <w:sz w:val="24"/>
        </w:rPr>
        <w:t>4</w:t>
      </w:r>
      <w:r>
        <w:rPr>
          <w:rFonts w:ascii="Times New Roman" w:hAnsi="Times New Roman" w:hint="eastAsia"/>
          <w:sz w:val="24"/>
        </w:rPr>
        <w:t>号楼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法定代表人：刘成</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成立时间：</w:t>
      </w:r>
      <w:r>
        <w:rPr>
          <w:rFonts w:ascii="Times New Roman" w:hAnsi="Times New Roman" w:hint="eastAsia"/>
          <w:sz w:val="24"/>
        </w:rPr>
        <w:t>2005</w:t>
      </w:r>
      <w:r>
        <w:rPr>
          <w:rFonts w:ascii="Times New Roman" w:hAnsi="Times New Roman" w:hint="eastAsia"/>
          <w:sz w:val="24"/>
        </w:rPr>
        <w:t>年</w:t>
      </w:r>
      <w:r>
        <w:rPr>
          <w:rFonts w:ascii="Times New Roman" w:hAnsi="Times New Roman" w:hint="eastAsia"/>
          <w:sz w:val="24"/>
        </w:rPr>
        <w:t>11</w:t>
      </w:r>
      <w:r>
        <w:rPr>
          <w:rFonts w:ascii="Times New Roman" w:hAnsi="Times New Roman" w:hint="eastAsia"/>
          <w:sz w:val="24"/>
        </w:rPr>
        <w:t>月</w:t>
      </w:r>
      <w:r>
        <w:rPr>
          <w:rFonts w:ascii="Times New Roman" w:hAnsi="Times New Roman" w:hint="eastAsia"/>
          <w:sz w:val="24"/>
        </w:rPr>
        <w:t>2</w:t>
      </w:r>
      <w:r>
        <w:rPr>
          <w:rFonts w:ascii="Times New Roman" w:hAnsi="Times New Roman" w:hint="eastAsia"/>
          <w:sz w:val="24"/>
        </w:rPr>
        <w:t>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批准设立机关和批准设立文号：证监会、证监机构字</w:t>
      </w:r>
      <w:r>
        <w:rPr>
          <w:rFonts w:ascii="Times New Roman" w:hAnsi="Times New Roman" w:hint="eastAsia"/>
          <w:sz w:val="24"/>
        </w:rPr>
        <w:t>[2005]112</w:t>
      </w:r>
      <w:r>
        <w:rPr>
          <w:rFonts w:ascii="Times New Roman" w:hAnsi="Times New Roman" w:hint="eastAsia"/>
          <w:sz w:val="24"/>
        </w:rPr>
        <w:t>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组织形式：股份有限公司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注册资本：人民币</w:t>
      </w:r>
      <w:r>
        <w:rPr>
          <w:rFonts w:ascii="Times New Roman" w:hAnsi="Times New Roman" w:hint="eastAsia"/>
          <w:sz w:val="24"/>
        </w:rPr>
        <w:t>77.57</w:t>
      </w:r>
      <w:r>
        <w:rPr>
          <w:rFonts w:ascii="Times New Roman" w:hAnsi="Times New Roman" w:hint="eastAsia"/>
          <w:sz w:val="24"/>
        </w:rPr>
        <w:t>亿元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存续期间：持续经营</w:t>
      </w:r>
    </w:p>
    <w:p w:rsidR="009A4701" w:rsidRDefault="00677B65">
      <w:pPr>
        <w:autoSpaceDE w:val="0"/>
        <w:autoSpaceDN w:val="0"/>
        <w:adjustRightInd w:val="0"/>
        <w:snapToGrid w:val="0"/>
        <w:spacing w:line="360" w:lineRule="auto"/>
        <w:ind w:firstLineChars="200" w:firstLine="480"/>
        <w:jc w:val="left"/>
        <w:rPr>
          <w:rFonts w:ascii="宋体" w:hAnsi="宋体"/>
          <w:sz w:val="24"/>
        </w:rPr>
      </w:pPr>
      <w:r>
        <w:rPr>
          <w:rFonts w:ascii="Times New Roman" w:hAnsi="Times New Roman" w:hint="eastAsia"/>
          <w:sz w:val="24"/>
        </w:rPr>
        <w:t>基金托管资格批文及文号：证监许可【</w:t>
      </w:r>
      <w:r>
        <w:rPr>
          <w:rFonts w:ascii="Times New Roman" w:hAnsi="Times New Roman" w:hint="eastAsia"/>
          <w:sz w:val="24"/>
        </w:rPr>
        <w:t>2015</w:t>
      </w:r>
      <w:r>
        <w:rPr>
          <w:rFonts w:ascii="Times New Roman" w:hAnsi="Times New Roman" w:hint="eastAsia"/>
          <w:sz w:val="24"/>
        </w:rPr>
        <w:t>】</w:t>
      </w:r>
      <w:r>
        <w:rPr>
          <w:rFonts w:ascii="Times New Roman" w:hAnsi="Times New Roman" w:hint="eastAsia"/>
          <w:sz w:val="24"/>
        </w:rPr>
        <w:t>219</w:t>
      </w:r>
      <w:r>
        <w:rPr>
          <w:rFonts w:ascii="Times New Roman" w:hAnsi="Times New Roman" w:hint="eastAsia"/>
          <w:sz w:val="24"/>
        </w:rPr>
        <w:t>号</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（二）基金托管人对基金管理人的业务监督和核查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、基金托管人对基金管理人的投资行为行使监督权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）基金托管人根据有关法律法规的规定及《基金合同》和本协议的约定，对基金的投资范围、投资对象进行监督。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本基金的投资范围为具有良好流动性的金融工具，包括中证港股</w:t>
      </w:r>
      <w:proofErr w:type="gramStart"/>
      <w:r>
        <w:rPr>
          <w:rFonts w:ascii="Times New Roman" w:hAnsi="Times New Roman" w:hint="eastAsia"/>
          <w:sz w:val="24"/>
        </w:rPr>
        <w:t>通央企</w:t>
      </w:r>
      <w:proofErr w:type="gramEnd"/>
      <w:r>
        <w:rPr>
          <w:rFonts w:ascii="Times New Roman" w:hAnsi="Times New Roman" w:hint="eastAsia"/>
          <w:sz w:val="24"/>
        </w:rPr>
        <w:t>红利指数的成份股（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凭证）、其他股票（</w:t>
      </w:r>
      <w:proofErr w:type="gramStart"/>
      <w:r>
        <w:rPr>
          <w:rFonts w:ascii="Times New Roman" w:hAnsi="Times New Roman" w:hint="eastAsia"/>
          <w:sz w:val="24"/>
        </w:rPr>
        <w:t>含创业</w:t>
      </w:r>
      <w:proofErr w:type="gramEnd"/>
      <w:r>
        <w:rPr>
          <w:rFonts w:ascii="Times New Roman" w:hAnsi="Times New Roman" w:hint="eastAsia"/>
          <w:sz w:val="24"/>
        </w:rPr>
        <w:t>板、</w:t>
      </w:r>
      <w:proofErr w:type="gramStart"/>
      <w:r>
        <w:rPr>
          <w:rFonts w:ascii="Times New Roman" w:hAnsi="Times New Roman" w:hint="eastAsia"/>
          <w:sz w:val="24"/>
        </w:rPr>
        <w:t>科创板</w:t>
      </w:r>
      <w:proofErr w:type="gramEnd"/>
      <w:r>
        <w:rPr>
          <w:rFonts w:ascii="Times New Roman" w:hAnsi="Times New Roman" w:hint="eastAsia"/>
          <w:sz w:val="24"/>
        </w:rPr>
        <w:t>及其他经中国证监会核准或注册上市的股票、存托凭证）、港股通标的股</w:t>
      </w:r>
      <w:r>
        <w:rPr>
          <w:rFonts w:ascii="Times New Roman" w:hAnsi="Times New Roman" w:hint="eastAsia"/>
          <w:sz w:val="24"/>
        </w:rPr>
        <w:lastRenderedPageBreak/>
        <w:t>票、债券（含国债、央行票据、金融债券、政府支持债券、政府支持机构债券、地方政府债券、企业债券、公司债券、可转换债券（</w:t>
      </w:r>
      <w:proofErr w:type="gramStart"/>
      <w:r>
        <w:rPr>
          <w:rFonts w:ascii="Times New Roman" w:hAnsi="Times New Roman" w:hint="eastAsia"/>
          <w:sz w:val="24"/>
        </w:rPr>
        <w:t>含可分离</w:t>
      </w:r>
      <w:proofErr w:type="gramEnd"/>
      <w:r>
        <w:rPr>
          <w:rFonts w:ascii="Times New Roman" w:hAnsi="Times New Roman" w:hint="eastAsia"/>
          <w:sz w:val="24"/>
        </w:rPr>
        <w:t>交易可转换债券）、可交换公司债券、次级债券、中期票据、短期融资</w:t>
      </w:r>
      <w:proofErr w:type="gramStart"/>
      <w:r>
        <w:rPr>
          <w:rFonts w:ascii="Times New Roman" w:hAnsi="Times New Roman" w:hint="eastAsia"/>
          <w:sz w:val="24"/>
        </w:rPr>
        <w:t>券</w:t>
      </w:r>
      <w:proofErr w:type="gramEnd"/>
      <w:r>
        <w:rPr>
          <w:rFonts w:ascii="Times New Roman" w:hAnsi="Times New Roman" w:hint="eastAsia"/>
          <w:sz w:val="24"/>
        </w:rPr>
        <w:t>、超短期融资</w:t>
      </w:r>
      <w:proofErr w:type="gramStart"/>
      <w:r>
        <w:rPr>
          <w:rFonts w:ascii="Times New Roman" w:hAnsi="Times New Roman" w:hint="eastAsia"/>
          <w:sz w:val="24"/>
        </w:rPr>
        <w:t>券</w:t>
      </w:r>
      <w:proofErr w:type="gramEnd"/>
      <w:r>
        <w:rPr>
          <w:rFonts w:ascii="Times New Roman" w:hAnsi="Times New Roman" w:hint="eastAsia"/>
          <w:sz w:val="24"/>
        </w:rPr>
        <w:t>等）、资产支持证券、货币市场工具、债券回购、同业存单、银行存款（</w:t>
      </w:r>
      <w:proofErr w:type="gramStart"/>
      <w:r>
        <w:rPr>
          <w:rFonts w:ascii="Times New Roman" w:hAnsi="Times New Roman" w:hint="eastAsia"/>
          <w:sz w:val="24"/>
        </w:rPr>
        <w:t>含协议</w:t>
      </w:r>
      <w:proofErr w:type="gramEnd"/>
      <w:r>
        <w:rPr>
          <w:rFonts w:ascii="Times New Roman" w:hAnsi="Times New Roman" w:hint="eastAsia"/>
          <w:sz w:val="24"/>
        </w:rPr>
        <w:t>存款、定期存款及其他银行存款）、股指期货以及法律法规或中国证监会允许基金投资的其他金融工具（但须符合中国证监会相关规定）。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本基金可根据法律法规的规定参与融资及转融通证券出借业务。未来在法律法规允许的前提下，本基金可根据相关法律法规规定参与融券业务。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如法律法规或监管机构以后允许基金投资其他品种，基金管理人在履行适当程序后，可以将其纳入投资范围。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基金的投资组合比例为：本基金投资于中证港股</w:t>
      </w:r>
      <w:proofErr w:type="gramStart"/>
      <w:r>
        <w:rPr>
          <w:rFonts w:ascii="Times New Roman" w:hAnsi="Times New Roman" w:hint="eastAsia"/>
          <w:sz w:val="24"/>
        </w:rPr>
        <w:t>通央企</w:t>
      </w:r>
      <w:proofErr w:type="gramEnd"/>
      <w:r>
        <w:rPr>
          <w:rFonts w:ascii="Times New Roman" w:hAnsi="Times New Roman" w:hint="eastAsia"/>
          <w:sz w:val="24"/>
        </w:rPr>
        <w:t>红利指数成份股（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凭证）的比例不低于基金资产净值的</w:t>
      </w:r>
      <w:r>
        <w:rPr>
          <w:rFonts w:ascii="Times New Roman" w:hAnsi="Times New Roman"/>
          <w:sz w:val="24"/>
        </w:rPr>
        <w:t>90%</w:t>
      </w:r>
      <w:r>
        <w:rPr>
          <w:rFonts w:ascii="Times New Roman" w:hAnsi="Times New Roman" w:hint="eastAsia"/>
          <w:sz w:val="24"/>
        </w:rPr>
        <w:t>且不低于非现金基金资产的</w:t>
      </w:r>
      <w:r>
        <w:rPr>
          <w:rFonts w:ascii="Times New Roman" w:hAnsi="Times New Roman"/>
          <w:sz w:val="24"/>
        </w:rPr>
        <w:t>80%</w:t>
      </w:r>
      <w:r>
        <w:rPr>
          <w:rFonts w:ascii="Times New Roman" w:hAnsi="Times New Roman" w:hint="eastAsia"/>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ascii="Times New Roman" w:hAnsi="Times New Roman" w:hint="eastAsia"/>
          <w:sz w:val="24"/>
        </w:rPr>
        <w:t>，其中现金不包括结算备付金、存出保证金、应收申购款等。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如果法律法规或中国证监会变更投资品种的投资比例限制，基金管理人在履行适当程序后，可以调整上述投资品种的投资比例。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）基金托管人根据有关法律法规的规定及《基金合同》和本协议的约定，对基金投资、融资比例进行监督。</w:t>
      </w:r>
      <w:r>
        <w:rPr>
          <w:rFonts w:ascii="Times New Roman" w:hAnsi="Times New Roman"/>
          <w:sz w:val="24"/>
        </w:rPr>
        <w:t xml:space="preserve"> </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根据《基金合同》的约定，本基金投资组合比例应符合以下规定：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a.</w:t>
      </w:r>
      <w:r>
        <w:rPr>
          <w:rFonts w:ascii="Times New Roman" w:hAnsi="Times New Roman" w:hint="eastAsia"/>
          <w:sz w:val="24"/>
        </w:rPr>
        <w:t>本基金投资于中证港股</w:t>
      </w:r>
      <w:proofErr w:type="gramStart"/>
      <w:r>
        <w:rPr>
          <w:rFonts w:ascii="Times New Roman" w:hAnsi="Times New Roman" w:hint="eastAsia"/>
          <w:sz w:val="24"/>
        </w:rPr>
        <w:t>通央企</w:t>
      </w:r>
      <w:proofErr w:type="gramEnd"/>
      <w:r>
        <w:rPr>
          <w:rFonts w:ascii="Times New Roman" w:hAnsi="Times New Roman" w:hint="eastAsia"/>
          <w:sz w:val="24"/>
        </w:rPr>
        <w:t>红利指数成份股（</w:t>
      </w:r>
      <w:proofErr w:type="gramStart"/>
      <w:r>
        <w:rPr>
          <w:rFonts w:ascii="Times New Roman" w:hAnsi="Times New Roman" w:hint="eastAsia"/>
          <w:sz w:val="24"/>
        </w:rPr>
        <w:t>含存托</w:t>
      </w:r>
      <w:proofErr w:type="gramEnd"/>
      <w:r>
        <w:rPr>
          <w:rFonts w:ascii="Times New Roman" w:hAnsi="Times New Roman" w:hint="eastAsia"/>
          <w:sz w:val="24"/>
        </w:rPr>
        <w:t>凭证）及备选成份股（</w:t>
      </w:r>
      <w:proofErr w:type="gramStart"/>
      <w:r>
        <w:rPr>
          <w:rFonts w:ascii="Times New Roman" w:hAnsi="Times New Roman" w:hint="eastAsia"/>
          <w:sz w:val="24"/>
        </w:rPr>
        <w:t>含存托</w:t>
      </w:r>
      <w:proofErr w:type="gramEnd"/>
      <w:r>
        <w:rPr>
          <w:rFonts w:ascii="Times New Roman" w:hAnsi="Times New Roman" w:hint="eastAsia"/>
          <w:sz w:val="24"/>
        </w:rPr>
        <w:t>凭证）的比例不低于基金资产净值的</w:t>
      </w:r>
      <w:r>
        <w:rPr>
          <w:rFonts w:ascii="Times New Roman" w:hAnsi="Times New Roman"/>
          <w:sz w:val="24"/>
        </w:rPr>
        <w:t>90%</w:t>
      </w:r>
      <w:r>
        <w:rPr>
          <w:rFonts w:ascii="Times New Roman" w:hAnsi="Times New Roman" w:hint="eastAsia"/>
          <w:sz w:val="24"/>
        </w:rPr>
        <w:t>且不低于非现金基金资产的</w:t>
      </w:r>
      <w:r>
        <w:rPr>
          <w:rFonts w:ascii="Times New Roman" w:hAnsi="Times New Roman"/>
          <w:sz w:val="24"/>
        </w:rPr>
        <w:t>80%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b.</w:t>
      </w:r>
      <w:r>
        <w:rPr>
          <w:rFonts w:ascii="Times New Roman" w:hAnsi="Times New Roman" w:hint="eastAsia"/>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ascii="Times New Roman" w:hAnsi="Times New Roman" w:hint="eastAsia"/>
          <w:sz w:val="24"/>
        </w:rPr>
        <w:t>，其中现金不包括结算备付金、存出保证金、应收申购款等；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c.</w:t>
      </w:r>
      <w:r>
        <w:rPr>
          <w:rFonts w:ascii="Times New Roman" w:hAnsi="Times New Roman" w:hint="eastAsia"/>
          <w:sz w:val="24"/>
        </w:rPr>
        <w:t>本基金投资于同一原始权益人的各类资产支持证券的比例，不得超过基金资产净值的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d.</w:t>
      </w:r>
      <w:r>
        <w:rPr>
          <w:rFonts w:ascii="Times New Roman" w:hAnsi="Times New Roman" w:hint="eastAsia"/>
          <w:sz w:val="24"/>
        </w:rPr>
        <w:t>本基金持有的全部资产支持证券，其市值不得超过基金资产净值的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e.</w:t>
      </w:r>
      <w:r>
        <w:rPr>
          <w:rFonts w:ascii="Times New Roman" w:hAnsi="Times New Roman" w:hint="eastAsia"/>
          <w:sz w:val="24"/>
        </w:rPr>
        <w:t>本基金持有的同一（指同一信用级别）资产支持证券的比例，不得超过该资</w:t>
      </w:r>
      <w:r>
        <w:rPr>
          <w:rFonts w:ascii="Times New Roman" w:hAnsi="Times New Roman" w:hint="eastAsia"/>
          <w:sz w:val="24"/>
        </w:rPr>
        <w:lastRenderedPageBreak/>
        <w:t>产支持证券规模的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f.</w:t>
      </w:r>
      <w:r>
        <w:rPr>
          <w:rFonts w:ascii="Times New Roman" w:hAnsi="Times New Roman" w:hint="eastAsia"/>
          <w:sz w:val="24"/>
        </w:rPr>
        <w:t>本基金管理人管理的全部基金投资于同一原始权益人的各类资产支持证券，不得超过其各类资产支持证券合计规模的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g.</w:t>
      </w:r>
      <w:r>
        <w:rPr>
          <w:rFonts w:ascii="Times New Roman" w:hAnsi="Times New Roman" w:hint="eastAsia"/>
          <w:sz w:val="24"/>
        </w:rPr>
        <w:t>本基金应投资于信用级别评级为</w:t>
      </w:r>
      <w:r>
        <w:rPr>
          <w:rFonts w:ascii="Times New Roman" w:hAnsi="Times New Roman"/>
          <w:sz w:val="24"/>
        </w:rPr>
        <w:t>BBB</w:t>
      </w:r>
      <w:r>
        <w:rPr>
          <w:rFonts w:ascii="Times New Roman" w:hAnsi="Times New Roman" w:hint="eastAsia"/>
          <w:sz w:val="24"/>
        </w:rPr>
        <w:t>以上（含</w:t>
      </w:r>
      <w:r>
        <w:rPr>
          <w:rFonts w:ascii="Times New Roman" w:hAnsi="Times New Roman"/>
          <w:sz w:val="24"/>
        </w:rPr>
        <w:t>BBB</w:t>
      </w:r>
      <w:r>
        <w:rPr>
          <w:rFonts w:ascii="Times New Roman" w:hAnsi="Times New Roman" w:hint="eastAsia"/>
          <w:sz w:val="24"/>
        </w:rPr>
        <w:t>）的资产支持证券。基金持有资产支持证券期间，如果其信用等级下降、不再符合投资标准，应在评级报告发布之日起</w:t>
      </w:r>
      <w:r>
        <w:rPr>
          <w:rFonts w:ascii="Times New Roman" w:hAnsi="Times New Roman"/>
          <w:sz w:val="24"/>
        </w:rPr>
        <w:t>3</w:t>
      </w:r>
      <w:r>
        <w:rPr>
          <w:rFonts w:ascii="Times New Roman" w:hAnsi="Times New Roman" w:hint="eastAsia"/>
          <w:sz w:val="24"/>
        </w:rPr>
        <w:t>个月内予以全部卖出；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h.</w:t>
      </w:r>
      <w:r>
        <w:rPr>
          <w:rFonts w:ascii="Times New Roman" w:hAnsi="Times New Roman" w:hint="eastAsia"/>
          <w:sz w:val="24"/>
        </w:rPr>
        <w:t>基金财产参与股票发行申购，本基金所申报的金额不超过本基金的总资产，本基金所申报的股票数量不超过拟发行股票公司本次发行股票的总量；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i.</w:t>
      </w:r>
      <w:r>
        <w:rPr>
          <w:rFonts w:ascii="Times New Roman" w:hAnsi="Times New Roman" w:hint="eastAsia"/>
          <w:sz w:val="24"/>
        </w:rPr>
        <w:t>本基金主动投资于流动性受限资产的市值合计不得超过该基金资产净值的</w:t>
      </w:r>
      <w:r>
        <w:rPr>
          <w:rFonts w:ascii="Times New Roman" w:hAnsi="Times New Roman"/>
          <w:sz w:val="24"/>
        </w:rPr>
        <w:t>15%</w:t>
      </w:r>
      <w:r>
        <w:rPr>
          <w:rFonts w:ascii="Times New Roman" w:hAnsi="Times New Roman" w:hint="eastAsia"/>
          <w:sz w:val="24"/>
        </w:rPr>
        <w:t>；因证券市场波动、上市公司股票停牌、基金规模变动等基金管理人之外的因素致使基金不符合该比例限制的，基金管理人不得主动新增流动性受限资产的投资；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j.</w:t>
      </w:r>
      <w:r>
        <w:rPr>
          <w:rFonts w:ascii="Times New Roman" w:hAnsi="Times New Roman" w:hint="eastAsia"/>
          <w:sz w:val="24"/>
        </w:rPr>
        <w:t>本基金与私募类</w:t>
      </w:r>
      <w:proofErr w:type="gramStart"/>
      <w:r>
        <w:rPr>
          <w:rFonts w:ascii="Times New Roman" w:hAnsi="Times New Roman" w:hint="eastAsia"/>
          <w:sz w:val="24"/>
        </w:rPr>
        <w:t>证券资管产品</w:t>
      </w:r>
      <w:proofErr w:type="gramEnd"/>
      <w:r>
        <w:rPr>
          <w:rFonts w:ascii="Times New Roman" w:hAnsi="Times New Roman" w:hint="eastAsia"/>
          <w:sz w:val="24"/>
        </w:rPr>
        <w:t>及中国证监会认定的其他主体为交易对手开展逆回购交易的，可接受质押品的资质要求应当与基金合同约定的投资范围保持一致；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k.</w:t>
      </w:r>
      <w:r>
        <w:rPr>
          <w:rFonts w:ascii="Times New Roman" w:hAnsi="Times New Roman" w:hint="eastAsia"/>
          <w:sz w:val="24"/>
        </w:rPr>
        <w:t>本基金资产总值不超过基金资产净值的</w:t>
      </w:r>
      <w:r>
        <w:rPr>
          <w:rFonts w:ascii="Times New Roman" w:hAnsi="Times New Roman"/>
          <w:sz w:val="24"/>
        </w:rPr>
        <w:t>140%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l.</w:t>
      </w:r>
      <w:r>
        <w:rPr>
          <w:rFonts w:ascii="Times New Roman" w:hAnsi="Times New Roman" w:hint="eastAsia"/>
          <w:sz w:val="24"/>
        </w:rPr>
        <w:t>本基金参与股指期货交易，则：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①本基金在任何交易日日终，持有的买入股指期货合约价值，不得超过基金资产净值的</w:t>
      </w:r>
      <w:r>
        <w:rPr>
          <w:rFonts w:ascii="Times New Roman" w:hAnsi="Times New Roman"/>
          <w:sz w:val="24"/>
        </w:rPr>
        <w:t>10%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②本基金在任何交易日日终，持有的买入股指期货合约价值与有价证券市值之和，不得超过基金资产净值的</w:t>
      </w:r>
      <w:r>
        <w:rPr>
          <w:rFonts w:ascii="Times New Roman" w:hAnsi="Times New Roman"/>
          <w:sz w:val="24"/>
        </w:rPr>
        <w:t>100%</w:t>
      </w:r>
      <w:r>
        <w:rPr>
          <w:rFonts w:ascii="Times New Roman" w:hAnsi="Times New Roman" w:hint="eastAsia"/>
          <w:sz w:val="24"/>
        </w:rPr>
        <w:t>。其中，有价证券指股票、债券（不含到期日在一年以内的政府债券）、资产支持证券、买入返售金融资产（不含质押式回购）等；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③本基金在任何交易日日终，持有的卖出股指期货合约价值不得超过基金持有的股票总市值的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④本基金所持有的股票市值和买入、卖出股指期货合约价值，合计（轧差计算）应当符合基金合同关于股票投资比例的有关约定；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⑤本基金在任何交易日内交易（不包括平仓）的股指期货合约的成交金额不得超过上一交易日基金资产净值的</w:t>
      </w:r>
      <w:r>
        <w:rPr>
          <w:rFonts w:ascii="Times New Roman" w:hAnsi="Times New Roman"/>
          <w:sz w:val="24"/>
        </w:rPr>
        <w:t>20%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m.</w:t>
      </w:r>
      <w:r>
        <w:rPr>
          <w:rFonts w:ascii="Times New Roman" w:hAnsi="Times New Roman" w:hint="eastAsia"/>
          <w:sz w:val="24"/>
        </w:rPr>
        <w:t>本基金参与融资业务后，每个交易日日终，本基金持有的融资买入股票与其</w:t>
      </w:r>
      <w:r>
        <w:rPr>
          <w:rFonts w:ascii="Times New Roman" w:hAnsi="Times New Roman" w:hint="eastAsia"/>
          <w:sz w:val="24"/>
        </w:rPr>
        <w:lastRenderedPageBreak/>
        <w:t>他有价证券市值之和，不得超过基金资产净值的</w:t>
      </w:r>
      <w:r>
        <w:rPr>
          <w:rFonts w:ascii="Times New Roman" w:hAnsi="Times New Roman"/>
          <w:sz w:val="24"/>
        </w:rPr>
        <w:t>95%</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n.</w:t>
      </w:r>
      <w:r>
        <w:rPr>
          <w:rFonts w:ascii="Times New Roman" w:hAnsi="Times New Roman" w:hint="eastAsia"/>
          <w:sz w:val="24"/>
        </w:rPr>
        <w:t>本基金参与转融通证券出借业务，需遵守下列投资限制：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①出借证券资产不得超过基金资产净值的</w:t>
      </w:r>
      <w:r>
        <w:rPr>
          <w:rFonts w:ascii="Times New Roman" w:hAnsi="Times New Roman"/>
          <w:sz w:val="24"/>
        </w:rPr>
        <w:t>30%</w:t>
      </w:r>
      <w:r>
        <w:rPr>
          <w:rFonts w:ascii="Times New Roman" w:hAnsi="Times New Roman" w:hint="eastAsia"/>
          <w:sz w:val="24"/>
        </w:rPr>
        <w:t>，出借期限在</w:t>
      </w:r>
      <w:r>
        <w:rPr>
          <w:rFonts w:ascii="Times New Roman" w:hAnsi="Times New Roman"/>
          <w:sz w:val="24"/>
        </w:rPr>
        <w:t>10</w:t>
      </w:r>
      <w:r>
        <w:rPr>
          <w:rFonts w:ascii="Times New Roman" w:hAnsi="Times New Roman" w:hint="eastAsia"/>
          <w:sz w:val="24"/>
        </w:rPr>
        <w:t>个交易日以上的出借证券应纳入《流动性风险管理规定》所述流动性受限证券的范围；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②参与出借业务的单只证券不得超过本基金持有该证券总量的</w:t>
      </w:r>
      <w:r>
        <w:rPr>
          <w:rFonts w:ascii="Times New Roman" w:hAnsi="Times New Roman"/>
          <w:sz w:val="24"/>
        </w:rPr>
        <w:t>50%</w:t>
      </w:r>
      <w:r>
        <w:rPr>
          <w:rFonts w:ascii="Times New Roman" w:hAnsi="Times New Roman" w:hint="eastAsia"/>
          <w:sz w:val="24"/>
        </w:rPr>
        <w:t>；</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③最近</w:t>
      </w:r>
      <w:r>
        <w:rPr>
          <w:rFonts w:ascii="Times New Roman" w:hAnsi="Times New Roman"/>
          <w:sz w:val="24"/>
        </w:rPr>
        <w:t>6</w:t>
      </w:r>
      <w:r>
        <w:rPr>
          <w:rFonts w:ascii="Times New Roman" w:hAnsi="Times New Roman" w:hint="eastAsia"/>
          <w:sz w:val="24"/>
        </w:rPr>
        <w:t>个月内日均基金资产净值不得低于</w:t>
      </w:r>
      <w:r>
        <w:rPr>
          <w:rFonts w:ascii="Times New Roman" w:hAnsi="Times New Roman"/>
          <w:sz w:val="24"/>
        </w:rPr>
        <w:t>2</w:t>
      </w:r>
      <w:r>
        <w:rPr>
          <w:rFonts w:ascii="Times New Roman" w:hAnsi="Times New Roman" w:hint="eastAsia"/>
          <w:sz w:val="24"/>
        </w:rPr>
        <w:t>亿元；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④证券出借的平均剩余期限不得超过</w:t>
      </w:r>
      <w:r>
        <w:rPr>
          <w:rFonts w:ascii="Times New Roman" w:hAnsi="Times New Roman"/>
          <w:sz w:val="24"/>
        </w:rPr>
        <w:t>30</w:t>
      </w:r>
      <w:r>
        <w:rPr>
          <w:rFonts w:ascii="Times New Roman" w:hAnsi="Times New Roman" w:hint="eastAsia"/>
          <w:sz w:val="24"/>
        </w:rPr>
        <w:t>天，平均剩余期限按照市值加权平均计算；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因证券市场波动、上市公司合并、基金规模变动等基金管理人之外的因素致使基金投资不符合上述规定的，基金管理人不得新增出借业务；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o.</w:t>
      </w:r>
      <w:r>
        <w:rPr>
          <w:rFonts w:ascii="Times New Roman" w:hAnsi="Times New Roman" w:hint="eastAsia"/>
          <w:sz w:val="24"/>
        </w:rPr>
        <w:t>本基金投资存托凭证的比例限制依照境内上市交易的股票执行；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p.</w:t>
      </w:r>
      <w:r>
        <w:rPr>
          <w:rFonts w:ascii="Times New Roman" w:hAnsi="Times New Roman" w:hint="eastAsia"/>
          <w:sz w:val="24"/>
        </w:rPr>
        <w:t>法律法规及中国证监会规定的和《基金合同》约定的其他投资限制。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除上述</w:t>
      </w:r>
      <w:r>
        <w:rPr>
          <w:rFonts w:ascii="Times New Roman" w:hAnsi="Times New Roman"/>
          <w:sz w:val="24"/>
        </w:rPr>
        <w:t>b</w:t>
      </w:r>
      <w:r>
        <w:rPr>
          <w:rFonts w:ascii="Times New Roman" w:hAnsi="Times New Roman" w:hint="eastAsia"/>
          <w:sz w:val="24"/>
        </w:rPr>
        <w:t>、</w:t>
      </w:r>
      <w:r>
        <w:rPr>
          <w:rFonts w:ascii="Times New Roman" w:hAnsi="Times New Roman"/>
          <w:sz w:val="24"/>
        </w:rPr>
        <w:t>g</w:t>
      </w:r>
      <w:r>
        <w:rPr>
          <w:rFonts w:ascii="Times New Roman" w:hAnsi="Times New Roman" w:hint="eastAsia"/>
          <w:sz w:val="24"/>
        </w:rPr>
        <w:t>、</w:t>
      </w:r>
      <w:r>
        <w:rPr>
          <w:rFonts w:ascii="Times New Roman" w:hAnsi="Times New Roman"/>
          <w:sz w:val="24"/>
        </w:rPr>
        <w:t>i</w:t>
      </w:r>
      <w:r>
        <w:rPr>
          <w:rFonts w:ascii="Times New Roman" w:hAnsi="Times New Roman" w:hint="eastAsia"/>
          <w:sz w:val="24"/>
        </w:rPr>
        <w:t>、</w:t>
      </w:r>
      <w:r>
        <w:rPr>
          <w:rFonts w:ascii="Times New Roman" w:hAnsi="Times New Roman"/>
          <w:sz w:val="24"/>
        </w:rPr>
        <w:t>j</w:t>
      </w:r>
      <w:r>
        <w:rPr>
          <w:rFonts w:ascii="Times New Roman" w:hAnsi="Times New Roman" w:hint="eastAsia"/>
          <w:sz w:val="24"/>
        </w:rPr>
        <w:t>、</w:t>
      </w:r>
      <w:r>
        <w:rPr>
          <w:rFonts w:ascii="Times New Roman" w:hAnsi="Times New Roman"/>
          <w:sz w:val="24"/>
        </w:rPr>
        <w:t>n</w:t>
      </w:r>
      <w:r>
        <w:rPr>
          <w:rFonts w:ascii="Times New Roman" w:hAnsi="Times New Roman" w:hint="eastAsia"/>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ascii="Times New Roman" w:hAnsi="Times New Roman"/>
          <w:sz w:val="24"/>
        </w:rPr>
        <w:t>10</w:t>
      </w:r>
      <w:r>
        <w:rPr>
          <w:rFonts w:ascii="Times New Roman" w:hAnsi="Times New Roman" w:hint="eastAsia"/>
          <w:sz w:val="24"/>
        </w:rPr>
        <w:t>个交易日内进行调整，但中国证监会规定的特殊情形除外。法律法规另有规定的，从其规定。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基金管理人应当自基金合同生效之日起</w:t>
      </w:r>
      <w:r>
        <w:rPr>
          <w:rFonts w:ascii="Times New Roman" w:hAnsi="Times New Roman"/>
          <w:sz w:val="24"/>
        </w:rPr>
        <w:t>6</w:t>
      </w:r>
      <w:r>
        <w:rPr>
          <w:rFonts w:ascii="Times New Roman" w:hAnsi="Times New Roman"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法律法规或监管部门取消或变更上述限制，如适用于本基金，基金管理人在履行适当程序后，则本基金投资不再受相关限制或以变更后的规定为准。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基金托管人依照上述规定对本基金的投资组合限制及调整期限进行监督。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）基金托管人根据有关法律法规的规定及基金合同和本协议的约定，对基金投资禁止行为进行监督。基金财产不得用于下列投资或者活动。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）承销证券；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）违反规定向他人贷款或者提供担保；</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）从事承担无限责任的投资；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hint="eastAsia"/>
          <w:sz w:val="24"/>
        </w:rPr>
        <w:t>）买卖其他基金份额，但是中国证监会另有规定的除外；</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）向其基金管理人、基金托管人出资；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lastRenderedPageBreak/>
        <w:t>6</w:t>
      </w:r>
      <w:r>
        <w:rPr>
          <w:rFonts w:ascii="Times New Roman" w:hAnsi="Times New Roman" w:hint="eastAsia"/>
          <w:sz w:val="24"/>
        </w:rPr>
        <w:t>）从事内幕交易、操纵证券交易价格及其他不正当的证券交易活动；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7</w:t>
      </w:r>
      <w:r>
        <w:rPr>
          <w:rFonts w:ascii="Times New Roman" w:hAnsi="Times New Roman" w:hint="eastAsia"/>
          <w:sz w:val="24"/>
        </w:rPr>
        <w:t>）法律、行政法规和中国证监会规定禁止的其他活动。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如法律、行政法规或监管部门取消或变更上述规定，如适用于本基金，基金管理人在履行适当程序后，本基金可不受上述规定的限制或以变更后的规定为准。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在基金合同生效后，基金管理人和基金托管人应相互提供与本机构有控股关系的股东或者与本机构有其他重大利害关系的公司名单，以上名单发生变化的，应及时予以更新并通知对方。</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）基金托管人根据有关法律法规的规定及基金合同和本协议的约定，对基金管理人参与银行间债券市场进行监督。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未提供银行间债券市场交易对手名单，则视为交易对手名单包括全市场所有机构。</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对银行间债券市场交易对手名单及结算方式进行更新，应及时通知基金托管人，新名单自基金托管人确认后生效，新名单生效前已与本次剔除的交易对手所进行但尚未结算的交易，仍应按照原协议进行结算。如基金管理人根据市场情况需要临时调整银行间债券市场交易对手名单及结算方式的，应向基金托管人说明理由，并在与交易对手发生交易前与基金托管人确认，双方共同协商解决。如果基金托管人发现基金管理人与不在名单内的银行间市场交易对手进行交易，应及时提醒基金管理人，经提醒后基金管理人仍未改正的，基金托管人不承担由此造成的相应损失和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基金管理人负责对交易对手的资信控制和交易方式进行控制，按银行间债券市</w:t>
      </w:r>
      <w:r>
        <w:rPr>
          <w:rFonts w:ascii="Times New Roman" w:hAnsi="Times New Roman" w:hint="eastAsia"/>
          <w:sz w:val="24"/>
        </w:rPr>
        <w:lastRenderedPageBreak/>
        <w:t>场的交易规则进行交易，并负责处理因交易对手不履行合同而造成的纠纷，基金托管人不承担由此造成的相应法律责任及损失，但基金托管人应提供必要的配合和协助。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相应损失和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）基金托管人根据有关法律法规的规定及基金合同和本协议的约定，对基金管理人银行存款业务进行监督。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本基金投资银行存款应符合如下规定：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）基金管理人、基金托管人应当与存款银行建立对账机制，确保基金银行存款业务账目及核算的真实、准确。</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）基金托管人应加强对基金银行存款业务的监督与核查，严格审查、复核相关协议、账户资料、投资指令、存款证实书等有关文件，切实履行托管职责。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）基金管理人与基金托管人在开展基金存款业务时，应严格遵守《基金法》、《运作办法》等有关法律法规，以及国家有关账户管理、利率管理、支付结算等的各项规定。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）基金托管人对基金投资流通受限证券的监督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）基金投资流通受限证券，应遵守《关于基金投资非公开发行股票等流通受限证券有关问题的通知》等有关法律法规规定。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流通受限证券与上文所述的流动性受限资产的范围并不完全一致，包括由相关法律法规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imes New Roman" w:hAnsi="Times New Roman" w:hint="eastAsia"/>
          <w:sz w:val="24"/>
        </w:rPr>
        <w:t>券</w:t>
      </w:r>
      <w:proofErr w:type="gramEnd"/>
      <w:r>
        <w:rPr>
          <w:rFonts w:ascii="Times New Roman" w:hAnsi="Times New Roman" w:hint="eastAsia"/>
          <w:sz w:val="24"/>
        </w:rPr>
        <w:t>等流通受限证券。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基金管理人应至少</w:t>
      </w:r>
      <w:proofErr w:type="gramStart"/>
      <w:r>
        <w:rPr>
          <w:rFonts w:ascii="Times New Roman" w:hAnsi="Times New Roman" w:hint="eastAsia"/>
          <w:sz w:val="24"/>
        </w:rPr>
        <w:t>于首次</w:t>
      </w:r>
      <w:proofErr w:type="gramEnd"/>
      <w:r>
        <w:rPr>
          <w:rFonts w:ascii="Times New Roman" w:hAnsi="Times New Roman"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lastRenderedPageBreak/>
        <w:t>4</w:t>
      </w:r>
      <w:r>
        <w:rPr>
          <w:rFonts w:ascii="Times New Roman" w:hAnsi="Times New Roman" w:hint="eastAsia"/>
          <w:sz w:val="24"/>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w:t>
      </w:r>
      <w:proofErr w:type="gramStart"/>
      <w:r>
        <w:rPr>
          <w:rFonts w:ascii="Times New Roman" w:hAnsi="Times New Roman" w:hint="eastAsia"/>
          <w:sz w:val="24"/>
        </w:rPr>
        <w:t>于拟执行</w:t>
      </w:r>
      <w:proofErr w:type="gramEnd"/>
      <w:r>
        <w:rPr>
          <w:rFonts w:ascii="Times New Roman" w:hAnsi="Times New Roman" w:hint="eastAsia"/>
          <w:sz w:val="24"/>
        </w:rPr>
        <w:t>投资指令前两个工作日将上述信息书面发至基金托管人，保证基金托管人有足够的时间进行审核。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基金托管人应对基金管理人提供的有关书面信息进行审核，基金托管人认为上述资料可能导致基金投资出现风险的，有权要求基金管理人在投资流通受限证券前就该风险的消除或防范措施进行补充书面说明，并保留查看基金管理人风险管理部门就基金投资流通受限证券出具的风险评估报告等必要备查资料的权利。否则，基金托管人有权拒绝执行有关指令。因拒绝执行该指令造成基金财产损失的，基金托管人不承担责任，并有权报告中国证监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如基金管理人和基金托管人无法达成一致，应及时上报中国证监会请求解决。如果基金托管人切实履行监督职责，则不承担责任。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基金管理人运用基金财产参与转融通证券出借业务，应当遵守审慎经营原则，配备技术系统和专业人员，制定科学合理的投资策略和风险管理制度，完善业务流程，有效防范和控制风险，基金托管人将对基金参与出借业务进行监督和复核。</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）基金托管人根据法律法规的规定及《基金合同》和本协议的约定，对基金投资其他方面进行监督。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基金托管人应根据有关法律法规的规定及《基金合同》的约定，对基金资产净值计算、各类基金份额净值计算、应收资金到账、基金费用开支及收入确认、基金收益分配、相关信息披露、基金宣传推介材料中登载基金业绩表现数据等进行监督和核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基金托管人发现基金管理人的投资指令或实际投资运作违反《基金法》及其他有关法规、《基金合同》和本协议规定的行为，应及时以书面形式通知基金管理人</w:t>
      </w:r>
      <w:r>
        <w:rPr>
          <w:rFonts w:ascii="Times New Roman" w:hAnsi="Times New Roman" w:hint="eastAsia"/>
          <w:sz w:val="24"/>
        </w:rPr>
        <w:lastRenderedPageBreak/>
        <w:t>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基金托管人发现基金管理人有重大违规行为，应立即报告中国证监会，同时通知基金管理人在限期内纠正。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基金托管人发现基金管理人的指令违反法律、行政法规和其他有关规定，或者违反《基金合同》约定的，应当拒绝执行，立即通知基金管理人，并按规定向中国证监会报告。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基金托管人发现基金管理人依据交易程序已经生效的指令违反法律、行政法规和其他有关规定，或者违反《基金合同》约定的，应当立即通知基金管理人，并按规定向中国证监会报告。</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（三）基金管理人对基金托管人的业务核查</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等投资所需账户，是否及时、准确复核基金管理人计算的基金资产净值和各类基金份额净值，是否根据基金管理人指令办理清算交收，是否按照法规规定和《基金合同》规定进行相关信息披露和监督基金投资运作等行为。</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基金管理人定期和不定期地对基金托管人保管的基金资产进行核查。基金托管人应积极配合基金管理人的核查行为，包括但不限于：提交相关资料以</w:t>
      </w:r>
      <w:proofErr w:type="gramStart"/>
      <w:r>
        <w:rPr>
          <w:rFonts w:ascii="Times New Roman" w:hAnsi="Times New Roman" w:hint="eastAsia"/>
          <w:sz w:val="24"/>
        </w:rPr>
        <w:t>供基金</w:t>
      </w:r>
      <w:proofErr w:type="gramEnd"/>
      <w:r>
        <w:rPr>
          <w:rFonts w:ascii="Times New Roman" w:hAnsi="Times New Roman" w:hint="eastAsia"/>
          <w:sz w:val="24"/>
        </w:rPr>
        <w:t>管理人核查基金财产的完整性和真实性，在规定时间内答复并改正。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基金管理人发现基金托管人有重大违规行为，应立即报告中国证监会，同时通知基金托管人在限期内纠正。</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（四）基金财产的保管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、基金财产保管的原则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）基金托管人应安全保管基金财产，未经基金管理人的指令，不得自行运用、处分、分配基金的任何资产，非因基金财产本身承担的债务，不得对基金财产强制执行。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）基金财产应独立于基金管理人、基金托管人、证券经纪机构的固有财产。基金财产的债权、不得与基金管理人、基金托管人固有财产的债务相</w:t>
      </w:r>
      <w:proofErr w:type="gramStart"/>
      <w:r>
        <w:rPr>
          <w:rFonts w:ascii="Times New Roman" w:hAnsi="Times New Roman" w:hint="eastAsia"/>
          <w:sz w:val="24"/>
        </w:rPr>
        <w:t>抵销</w:t>
      </w:r>
      <w:proofErr w:type="gramEnd"/>
      <w:r>
        <w:rPr>
          <w:rFonts w:ascii="Times New Roman" w:hAnsi="Times New Roman" w:hint="eastAsia"/>
          <w:sz w:val="24"/>
        </w:rPr>
        <w:t>，不同基金财产的债权债务，不得相互</w:t>
      </w:r>
      <w:proofErr w:type="gramStart"/>
      <w:r>
        <w:rPr>
          <w:rFonts w:ascii="Times New Roman" w:hAnsi="Times New Roman" w:hint="eastAsia"/>
          <w:sz w:val="24"/>
        </w:rPr>
        <w:t>抵销</w:t>
      </w:r>
      <w:proofErr w:type="gramEnd"/>
      <w:r>
        <w:rPr>
          <w:rFonts w:ascii="Times New Roman" w:hAnsi="Times New Roman" w:hint="eastAsia"/>
          <w:sz w:val="24"/>
        </w:rPr>
        <w:t>。基金管理人、基金托管人以其自有资产承担法律责任，其债权人不得对基金财产行使请求冻结、扣押和其他权利。</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）基金托管人按照规定开立基金财产的资金账户、证券账户和债券托管账户等投资所需账户，基金管理人和基金托管人按照规定开立期货资金账户。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）基金托管人对所托管的不同基金财产分别设置账户，与基金托管人的其他业务和其他基金的托管业务实行严格的分账管理，独立核算，确保基金财产的完整和独立。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对于因为基金投资产生的应收资产和基金申购过程中产生的应收资产，应由基金管理人负责与有关当事人确定到账日期并通知基金托管人，到账日基金资产没有到达基金银行存款账户（即资金账户，下同）的，基金托管人应及时通知基金管理人采取措施进行催收。由此给基金造成损失的，基金管理人应负责向有关当事人追偿基金的损失。基金托管人对此不承担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、基金募集资产的验证</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基金募集期满或基金停止募集时，募集的基金份额总额、基金募集金额、基金份额持有人人数符合《基金法》、《运作办法》、基金合同等有关规定后，基金募集期届满或基金提前结束募集之日起</w:t>
      </w:r>
      <w:r>
        <w:rPr>
          <w:rFonts w:ascii="Times New Roman" w:hAnsi="Times New Roman"/>
          <w:sz w:val="24"/>
        </w:rPr>
        <w:t>10</w:t>
      </w:r>
      <w:r>
        <w:rPr>
          <w:rFonts w:ascii="Times New Roman" w:hAnsi="Times New Roman" w:hint="eastAsia"/>
          <w:sz w:val="24"/>
        </w:rPr>
        <w:t>日内，由基金管理人聘请符合《中华人民共和国证券法》规定的会计师事务所进行验资，出具验资报告，出具的验资报告应由参加验资的</w:t>
      </w:r>
      <w:r>
        <w:rPr>
          <w:rFonts w:ascii="Times New Roman" w:hAnsi="Times New Roman"/>
          <w:sz w:val="24"/>
        </w:rPr>
        <w:t>2</w:t>
      </w:r>
      <w:r>
        <w:rPr>
          <w:rFonts w:ascii="Times New Roman" w:hAnsi="Times New Roman" w:hint="eastAsia"/>
          <w:sz w:val="24"/>
        </w:rPr>
        <w:t>名以上（含</w:t>
      </w:r>
      <w:r>
        <w:rPr>
          <w:rFonts w:ascii="Times New Roman" w:hAnsi="Times New Roman"/>
          <w:sz w:val="24"/>
        </w:rPr>
        <w:t>2</w:t>
      </w:r>
      <w:r>
        <w:rPr>
          <w:rFonts w:ascii="Times New Roman" w:hAnsi="Times New Roman" w:hint="eastAsia"/>
          <w:sz w:val="24"/>
        </w:rPr>
        <w:t>名）中国注册会计师签字方为有效。验资完成，基金管理人应将属于基金财产的全部资金划入基金托管人开立的基金银行存款账户，基金托管人在收到资金当日出具相关证明文件。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、基金的银行存款账户的开立和管理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Pr>
          <w:rFonts w:ascii="Times New Roman" w:hAnsi="Times New Roman"/>
          <w:sz w:val="24"/>
        </w:rPr>
        <w:t>1</w:t>
      </w:r>
      <w:r>
        <w:rPr>
          <w:rFonts w:ascii="Times New Roman" w:hAnsi="Times New Roman" w:hint="eastAsia"/>
          <w:sz w:val="24"/>
        </w:rPr>
        <w:t>）基金托管人应负责本基金的银行存款账户的开设和管理。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托管人以本基金的名义开设本基金的银行存款账户，账户名称以实际开立为准。本基金的银行预留印鉴由基金托管人保管和使用。本基金的一切货币收支活动，包括但不限于投资、支付赎回金额、支付基金收益，均需通过本基金的银行存款账户进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本基金银行存款账户的开立和使用，限于满足开展本基金业务的需要。基金托管人和基金管理人不得假借本基金的名义开立其他任何银行存款账户；亦不得使用本基金的银行存款账户进行本基金业务以外的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）基金银行存款账户的管理应符合法律法规的有关规定。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hint="eastAsia"/>
          <w:sz w:val="24"/>
        </w:rPr>
        <w:t>、基金证券账户、证券交易资金账户的开立和管理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）基金托管人应当代表本基金，以基金托管人和本基金联名的方式在中国证券登记结算有限责任公司开设证券账户。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）基金证券账户资产的管理和运用由基金管理人负责。</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）本基金采用“第三方存管”</w:t>
      </w:r>
      <w:r>
        <w:rPr>
          <w:rFonts w:ascii="Times New Roman" w:hAnsi="Times New Roman"/>
          <w:sz w:val="24"/>
        </w:rPr>
        <w:t>+</w:t>
      </w:r>
      <w:r>
        <w:rPr>
          <w:rFonts w:ascii="Times New Roman" w:hAnsi="Times New Roman" w:hint="eastAsia"/>
          <w:sz w:val="24"/>
        </w:rPr>
        <w:t>“托管”模式存管证券交易结算资金，基金管理人负责在证券经纪商开设基金证券交易资金账户，并通知基金托管人与开立的基金托管账户建立第三方存管关系，同时三方存管的银证转账密码应及时通知基金托管人并由其掌握，在基金运作期间不得变更基金证券交易资金账户与托管账户之间的三方存管关系，未经基金托管人同意，不得对该证券交易资金账户项下的证券资产进行转托管和撤销指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）由基金托管人</w:t>
      </w:r>
      <w:proofErr w:type="gramStart"/>
      <w:r>
        <w:rPr>
          <w:rFonts w:ascii="Times New Roman" w:hAnsi="Times New Roman" w:hint="eastAsia"/>
          <w:sz w:val="24"/>
        </w:rPr>
        <w:t>持基金</w:t>
      </w:r>
      <w:proofErr w:type="gramEnd"/>
      <w:r>
        <w:rPr>
          <w:rFonts w:ascii="Times New Roman" w:hAnsi="Times New Roman" w:hint="eastAsia"/>
          <w:sz w:val="24"/>
        </w:rPr>
        <w:t>管理人与证券经纪机构签订的三方存管相关协议办理证券交易资金账户与本基金银行存款账户的银证签约手续，未经基金托管人书面同意，基金管理人不得将银证签约的指定银行结算账户（即本基金银行存款账户）变更为其他账户，否则，因此引起的法律后果及给本基金造成的损失全部由基金管理人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本基金证券账户和证券交易资金账户的开立和使用，限于满足开展本基金业务的需要。基金托管人和基金管理人不得出借或未经另一方同意擅自转让本基金的证券账户和证券交易资金账户；亦不得使用本基金的证券账户和证券交易资金账户进行本基金业务以外的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、债券托管账户的开立和管理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）基金合同生效后，基金管理人负责向中国人民银行进行报备，基金托管</w:t>
      </w:r>
      <w:r>
        <w:rPr>
          <w:rFonts w:ascii="Times New Roman" w:hAnsi="Times New Roman" w:hint="eastAsia"/>
          <w:sz w:val="24"/>
        </w:rPr>
        <w:lastRenderedPageBreak/>
        <w:t>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）基金管理人代表基金签订全国银行间债券市场债券回购主协议，协议正本由基金管理人保存。</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w:t>
      </w:r>
      <w:r>
        <w:rPr>
          <w:rFonts w:ascii="Times New Roman" w:hAnsi="Times New Roman" w:hint="eastAsia"/>
          <w:sz w:val="24"/>
        </w:rPr>
        <w:t>、期货相关账户的开立和管理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基金管理人、基金托管人应当按照相关规定开立期货资金账户，在中国金融期货交易所获取交易编码。期货资金账户名称及交易编码对应名称应按照有关规定设立。</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7</w:t>
      </w:r>
      <w:r>
        <w:rPr>
          <w:rFonts w:ascii="Times New Roman" w:hAnsi="Times New Roman" w:hint="eastAsia"/>
          <w:sz w:val="24"/>
        </w:rPr>
        <w:t>、基金投资银行存款账户的开立和管理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存款账户必须以基金名义开立，账户名称为基金名称，存款账户开户文件上加盖预留印鉴（</w:t>
      </w:r>
      <w:proofErr w:type="gramStart"/>
      <w:r>
        <w:rPr>
          <w:rFonts w:ascii="Times New Roman" w:hAnsi="Times New Roman" w:hint="eastAsia"/>
          <w:sz w:val="24"/>
        </w:rPr>
        <w:t>须包括</w:t>
      </w:r>
      <w:proofErr w:type="gramEnd"/>
      <w:r>
        <w:rPr>
          <w:rFonts w:ascii="Times New Roman" w:hAnsi="Times New Roman" w:hint="eastAsia"/>
          <w:sz w:val="24"/>
        </w:rPr>
        <w:t>基金托管人印章）及基金管理人公章。</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本基金投资银行存款时，基金管理人应当与存款银行签订具体存款协议</w:t>
      </w:r>
      <w:r>
        <w:rPr>
          <w:rFonts w:ascii="Times New Roman" w:hAnsi="Times New Roman"/>
          <w:sz w:val="24"/>
        </w:rPr>
        <w:t>/</w:t>
      </w:r>
      <w:r>
        <w:rPr>
          <w:rFonts w:ascii="Times New Roman" w:hAnsi="Times New Roman" w:hint="eastAsia"/>
          <w:sz w:val="24"/>
        </w:rPr>
        <w:t>存款确认单据，明确存款的类型、期限、利率、金额、账号、对账方式、支取方式、存款到期指定收款账户等细则。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为防范特殊情况下的流动性风险，存款协议中应当约定提前支取条款。</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8</w:t>
      </w:r>
      <w:r>
        <w:rPr>
          <w:rFonts w:ascii="Times New Roman" w:hAnsi="Times New Roman" w:hint="eastAsia"/>
          <w:sz w:val="24"/>
        </w:rPr>
        <w:t>、其他账户的开立和管理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9</w:t>
      </w:r>
      <w:r>
        <w:rPr>
          <w:rFonts w:ascii="Times New Roman" w:hAnsi="Times New Roman" w:hint="eastAsia"/>
          <w:sz w:val="24"/>
        </w:rPr>
        <w:t>、基金财产投资的有关实物证券、银行存款定期存单等有价凭证的保管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银行存款定期存单等有价凭证由基金托管人负责保管。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基金托管人只负责对存款证实书进行保管，不负责对存款证实书真伪的辨别，不承担存款证实书对应存款的本金及收益的安全保管责任。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10</w:t>
      </w:r>
      <w:r>
        <w:rPr>
          <w:rFonts w:ascii="Times New Roman" w:hAnsi="Times New Roman" w:hint="eastAsia"/>
          <w:sz w:val="24"/>
        </w:rPr>
        <w:t>、与基金财产有关的重大合同的保管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以上的正本，以便基金管理人和基金托管人至少各持有一份正本的原件，基金管理人应及时将正本送达基金托管人处。合同的保管期限按照国家有关规定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对于无法取得二份以上的正本的，基金管理人应向基金托管人提供加盖授权业务章的合同传真件，未经双方协商或未在合同约定范围内，合同原件不得转移。</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（五）基金资产净值</w:t>
      </w:r>
      <w:r>
        <w:rPr>
          <w:rFonts w:ascii="Times New Roman" w:hAnsi="Times New Roman" w:hint="eastAsia"/>
          <w:b/>
          <w:sz w:val="24"/>
        </w:rPr>
        <w:t>的</w:t>
      </w:r>
      <w:r>
        <w:rPr>
          <w:rFonts w:ascii="Times New Roman" w:hAnsi="Times New Roman"/>
          <w:b/>
          <w:sz w:val="24"/>
        </w:rPr>
        <w:t>计算</w:t>
      </w:r>
      <w:r>
        <w:rPr>
          <w:rFonts w:ascii="Times New Roman" w:hAnsi="Times New Roman" w:hint="eastAsia"/>
          <w:b/>
          <w:sz w:val="24"/>
        </w:rPr>
        <w:t>及复核程序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基金资产净值是指基金资产总值减去基金负债后的价值。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各类基金份额的基金份额净值是按照每个工作日闭市后，该类基金份额的基金资产净值除以当日该类基金份额的余额数量计算，精确到</w:t>
      </w:r>
      <w:r>
        <w:rPr>
          <w:rFonts w:ascii="Times New Roman" w:hAnsi="Times New Roman"/>
          <w:sz w:val="24"/>
        </w:rPr>
        <w:t>0.0001</w:t>
      </w:r>
      <w:r>
        <w:rPr>
          <w:rFonts w:ascii="Times New Roman" w:hAnsi="Times New Roman" w:hint="eastAsia"/>
          <w:sz w:val="24"/>
        </w:rPr>
        <w:t>元，小数点后第</w:t>
      </w:r>
      <w:r>
        <w:rPr>
          <w:rFonts w:ascii="Times New Roman" w:hAnsi="Times New Roman"/>
          <w:sz w:val="24"/>
        </w:rPr>
        <w:t>5</w:t>
      </w:r>
      <w:r>
        <w:rPr>
          <w:rFonts w:ascii="Times New Roman" w:hAnsi="Times New Roman" w:hint="eastAsia"/>
          <w:sz w:val="24"/>
        </w:rPr>
        <w:t>位四舍五入。基金管理人可以设立大额赎回情形下的净值精度应急调整机制，具体可参见相关公告。国家另有规定的，从其规定。</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管理人应每估值日对基金资产估值，但基金管理人根据法律法规或本基金合同的规定暂停估值时除外。估值原则应符合《基金合同》、《中国证监会关于证券投资基金估值业务的指导意见》及其他法律、法规的规定。基金资产净值和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信息按约定予以公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本基金按以下方法估值：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hint="eastAsia"/>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hint="eastAsia"/>
          <w:sz w:val="24"/>
        </w:rPr>
        <w:t>、处于未上市期间的有价证券应区分如下情况处理：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）送股、转增股、配股和公开增发的新股，按估值日在证券交易所挂牌的同一股票的估值方法估值；该日无交易的，以最近一日的市价（收盘价）估值；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Pr>
          <w:rFonts w:ascii="Times New Roman" w:hAnsi="Times New Roman"/>
          <w:sz w:val="24"/>
        </w:rPr>
        <w:t>2</w:t>
      </w:r>
      <w:r>
        <w:rPr>
          <w:rFonts w:ascii="Times New Roman" w:hAnsi="Times New Roman" w:hint="eastAsia"/>
          <w:sz w:val="24"/>
        </w:rPr>
        <w:t>）首次公开发行未上市的股票和债券，采用估值技术确定公允价值；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imes New Roman" w:hAnsi="Times New Roman" w:hint="eastAsia"/>
          <w:sz w:val="24"/>
        </w:rPr>
        <w:t>券</w:t>
      </w:r>
      <w:proofErr w:type="gramEnd"/>
      <w:r>
        <w:rPr>
          <w:rFonts w:ascii="Times New Roman" w:hAnsi="Times New Roman" w:hint="eastAsia"/>
          <w:sz w:val="24"/>
        </w:rPr>
        <w:t>等流通受限股票，按监管机构或行业协会有关规定确定公允价值。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、对于已上市或已挂牌转让的不含</w:t>
      </w:r>
      <w:proofErr w:type="gramStart"/>
      <w:r>
        <w:rPr>
          <w:rFonts w:ascii="Times New Roman" w:hAnsi="Times New Roman" w:hint="eastAsia"/>
          <w:sz w:val="24"/>
        </w:rPr>
        <w:t>权固定</w:t>
      </w:r>
      <w:proofErr w:type="gramEnd"/>
      <w:r>
        <w:rPr>
          <w:rFonts w:ascii="Times New Roman" w:hAnsi="Times New Roman" w:hint="eastAsia"/>
          <w:sz w:val="24"/>
        </w:rPr>
        <w:t>收益品种（另有规定的除外），选取第三方估值基准服务机构提供的相应品种当日的估值全价进行估值。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hint="eastAsia"/>
          <w:sz w:val="24"/>
        </w:rPr>
        <w:t>、对于已上市或已挂牌转让的含</w:t>
      </w:r>
      <w:proofErr w:type="gramStart"/>
      <w:r>
        <w:rPr>
          <w:rFonts w:ascii="Times New Roman" w:hAnsi="Times New Roman" w:hint="eastAsia"/>
          <w:sz w:val="24"/>
        </w:rPr>
        <w:t>权固定</w:t>
      </w:r>
      <w:proofErr w:type="gramEnd"/>
      <w:r>
        <w:rPr>
          <w:rFonts w:ascii="Times New Roman" w:hAnsi="Times New Roman" w:hint="eastAsia"/>
          <w:sz w:val="24"/>
        </w:rPr>
        <w:t>收益品种（另有规定的除外），选取第三方估值基准服务机构提供的相应品种当日的唯一估值全价或推荐估值全价进行估值。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6</w:t>
      </w:r>
      <w:r>
        <w:rPr>
          <w:rFonts w:ascii="Times New Roman" w:hAnsi="Times New Roman" w:hint="eastAsia"/>
          <w:sz w:val="24"/>
        </w:rPr>
        <w:t>、对于未上市或未挂牌转让且不存在活跃市场的固定收益品种，采用在当前情况下适用并且有足够可利用数据和其他信息支持的估值技术确定其公允价值。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7</w:t>
      </w:r>
      <w:r>
        <w:rPr>
          <w:rFonts w:ascii="Times New Roman" w:hAnsi="Times New Roman" w:hint="eastAsia"/>
          <w:sz w:val="24"/>
        </w:rPr>
        <w:t>、本基金投资股指期货合约，一般以估值当日结算价进行估值，估值当日无结算价的，且最近交易日后经济环境未发生重大变化的，采用最近交易日结算价估值。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8</w:t>
      </w:r>
      <w:r>
        <w:rPr>
          <w:rFonts w:ascii="Times New Roman" w:hAnsi="Times New Roman" w:hint="eastAsia"/>
          <w:sz w:val="24"/>
        </w:rPr>
        <w:t>、同一证券同时在两个或两个以上市场交易的，按证券所处的市场分别估值。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9</w:t>
      </w:r>
      <w:r>
        <w:rPr>
          <w:rFonts w:ascii="Times New Roman" w:hAnsi="Times New Roman" w:hint="eastAsia"/>
          <w:sz w:val="24"/>
        </w:rPr>
        <w:t>、估值计算中涉及港币对人民币汇率的，将依据下列信息提供机构所提供的汇率为基准：当日中国人民银行或其授权机构公布的人民币与港币的中间价。</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10</w:t>
      </w:r>
      <w:r>
        <w:rPr>
          <w:rFonts w:ascii="Times New Roman" w:hAnsi="Times New Roman" w:hint="eastAsia"/>
          <w:sz w:val="24"/>
        </w:rPr>
        <w:t>、对于因税收规定调整或其他原因导致本基金实际交纳税金与估算的应交税金有差异的，本基金将在相关税金调整日或实际支付日进行相应的会计处理。</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11</w:t>
      </w:r>
      <w:r>
        <w:rPr>
          <w:rFonts w:ascii="Times New Roman" w:hAnsi="Times New Roman" w:hint="eastAsia"/>
          <w:sz w:val="24"/>
        </w:rPr>
        <w:t>、本基金投资存托凭证的估值核算依照境内上市交易的股票执行。</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12</w:t>
      </w:r>
      <w:r>
        <w:rPr>
          <w:rFonts w:ascii="Times New Roman" w:hAnsi="Times New Roman" w:hint="eastAsia"/>
          <w:sz w:val="24"/>
        </w:rPr>
        <w:t>、基金参与融资和转融通证券出借业务的，应参照相关法律法规和中国证券</w:t>
      </w:r>
      <w:r>
        <w:rPr>
          <w:rFonts w:ascii="Times New Roman" w:hAnsi="Times New Roman" w:hint="eastAsia"/>
          <w:sz w:val="24"/>
        </w:rPr>
        <w:lastRenderedPageBreak/>
        <w:t>投资基金业协会发布的相关规定进行估值。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13</w:t>
      </w:r>
      <w:r>
        <w:rPr>
          <w:rFonts w:ascii="Times New Roman" w:hAnsi="Times New Roman" w:hint="eastAsia"/>
          <w:sz w:val="24"/>
        </w:rPr>
        <w:t>、如有确凿证据表明按上述方法进行估值不能客观反映其公允价值的，基金管理人可根据具体情况与基金托管人商定后，按最能反映公允价值的价格估值。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14</w:t>
      </w:r>
      <w:r>
        <w:rPr>
          <w:rFonts w:ascii="Times New Roman" w:hAnsi="Times New Roman" w:hint="eastAsia"/>
          <w:sz w:val="24"/>
        </w:rPr>
        <w:t>、当发生大额申购或赎回情形时，基金管理人可以采用摆动定价机制，以确保基金估值的公平性。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15</w:t>
      </w:r>
      <w:r>
        <w:rPr>
          <w:rFonts w:ascii="Times New Roman" w:hAnsi="Times New Roman" w:hint="eastAsia"/>
          <w:sz w:val="24"/>
        </w:rPr>
        <w:t>、相关法律法规以及监管部门有强制规定的，从其规定。如有新增事项，按国家最新规定估值。</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b/>
          <w:sz w:val="24"/>
        </w:rPr>
        <w:t>（</w:t>
      </w:r>
      <w:r>
        <w:rPr>
          <w:rFonts w:ascii="Times New Roman" w:hAnsi="Times New Roman" w:hint="eastAsia"/>
          <w:b/>
          <w:sz w:val="24"/>
        </w:rPr>
        <w:t>六</w:t>
      </w:r>
      <w:r>
        <w:rPr>
          <w:rFonts w:ascii="Times New Roman" w:hAnsi="Times New Roman"/>
          <w:b/>
          <w:sz w:val="24"/>
        </w:rPr>
        <w:t>）</w:t>
      </w:r>
      <w:r>
        <w:rPr>
          <w:rFonts w:ascii="Times New Roman" w:hAnsi="Times New Roman" w:hint="eastAsia"/>
          <w:b/>
          <w:sz w:val="24"/>
        </w:rPr>
        <w:t>基金份额持有人名册的保管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如不能妥善保管，则按相关法规承担责任。</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9A4701" w:rsidRDefault="00677B65">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（七）争议解决方式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双方当事人同意，因本协议而产生的或与本协议有关的一切争议，应通过友好协商解决。托管协议当事人不愿通过协商解决或者协商不成的，任何一方当事人均有权将争议提交中国国际经济贸易仲裁委员会，按照中国国际经济贸易仲裁委员会届时有效的仲裁规则进行仲裁。仲裁地点为北京市。仲裁裁决是终局的，并对相关各方当事人均有约束力。除非仲裁裁决另有决定，仲裁费用由败诉方承担。</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争议处理期间，双方当事人应恪守基金管理人和基金托管人职责，继续忠实、</w:t>
      </w:r>
      <w:r>
        <w:rPr>
          <w:rFonts w:ascii="Times New Roman" w:hAnsi="Times New Roman" w:hint="eastAsia"/>
          <w:sz w:val="24"/>
        </w:rPr>
        <w:lastRenderedPageBreak/>
        <w:t>勤勉、尽责地履行《基金合同》和本协议规定的义务，维护基金份额持有人的合法权益。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本协议受中华人民共和国法律（为本协议之目的，在此不包括香港特别行政区、澳门特别行政区和台湾地区法律）管辖并从其解释。</w:t>
      </w:r>
    </w:p>
    <w:p w:rsidR="009A4701" w:rsidRDefault="00677B65">
      <w:pPr>
        <w:autoSpaceDE w:val="0"/>
        <w:autoSpaceDN w:val="0"/>
        <w:adjustRightInd w:val="0"/>
        <w:snapToGrid w:val="0"/>
        <w:spacing w:line="360" w:lineRule="auto"/>
        <w:ind w:firstLineChars="200" w:firstLine="482"/>
        <w:jc w:val="left"/>
        <w:rPr>
          <w:rFonts w:ascii="Times New Roman" w:hAnsi="Times New Roman"/>
          <w:b/>
          <w:sz w:val="24"/>
        </w:rPr>
      </w:pPr>
      <w:r>
        <w:rPr>
          <w:rFonts w:ascii="Times New Roman" w:hAnsi="Times New Roman"/>
          <w:b/>
          <w:sz w:val="24"/>
        </w:rPr>
        <w:t>（八）</w:t>
      </w:r>
      <w:r>
        <w:rPr>
          <w:rFonts w:ascii="Times New Roman" w:hAnsi="Times New Roman" w:hint="eastAsia"/>
          <w:b/>
          <w:sz w:val="24"/>
        </w:rPr>
        <w:t>托管协议的变更、终止与基金财产的清算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、基金托管协议的变更</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本协议双方当事人经协商一致，可以对协议进行修改。修改后的新协议，其内容不得与《基金合同》的规定有任何冲突。</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、基金托管协议的终止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）《基金合同》终止；</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）基金托管人解散、依法被撤销、破产，被依法取消基金托管资格或因其他事由造成其他基金托管人接管基金财产；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）基金管理人解散、依法被撤销、破产，被依法取消基金管理资格或因其他事由造成其他基金管理人接管基金管理权；</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4</w:t>
      </w:r>
      <w:r>
        <w:rPr>
          <w:rFonts w:ascii="Times New Roman" w:hAnsi="Times New Roman" w:hint="eastAsia"/>
          <w:sz w:val="24"/>
        </w:rPr>
        <w:t>）发生《基金法》、《运作办法》或其他法律法规规定的终止事项。</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hint="eastAsia"/>
          <w:sz w:val="24"/>
        </w:rPr>
        <w:t>、基金财产的清算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）基金财产清算小组：自出现《基金合同》终止事由之日起</w:t>
      </w:r>
      <w:r>
        <w:rPr>
          <w:rFonts w:ascii="Times New Roman" w:hAnsi="Times New Roman" w:hint="eastAsia"/>
          <w:sz w:val="24"/>
        </w:rPr>
        <w:t>30</w:t>
      </w:r>
      <w:r>
        <w:rPr>
          <w:rFonts w:ascii="Times New Roman" w:hAnsi="Times New Roman" w:hint="eastAsia"/>
          <w:sz w:val="24"/>
        </w:rPr>
        <w:t>个工作日内成立清算小组，基金管理人组织基金财产清算小组并在中国证监会的监督下进行基金清算。</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）基金财产清算小组职责：基金财产清算小组负责基金财产的保管、清理、估价、变现和分配。基金财产清算小组可以依法进行必要的民事活动。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）基金财产清算程序：</w:t>
      </w:r>
      <w:r>
        <w:rPr>
          <w:rFonts w:ascii="Times New Roman" w:hAnsi="Times New Roman" w:hint="eastAsia"/>
          <w:sz w:val="24"/>
        </w:rPr>
        <w:tab/>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）《基金合同》终止情形出现时，由基金财产清算小组统一接管基金财产；</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）对基金财产和债权债务进行清理和确认；</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）对基金财产进行估值和变现；</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4</w:t>
      </w:r>
      <w:r>
        <w:rPr>
          <w:rFonts w:ascii="Times New Roman" w:hAnsi="Times New Roman" w:hint="eastAsia"/>
          <w:sz w:val="24"/>
        </w:rPr>
        <w:t>）制作清算报告；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5</w:t>
      </w:r>
      <w:r>
        <w:rPr>
          <w:rFonts w:ascii="Times New Roman" w:hAnsi="Times New Roman" w:hint="eastAsia"/>
          <w:sz w:val="24"/>
        </w:rPr>
        <w:t>）聘请会计师事务所对清算报告进行外部审计，聘请律师事务所对清算报告</w:t>
      </w:r>
      <w:r>
        <w:rPr>
          <w:rFonts w:ascii="Times New Roman" w:hAnsi="Times New Roman" w:hint="eastAsia"/>
          <w:sz w:val="24"/>
        </w:rPr>
        <w:lastRenderedPageBreak/>
        <w:t>出具法律意见书；</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6</w:t>
      </w:r>
      <w:r>
        <w:rPr>
          <w:rFonts w:ascii="Times New Roman" w:hAnsi="Times New Roman" w:hint="eastAsia"/>
          <w:sz w:val="24"/>
        </w:rPr>
        <w:t>）将清算报告报中国证监会备案并公告；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7</w:t>
      </w:r>
      <w:r>
        <w:rPr>
          <w:rFonts w:ascii="Times New Roman" w:hAnsi="Times New Roman" w:hint="eastAsia"/>
          <w:sz w:val="24"/>
        </w:rPr>
        <w:t>）对基金剩余财产进行分配。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）基金财产清算的期限为</w:t>
      </w:r>
      <w:r>
        <w:rPr>
          <w:rFonts w:ascii="Times New Roman" w:hAnsi="Times New Roman" w:hint="eastAsia"/>
          <w:sz w:val="24"/>
        </w:rPr>
        <w:t>6</w:t>
      </w:r>
      <w:r>
        <w:rPr>
          <w:rFonts w:ascii="Times New Roman" w:hAnsi="Times New Roman" w:hint="eastAsia"/>
          <w:sz w:val="24"/>
        </w:rPr>
        <w:t>个月，但因本基金所持证券的流动性受到限制而不能及时变现的，清算期限相应顺延。</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）清算费用</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清算费用是指基金财产清算小组在进行基金财产清算过程中发生的所有合理费用，清算费用由基金财产清算小组优先从基金财产中支付。</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）基金财产清算剩余资产的分配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依据基金财产清算的分配方案，将基金财产清算后的全部剩余资产扣除基金财产清算费用、交纳所欠税款并清偿基金债务后，按基金份额持有人持有的基金份额比例进行分配。</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）基金财产清算的公告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清算过程中的有关重大事项须及时公告；基金财产清算报告</w:t>
      </w:r>
      <w:proofErr w:type="gramStart"/>
      <w:r>
        <w:rPr>
          <w:rFonts w:ascii="Times New Roman" w:hAnsi="Times New Roman" w:hint="eastAsia"/>
          <w:sz w:val="24"/>
        </w:rPr>
        <w:t>经符合</w:t>
      </w:r>
      <w:proofErr w:type="gramEnd"/>
      <w:r>
        <w:rPr>
          <w:rFonts w:ascii="Times New Roman" w:hAnsi="Times New Roman"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Times New Roman" w:hAnsi="Times New Roman" w:hint="eastAsia"/>
          <w:sz w:val="24"/>
        </w:rPr>
        <w:t>5</w:t>
      </w:r>
      <w:r>
        <w:rPr>
          <w:rFonts w:ascii="Times New Roman" w:hAnsi="Times New Roman" w:hint="eastAsia"/>
          <w:sz w:val="24"/>
        </w:rPr>
        <w:t>个工作日内由基金财产清算小组进行公告，基金财产清算小组应当将清算报告登载在规定网站上，并将清算报告提示性公告登载在规定报刊上。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9</w:t>
      </w:r>
      <w:r>
        <w:rPr>
          <w:rFonts w:ascii="Times New Roman" w:hAnsi="Times New Roman" w:hint="eastAsia"/>
          <w:sz w:val="24"/>
        </w:rPr>
        <w:t>）基金财产清算账册及文件的保存</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hint="eastAsia"/>
          <w:sz w:val="24"/>
        </w:rPr>
        <w:t>基金财产清算账册及有关文件由基金托管人保存不低于法律法规规定的最低期限。</w:t>
      </w:r>
    </w:p>
    <w:p w:rsidR="009A4701" w:rsidRDefault="009A4701">
      <w:pPr>
        <w:autoSpaceDE w:val="0"/>
        <w:autoSpaceDN w:val="0"/>
        <w:adjustRightInd w:val="0"/>
        <w:spacing w:line="360" w:lineRule="auto"/>
        <w:rPr>
          <w:rFonts w:ascii="Times New Roman" w:hAnsi="Times New Roman"/>
          <w:szCs w:val="24"/>
        </w:rPr>
      </w:pPr>
    </w:p>
    <w:p w:rsidR="009A4701" w:rsidRDefault="00677B65">
      <w:pPr>
        <w:pStyle w:val="1"/>
        <w:snapToGrid w:val="0"/>
        <w:spacing w:beforeLines="0" w:before="240" w:after="240"/>
        <w:rPr>
          <w:rFonts w:ascii="Times New Roman" w:hAnsi="Times New Roman"/>
          <w:szCs w:val="30"/>
        </w:rPr>
      </w:pPr>
      <w:r>
        <w:rPr>
          <w:rFonts w:ascii="Times New Roman" w:hAnsi="Times New Roman"/>
          <w:sz w:val="30"/>
        </w:rPr>
        <w:br w:type="page"/>
      </w:r>
      <w:bookmarkStart w:id="43" w:name="_Toc147840639"/>
      <w:r>
        <w:rPr>
          <w:rFonts w:ascii="Times New Roman" w:hAnsi="Times New Roman"/>
          <w:sz w:val="30"/>
        </w:rPr>
        <w:lastRenderedPageBreak/>
        <w:t>二十一、对基金份额持有人的服务</w:t>
      </w:r>
      <w:bookmarkEnd w:id="43"/>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基金管理人承诺为基金份额持有人提供一系列的服务。基金管理人根据基金份额持有人的需要和市场的变化，有权增加或变更服务项目。主要服务内容如下：</w:t>
      </w:r>
    </w:p>
    <w:p w:rsidR="009A4701" w:rsidRDefault="00677B65">
      <w:pPr>
        <w:widowControl/>
        <w:adjustRightInd w:val="0"/>
        <w:snapToGrid w:val="0"/>
        <w:spacing w:line="360" w:lineRule="auto"/>
        <w:ind w:firstLineChars="200" w:firstLine="482"/>
        <w:rPr>
          <w:rFonts w:ascii="Times New Roman" w:hAnsi="Times New Roman"/>
          <w:b/>
          <w:kern w:val="0"/>
          <w:sz w:val="24"/>
        </w:rPr>
      </w:pPr>
      <w:r>
        <w:rPr>
          <w:rFonts w:ascii="Times New Roman" w:hAnsi="Times New Roman"/>
          <w:b/>
          <w:kern w:val="0"/>
          <w:sz w:val="24"/>
        </w:rPr>
        <w:t>（一）</w:t>
      </w:r>
      <w:r>
        <w:rPr>
          <w:rFonts w:ascii="Times New Roman" w:hAnsi="Times New Roman" w:hint="eastAsia"/>
          <w:b/>
          <w:kern w:val="0"/>
          <w:sz w:val="24"/>
        </w:rPr>
        <w:t>基金募集客户服务相关准备工作</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基金管理人将通过客户服务电话、公司网站、手机短信及其他服务形式，向投资者提供关于基金募集的信息咨询服务，并为投资者办理基金募集相关业务提供协助。</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（二）网上直销服务</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本基金管理人已开通基金网上直销服务，个人投资者可以直接通过本基金管理人的网上直销交易平台办理开户手续，并在本基金募集期间通过网上直销交易平台办理本基金的认购业务，在本基金开放日常申购和赎回等业务后通过网上直销交易平台办理本基金的申购和赎回等业务，有关详情可参见相关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基金网上直销交易平台已开通的银行卡及各银行卡交易金额限额请参阅本基金管理人网站。</w:t>
      </w:r>
    </w:p>
    <w:p w:rsidR="009A4701" w:rsidRDefault="00677B65">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在条件成熟的时候，本基金管理人将根据基金网上直销业务的发展状况，适时调整可用于网上直销交易平台的银行卡种类，敬请投资人留意相关公告。</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（三）信息咨询、查询服务</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投资人如果想查询基金账户余额、基金产品与服务等信息，请拨打本基金管理</w:t>
      </w:r>
      <w:proofErr w:type="gramStart"/>
      <w:r>
        <w:rPr>
          <w:rFonts w:ascii="Times New Roman" w:hAnsi="Times New Roman"/>
          <w:sz w:val="24"/>
        </w:rPr>
        <w:t>人客户</w:t>
      </w:r>
      <w:proofErr w:type="gramEnd"/>
      <w:r>
        <w:rPr>
          <w:rFonts w:ascii="Times New Roman" w:hAnsi="Times New Roman"/>
          <w:sz w:val="24"/>
        </w:rPr>
        <w:t>服务电话（</w:t>
      </w:r>
      <w:r>
        <w:rPr>
          <w:rFonts w:ascii="Times New Roman" w:hAnsi="Times New Roman"/>
          <w:sz w:val="24"/>
        </w:rPr>
        <w:t>400-700-5000</w:t>
      </w:r>
      <w:r>
        <w:rPr>
          <w:rFonts w:ascii="Times New Roman" w:hAnsi="Times New Roman"/>
          <w:sz w:val="24"/>
        </w:rPr>
        <w:t>，</w:t>
      </w:r>
      <w:r>
        <w:rPr>
          <w:rFonts w:ascii="Times New Roman" w:hAnsi="Times New Roman"/>
          <w:sz w:val="24"/>
        </w:rPr>
        <w:t>021-61055000</w:t>
      </w:r>
      <w:r>
        <w:rPr>
          <w:rFonts w:ascii="Times New Roman" w:hAnsi="Times New Roman"/>
          <w:sz w:val="24"/>
        </w:rPr>
        <w:t>）或登录本基金管理人网站（</w:t>
      </w:r>
      <w:r>
        <w:rPr>
          <w:rFonts w:ascii="Times New Roman" w:hAnsi="Times New Roman"/>
          <w:sz w:val="24"/>
        </w:rPr>
        <w:t>www.fund001.com</w:t>
      </w:r>
      <w:r>
        <w:rPr>
          <w:rFonts w:ascii="Times New Roman" w:hAnsi="Times New Roman"/>
          <w:sz w:val="24"/>
        </w:rPr>
        <w:t>）进行咨询、查询。</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本基金管理人为投资人预设基金查询密码，预设的基金查询密码为投资人开户证件号码的后</w:t>
      </w:r>
      <w:r>
        <w:rPr>
          <w:rFonts w:ascii="Times New Roman" w:hAnsi="Times New Roman"/>
          <w:sz w:val="24"/>
        </w:rPr>
        <w:t>6</w:t>
      </w:r>
      <w:r>
        <w:rPr>
          <w:rFonts w:ascii="Times New Roman" w:hAnsi="Times New Roman"/>
          <w:sz w:val="24"/>
        </w:rPr>
        <w:t>位数字，不足</w:t>
      </w:r>
      <w:r>
        <w:rPr>
          <w:rFonts w:ascii="Times New Roman" w:hAnsi="Times New Roman"/>
          <w:sz w:val="24"/>
        </w:rPr>
        <w:t>6</w:t>
      </w:r>
      <w:r>
        <w:rPr>
          <w:rFonts w:ascii="Times New Roman" w:hAnsi="Times New Roman"/>
          <w:sz w:val="24"/>
        </w:rPr>
        <w:t>位数字的，前面加</w:t>
      </w:r>
      <w:r>
        <w:rPr>
          <w:rFonts w:ascii="Times New Roman" w:hAnsi="Times New Roman"/>
          <w:sz w:val="24"/>
        </w:rPr>
        <w:t>“0”</w:t>
      </w:r>
      <w:r>
        <w:rPr>
          <w:rFonts w:ascii="Times New Roman" w:hAnsi="Times New Roman"/>
          <w:sz w:val="24"/>
        </w:rPr>
        <w:t>补足。基金查询密码用于投资人通过客户服务电话查询基金账户下的账户和交易信息。投资人请在其知晓基金账号后，及时拨打本基金管理</w:t>
      </w:r>
      <w:proofErr w:type="gramStart"/>
      <w:r>
        <w:rPr>
          <w:rFonts w:ascii="Times New Roman" w:hAnsi="Times New Roman"/>
          <w:sz w:val="24"/>
        </w:rPr>
        <w:t>人客户</w:t>
      </w:r>
      <w:proofErr w:type="gramEnd"/>
      <w:r>
        <w:rPr>
          <w:rFonts w:ascii="Times New Roman" w:hAnsi="Times New Roman"/>
          <w:sz w:val="24"/>
        </w:rPr>
        <w:t>服务电话修改基金查询密码。</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投资人可以拨打本基金管理</w:t>
      </w:r>
      <w:proofErr w:type="gramStart"/>
      <w:r>
        <w:rPr>
          <w:rFonts w:ascii="Times New Roman" w:hAnsi="Times New Roman"/>
          <w:sz w:val="24"/>
        </w:rPr>
        <w:t>人客户</w:t>
      </w:r>
      <w:proofErr w:type="gramEnd"/>
      <w:r>
        <w:rPr>
          <w:rFonts w:ascii="Times New Roman" w:hAnsi="Times New Roman"/>
          <w:sz w:val="24"/>
        </w:rPr>
        <w:t>服务电话投诉直销机构的人员和服务。</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（四）基金红利再投资</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本基金收益分配时，基金份额持有人持有的基金份额可选择现金红利或选择红利再投将现金红利自动转为相应类别的基金份额进行再投资，若投资人不选择，本</w:t>
      </w:r>
      <w:r>
        <w:rPr>
          <w:rFonts w:ascii="Times New Roman" w:hAnsi="Times New Roman" w:hint="eastAsia"/>
          <w:kern w:val="0"/>
          <w:sz w:val="24"/>
        </w:rPr>
        <w:lastRenderedPageBreak/>
        <w:t>基金默认的收益分配方式是现金分红。再投资红利按红利再投日（即除息日）除息后的基金份额净值自动转为相应类别的基金份额，并免收申购费用。</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（五）定期定额投资计划</w:t>
      </w:r>
    </w:p>
    <w:p w:rsidR="009A4701" w:rsidRDefault="00677B65">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待技术条件成熟时，基金</w:t>
      </w:r>
      <w:bookmarkStart w:id="44" w:name="OLE_LINK11"/>
      <w:r>
        <w:rPr>
          <w:rFonts w:ascii="Times New Roman" w:hAnsi="Times New Roman" w:hint="eastAsia"/>
          <w:kern w:val="0"/>
          <w:sz w:val="24"/>
        </w:rPr>
        <w:t>管理人可通过销售机构为投资人提供定期定额投资的服务。通过定期定额</w:t>
      </w:r>
      <w:bookmarkEnd w:id="44"/>
      <w:r>
        <w:rPr>
          <w:rFonts w:ascii="Times New Roman" w:hAnsi="Times New Roman" w:hint="eastAsia"/>
          <w:kern w:val="0"/>
          <w:sz w:val="24"/>
        </w:rPr>
        <w:t>投资计划，投资人可以定期定额申购基金份额，具体实施方法另行公告。</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服务联系方式：</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本基金管理人的互联网地址及电子信箱</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网址：</w:t>
      </w:r>
      <w:r>
        <w:rPr>
          <w:rFonts w:ascii="Times New Roman" w:hAnsi="Times New Roman"/>
          <w:sz w:val="24"/>
        </w:rPr>
        <w:t>www.fund001.com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电子信箱：</w:t>
      </w:r>
      <w:r>
        <w:rPr>
          <w:rFonts w:ascii="Times New Roman" w:hAnsi="Times New Roman"/>
          <w:sz w:val="24"/>
        </w:rPr>
        <w:t>services@jysld.com</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投资者也可登录本基金管理人网站，直接提出有关本基金的问题和建议。</w:t>
      </w:r>
    </w:p>
    <w:p w:rsidR="009A4701" w:rsidRDefault="00677B65">
      <w:pPr>
        <w:autoSpaceDE w:val="0"/>
        <w:autoSpaceDN w:val="0"/>
        <w:adjustRightInd w:val="0"/>
        <w:snapToGrid w:val="0"/>
        <w:spacing w:line="360" w:lineRule="auto"/>
        <w:ind w:firstLineChars="200" w:firstLine="482"/>
        <w:jc w:val="left"/>
        <w:rPr>
          <w:rFonts w:ascii="Times New Roman" w:hAnsi="Times New Roman"/>
          <w:szCs w:val="24"/>
        </w:rPr>
      </w:pPr>
      <w:r>
        <w:rPr>
          <w:rFonts w:ascii="Times New Roman" w:hAnsi="Times New Roman" w:hint="eastAsia"/>
          <w:b/>
          <w:kern w:val="0"/>
          <w:sz w:val="24"/>
        </w:rPr>
        <w:t>（六）如本招募说明书存在任何您</w:t>
      </w:r>
      <w:r>
        <w:rPr>
          <w:rFonts w:ascii="Times New Roman" w:hAnsi="Times New Roman"/>
          <w:b/>
          <w:kern w:val="0"/>
          <w:sz w:val="24"/>
        </w:rPr>
        <w:t>/</w:t>
      </w:r>
      <w:proofErr w:type="gramStart"/>
      <w:r>
        <w:rPr>
          <w:rFonts w:ascii="Times New Roman" w:hAnsi="Times New Roman" w:hint="eastAsia"/>
          <w:b/>
          <w:kern w:val="0"/>
          <w:sz w:val="24"/>
        </w:rPr>
        <w:t>贵机构</w:t>
      </w:r>
      <w:proofErr w:type="gramEnd"/>
      <w:r>
        <w:rPr>
          <w:rFonts w:ascii="Times New Roman" w:hAnsi="Times New Roman" w:hint="eastAsia"/>
          <w:b/>
          <w:kern w:val="0"/>
          <w:sz w:val="24"/>
        </w:rPr>
        <w:t>无法理解的内容，请通过上述方式联系基金管理人。</w:t>
      </w:r>
      <w:proofErr w:type="gramStart"/>
      <w:r>
        <w:rPr>
          <w:rFonts w:ascii="Times New Roman" w:hAnsi="Times New Roman" w:hint="eastAsia"/>
          <w:b/>
          <w:kern w:val="0"/>
          <w:sz w:val="24"/>
        </w:rPr>
        <w:t>请确保</w:t>
      </w:r>
      <w:proofErr w:type="gramEnd"/>
      <w:r>
        <w:rPr>
          <w:rFonts w:ascii="Times New Roman" w:hAnsi="Times New Roman" w:hint="eastAsia"/>
          <w:b/>
          <w:kern w:val="0"/>
          <w:sz w:val="24"/>
        </w:rPr>
        <w:t>投资前，您</w:t>
      </w:r>
      <w:r>
        <w:rPr>
          <w:rFonts w:ascii="Times New Roman" w:hAnsi="Times New Roman"/>
          <w:b/>
          <w:kern w:val="0"/>
          <w:sz w:val="24"/>
        </w:rPr>
        <w:t>/</w:t>
      </w:r>
      <w:proofErr w:type="gramStart"/>
      <w:r>
        <w:rPr>
          <w:rFonts w:ascii="Times New Roman" w:hAnsi="Times New Roman" w:hint="eastAsia"/>
          <w:b/>
          <w:kern w:val="0"/>
          <w:sz w:val="24"/>
        </w:rPr>
        <w:t>贵机构</w:t>
      </w:r>
      <w:proofErr w:type="gramEnd"/>
      <w:r>
        <w:rPr>
          <w:rFonts w:ascii="Times New Roman" w:hAnsi="Times New Roman" w:hint="eastAsia"/>
          <w:b/>
          <w:kern w:val="0"/>
          <w:sz w:val="24"/>
        </w:rPr>
        <w:t>已经全面理解了本招募说明书。</w:t>
      </w:r>
    </w:p>
    <w:p w:rsidR="009A4701" w:rsidRDefault="00677B65">
      <w:pPr>
        <w:autoSpaceDE w:val="0"/>
        <w:autoSpaceDN w:val="0"/>
        <w:adjustRightInd w:val="0"/>
        <w:spacing w:line="360" w:lineRule="auto"/>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 w:val="30"/>
        </w:rPr>
      </w:pPr>
      <w:bookmarkStart w:id="45" w:name="_Toc147840640"/>
      <w:r>
        <w:rPr>
          <w:rFonts w:ascii="Times New Roman" w:hAnsi="Times New Roman"/>
          <w:sz w:val="30"/>
        </w:rPr>
        <w:lastRenderedPageBreak/>
        <w:t>二十</w:t>
      </w:r>
      <w:r>
        <w:rPr>
          <w:rFonts w:ascii="Times New Roman" w:hAnsi="Times New Roman" w:hint="eastAsia"/>
          <w:sz w:val="30"/>
        </w:rPr>
        <w:t>二</w:t>
      </w:r>
      <w:r>
        <w:rPr>
          <w:rFonts w:ascii="Times New Roman" w:hAnsi="Times New Roman"/>
          <w:sz w:val="30"/>
        </w:rPr>
        <w:t>、其他应披露事项</w:t>
      </w:r>
      <w:bookmarkEnd w:id="45"/>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基金合同如有未尽事宜，由基金合同当事人各方按有关法律法规协商解决。</w:t>
      </w:r>
    </w:p>
    <w:p w:rsidR="009A4701" w:rsidRDefault="00677B65">
      <w:pPr>
        <w:widowControl/>
        <w:jc w:val="left"/>
        <w:rPr>
          <w:rFonts w:ascii="Times New Roman" w:hAnsi="Times New Roman"/>
        </w:rPr>
      </w:pPr>
      <w:r>
        <w:rPr>
          <w:rFonts w:ascii="Times New Roman" w:hAnsi="Times New Roman"/>
        </w:rPr>
        <w:br w:type="page"/>
      </w:r>
    </w:p>
    <w:p w:rsidR="009A4701" w:rsidRDefault="009A4701">
      <w:pPr>
        <w:rPr>
          <w:rFonts w:ascii="Times New Roman" w:hAnsi="Times New Roman"/>
        </w:rPr>
      </w:pPr>
    </w:p>
    <w:p w:rsidR="009A4701" w:rsidRDefault="00677B65">
      <w:pPr>
        <w:pStyle w:val="1"/>
        <w:snapToGrid w:val="0"/>
        <w:spacing w:beforeLines="0" w:before="240" w:after="240"/>
        <w:rPr>
          <w:rFonts w:ascii="Times New Roman" w:hAnsi="Times New Roman"/>
          <w:szCs w:val="30"/>
        </w:rPr>
      </w:pPr>
      <w:bookmarkStart w:id="46" w:name="_Toc147840641"/>
      <w:r>
        <w:rPr>
          <w:rFonts w:ascii="Times New Roman" w:hAnsi="Times New Roman" w:hint="eastAsia"/>
          <w:sz w:val="30"/>
        </w:rPr>
        <w:t>二十三、</w:t>
      </w:r>
      <w:r>
        <w:rPr>
          <w:rFonts w:ascii="Times New Roman" w:hAnsi="Times New Roman"/>
          <w:sz w:val="30"/>
        </w:rPr>
        <w:t>招募说明书的存放及查阅方式</w:t>
      </w:r>
      <w:bookmarkEnd w:id="46"/>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投资人还可以直接登录基金管理人的网站</w:t>
      </w:r>
      <w:r>
        <w:rPr>
          <w:rFonts w:ascii="Times New Roman" w:hAnsi="Times New Roman"/>
          <w:sz w:val="24"/>
        </w:rPr>
        <w:t>(www.fund001.com)</w:t>
      </w:r>
      <w:r>
        <w:rPr>
          <w:rFonts w:ascii="Times New Roman" w:hAnsi="Times New Roman"/>
          <w:sz w:val="24"/>
        </w:rPr>
        <w:t>查阅和下载招募说明书。</w:t>
      </w:r>
    </w:p>
    <w:p w:rsidR="009A4701" w:rsidRDefault="00677B65">
      <w:pPr>
        <w:autoSpaceDE w:val="0"/>
        <w:autoSpaceDN w:val="0"/>
        <w:adjustRightInd w:val="0"/>
        <w:spacing w:line="360" w:lineRule="auto"/>
        <w:ind w:firstLineChars="200" w:firstLine="480"/>
        <w:rPr>
          <w:rFonts w:ascii="Times New Roman" w:hAnsi="Times New Roman"/>
          <w:szCs w:val="24"/>
        </w:rPr>
      </w:pPr>
      <w:r>
        <w:rPr>
          <w:rFonts w:ascii="Times New Roman" w:hAnsi="Times New Roman"/>
          <w:sz w:val="24"/>
        </w:rPr>
        <w:br w:type="page"/>
      </w:r>
    </w:p>
    <w:p w:rsidR="009A4701" w:rsidRDefault="00677B65">
      <w:pPr>
        <w:pStyle w:val="1"/>
        <w:snapToGrid w:val="0"/>
        <w:spacing w:beforeLines="0" w:before="240" w:after="240"/>
        <w:rPr>
          <w:rFonts w:ascii="Times New Roman" w:hAnsi="Times New Roman"/>
          <w:szCs w:val="30"/>
        </w:rPr>
      </w:pPr>
      <w:bookmarkStart w:id="47" w:name="_Toc147840642"/>
      <w:r>
        <w:rPr>
          <w:rFonts w:ascii="Times New Roman" w:hAnsi="Times New Roman"/>
          <w:sz w:val="30"/>
        </w:rPr>
        <w:lastRenderedPageBreak/>
        <w:t>二十</w:t>
      </w:r>
      <w:r>
        <w:rPr>
          <w:rFonts w:ascii="Times New Roman" w:hAnsi="Times New Roman" w:hint="eastAsia"/>
          <w:sz w:val="30"/>
        </w:rPr>
        <w:t>四</w:t>
      </w:r>
      <w:r>
        <w:rPr>
          <w:rFonts w:ascii="Times New Roman" w:hAnsi="Times New Roman"/>
          <w:sz w:val="30"/>
        </w:rPr>
        <w:t>、备查文件</w:t>
      </w:r>
      <w:bookmarkEnd w:id="47"/>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以下备查文件存放在基金管理人的办公场所，在办公时间可供免费查阅。</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（一）中国证监会准予交银施罗德中证港股</w:t>
      </w:r>
      <w:proofErr w:type="gramStart"/>
      <w:r>
        <w:rPr>
          <w:rFonts w:ascii="Times New Roman" w:hAnsi="Times New Roman"/>
          <w:sz w:val="24"/>
        </w:rPr>
        <w:t>通央企</w:t>
      </w:r>
      <w:proofErr w:type="gramEnd"/>
      <w:r>
        <w:rPr>
          <w:rFonts w:ascii="Times New Roman" w:hAnsi="Times New Roman"/>
          <w:sz w:val="24"/>
        </w:rPr>
        <w:t>红利指数型证券投资基金募集注册的文件</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（二）《交银施罗德中证港股通央企红利指数型证券投资基金基金合同》</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（三）《交银施罗德中证港股通央企红利指数型证券投资基金托管协议》</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（四）基金管理人业务资格批件、营业执照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（五）基金托管人业务资格批件、营业执照</w:t>
      </w:r>
    </w:p>
    <w:p w:rsidR="009A4701" w:rsidRDefault="00677B65">
      <w:pPr>
        <w:autoSpaceDE w:val="0"/>
        <w:autoSpaceDN w:val="0"/>
        <w:adjustRightInd w:val="0"/>
        <w:snapToGrid w:val="0"/>
        <w:spacing w:line="360" w:lineRule="auto"/>
        <w:ind w:firstLineChars="200" w:firstLine="480"/>
        <w:jc w:val="left"/>
        <w:rPr>
          <w:rFonts w:ascii="Times New Roman" w:hAnsi="Times New Roman"/>
          <w:szCs w:val="24"/>
        </w:rPr>
      </w:pPr>
      <w:r>
        <w:rPr>
          <w:rFonts w:ascii="Times New Roman" w:hAnsi="Times New Roman"/>
          <w:sz w:val="24"/>
        </w:rPr>
        <w:t>（六）关于申请募集注册交银施罗德中证港股</w:t>
      </w:r>
      <w:proofErr w:type="gramStart"/>
      <w:r>
        <w:rPr>
          <w:rFonts w:ascii="Times New Roman" w:hAnsi="Times New Roman"/>
          <w:sz w:val="24"/>
        </w:rPr>
        <w:t>通央企</w:t>
      </w:r>
      <w:proofErr w:type="gramEnd"/>
      <w:r>
        <w:rPr>
          <w:rFonts w:ascii="Times New Roman" w:hAnsi="Times New Roman"/>
          <w:sz w:val="24"/>
        </w:rPr>
        <w:t>红利指数型证券投资基金的法律意见书</w:t>
      </w:r>
    </w:p>
    <w:sectPr w:rsidR="009A4701">
      <w:footerReference w:type="default" r:id="rId16"/>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3E5" w:rsidRDefault="002023E5">
      <w:r>
        <w:separator/>
      </w:r>
    </w:p>
  </w:endnote>
  <w:endnote w:type="continuationSeparator" w:id="0">
    <w:p w:rsidR="002023E5" w:rsidRDefault="0020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677B65">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rsidR="009A4701" w:rsidRDefault="00677B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2584D">
                            <w:rPr>
                              <w:rFonts w:ascii="Times New Roman" w:hAnsi="Times New Roman"/>
                              <w:noProof/>
                              <w:kern w:val="0"/>
                              <w:sz w:val="18"/>
                              <w:szCs w:val="18"/>
                            </w:rPr>
                            <w:t>5</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" o:allowincell="f" filled="f" stroked="f">
              <v:textbox inset="0,0,0,0">
                <w:txbxContent>
                  <w:p w:rsidR="009A4701" w:rsidRDefault="00677B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2584D">
                      <w:rPr>
                        <w:rFonts w:ascii="Times New Roman" w:hAnsi="Times New Roman"/>
                        <w:noProof/>
                        <w:kern w:val="0"/>
                        <w:sz w:val="18"/>
                        <w:szCs w:val="18"/>
                      </w:rPr>
                      <w:t>5</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677B65">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rsidR="009A4701" w:rsidRDefault="00677B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2584D">
                            <w:rPr>
                              <w:rFonts w:ascii="Times New Roman" w:hAnsi="Times New Roman"/>
                              <w:noProof/>
                              <w:kern w:val="0"/>
                              <w:sz w:val="18"/>
                              <w:szCs w:val="18"/>
                            </w:rPr>
                            <w:t>29</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" o:allowincell="f" filled="f" stroked="f">
              <v:textbox inset="0,0,0,0">
                <w:txbxContent>
                  <w:p w:rsidR="009A4701" w:rsidRDefault="00677B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2584D">
                      <w:rPr>
                        <w:rFonts w:ascii="Times New Roman" w:hAnsi="Times New Roman"/>
                        <w:noProof/>
                        <w:kern w:val="0"/>
                        <w:sz w:val="18"/>
                        <w:szCs w:val="18"/>
                      </w:rPr>
                      <w:t>29</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3E5" w:rsidRDefault="002023E5">
      <w:r>
        <w:separator/>
      </w:r>
    </w:p>
  </w:footnote>
  <w:footnote w:type="continuationSeparator" w:id="0">
    <w:p w:rsidR="002023E5" w:rsidRDefault="0020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677B65">
    <w:pPr>
      <w:pStyle w:val="ab"/>
      <w:jc w:val="right"/>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9A4701" w:rsidRDefault="00677B65">
    <w:pPr>
      <w:pStyle w:val="ab"/>
      <w:jc w:val="right"/>
      <w:rPr>
        <w:rFonts w:ascii="宋体" w:hAnsi="宋体"/>
      </w:rPr>
    </w:pPr>
    <w:r>
      <w:rPr>
        <w:rFonts w:ascii="宋体" w:hAnsi="宋体" w:hint="eastAsia"/>
      </w:rPr>
      <w:t>交银施罗德创业板50指数型证券投资基金(更新)招募说明书(2022年第1号)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9A4701">
    <w:pPr>
      <w:pStyle w:val="11"/>
      <w:jc w:val="right"/>
    </w:pPr>
  </w:p>
  <w:p w:rsidR="009A4701" w:rsidRDefault="009A4701">
    <w:pPr>
      <w:pStyle w:val="11"/>
      <w:jc w:val="right"/>
    </w:pPr>
  </w:p>
  <w:p w:rsidR="009A4701" w:rsidRDefault="009A4701">
    <w:pPr>
      <w:pStyle w:val="ab"/>
      <w:jc w:val="right"/>
    </w:pPr>
  </w:p>
  <w:p w:rsidR="009A4701" w:rsidRDefault="00677B65">
    <w:pPr>
      <w:pStyle w:val="ab"/>
      <w:jc w:val="right"/>
    </w:pPr>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9A4701" w:rsidRDefault="00677B65">
    <w:pPr>
      <w:pStyle w:val="ab"/>
      <w:jc w:val="right"/>
      <w:rPr>
        <w:rFonts w:ascii="宋体" w:hAnsi="宋体"/>
      </w:rPr>
    </w:pPr>
    <w:r>
      <w:rPr>
        <w:rFonts w:ascii="宋体" w:hAnsi="宋体" w:hint="eastAsia"/>
      </w:rPr>
      <w:t>交银施罗德中证港股</w:t>
    </w:r>
    <w:proofErr w:type="gramStart"/>
    <w:r>
      <w:rPr>
        <w:rFonts w:ascii="宋体" w:hAnsi="宋体" w:hint="eastAsia"/>
      </w:rPr>
      <w:t>通央企</w:t>
    </w:r>
    <w:proofErr w:type="gramEnd"/>
    <w:r>
      <w:rPr>
        <w:rFonts w:ascii="宋体" w:hAnsi="宋体" w:hint="eastAsia"/>
      </w:rPr>
      <w:t>红利指数型证券投资基金招募说明书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9A4701">
    <w:pPr>
      <w:pStyle w:val="ab"/>
      <w:jc w:val="right"/>
    </w:pPr>
  </w:p>
  <w:p w:rsidR="009A4701" w:rsidRDefault="009A4701">
    <w:pPr>
      <w:pStyle w:val="ab"/>
      <w:jc w:val="right"/>
    </w:pPr>
  </w:p>
  <w:p w:rsidR="009A4701" w:rsidRDefault="009A4701">
    <w:pPr>
      <w:pStyle w:val="ab"/>
      <w:jc w:val="right"/>
    </w:pPr>
  </w:p>
  <w:p w:rsidR="009A4701" w:rsidRDefault="002023E5">
    <w:pPr>
      <w:pStyle w:val="ab"/>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logo1" style="position:absolute;left:0;text-align:left;margin-left:1.5pt;margin-top:-12pt;width:135pt;height:18.75pt;z-index:251664384;mso-width-relative:page;mso-height-relative:page">
          <v:imagedata r:id="rId1" o:title="logo1"/>
        </v:shape>
      </w:pict>
    </w:r>
  </w:p>
  <w:p w:rsidR="009A4701" w:rsidRDefault="00677B65">
    <w:pPr>
      <w:pStyle w:val="ab"/>
      <w:jc w:val="right"/>
      <w:rPr>
        <w:rFonts w:ascii="宋体" w:hAnsi="宋体"/>
      </w:rPr>
    </w:pPr>
    <w:r>
      <w:rPr>
        <w:rFonts w:ascii="宋体" w:hAnsi="宋体" w:hint="eastAsia"/>
      </w:rPr>
      <w:t>交银施罗德中证港股</w:t>
    </w:r>
    <w:proofErr w:type="gramStart"/>
    <w:r>
      <w:rPr>
        <w:rFonts w:ascii="宋体" w:hAnsi="宋体" w:hint="eastAsia"/>
      </w:rPr>
      <w:t>通央企</w:t>
    </w:r>
    <w:proofErr w:type="gramEnd"/>
    <w:r>
      <w:rPr>
        <w:rFonts w:ascii="宋体" w:hAnsi="宋体" w:hint="eastAsia"/>
      </w:rPr>
      <w:t>红利指数型证券投资基金招募说明书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01" w:rsidRDefault="009A4701">
    <w:pPr>
      <w:pStyle w:val="ab"/>
      <w:jc w:val="right"/>
    </w:pPr>
  </w:p>
  <w:p w:rsidR="009A4701" w:rsidRDefault="009A4701">
    <w:pPr>
      <w:pStyle w:val="ab"/>
      <w:jc w:val="right"/>
    </w:pPr>
  </w:p>
  <w:p w:rsidR="009A4701" w:rsidRDefault="009A4701">
    <w:pPr>
      <w:pStyle w:val="ab"/>
      <w:jc w:val="right"/>
    </w:pPr>
  </w:p>
  <w:p w:rsidR="009A4701" w:rsidRDefault="00677B65">
    <w:pPr>
      <w:pStyle w:val="ab"/>
      <w:jc w:val="right"/>
    </w:pPr>
    <w:r>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7"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9A4701" w:rsidRDefault="00677B65">
    <w:pPr>
      <w:pStyle w:val="ab"/>
      <w:jc w:val="right"/>
      <w:rPr>
        <w:rFonts w:ascii="宋体" w:hAnsi="宋体"/>
      </w:rPr>
    </w:pPr>
    <w:r>
      <w:rPr>
        <w:rFonts w:ascii="宋体" w:hAnsi="宋体" w:hint="eastAsia"/>
      </w:rPr>
      <w:t>交银施罗德中证港股</w:t>
    </w:r>
    <w:proofErr w:type="gramStart"/>
    <w:r>
      <w:rPr>
        <w:rFonts w:ascii="宋体" w:hAnsi="宋体" w:hint="eastAsia"/>
      </w:rPr>
      <w:t>通央企</w:t>
    </w:r>
    <w:proofErr w:type="gramEnd"/>
    <w:r>
      <w:rPr>
        <w:rFonts w:ascii="宋体" w:hAnsi="宋体" w:hint="eastAsia"/>
      </w:rPr>
      <w:t>红利指数型证券投资基金招募说明书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grammar="clean"/>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0921"/>
    <w:rsid w:val="00001EEA"/>
    <w:rsid w:val="00003EC9"/>
    <w:rsid w:val="0000402D"/>
    <w:rsid w:val="0000428F"/>
    <w:rsid w:val="0000560A"/>
    <w:rsid w:val="00006994"/>
    <w:rsid w:val="00010049"/>
    <w:rsid w:val="0001265E"/>
    <w:rsid w:val="0001266E"/>
    <w:rsid w:val="00017707"/>
    <w:rsid w:val="000220C3"/>
    <w:rsid w:val="00024979"/>
    <w:rsid w:val="00025061"/>
    <w:rsid w:val="00026A29"/>
    <w:rsid w:val="00026D00"/>
    <w:rsid w:val="00027C73"/>
    <w:rsid w:val="00027F40"/>
    <w:rsid w:val="00030964"/>
    <w:rsid w:val="00030F3E"/>
    <w:rsid w:val="000327F0"/>
    <w:rsid w:val="00035405"/>
    <w:rsid w:val="000368A2"/>
    <w:rsid w:val="00036FB6"/>
    <w:rsid w:val="00040D5C"/>
    <w:rsid w:val="00044991"/>
    <w:rsid w:val="00044AFD"/>
    <w:rsid w:val="00044E2C"/>
    <w:rsid w:val="000457B7"/>
    <w:rsid w:val="0004614E"/>
    <w:rsid w:val="00046212"/>
    <w:rsid w:val="00047C82"/>
    <w:rsid w:val="000500B8"/>
    <w:rsid w:val="0005031C"/>
    <w:rsid w:val="000506ED"/>
    <w:rsid w:val="0005145C"/>
    <w:rsid w:val="000543D5"/>
    <w:rsid w:val="00054DCA"/>
    <w:rsid w:val="00055792"/>
    <w:rsid w:val="00055F52"/>
    <w:rsid w:val="0005679F"/>
    <w:rsid w:val="0005697A"/>
    <w:rsid w:val="00061C0D"/>
    <w:rsid w:val="0006212F"/>
    <w:rsid w:val="0006220F"/>
    <w:rsid w:val="00064529"/>
    <w:rsid w:val="000647B8"/>
    <w:rsid w:val="0006506B"/>
    <w:rsid w:val="0006551A"/>
    <w:rsid w:val="00066760"/>
    <w:rsid w:val="000700AC"/>
    <w:rsid w:val="000705A6"/>
    <w:rsid w:val="00070712"/>
    <w:rsid w:val="00070C1A"/>
    <w:rsid w:val="000749E5"/>
    <w:rsid w:val="000757E3"/>
    <w:rsid w:val="0007638A"/>
    <w:rsid w:val="00076B6E"/>
    <w:rsid w:val="00080D4F"/>
    <w:rsid w:val="000816EA"/>
    <w:rsid w:val="00081744"/>
    <w:rsid w:val="00081F4E"/>
    <w:rsid w:val="000828CE"/>
    <w:rsid w:val="000833CB"/>
    <w:rsid w:val="00083491"/>
    <w:rsid w:val="00084078"/>
    <w:rsid w:val="00084382"/>
    <w:rsid w:val="000843B3"/>
    <w:rsid w:val="00085A22"/>
    <w:rsid w:val="000869C2"/>
    <w:rsid w:val="00087F4C"/>
    <w:rsid w:val="00090648"/>
    <w:rsid w:val="000909E0"/>
    <w:rsid w:val="00092BD8"/>
    <w:rsid w:val="00093DFA"/>
    <w:rsid w:val="00094253"/>
    <w:rsid w:val="00095030"/>
    <w:rsid w:val="00096488"/>
    <w:rsid w:val="000A01A0"/>
    <w:rsid w:val="000A352B"/>
    <w:rsid w:val="000A46DE"/>
    <w:rsid w:val="000B0F8B"/>
    <w:rsid w:val="000B145E"/>
    <w:rsid w:val="000B359E"/>
    <w:rsid w:val="000B3894"/>
    <w:rsid w:val="000B4E04"/>
    <w:rsid w:val="000B6AE6"/>
    <w:rsid w:val="000C1E1E"/>
    <w:rsid w:val="000C38F1"/>
    <w:rsid w:val="000C3FA1"/>
    <w:rsid w:val="000C43B9"/>
    <w:rsid w:val="000C5638"/>
    <w:rsid w:val="000C5E77"/>
    <w:rsid w:val="000C68E9"/>
    <w:rsid w:val="000D075E"/>
    <w:rsid w:val="000D0ADE"/>
    <w:rsid w:val="000D179E"/>
    <w:rsid w:val="000D66DC"/>
    <w:rsid w:val="000D77DF"/>
    <w:rsid w:val="000E0144"/>
    <w:rsid w:val="000E0E3A"/>
    <w:rsid w:val="000E0FDC"/>
    <w:rsid w:val="000E1CF7"/>
    <w:rsid w:val="000E1F3B"/>
    <w:rsid w:val="000E22CE"/>
    <w:rsid w:val="000E3AB4"/>
    <w:rsid w:val="000E3BE2"/>
    <w:rsid w:val="000E4366"/>
    <w:rsid w:val="000E6E5F"/>
    <w:rsid w:val="000E7544"/>
    <w:rsid w:val="000F0C17"/>
    <w:rsid w:val="000F1F5E"/>
    <w:rsid w:val="000F25D6"/>
    <w:rsid w:val="000F2904"/>
    <w:rsid w:val="000F2C75"/>
    <w:rsid w:val="000F34A1"/>
    <w:rsid w:val="000F5226"/>
    <w:rsid w:val="000F5583"/>
    <w:rsid w:val="000F6050"/>
    <w:rsid w:val="000F66FF"/>
    <w:rsid w:val="000F698D"/>
    <w:rsid w:val="000F7727"/>
    <w:rsid w:val="000F7D42"/>
    <w:rsid w:val="001008A5"/>
    <w:rsid w:val="00100C86"/>
    <w:rsid w:val="00101453"/>
    <w:rsid w:val="0010190D"/>
    <w:rsid w:val="0010287B"/>
    <w:rsid w:val="0010342D"/>
    <w:rsid w:val="001068B2"/>
    <w:rsid w:val="001079E4"/>
    <w:rsid w:val="00107CBF"/>
    <w:rsid w:val="00110F58"/>
    <w:rsid w:val="001119B8"/>
    <w:rsid w:val="0011317E"/>
    <w:rsid w:val="0011339C"/>
    <w:rsid w:val="001135B0"/>
    <w:rsid w:val="00113FAA"/>
    <w:rsid w:val="00115AE5"/>
    <w:rsid w:val="00116489"/>
    <w:rsid w:val="0011648B"/>
    <w:rsid w:val="001166C1"/>
    <w:rsid w:val="00116874"/>
    <w:rsid w:val="001172CB"/>
    <w:rsid w:val="001177A3"/>
    <w:rsid w:val="00117E65"/>
    <w:rsid w:val="001216D2"/>
    <w:rsid w:val="00124000"/>
    <w:rsid w:val="00124032"/>
    <w:rsid w:val="001240EB"/>
    <w:rsid w:val="00124283"/>
    <w:rsid w:val="0012443D"/>
    <w:rsid w:val="00127053"/>
    <w:rsid w:val="0013066E"/>
    <w:rsid w:val="001308CC"/>
    <w:rsid w:val="0013182D"/>
    <w:rsid w:val="00131CEE"/>
    <w:rsid w:val="00132FBC"/>
    <w:rsid w:val="0013315B"/>
    <w:rsid w:val="00134FCF"/>
    <w:rsid w:val="00135AD8"/>
    <w:rsid w:val="001362A1"/>
    <w:rsid w:val="0013630D"/>
    <w:rsid w:val="001367F2"/>
    <w:rsid w:val="00137942"/>
    <w:rsid w:val="001412E8"/>
    <w:rsid w:val="0014250F"/>
    <w:rsid w:val="00144B52"/>
    <w:rsid w:val="0014768F"/>
    <w:rsid w:val="00151683"/>
    <w:rsid w:val="00153D66"/>
    <w:rsid w:val="0015463C"/>
    <w:rsid w:val="0015725E"/>
    <w:rsid w:val="0015740C"/>
    <w:rsid w:val="00160224"/>
    <w:rsid w:val="001604D1"/>
    <w:rsid w:val="00162CD9"/>
    <w:rsid w:val="00162F69"/>
    <w:rsid w:val="00164946"/>
    <w:rsid w:val="00165756"/>
    <w:rsid w:val="00167D15"/>
    <w:rsid w:val="00170706"/>
    <w:rsid w:val="00170718"/>
    <w:rsid w:val="00172505"/>
    <w:rsid w:val="001727D8"/>
    <w:rsid w:val="00173324"/>
    <w:rsid w:val="0017362C"/>
    <w:rsid w:val="0017392F"/>
    <w:rsid w:val="0018184C"/>
    <w:rsid w:val="0018198F"/>
    <w:rsid w:val="00181C62"/>
    <w:rsid w:val="00182E0F"/>
    <w:rsid w:val="00183642"/>
    <w:rsid w:val="0018465E"/>
    <w:rsid w:val="00185A6B"/>
    <w:rsid w:val="001860C4"/>
    <w:rsid w:val="00186F1C"/>
    <w:rsid w:val="00186FAE"/>
    <w:rsid w:val="00191782"/>
    <w:rsid w:val="001917D4"/>
    <w:rsid w:val="001917FC"/>
    <w:rsid w:val="00191D7F"/>
    <w:rsid w:val="001925A2"/>
    <w:rsid w:val="00193573"/>
    <w:rsid w:val="00195218"/>
    <w:rsid w:val="00195AA9"/>
    <w:rsid w:val="00195D71"/>
    <w:rsid w:val="00197A55"/>
    <w:rsid w:val="00197E48"/>
    <w:rsid w:val="00197F52"/>
    <w:rsid w:val="00197F7E"/>
    <w:rsid w:val="001A1623"/>
    <w:rsid w:val="001A2263"/>
    <w:rsid w:val="001B2042"/>
    <w:rsid w:val="001B4531"/>
    <w:rsid w:val="001B46A1"/>
    <w:rsid w:val="001B5BDB"/>
    <w:rsid w:val="001B606D"/>
    <w:rsid w:val="001B70C1"/>
    <w:rsid w:val="001B75F9"/>
    <w:rsid w:val="001C2437"/>
    <w:rsid w:val="001C2B9E"/>
    <w:rsid w:val="001C38DA"/>
    <w:rsid w:val="001C6EE7"/>
    <w:rsid w:val="001C700A"/>
    <w:rsid w:val="001C7800"/>
    <w:rsid w:val="001C7A48"/>
    <w:rsid w:val="001C7C12"/>
    <w:rsid w:val="001D1E15"/>
    <w:rsid w:val="001D2797"/>
    <w:rsid w:val="001D2AA1"/>
    <w:rsid w:val="001D2B67"/>
    <w:rsid w:val="001D3730"/>
    <w:rsid w:val="001D3F7C"/>
    <w:rsid w:val="001D41BA"/>
    <w:rsid w:val="001D433E"/>
    <w:rsid w:val="001D4625"/>
    <w:rsid w:val="001D4727"/>
    <w:rsid w:val="001D5665"/>
    <w:rsid w:val="001D61DC"/>
    <w:rsid w:val="001D6377"/>
    <w:rsid w:val="001D68A8"/>
    <w:rsid w:val="001D6B88"/>
    <w:rsid w:val="001D6C5F"/>
    <w:rsid w:val="001D7ECC"/>
    <w:rsid w:val="001E05C3"/>
    <w:rsid w:val="001E144C"/>
    <w:rsid w:val="001E15F5"/>
    <w:rsid w:val="001E25FD"/>
    <w:rsid w:val="001E2A4F"/>
    <w:rsid w:val="001E3F8F"/>
    <w:rsid w:val="001E411E"/>
    <w:rsid w:val="001E5250"/>
    <w:rsid w:val="001E6E58"/>
    <w:rsid w:val="001E78F0"/>
    <w:rsid w:val="001E7D6A"/>
    <w:rsid w:val="001F02CC"/>
    <w:rsid w:val="001F0A3D"/>
    <w:rsid w:val="001F0BB5"/>
    <w:rsid w:val="001F15F4"/>
    <w:rsid w:val="001F1869"/>
    <w:rsid w:val="001F33EB"/>
    <w:rsid w:val="001F4DEA"/>
    <w:rsid w:val="001F4ECB"/>
    <w:rsid w:val="001F4F10"/>
    <w:rsid w:val="001F7353"/>
    <w:rsid w:val="00201F27"/>
    <w:rsid w:val="00201F9B"/>
    <w:rsid w:val="002023E5"/>
    <w:rsid w:val="00203597"/>
    <w:rsid w:val="002076AC"/>
    <w:rsid w:val="00207C52"/>
    <w:rsid w:val="00212B27"/>
    <w:rsid w:val="00212BBA"/>
    <w:rsid w:val="00213A21"/>
    <w:rsid w:val="0021469C"/>
    <w:rsid w:val="00214945"/>
    <w:rsid w:val="00215523"/>
    <w:rsid w:val="00216020"/>
    <w:rsid w:val="00216962"/>
    <w:rsid w:val="00217CA4"/>
    <w:rsid w:val="00220A92"/>
    <w:rsid w:val="00221112"/>
    <w:rsid w:val="00221A1B"/>
    <w:rsid w:val="00221ABF"/>
    <w:rsid w:val="002220A4"/>
    <w:rsid w:val="00223C19"/>
    <w:rsid w:val="00224421"/>
    <w:rsid w:val="0022608D"/>
    <w:rsid w:val="00226503"/>
    <w:rsid w:val="00226A60"/>
    <w:rsid w:val="00227E8E"/>
    <w:rsid w:val="00230D8D"/>
    <w:rsid w:val="002312B0"/>
    <w:rsid w:val="00231B29"/>
    <w:rsid w:val="00232018"/>
    <w:rsid w:val="002343E4"/>
    <w:rsid w:val="00235173"/>
    <w:rsid w:val="0023578C"/>
    <w:rsid w:val="00235AC5"/>
    <w:rsid w:val="00236C94"/>
    <w:rsid w:val="0023744F"/>
    <w:rsid w:val="002377E0"/>
    <w:rsid w:val="00240BB6"/>
    <w:rsid w:val="002432CA"/>
    <w:rsid w:val="0024386E"/>
    <w:rsid w:val="00243D40"/>
    <w:rsid w:val="00244341"/>
    <w:rsid w:val="00245250"/>
    <w:rsid w:val="002471A9"/>
    <w:rsid w:val="002477CB"/>
    <w:rsid w:val="00247BF6"/>
    <w:rsid w:val="00250757"/>
    <w:rsid w:val="00250898"/>
    <w:rsid w:val="00250A33"/>
    <w:rsid w:val="00250CCD"/>
    <w:rsid w:val="00251126"/>
    <w:rsid w:val="002512EE"/>
    <w:rsid w:val="002524D2"/>
    <w:rsid w:val="00252802"/>
    <w:rsid w:val="00252AA7"/>
    <w:rsid w:val="00254367"/>
    <w:rsid w:val="00254BF4"/>
    <w:rsid w:val="00257DED"/>
    <w:rsid w:val="0026167E"/>
    <w:rsid w:val="00261A50"/>
    <w:rsid w:val="002628F4"/>
    <w:rsid w:val="002634C3"/>
    <w:rsid w:val="002648D5"/>
    <w:rsid w:val="00265B3A"/>
    <w:rsid w:val="00266C20"/>
    <w:rsid w:val="002670A4"/>
    <w:rsid w:val="00270419"/>
    <w:rsid w:val="0027052E"/>
    <w:rsid w:val="00271E9D"/>
    <w:rsid w:val="00271F7D"/>
    <w:rsid w:val="00273ACC"/>
    <w:rsid w:val="00274E85"/>
    <w:rsid w:val="0027645D"/>
    <w:rsid w:val="002777F6"/>
    <w:rsid w:val="00277907"/>
    <w:rsid w:val="00280C42"/>
    <w:rsid w:val="00280C5A"/>
    <w:rsid w:val="00281B73"/>
    <w:rsid w:val="002833C9"/>
    <w:rsid w:val="00285E5C"/>
    <w:rsid w:val="00287A08"/>
    <w:rsid w:val="00290B63"/>
    <w:rsid w:val="00290E73"/>
    <w:rsid w:val="0029253F"/>
    <w:rsid w:val="00293415"/>
    <w:rsid w:val="002943F4"/>
    <w:rsid w:val="00294689"/>
    <w:rsid w:val="0029539A"/>
    <w:rsid w:val="002A1A82"/>
    <w:rsid w:val="002A1DBB"/>
    <w:rsid w:val="002A1E87"/>
    <w:rsid w:val="002A2FB0"/>
    <w:rsid w:val="002A4D32"/>
    <w:rsid w:val="002A4E69"/>
    <w:rsid w:val="002A5F87"/>
    <w:rsid w:val="002B017B"/>
    <w:rsid w:val="002B07D7"/>
    <w:rsid w:val="002B0DC0"/>
    <w:rsid w:val="002B2202"/>
    <w:rsid w:val="002B2664"/>
    <w:rsid w:val="002B4E21"/>
    <w:rsid w:val="002B5000"/>
    <w:rsid w:val="002B5913"/>
    <w:rsid w:val="002B78AA"/>
    <w:rsid w:val="002B7B75"/>
    <w:rsid w:val="002C383C"/>
    <w:rsid w:val="002D1317"/>
    <w:rsid w:val="002D15BB"/>
    <w:rsid w:val="002D1C13"/>
    <w:rsid w:val="002D3109"/>
    <w:rsid w:val="002D365E"/>
    <w:rsid w:val="002D378C"/>
    <w:rsid w:val="002D403C"/>
    <w:rsid w:val="002D6413"/>
    <w:rsid w:val="002D6F14"/>
    <w:rsid w:val="002D70AD"/>
    <w:rsid w:val="002D74D5"/>
    <w:rsid w:val="002E3060"/>
    <w:rsid w:val="002E4922"/>
    <w:rsid w:val="002E4B2C"/>
    <w:rsid w:val="002E5261"/>
    <w:rsid w:val="002E5447"/>
    <w:rsid w:val="002F00BB"/>
    <w:rsid w:val="002F1133"/>
    <w:rsid w:val="002F18C2"/>
    <w:rsid w:val="002F1DE7"/>
    <w:rsid w:val="002F2627"/>
    <w:rsid w:val="002F2748"/>
    <w:rsid w:val="002F2F34"/>
    <w:rsid w:val="002F3871"/>
    <w:rsid w:val="002F4619"/>
    <w:rsid w:val="002F552F"/>
    <w:rsid w:val="002F6423"/>
    <w:rsid w:val="002F6445"/>
    <w:rsid w:val="002F6580"/>
    <w:rsid w:val="002F6DCA"/>
    <w:rsid w:val="002F6DE8"/>
    <w:rsid w:val="002F74D8"/>
    <w:rsid w:val="002F7C72"/>
    <w:rsid w:val="002F7EDC"/>
    <w:rsid w:val="002F7FA3"/>
    <w:rsid w:val="003003A8"/>
    <w:rsid w:val="0030091B"/>
    <w:rsid w:val="00301E62"/>
    <w:rsid w:val="00302553"/>
    <w:rsid w:val="00303E1A"/>
    <w:rsid w:val="00304063"/>
    <w:rsid w:val="00304D71"/>
    <w:rsid w:val="0030555F"/>
    <w:rsid w:val="00305A3B"/>
    <w:rsid w:val="00305A50"/>
    <w:rsid w:val="00305BB4"/>
    <w:rsid w:val="00305C62"/>
    <w:rsid w:val="0030645F"/>
    <w:rsid w:val="00307CB0"/>
    <w:rsid w:val="003115D5"/>
    <w:rsid w:val="003117B9"/>
    <w:rsid w:val="00311C71"/>
    <w:rsid w:val="00313073"/>
    <w:rsid w:val="0031336C"/>
    <w:rsid w:val="0031339F"/>
    <w:rsid w:val="00313CC5"/>
    <w:rsid w:val="00313F3E"/>
    <w:rsid w:val="003150CB"/>
    <w:rsid w:val="00322F58"/>
    <w:rsid w:val="003234A6"/>
    <w:rsid w:val="00323F65"/>
    <w:rsid w:val="0032473F"/>
    <w:rsid w:val="00325276"/>
    <w:rsid w:val="00326147"/>
    <w:rsid w:val="00327861"/>
    <w:rsid w:val="0033051E"/>
    <w:rsid w:val="00332840"/>
    <w:rsid w:val="00333113"/>
    <w:rsid w:val="00333BC4"/>
    <w:rsid w:val="0033401D"/>
    <w:rsid w:val="00334115"/>
    <w:rsid w:val="00334456"/>
    <w:rsid w:val="00336150"/>
    <w:rsid w:val="00336E99"/>
    <w:rsid w:val="00337847"/>
    <w:rsid w:val="00342417"/>
    <w:rsid w:val="00344E6C"/>
    <w:rsid w:val="003454EC"/>
    <w:rsid w:val="00345DD2"/>
    <w:rsid w:val="00346537"/>
    <w:rsid w:val="00347B94"/>
    <w:rsid w:val="00352422"/>
    <w:rsid w:val="003527DD"/>
    <w:rsid w:val="003547A2"/>
    <w:rsid w:val="0035497B"/>
    <w:rsid w:val="00355171"/>
    <w:rsid w:val="00356D59"/>
    <w:rsid w:val="00357CFB"/>
    <w:rsid w:val="00362114"/>
    <w:rsid w:val="00362702"/>
    <w:rsid w:val="00362A37"/>
    <w:rsid w:val="00362CF0"/>
    <w:rsid w:val="00362D5D"/>
    <w:rsid w:val="003638ED"/>
    <w:rsid w:val="0036470B"/>
    <w:rsid w:val="00364A3F"/>
    <w:rsid w:val="00364AC5"/>
    <w:rsid w:val="0036510F"/>
    <w:rsid w:val="00365D15"/>
    <w:rsid w:val="00366940"/>
    <w:rsid w:val="0036702F"/>
    <w:rsid w:val="00367ED1"/>
    <w:rsid w:val="00367F3A"/>
    <w:rsid w:val="00370ABA"/>
    <w:rsid w:val="00370BDF"/>
    <w:rsid w:val="00371E7F"/>
    <w:rsid w:val="00372FA2"/>
    <w:rsid w:val="003735E9"/>
    <w:rsid w:val="003739FE"/>
    <w:rsid w:val="003749D5"/>
    <w:rsid w:val="00374A30"/>
    <w:rsid w:val="00376453"/>
    <w:rsid w:val="00380E30"/>
    <w:rsid w:val="00381F7C"/>
    <w:rsid w:val="0038254F"/>
    <w:rsid w:val="003826AD"/>
    <w:rsid w:val="003828EC"/>
    <w:rsid w:val="00382ED0"/>
    <w:rsid w:val="00383488"/>
    <w:rsid w:val="003843BB"/>
    <w:rsid w:val="00385143"/>
    <w:rsid w:val="003859DA"/>
    <w:rsid w:val="00386153"/>
    <w:rsid w:val="00386BA7"/>
    <w:rsid w:val="00390B48"/>
    <w:rsid w:val="0039213A"/>
    <w:rsid w:val="00393BF6"/>
    <w:rsid w:val="00395D4D"/>
    <w:rsid w:val="00396220"/>
    <w:rsid w:val="00396D64"/>
    <w:rsid w:val="00397A06"/>
    <w:rsid w:val="00397B4B"/>
    <w:rsid w:val="003A0FAF"/>
    <w:rsid w:val="003A1D79"/>
    <w:rsid w:val="003A38BD"/>
    <w:rsid w:val="003A38C8"/>
    <w:rsid w:val="003A3D42"/>
    <w:rsid w:val="003A6045"/>
    <w:rsid w:val="003A72D0"/>
    <w:rsid w:val="003A7AE1"/>
    <w:rsid w:val="003B22FD"/>
    <w:rsid w:val="003B3004"/>
    <w:rsid w:val="003B3A47"/>
    <w:rsid w:val="003B4168"/>
    <w:rsid w:val="003B42FF"/>
    <w:rsid w:val="003B5DF1"/>
    <w:rsid w:val="003B62D2"/>
    <w:rsid w:val="003B66A3"/>
    <w:rsid w:val="003B687C"/>
    <w:rsid w:val="003C27F7"/>
    <w:rsid w:val="003C5DF9"/>
    <w:rsid w:val="003C62C1"/>
    <w:rsid w:val="003C6A99"/>
    <w:rsid w:val="003C6FA4"/>
    <w:rsid w:val="003D0509"/>
    <w:rsid w:val="003D0B3E"/>
    <w:rsid w:val="003D2352"/>
    <w:rsid w:val="003D27DF"/>
    <w:rsid w:val="003D2C62"/>
    <w:rsid w:val="003D3863"/>
    <w:rsid w:val="003D3D0A"/>
    <w:rsid w:val="003D3E57"/>
    <w:rsid w:val="003D5516"/>
    <w:rsid w:val="003E0105"/>
    <w:rsid w:val="003E0800"/>
    <w:rsid w:val="003E1584"/>
    <w:rsid w:val="003E2D9C"/>
    <w:rsid w:val="003E33DE"/>
    <w:rsid w:val="003E3593"/>
    <w:rsid w:val="003E585F"/>
    <w:rsid w:val="003E5EB2"/>
    <w:rsid w:val="003E5F94"/>
    <w:rsid w:val="003E6049"/>
    <w:rsid w:val="003E6720"/>
    <w:rsid w:val="003E67F9"/>
    <w:rsid w:val="003E717B"/>
    <w:rsid w:val="003F0D27"/>
    <w:rsid w:val="003F1C98"/>
    <w:rsid w:val="003F2B28"/>
    <w:rsid w:val="003F317C"/>
    <w:rsid w:val="003F4813"/>
    <w:rsid w:val="003F5B93"/>
    <w:rsid w:val="003F5D0C"/>
    <w:rsid w:val="003F6BED"/>
    <w:rsid w:val="00400460"/>
    <w:rsid w:val="004015E9"/>
    <w:rsid w:val="00403956"/>
    <w:rsid w:val="00406654"/>
    <w:rsid w:val="0040752A"/>
    <w:rsid w:val="00410A9D"/>
    <w:rsid w:val="0041100B"/>
    <w:rsid w:val="004114F3"/>
    <w:rsid w:val="00412894"/>
    <w:rsid w:val="00412ECC"/>
    <w:rsid w:val="004130C3"/>
    <w:rsid w:val="00413E71"/>
    <w:rsid w:val="004209E6"/>
    <w:rsid w:val="00421363"/>
    <w:rsid w:val="00421921"/>
    <w:rsid w:val="0042194B"/>
    <w:rsid w:val="00422100"/>
    <w:rsid w:val="004245D1"/>
    <w:rsid w:val="004249DE"/>
    <w:rsid w:val="004254D3"/>
    <w:rsid w:val="00426289"/>
    <w:rsid w:val="0042746B"/>
    <w:rsid w:val="00427953"/>
    <w:rsid w:val="00433B69"/>
    <w:rsid w:val="00434FDC"/>
    <w:rsid w:val="004369AD"/>
    <w:rsid w:val="00436DD6"/>
    <w:rsid w:val="00443ACA"/>
    <w:rsid w:val="004445B3"/>
    <w:rsid w:val="00444FB7"/>
    <w:rsid w:val="004453EB"/>
    <w:rsid w:val="00445D0B"/>
    <w:rsid w:val="004460E1"/>
    <w:rsid w:val="00447D62"/>
    <w:rsid w:val="00450674"/>
    <w:rsid w:val="0045299B"/>
    <w:rsid w:val="004532C6"/>
    <w:rsid w:val="004533FE"/>
    <w:rsid w:val="00453E68"/>
    <w:rsid w:val="00454715"/>
    <w:rsid w:val="004547F0"/>
    <w:rsid w:val="00454D80"/>
    <w:rsid w:val="00456785"/>
    <w:rsid w:val="00457BA1"/>
    <w:rsid w:val="0046230F"/>
    <w:rsid w:val="00462702"/>
    <w:rsid w:val="00462EB0"/>
    <w:rsid w:val="00463933"/>
    <w:rsid w:val="00464346"/>
    <w:rsid w:val="00470325"/>
    <w:rsid w:val="00470F42"/>
    <w:rsid w:val="00471605"/>
    <w:rsid w:val="00471C92"/>
    <w:rsid w:val="0047297A"/>
    <w:rsid w:val="00473EB5"/>
    <w:rsid w:val="00474337"/>
    <w:rsid w:val="00474709"/>
    <w:rsid w:val="00480184"/>
    <w:rsid w:val="00480516"/>
    <w:rsid w:val="00480658"/>
    <w:rsid w:val="00480D3C"/>
    <w:rsid w:val="00481192"/>
    <w:rsid w:val="0048170B"/>
    <w:rsid w:val="00481BD4"/>
    <w:rsid w:val="00482AA2"/>
    <w:rsid w:val="0048579F"/>
    <w:rsid w:val="00487005"/>
    <w:rsid w:val="00487D7D"/>
    <w:rsid w:val="004901A7"/>
    <w:rsid w:val="0049136C"/>
    <w:rsid w:val="00493D88"/>
    <w:rsid w:val="00495D83"/>
    <w:rsid w:val="004A084F"/>
    <w:rsid w:val="004A0AA8"/>
    <w:rsid w:val="004A1FA1"/>
    <w:rsid w:val="004A3225"/>
    <w:rsid w:val="004A3F90"/>
    <w:rsid w:val="004A410A"/>
    <w:rsid w:val="004A5F59"/>
    <w:rsid w:val="004A6F1F"/>
    <w:rsid w:val="004B071E"/>
    <w:rsid w:val="004B1213"/>
    <w:rsid w:val="004B17D8"/>
    <w:rsid w:val="004B2323"/>
    <w:rsid w:val="004B2455"/>
    <w:rsid w:val="004B62C3"/>
    <w:rsid w:val="004C0324"/>
    <w:rsid w:val="004C0BC8"/>
    <w:rsid w:val="004C250E"/>
    <w:rsid w:val="004C3233"/>
    <w:rsid w:val="004C461A"/>
    <w:rsid w:val="004C6A17"/>
    <w:rsid w:val="004C7D23"/>
    <w:rsid w:val="004D0783"/>
    <w:rsid w:val="004D11CB"/>
    <w:rsid w:val="004D1A4A"/>
    <w:rsid w:val="004D49E3"/>
    <w:rsid w:val="004D7163"/>
    <w:rsid w:val="004D749D"/>
    <w:rsid w:val="004D7905"/>
    <w:rsid w:val="004E0366"/>
    <w:rsid w:val="004E0F9B"/>
    <w:rsid w:val="004E1C30"/>
    <w:rsid w:val="004E3342"/>
    <w:rsid w:val="004E45AC"/>
    <w:rsid w:val="004E45CF"/>
    <w:rsid w:val="004E4672"/>
    <w:rsid w:val="004E5593"/>
    <w:rsid w:val="004E7568"/>
    <w:rsid w:val="004E7A1E"/>
    <w:rsid w:val="004E7CA7"/>
    <w:rsid w:val="004E7F1A"/>
    <w:rsid w:val="004F0352"/>
    <w:rsid w:val="004F06FC"/>
    <w:rsid w:val="004F0740"/>
    <w:rsid w:val="004F3320"/>
    <w:rsid w:val="004F415D"/>
    <w:rsid w:val="004F4980"/>
    <w:rsid w:val="004F63E4"/>
    <w:rsid w:val="004F66F4"/>
    <w:rsid w:val="004F74CD"/>
    <w:rsid w:val="004F7710"/>
    <w:rsid w:val="00502A45"/>
    <w:rsid w:val="0050542C"/>
    <w:rsid w:val="005073E3"/>
    <w:rsid w:val="005077C0"/>
    <w:rsid w:val="0051057A"/>
    <w:rsid w:val="00512DB8"/>
    <w:rsid w:val="00512DC1"/>
    <w:rsid w:val="00514C6B"/>
    <w:rsid w:val="005161EC"/>
    <w:rsid w:val="0051709F"/>
    <w:rsid w:val="005175EB"/>
    <w:rsid w:val="00517E76"/>
    <w:rsid w:val="00521A18"/>
    <w:rsid w:val="00522079"/>
    <w:rsid w:val="00522622"/>
    <w:rsid w:val="0052450E"/>
    <w:rsid w:val="0052506D"/>
    <w:rsid w:val="005252C5"/>
    <w:rsid w:val="00525410"/>
    <w:rsid w:val="00530703"/>
    <w:rsid w:val="00530763"/>
    <w:rsid w:val="00532989"/>
    <w:rsid w:val="00532E84"/>
    <w:rsid w:val="0053342A"/>
    <w:rsid w:val="00534EFD"/>
    <w:rsid w:val="005362F2"/>
    <w:rsid w:val="0053719A"/>
    <w:rsid w:val="005377BD"/>
    <w:rsid w:val="00543B42"/>
    <w:rsid w:val="00545A4C"/>
    <w:rsid w:val="0054651A"/>
    <w:rsid w:val="005469F7"/>
    <w:rsid w:val="00546EA9"/>
    <w:rsid w:val="005474CD"/>
    <w:rsid w:val="005478FE"/>
    <w:rsid w:val="00547DAE"/>
    <w:rsid w:val="005501B7"/>
    <w:rsid w:val="0055152E"/>
    <w:rsid w:val="00552094"/>
    <w:rsid w:val="00552694"/>
    <w:rsid w:val="00553D73"/>
    <w:rsid w:val="00554954"/>
    <w:rsid w:val="00554BAF"/>
    <w:rsid w:val="00554C93"/>
    <w:rsid w:val="00554C97"/>
    <w:rsid w:val="00555886"/>
    <w:rsid w:val="00555A15"/>
    <w:rsid w:val="00556291"/>
    <w:rsid w:val="005569E4"/>
    <w:rsid w:val="00560E11"/>
    <w:rsid w:val="00561147"/>
    <w:rsid w:val="00561463"/>
    <w:rsid w:val="00561925"/>
    <w:rsid w:val="00561F8F"/>
    <w:rsid w:val="00563A0E"/>
    <w:rsid w:val="005647D0"/>
    <w:rsid w:val="0057054E"/>
    <w:rsid w:val="005709E9"/>
    <w:rsid w:val="0057256B"/>
    <w:rsid w:val="00574C59"/>
    <w:rsid w:val="00576CE2"/>
    <w:rsid w:val="005770AC"/>
    <w:rsid w:val="00577C1A"/>
    <w:rsid w:val="00577FAA"/>
    <w:rsid w:val="0058041D"/>
    <w:rsid w:val="005826AA"/>
    <w:rsid w:val="00583CE7"/>
    <w:rsid w:val="005856E9"/>
    <w:rsid w:val="0058656D"/>
    <w:rsid w:val="005867BB"/>
    <w:rsid w:val="00587452"/>
    <w:rsid w:val="005877D0"/>
    <w:rsid w:val="0059063F"/>
    <w:rsid w:val="00591C2A"/>
    <w:rsid w:val="00592461"/>
    <w:rsid w:val="00592539"/>
    <w:rsid w:val="00595961"/>
    <w:rsid w:val="00596A05"/>
    <w:rsid w:val="00596D6D"/>
    <w:rsid w:val="00597284"/>
    <w:rsid w:val="0059729F"/>
    <w:rsid w:val="00597EE2"/>
    <w:rsid w:val="00597F8F"/>
    <w:rsid w:val="005A1EA2"/>
    <w:rsid w:val="005A2467"/>
    <w:rsid w:val="005A5858"/>
    <w:rsid w:val="005A5E0C"/>
    <w:rsid w:val="005A6E51"/>
    <w:rsid w:val="005A7C7F"/>
    <w:rsid w:val="005A7D88"/>
    <w:rsid w:val="005B130C"/>
    <w:rsid w:val="005B14FF"/>
    <w:rsid w:val="005B3075"/>
    <w:rsid w:val="005B3B71"/>
    <w:rsid w:val="005B41ED"/>
    <w:rsid w:val="005B4828"/>
    <w:rsid w:val="005B4B1B"/>
    <w:rsid w:val="005B4F0F"/>
    <w:rsid w:val="005B58F0"/>
    <w:rsid w:val="005B6383"/>
    <w:rsid w:val="005B69D7"/>
    <w:rsid w:val="005C0E62"/>
    <w:rsid w:val="005C0F5B"/>
    <w:rsid w:val="005C1E06"/>
    <w:rsid w:val="005C2E15"/>
    <w:rsid w:val="005C403B"/>
    <w:rsid w:val="005C63CB"/>
    <w:rsid w:val="005D0AA6"/>
    <w:rsid w:val="005D0D00"/>
    <w:rsid w:val="005D165F"/>
    <w:rsid w:val="005D21F3"/>
    <w:rsid w:val="005D2825"/>
    <w:rsid w:val="005D2B89"/>
    <w:rsid w:val="005D3CF8"/>
    <w:rsid w:val="005D4A63"/>
    <w:rsid w:val="005D5D89"/>
    <w:rsid w:val="005E0D2D"/>
    <w:rsid w:val="005E3FB6"/>
    <w:rsid w:val="005E708D"/>
    <w:rsid w:val="005F2693"/>
    <w:rsid w:val="005F2BCE"/>
    <w:rsid w:val="005F37ED"/>
    <w:rsid w:val="005F435C"/>
    <w:rsid w:val="005F4583"/>
    <w:rsid w:val="005F4ABB"/>
    <w:rsid w:val="005F4F57"/>
    <w:rsid w:val="005F6066"/>
    <w:rsid w:val="005F6562"/>
    <w:rsid w:val="005F6C6D"/>
    <w:rsid w:val="005F6F09"/>
    <w:rsid w:val="005F7067"/>
    <w:rsid w:val="005F72DF"/>
    <w:rsid w:val="005F787A"/>
    <w:rsid w:val="006019C7"/>
    <w:rsid w:val="00601AAA"/>
    <w:rsid w:val="00601C11"/>
    <w:rsid w:val="00601E7B"/>
    <w:rsid w:val="00601EBC"/>
    <w:rsid w:val="00602D32"/>
    <w:rsid w:val="006037DF"/>
    <w:rsid w:val="00603A84"/>
    <w:rsid w:val="00603DC8"/>
    <w:rsid w:val="00605664"/>
    <w:rsid w:val="00605E52"/>
    <w:rsid w:val="006067DC"/>
    <w:rsid w:val="006069EA"/>
    <w:rsid w:val="00607A2B"/>
    <w:rsid w:val="00610379"/>
    <w:rsid w:val="00610629"/>
    <w:rsid w:val="00611ADD"/>
    <w:rsid w:val="00611BCD"/>
    <w:rsid w:val="00611C90"/>
    <w:rsid w:val="006122B1"/>
    <w:rsid w:val="0061258D"/>
    <w:rsid w:val="00613094"/>
    <w:rsid w:val="006142EC"/>
    <w:rsid w:val="006155A5"/>
    <w:rsid w:val="0061572D"/>
    <w:rsid w:val="00617824"/>
    <w:rsid w:val="00620440"/>
    <w:rsid w:val="0062243A"/>
    <w:rsid w:val="00622D7B"/>
    <w:rsid w:val="00624214"/>
    <w:rsid w:val="00624A19"/>
    <w:rsid w:val="00625419"/>
    <w:rsid w:val="00626D1A"/>
    <w:rsid w:val="00627429"/>
    <w:rsid w:val="00630081"/>
    <w:rsid w:val="0063085C"/>
    <w:rsid w:val="0063089C"/>
    <w:rsid w:val="00631DFA"/>
    <w:rsid w:val="00632A91"/>
    <w:rsid w:val="00633B25"/>
    <w:rsid w:val="006345E8"/>
    <w:rsid w:val="00636128"/>
    <w:rsid w:val="00636BB5"/>
    <w:rsid w:val="0063765C"/>
    <w:rsid w:val="0064034F"/>
    <w:rsid w:val="006403CB"/>
    <w:rsid w:val="006410B0"/>
    <w:rsid w:val="0064139F"/>
    <w:rsid w:val="00641404"/>
    <w:rsid w:val="006414D6"/>
    <w:rsid w:val="00641EDA"/>
    <w:rsid w:val="00642B97"/>
    <w:rsid w:val="00643128"/>
    <w:rsid w:val="00643680"/>
    <w:rsid w:val="00644453"/>
    <w:rsid w:val="00644B32"/>
    <w:rsid w:val="00644DDB"/>
    <w:rsid w:val="00645ED1"/>
    <w:rsid w:val="0064639A"/>
    <w:rsid w:val="0064646F"/>
    <w:rsid w:val="00646523"/>
    <w:rsid w:val="006469D4"/>
    <w:rsid w:val="00647BDD"/>
    <w:rsid w:val="0065273C"/>
    <w:rsid w:val="006528DC"/>
    <w:rsid w:val="00653761"/>
    <w:rsid w:val="00655ACB"/>
    <w:rsid w:val="00655EFA"/>
    <w:rsid w:val="00656A74"/>
    <w:rsid w:val="006571B9"/>
    <w:rsid w:val="00657221"/>
    <w:rsid w:val="00661FC1"/>
    <w:rsid w:val="00663FED"/>
    <w:rsid w:val="00664B64"/>
    <w:rsid w:val="006678E3"/>
    <w:rsid w:val="00667A9C"/>
    <w:rsid w:val="006712E8"/>
    <w:rsid w:val="00677B65"/>
    <w:rsid w:val="00677DA7"/>
    <w:rsid w:val="00680212"/>
    <w:rsid w:val="00680C90"/>
    <w:rsid w:val="00681036"/>
    <w:rsid w:val="006823AD"/>
    <w:rsid w:val="00682C29"/>
    <w:rsid w:val="00685872"/>
    <w:rsid w:val="00685AD7"/>
    <w:rsid w:val="00686153"/>
    <w:rsid w:val="00690CB0"/>
    <w:rsid w:val="00691963"/>
    <w:rsid w:val="00692124"/>
    <w:rsid w:val="00692D96"/>
    <w:rsid w:val="00693C96"/>
    <w:rsid w:val="00696339"/>
    <w:rsid w:val="00696982"/>
    <w:rsid w:val="006970A3"/>
    <w:rsid w:val="006A3F85"/>
    <w:rsid w:val="006A48FA"/>
    <w:rsid w:val="006A539F"/>
    <w:rsid w:val="006A56F1"/>
    <w:rsid w:val="006A6E5C"/>
    <w:rsid w:val="006B0972"/>
    <w:rsid w:val="006B2D0C"/>
    <w:rsid w:val="006B3153"/>
    <w:rsid w:val="006B5871"/>
    <w:rsid w:val="006B69EF"/>
    <w:rsid w:val="006B6BB1"/>
    <w:rsid w:val="006B7212"/>
    <w:rsid w:val="006C0307"/>
    <w:rsid w:val="006C14C3"/>
    <w:rsid w:val="006C216A"/>
    <w:rsid w:val="006C4B6F"/>
    <w:rsid w:val="006C589D"/>
    <w:rsid w:val="006C5CD7"/>
    <w:rsid w:val="006C5ECE"/>
    <w:rsid w:val="006C6B39"/>
    <w:rsid w:val="006C769C"/>
    <w:rsid w:val="006C7A95"/>
    <w:rsid w:val="006D11E8"/>
    <w:rsid w:val="006D1255"/>
    <w:rsid w:val="006D24D8"/>
    <w:rsid w:val="006D4296"/>
    <w:rsid w:val="006D4B0E"/>
    <w:rsid w:val="006D5676"/>
    <w:rsid w:val="006D753C"/>
    <w:rsid w:val="006E06DB"/>
    <w:rsid w:val="006E0A00"/>
    <w:rsid w:val="006E10A4"/>
    <w:rsid w:val="006E2C2D"/>
    <w:rsid w:val="006E306D"/>
    <w:rsid w:val="006E3813"/>
    <w:rsid w:val="006E4BEC"/>
    <w:rsid w:val="006E5179"/>
    <w:rsid w:val="006E6072"/>
    <w:rsid w:val="006E632A"/>
    <w:rsid w:val="006E6968"/>
    <w:rsid w:val="006E6BD7"/>
    <w:rsid w:val="006E71A6"/>
    <w:rsid w:val="006F04C6"/>
    <w:rsid w:val="006F08A0"/>
    <w:rsid w:val="006F2A97"/>
    <w:rsid w:val="006F3DD6"/>
    <w:rsid w:val="006F5C4B"/>
    <w:rsid w:val="006F5DF4"/>
    <w:rsid w:val="006F600E"/>
    <w:rsid w:val="006F6E24"/>
    <w:rsid w:val="006F7AD7"/>
    <w:rsid w:val="00702077"/>
    <w:rsid w:val="00702627"/>
    <w:rsid w:val="0070359F"/>
    <w:rsid w:val="0070464C"/>
    <w:rsid w:val="007047EF"/>
    <w:rsid w:val="00705474"/>
    <w:rsid w:val="007057AD"/>
    <w:rsid w:val="007058D2"/>
    <w:rsid w:val="00705B46"/>
    <w:rsid w:val="007076B2"/>
    <w:rsid w:val="00710D56"/>
    <w:rsid w:val="00711BBB"/>
    <w:rsid w:val="0071340A"/>
    <w:rsid w:val="00713FC7"/>
    <w:rsid w:val="00716C53"/>
    <w:rsid w:val="00716FD1"/>
    <w:rsid w:val="00720D0F"/>
    <w:rsid w:val="007218A9"/>
    <w:rsid w:val="0072241C"/>
    <w:rsid w:val="007245A5"/>
    <w:rsid w:val="0072584D"/>
    <w:rsid w:val="0072671A"/>
    <w:rsid w:val="00726957"/>
    <w:rsid w:val="00731628"/>
    <w:rsid w:val="00734108"/>
    <w:rsid w:val="007343AD"/>
    <w:rsid w:val="0073448D"/>
    <w:rsid w:val="00735087"/>
    <w:rsid w:val="00735F3E"/>
    <w:rsid w:val="00736FA0"/>
    <w:rsid w:val="0073755C"/>
    <w:rsid w:val="0074053E"/>
    <w:rsid w:val="00740BAA"/>
    <w:rsid w:val="007422CF"/>
    <w:rsid w:val="00742BAC"/>
    <w:rsid w:val="00744796"/>
    <w:rsid w:val="00744C26"/>
    <w:rsid w:val="0075000E"/>
    <w:rsid w:val="00752156"/>
    <w:rsid w:val="0075243D"/>
    <w:rsid w:val="00753A7A"/>
    <w:rsid w:val="00755613"/>
    <w:rsid w:val="00756E77"/>
    <w:rsid w:val="007577C2"/>
    <w:rsid w:val="0076038F"/>
    <w:rsid w:val="00760D77"/>
    <w:rsid w:val="007617E5"/>
    <w:rsid w:val="00763A20"/>
    <w:rsid w:val="00770F7F"/>
    <w:rsid w:val="007710F3"/>
    <w:rsid w:val="0077124E"/>
    <w:rsid w:val="0077236D"/>
    <w:rsid w:val="007723D4"/>
    <w:rsid w:val="00772FA7"/>
    <w:rsid w:val="007731D4"/>
    <w:rsid w:val="00774DFC"/>
    <w:rsid w:val="007751AE"/>
    <w:rsid w:val="0077578C"/>
    <w:rsid w:val="00780FFF"/>
    <w:rsid w:val="00781ACA"/>
    <w:rsid w:val="00782272"/>
    <w:rsid w:val="007823CF"/>
    <w:rsid w:val="00783907"/>
    <w:rsid w:val="00783E35"/>
    <w:rsid w:val="00784812"/>
    <w:rsid w:val="00784F67"/>
    <w:rsid w:val="00786066"/>
    <w:rsid w:val="00786754"/>
    <w:rsid w:val="00786D49"/>
    <w:rsid w:val="00787061"/>
    <w:rsid w:val="00790256"/>
    <w:rsid w:val="00790BBF"/>
    <w:rsid w:val="00790F0A"/>
    <w:rsid w:val="00790F5E"/>
    <w:rsid w:val="007927A6"/>
    <w:rsid w:val="007929C0"/>
    <w:rsid w:val="00797F6E"/>
    <w:rsid w:val="007A02EA"/>
    <w:rsid w:val="007A1F4C"/>
    <w:rsid w:val="007A2292"/>
    <w:rsid w:val="007A2D74"/>
    <w:rsid w:val="007A53F8"/>
    <w:rsid w:val="007A5EE6"/>
    <w:rsid w:val="007B05BD"/>
    <w:rsid w:val="007B0791"/>
    <w:rsid w:val="007B0A15"/>
    <w:rsid w:val="007B2295"/>
    <w:rsid w:val="007B232F"/>
    <w:rsid w:val="007B260C"/>
    <w:rsid w:val="007B31A5"/>
    <w:rsid w:val="007B3327"/>
    <w:rsid w:val="007B3533"/>
    <w:rsid w:val="007B3F8E"/>
    <w:rsid w:val="007B4996"/>
    <w:rsid w:val="007B6926"/>
    <w:rsid w:val="007B6FA3"/>
    <w:rsid w:val="007B705D"/>
    <w:rsid w:val="007C116D"/>
    <w:rsid w:val="007C1EBA"/>
    <w:rsid w:val="007C2AC0"/>
    <w:rsid w:val="007C312C"/>
    <w:rsid w:val="007C3156"/>
    <w:rsid w:val="007C398E"/>
    <w:rsid w:val="007C5764"/>
    <w:rsid w:val="007C61D0"/>
    <w:rsid w:val="007C68ED"/>
    <w:rsid w:val="007C6FAA"/>
    <w:rsid w:val="007C768F"/>
    <w:rsid w:val="007D0B16"/>
    <w:rsid w:val="007D251F"/>
    <w:rsid w:val="007D4FA2"/>
    <w:rsid w:val="007E0874"/>
    <w:rsid w:val="007E0FAD"/>
    <w:rsid w:val="007E11E7"/>
    <w:rsid w:val="007E3449"/>
    <w:rsid w:val="007E422E"/>
    <w:rsid w:val="007E60E9"/>
    <w:rsid w:val="007E63F3"/>
    <w:rsid w:val="007E67F3"/>
    <w:rsid w:val="007E6F5A"/>
    <w:rsid w:val="007F07D3"/>
    <w:rsid w:val="007F0916"/>
    <w:rsid w:val="007F1E7D"/>
    <w:rsid w:val="007F2A79"/>
    <w:rsid w:val="007F3026"/>
    <w:rsid w:val="007F42DD"/>
    <w:rsid w:val="007F4E0F"/>
    <w:rsid w:val="007F568E"/>
    <w:rsid w:val="007F5D80"/>
    <w:rsid w:val="007F77CA"/>
    <w:rsid w:val="00800512"/>
    <w:rsid w:val="008011ED"/>
    <w:rsid w:val="00801636"/>
    <w:rsid w:val="00802692"/>
    <w:rsid w:val="00802E5A"/>
    <w:rsid w:val="00803935"/>
    <w:rsid w:val="008045D0"/>
    <w:rsid w:val="008046F9"/>
    <w:rsid w:val="008059B8"/>
    <w:rsid w:val="00810333"/>
    <w:rsid w:val="0081067B"/>
    <w:rsid w:val="00810760"/>
    <w:rsid w:val="00811861"/>
    <w:rsid w:val="0081277D"/>
    <w:rsid w:val="0081339D"/>
    <w:rsid w:val="0081415C"/>
    <w:rsid w:val="0081590D"/>
    <w:rsid w:val="00815E57"/>
    <w:rsid w:val="008163D0"/>
    <w:rsid w:val="008166F5"/>
    <w:rsid w:val="0081677E"/>
    <w:rsid w:val="0081737D"/>
    <w:rsid w:val="00817467"/>
    <w:rsid w:val="0082029C"/>
    <w:rsid w:val="008203F5"/>
    <w:rsid w:val="0082043E"/>
    <w:rsid w:val="00822905"/>
    <w:rsid w:val="0082299E"/>
    <w:rsid w:val="00822EAE"/>
    <w:rsid w:val="00823FA9"/>
    <w:rsid w:val="00827CD1"/>
    <w:rsid w:val="00830873"/>
    <w:rsid w:val="008313A0"/>
    <w:rsid w:val="0083169B"/>
    <w:rsid w:val="00832164"/>
    <w:rsid w:val="00832D86"/>
    <w:rsid w:val="00832F53"/>
    <w:rsid w:val="00834003"/>
    <w:rsid w:val="0083455F"/>
    <w:rsid w:val="00834EA0"/>
    <w:rsid w:val="008407DB"/>
    <w:rsid w:val="00840FDD"/>
    <w:rsid w:val="00843042"/>
    <w:rsid w:val="00843C37"/>
    <w:rsid w:val="00844886"/>
    <w:rsid w:val="00844C2D"/>
    <w:rsid w:val="00846D68"/>
    <w:rsid w:val="00847859"/>
    <w:rsid w:val="00850E3F"/>
    <w:rsid w:val="008518E5"/>
    <w:rsid w:val="00851A0C"/>
    <w:rsid w:val="00852B15"/>
    <w:rsid w:val="008543CB"/>
    <w:rsid w:val="00856135"/>
    <w:rsid w:val="008575A4"/>
    <w:rsid w:val="00857A96"/>
    <w:rsid w:val="00860419"/>
    <w:rsid w:val="008608CA"/>
    <w:rsid w:val="00861FE5"/>
    <w:rsid w:val="00862B38"/>
    <w:rsid w:val="0086376D"/>
    <w:rsid w:val="0086698A"/>
    <w:rsid w:val="00866D6F"/>
    <w:rsid w:val="008678C7"/>
    <w:rsid w:val="00867D56"/>
    <w:rsid w:val="008703C2"/>
    <w:rsid w:val="0087209F"/>
    <w:rsid w:val="0087234E"/>
    <w:rsid w:val="00873AE0"/>
    <w:rsid w:val="0087503A"/>
    <w:rsid w:val="00875B06"/>
    <w:rsid w:val="00875B81"/>
    <w:rsid w:val="008806CC"/>
    <w:rsid w:val="00881829"/>
    <w:rsid w:val="00882C08"/>
    <w:rsid w:val="00883FC7"/>
    <w:rsid w:val="008849E6"/>
    <w:rsid w:val="0088513E"/>
    <w:rsid w:val="00886300"/>
    <w:rsid w:val="0089099F"/>
    <w:rsid w:val="00890AAF"/>
    <w:rsid w:val="00892F7A"/>
    <w:rsid w:val="00894CEB"/>
    <w:rsid w:val="00896A62"/>
    <w:rsid w:val="00897B73"/>
    <w:rsid w:val="00897B88"/>
    <w:rsid w:val="008A113D"/>
    <w:rsid w:val="008A11BE"/>
    <w:rsid w:val="008A2E95"/>
    <w:rsid w:val="008A2F52"/>
    <w:rsid w:val="008A2F87"/>
    <w:rsid w:val="008A4F25"/>
    <w:rsid w:val="008A514C"/>
    <w:rsid w:val="008A678B"/>
    <w:rsid w:val="008B0034"/>
    <w:rsid w:val="008B0702"/>
    <w:rsid w:val="008B10F2"/>
    <w:rsid w:val="008B2397"/>
    <w:rsid w:val="008B33B5"/>
    <w:rsid w:val="008B3CD6"/>
    <w:rsid w:val="008B6003"/>
    <w:rsid w:val="008B691D"/>
    <w:rsid w:val="008C0DA3"/>
    <w:rsid w:val="008C1079"/>
    <w:rsid w:val="008C2874"/>
    <w:rsid w:val="008C2C8E"/>
    <w:rsid w:val="008C4D11"/>
    <w:rsid w:val="008C7093"/>
    <w:rsid w:val="008D023D"/>
    <w:rsid w:val="008D12B5"/>
    <w:rsid w:val="008D54FA"/>
    <w:rsid w:val="008D5C05"/>
    <w:rsid w:val="008D6490"/>
    <w:rsid w:val="008D6FFD"/>
    <w:rsid w:val="008E0E41"/>
    <w:rsid w:val="008E1191"/>
    <w:rsid w:val="008E2561"/>
    <w:rsid w:val="008E342E"/>
    <w:rsid w:val="008E3E9D"/>
    <w:rsid w:val="008E4D9C"/>
    <w:rsid w:val="008E566D"/>
    <w:rsid w:val="008E588C"/>
    <w:rsid w:val="008E5AFD"/>
    <w:rsid w:val="008E7121"/>
    <w:rsid w:val="008E71B2"/>
    <w:rsid w:val="008F52D9"/>
    <w:rsid w:val="008F6BC6"/>
    <w:rsid w:val="0090265C"/>
    <w:rsid w:val="00902B4C"/>
    <w:rsid w:val="00903A84"/>
    <w:rsid w:val="00903FC5"/>
    <w:rsid w:val="0090403F"/>
    <w:rsid w:val="009071FF"/>
    <w:rsid w:val="009108DB"/>
    <w:rsid w:val="00910FAF"/>
    <w:rsid w:val="009112EB"/>
    <w:rsid w:val="00913191"/>
    <w:rsid w:val="009131F2"/>
    <w:rsid w:val="00914421"/>
    <w:rsid w:val="0091642A"/>
    <w:rsid w:val="00916431"/>
    <w:rsid w:val="00917DBE"/>
    <w:rsid w:val="00922515"/>
    <w:rsid w:val="0092605A"/>
    <w:rsid w:val="0092689A"/>
    <w:rsid w:val="00930089"/>
    <w:rsid w:val="00931921"/>
    <w:rsid w:val="0093228E"/>
    <w:rsid w:val="009325E1"/>
    <w:rsid w:val="00933170"/>
    <w:rsid w:val="00933602"/>
    <w:rsid w:val="009338B2"/>
    <w:rsid w:val="00933FFF"/>
    <w:rsid w:val="009351EF"/>
    <w:rsid w:val="0093698F"/>
    <w:rsid w:val="00940914"/>
    <w:rsid w:val="009409E8"/>
    <w:rsid w:val="00942250"/>
    <w:rsid w:val="00942706"/>
    <w:rsid w:val="00942E51"/>
    <w:rsid w:val="00946A6A"/>
    <w:rsid w:val="00947EB7"/>
    <w:rsid w:val="0095056B"/>
    <w:rsid w:val="009509C6"/>
    <w:rsid w:val="00951FC3"/>
    <w:rsid w:val="009520BD"/>
    <w:rsid w:val="0095280D"/>
    <w:rsid w:val="00952B29"/>
    <w:rsid w:val="00953400"/>
    <w:rsid w:val="00953DBA"/>
    <w:rsid w:val="00954137"/>
    <w:rsid w:val="00955882"/>
    <w:rsid w:val="00955ABF"/>
    <w:rsid w:val="00956F74"/>
    <w:rsid w:val="00956F84"/>
    <w:rsid w:val="009575A0"/>
    <w:rsid w:val="00957C6C"/>
    <w:rsid w:val="00960AA2"/>
    <w:rsid w:val="009636FD"/>
    <w:rsid w:val="009649DC"/>
    <w:rsid w:val="00966EB2"/>
    <w:rsid w:val="00970C67"/>
    <w:rsid w:val="0097119D"/>
    <w:rsid w:val="0097418D"/>
    <w:rsid w:val="00974456"/>
    <w:rsid w:val="009754D9"/>
    <w:rsid w:val="00977F25"/>
    <w:rsid w:val="0098542C"/>
    <w:rsid w:val="00991483"/>
    <w:rsid w:val="009916C3"/>
    <w:rsid w:val="0099296D"/>
    <w:rsid w:val="009935AA"/>
    <w:rsid w:val="00993F94"/>
    <w:rsid w:val="009947EB"/>
    <w:rsid w:val="009951B2"/>
    <w:rsid w:val="009968FB"/>
    <w:rsid w:val="00997B42"/>
    <w:rsid w:val="009A039C"/>
    <w:rsid w:val="009A2214"/>
    <w:rsid w:val="009A2859"/>
    <w:rsid w:val="009A2DE7"/>
    <w:rsid w:val="009A305C"/>
    <w:rsid w:val="009A4701"/>
    <w:rsid w:val="009A4E90"/>
    <w:rsid w:val="009A4EB8"/>
    <w:rsid w:val="009A50B8"/>
    <w:rsid w:val="009A6481"/>
    <w:rsid w:val="009A737B"/>
    <w:rsid w:val="009A78E3"/>
    <w:rsid w:val="009A7C60"/>
    <w:rsid w:val="009B1823"/>
    <w:rsid w:val="009B19C1"/>
    <w:rsid w:val="009B267E"/>
    <w:rsid w:val="009B3134"/>
    <w:rsid w:val="009B406F"/>
    <w:rsid w:val="009B443A"/>
    <w:rsid w:val="009B4D09"/>
    <w:rsid w:val="009B6DD1"/>
    <w:rsid w:val="009C1332"/>
    <w:rsid w:val="009C36F3"/>
    <w:rsid w:val="009C4A4F"/>
    <w:rsid w:val="009C6D34"/>
    <w:rsid w:val="009D2E97"/>
    <w:rsid w:val="009D328E"/>
    <w:rsid w:val="009D3438"/>
    <w:rsid w:val="009D3B88"/>
    <w:rsid w:val="009D40B6"/>
    <w:rsid w:val="009D4D3A"/>
    <w:rsid w:val="009D7227"/>
    <w:rsid w:val="009D7AD4"/>
    <w:rsid w:val="009E06B9"/>
    <w:rsid w:val="009E0D9C"/>
    <w:rsid w:val="009E1231"/>
    <w:rsid w:val="009E1A57"/>
    <w:rsid w:val="009E36CA"/>
    <w:rsid w:val="009E3B94"/>
    <w:rsid w:val="009E4B6B"/>
    <w:rsid w:val="009E566D"/>
    <w:rsid w:val="009E5A9F"/>
    <w:rsid w:val="009E6470"/>
    <w:rsid w:val="009E7175"/>
    <w:rsid w:val="009F0074"/>
    <w:rsid w:val="009F08CB"/>
    <w:rsid w:val="009F1E5E"/>
    <w:rsid w:val="009F497B"/>
    <w:rsid w:val="009F4DB9"/>
    <w:rsid w:val="009F5331"/>
    <w:rsid w:val="009F6453"/>
    <w:rsid w:val="009F6AD6"/>
    <w:rsid w:val="009F6F30"/>
    <w:rsid w:val="009F7BFB"/>
    <w:rsid w:val="00A00199"/>
    <w:rsid w:val="00A0081F"/>
    <w:rsid w:val="00A01B61"/>
    <w:rsid w:val="00A03BCB"/>
    <w:rsid w:val="00A048F3"/>
    <w:rsid w:val="00A04CA6"/>
    <w:rsid w:val="00A05202"/>
    <w:rsid w:val="00A052DD"/>
    <w:rsid w:val="00A05FA1"/>
    <w:rsid w:val="00A06E6F"/>
    <w:rsid w:val="00A118BF"/>
    <w:rsid w:val="00A11CBF"/>
    <w:rsid w:val="00A12A49"/>
    <w:rsid w:val="00A135C4"/>
    <w:rsid w:val="00A13CB5"/>
    <w:rsid w:val="00A13FEC"/>
    <w:rsid w:val="00A200C3"/>
    <w:rsid w:val="00A20A84"/>
    <w:rsid w:val="00A21103"/>
    <w:rsid w:val="00A21E3C"/>
    <w:rsid w:val="00A23419"/>
    <w:rsid w:val="00A24BBD"/>
    <w:rsid w:val="00A24CE3"/>
    <w:rsid w:val="00A26D62"/>
    <w:rsid w:val="00A27D2E"/>
    <w:rsid w:val="00A30D78"/>
    <w:rsid w:val="00A31032"/>
    <w:rsid w:val="00A31CCF"/>
    <w:rsid w:val="00A32598"/>
    <w:rsid w:val="00A33EF8"/>
    <w:rsid w:val="00A3432E"/>
    <w:rsid w:val="00A34E9A"/>
    <w:rsid w:val="00A3529C"/>
    <w:rsid w:val="00A37C4F"/>
    <w:rsid w:val="00A37C51"/>
    <w:rsid w:val="00A37EB9"/>
    <w:rsid w:val="00A40DFB"/>
    <w:rsid w:val="00A418A7"/>
    <w:rsid w:val="00A435BF"/>
    <w:rsid w:val="00A44242"/>
    <w:rsid w:val="00A448B0"/>
    <w:rsid w:val="00A46981"/>
    <w:rsid w:val="00A518CD"/>
    <w:rsid w:val="00A5210B"/>
    <w:rsid w:val="00A52335"/>
    <w:rsid w:val="00A524EC"/>
    <w:rsid w:val="00A52F4A"/>
    <w:rsid w:val="00A531D6"/>
    <w:rsid w:val="00A5346F"/>
    <w:rsid w:val="00A53EFB"/>
    <w:rsid w:val="00A54346"/>
    <w:rsid w:val="00A55211"/>
    <w:rsid w:val="00A569C9"/>
    <w:rsid w:val="00A575FB"/>
    <w:rsid w:val="00A57E0C"/>
    <w:rsid w:val="00A6039D"/>
    <w:rsid w:val="00A604AD"/>
    <w:rsid w:val="00A631B5"/>
    <w:rsid w:val="00A63351"/>
    <w:rsid w:val="00A6487D"/>
    <w:rsid w:val="00A65DF5"/>
    <w:rsid w:val="00A66D3E"/>
    <w:rsid w:val="00A66FBE"/>
    <w:rsid w:val="00A67304"/>
    <w:rsid w:val="00A674C1"/>
    <w:rsid w:val="00A676CE"/>
    <w:rsid w:val="00A7001C"/>
    <w:rsid w:val="00A70A43"/>
    <w:rsid w:val="00A71FFD"/>
    <w:rsid w:val="00A73105"/>
    <w:rsid w:val="00A7455C"/>
    <w:rsid w:val="00A7461B"/>
    <w:rsid w:val="00A75807"/>
    <w:rsid w:val="00A764F2"/>
    <w:rsid w:val="00A7681A"/>
    <w:rsid w:val="00A77913"/>
    <w:rsid w:val="00A8209D"/>
    <w:rsid w:val="00A82740"/>
    <w:rsid w:val="00A84A45"/>
    <w:rsid w:val="00A860C9"/>
    <w:rsid w:val="00A871E7"/>
    <w:rsid w:val="00A87C2D"/>
    <w:rsid w:val="00A9137F"/>
    <w:rsid w:val="00A91A72"/>
    <w:rsid w:val="00A9483B"/>
    <w:rsid w:val="00A94F2C"/>
    <w:rsid w:val="00A972E1"/>
    <w:rsid w:val="00AA0D85"/>
    <w:rsid w:val="00AA2D9E"/>
    <w:rsid w:val="00AA3C07"/>
    <w:rsid w:val="00AA3F8C"/>
    <w:rsid w:val="00AA4CE0"/>
    <w:rsid w:val="00AA5C11"/>
    <w:rsid w:val="00AA6E6B"/>
    <w:rsid w:val="00AA7527"/>
    <w:rsid w:val="00AB3052"/>
    <w:rsid w:val="00AB4248"/>
    <w:rsid w:val="00AB4520"/>
    <w:rsid w:val="00AB4A20"/>
    <w:rsid w:val="00AB572D"/>
    <w:rsid w:val="00AB5A86"/>
    <w:rsid w:val="00AB6170"/>
    <w:rsid w:val="00AB707C"/>
    <w:rsid w:val="00AC09D4"/>
    <w:rsid w:val="00AC0B37"/>
    <w:rsid w:val="00AC2185"/>
    <w:rsid w:val="00AC3068"/>
    <w:rsid w:val="00AC30A8"/>
    <w:rsid w:val="00AC3C3E"/>
    <w:rsid w:val="00AC3C48"/>
    <w:rsid w:val="00AC4067"/>
    <w:rsid w:val="00AC53DF"/>
    <w:rsid w:val="00AC54F8"/>
    <w:rsid w:val="00AC692A"/>
    <w:rsid w:val="00AC6E58"/>
    <w:rsid w:val="00AD0F08"/>
    <w:rsid w:val="00AD1585"/>
    <w:rsid w:val="00AD15A5"/>
    <w:rsid w:val="00AD1747"/>
    <w:rsid w:val="00AD235B"/>
    <w:rsid w:val="00AD33C1"/>
    <w:rsid w:val="00AD3EFA"/>
    <w:rsid w:val="00AD41EF"/>
    <w:rsid w:val="00AD546D"/>
    <w:rsid w:val="00AD560B"/>
    <w:rsid w:val="00AD59BB"/>
    <w:rsid w:val="00AD5BBB"/>
    <w:rsid w:val="00AE02B5"/>
    <w:rsid w:val="00AE0494"/>
    <w:rsid w:val="00AE0B28"/>
    <w:rsid w:val="00AE0C8D"/>
    <w:rsid w:val="00AE0D50"/>
    <w:rsid w:val="00AE1947"/>
    <w:rsid w:val="00AE1ADF"/>
    <w:rsid w:val="00AE242E"/>
    <w:rsid w:val="00AE2D8E"/>
    <w:rsid w:val="00AE40DF"/>
    <w:rsid w:val="00AE4ABD"/>
    <w:rsid w:val="00AE4C9F"/>
    <w:rsid w:val="00AE61AB"/>
    <w:rsid w:val="00AE69FE"/>
    <w:rsid w:val="00AE6BBD"/>
    <w:rsid w:val="00AE75B8"/>
    <w:rsid w:val="00AE7A40"/>
    <w:rsid w:val="00AE7EF9"/>
    <w:rsid w:val="00AF2210"/>
    <w:rsid w:val="00AF4A88"/>
    <w:rsid w:val="00AF60FC"/>
    <w:rsid w:val="00AF619D"/>
    <w:rsid w:val="00AF6B6A"/>
    <w:rsid w:val="00B00B45"/>
    <w:rsid w:val="00B014D6"/>
    <w:rsid w:val="00B01A75"/>
    <w:rsid w:val="00B02D39"/>
    <w:rsid w:val="00B03711"/>
    <w:rsid w:val="00B03B6B"/>
    <w:rsid w:val="00B043F5"/>
    <w:rsid w:val="00B04CC3"/>
    <w:rsid w:val="00B06194"/>
    <w:rsid w:val="00B071ED"/>
    <w:rsid w:val="00B17DE2"/>
    <w:rsid w:val="00B2096A"/>
    <w:rsid w:val="00B20E8D"/>
    <w:rsid w:val="00B21C36"/>
    <w:rsid w:val="00B27424"/>
    <w:rsid w:val="00B27C88"/>
    <w:rsid w:val="00B32541"/>
    <w:rsid w:val="00B3267F"/>
    <w:rsid w:val="00B32686"/>
    <w:rsid w:val="00B33F73"/>
    <w:rsid w:val="00B34491"/>
    <w:rsid w:val="00B35F87"/>
    <w:rsid w:val="00B36DA1"/>
    <w:rsid w:val="00B37648"/>
    <w:rsid w:val="00B379DA"/>
    <w:rsid w:val="00B37A67"/>
    <w:rsid w:val="00B41203"/>
    <w:rsid w:val="00B41500"/>
    <w:rsid w:val="00B41BA4"/>
    <w:rsid w:val="00B45C17"/>
    <w:rsid w:val="00B5297F"/>
    <w:rsid w:val="00B52C83"/>
    <w:rsid w:val="00B52E16"/>
    <w:rsid w:val="00B53812"/>
    <w:rsid w:val="00B53C36"/>
    <w:rsid w:val="00B60E5C"/>
    <w:rsid w:val="00B60F9A"/>
    <w:rsid w:val="00B623DA"/>
    <w:rsid w:val="00B626BB"/>
    <w:rsid w:val="00B62736"/>
    <w:rsid w:val="00B62A71"/>
    <w:rsid w:val="00B62EF9"/>
    <w:rsid w:val="00B630C6"/>
    <w:rsid w:val="00B64448"/>
    <w:rsid w:val="00B64D74"/>
    <w:rsid w:val="00B65DC0"/>
    <w:rsid w:val="00B67C2D"/>
    <w:rsid w:val="00B703C2"/>
    <w:rsid w:val="00B70D91"/>
    <w:rsid w:val="00B70E59"/>
    <w:rsid w:val="00B72A56"/>
    <w:rsid w:val="00B72FA0"/>
    <w:rsid w:val="00B73209"/>
    <w:rsid w:val="00B74A2B"/>
    <w:rsid w:val="00B75341"/>
    <w:rsid w:val="00B75F1D"/>
    <w:rsid w:val="00B7708B"/>
    <w:rsid w:val="00B7721B"/>
    <w:rsid w:val="00B80E25"/>
    <w:rsid w:val="00B80FB0"/>
    <w:rsid w:val="00B811DA"/>
    <w:rsid w:val="00B8347E"/>
    <w:rsid w:val="00B837E0"/>
    <w:rsid w:val="00B83D98"/>
    <w:rsid w:val="00B83F39"/>
    <w:rsid w:val="00B84B4A"/>
    <w:rsid w:val="00B8589C"/>
    <w:rsid w:val="00B858BA"/>
    <w:rsid w:val="00B85F09"/>
    <w:rsid w:val="00B86BAC"/>
    <w:rsid w:val="00B873EE"/>
    <w:rsid w:val="00B94A3B"/>
    <w:rsid w:val="00B954A7"/>
    <w:rsid w:val="00B965D6"/>
    <w:rsid w:val="00B97B35"/>
    <w:rsid w:val="00BA3196"/>
    <w:rsid w:val="00BA3509"/>
    <w:rsid w:val="00BA4671"/>
    <w:rsid w:val="00BA513D"/>
    <w:rsid w:val="00BA5877"/>
    <w:rsid w:val="00BB124C"/>
    <w:rsid w:val="00BB17E3"/>
    <w:rsid w:val="00BB1CDB"/>
    <w:rsid w:val="00BB2110"/>
    <w:rsid w:val="00BB30C0"/>
    <w:rsid w:val="00BB3645"/>
    <w:rsid w:val="00BB4E70"/>
    <w:rsid w:val="00BB547E"/>
    <w:rsid w:val="00BB69B7"/>
    <w:rsid w:val="00BC01A5"/>
    <w:rsid w:val="00BC2581"/>
    <w:rsid w:val="00BC280D"/>
    <w:rsid w:val="00BC3338"/>
    <w:rsid w:val="00BC3641"/>
    <w:rsid w:val="00BC36D7"/>
    <w:rsid w:val="00BC3F55"/>
    <w:rsid w:val="00BC468E"/>
    <w:rsid w:val="00BC481A"/>
    <w:rsid w:val="00BC4D26"/>
    <w:rsid w:val="00BC555D"/>
    <w:rsid w:val="00BC658E"/>
    <w:rsid w:val="00BD0218"/>
    <w:rsid w:val="00BD113A"/>
    <w:rsid w:val="00BD1869"/>
    <w:rsid w:val="00BD200B"/>
    <w:rsid w:val="00BD63DF"/>
    <w:rsid w:val="00BD64D4"/>
    <w:rsid w:val="00BD7C4B"/>
    <w:rsid w:val="00BE2173"/>
    <w:rsid w:val="00BE33E8"/>
    <w:rsid w:val="00BE62FA"/>
    <w:rsid w:val="00BE7539"/>
    <w:rsid w:val="00BE7668"/>
    <w:rsid w:val="00BE7B19"/>
    <w:rsid w:val="00BE7CB4"/>
    <w:rsid w:val="00BF2BEB"/>
    <w:rsid w:val="00BF3197"/>
    <w:rsid w:val="00BF5820"/>
    <w:rsid w:val="00BF5E23"/>
    <w:rsid w:val="00BF6AD1"/>
    <w:rsid w:val="00C01DB8"/>
    <w:rsid w:val="00C0300F"/>
    <w:rsid w:val="00C04C13"/>
    <w:rsid w:val="00C0523E"/>
    <w:rsid w:val="00C06B87"/>
    <w:rsid w:val="00C06C3C"/>
    <w:rsid w:val="00C07194"/>
    <w:rsid w:val="00C0751C"/>
    <w:rsid w:val="00C07D81"/>
    <w:rsid w:val="00C07F14"/>
    <w:rsid w:val="00C11B64"/>
    <w:rsid w:val="00C1218B"/>
    <w:rsid w:val="00C12B6B"/>
    <w:rsid w:val="00C1303D"/>
    <w:rsid w:val="00C135F1"/>
    <w:rsid w:val="00C140D0"/>
    <w:rsid w:val="00C1462F"/>
    <w:rsid w:val="00C14775"/>
    <w:rsid w:val="00C150A5"/>
    <w:rsid w:val="00C16B32"/>
    <w:rsid w:val="00C20F95"/>
    <w:rsid w:val="00C21127"/>
    <w:rsid w:val="00C22B21"/>
    <w:rsid w:val="00C22D88"/>
    <w:rsid w:val="00C23593"/>
    <w:rsid w:val="00C23845"/>
    <w:rsid w:val="00C27091"/>
    <w:rsid w:val="00C30450"/>
    <w:rsid w:val="00C31724"/>
    <w:rsid w:val="00C31846"/>
    <w:rsid w:val="00C32A33"/>
    <w:rsid w:val="00C34278"/>
    <w:rsid w:val="00C367FB"/>
    <w:rsid w:val="00C37AE4"/>
    <w:rsid w:val="00C41389"/>
    <w:rsid w:val="00C414D0"/>
    <w:rsid w:val="00C41BB7"/>
    <w:rsid w:val="00C42379"/>
    <w:rsid w:val="00C43B48"/>
    <w:rsid w:val="00C44004"/>
    <w:rsid w:val="00C445F4"/>
    <w:rsid w:val="00C507F0"/>
    <w:rsid w:val="00C50AD1"/>
    <w:rsid w:val="00C517E4"/>
    <w:rsid w:val="00C54D5A"/>
    <w:rsid w:val="00C54DF3"/>
    <w:rsid w:val="00C56049"/>
    <w:rsid w:val="00C56220"/>
    <w:rsid w:val="00C56DC0"/>
    <w:rsid w:val="00C60F7E"/>
    <w:rsid w:val="00C610B6"/>
    <w:rsid w:val="00C615AD"/>
    <w:rsid w:val="00C6257F"/>
    <w:rsid w:val="00C63117"/>
    <w:rsid w:val="00C640C7"/>
    <w:rsid w:val="00C65784"/>
    <w:rsid w:val="00C67BDD"/>
    <w:rsid w:val="00C67BFB"/>
    <w:rsid w:val="00C70F24"/>
    <w:rsid w:val="00C717F6"/>
    <w:rsid w:val="00C72498"/>
    <w:rsid w:val="00C72FD7"/>
    <w:rsid w:val="00C73461"/>
    <w:rsid w:val="00C75EC0"/>
    <w:rsid w:val="00C75ECC"/>
    <w:rsid w:val="00C812C5"/>
    <w:rsid w:val="00C8155C"/>
    <w:rsid w:val="00C818C2"/>
    <w:rsid w:val="00C856F3"/>
    <w:rsid w:val="00C85D03"/>
    <w:rsid w:val="00C85F62"/>
    <w:rsid w:val="00C871AD"/>
    <w:rsid w:val="00C907F0"/>
    <w:rsid w:val="00C9202C"/>
    <w:rsid w:val="00C93A91"/>
    <w:rsid w:val="00C95601"/>
    <w:rsid w:val="00C95D6D"/>
    <w:rsid w:val="00C96870"/>
    <w:rsid w:val="00CA1947"/>
    <w:rsid w:val="00CA1C91"/>
    <w:rsid w:val="00CA323D"/>
    <w:rsid w:val="00CA487B"/>
    <w:rsid w:val="00CA54A0"/>
    <w:rsid w:val="00CA54E2"/>
    <w:rsid w:val="00CA55EC"/>
    <w:rsid w:val="00CA5A9B"/>
    <w:rsid w:val="00CB5515"/>
    <w:rsid w:val="00CB57B1"/>
    <w:rsid w:val="00CB76EF"/>
    <w:rsid w:val="00CB773B"/>
    <w:rsid w:val="00CB7840"/>
    <w:rsid w:val="00CB7D21"/>
    <w:rsid w:val="00CC0E24"/>
    <w:rsid w:val="00CC2390"/>
    <w:rsid w:val="00CC34E2"/>
    <w:rsid w:val="00CC3A5F"/>
    <w:rsid w:val="00CC3EED"/>
    <w:rsid w:val="00CC4A5C"/>
    <w:rsid w:val="00CC5BB7"/>
    <w:rsid w:val="00CC5C02"/>
    <w:rsid w:val="00CC5F62"/>
    <w:rsid w:val="00CC64FC"/>
    <w:rsid w:val="00CC69B4"/>
    <w:rsid w:val="00CC6D17"/>
    <w:rsid w:val="00CC7102"/>
    <w:rsid w:val="00CC7CF3"/>
    <w:rsid w:val="00CD0BCD"/>
    <w:rsid w:val="00CD0D19"/>
    <w:rsid w:val="00CD1E85"/>
    <w:rsid w:val="00CD3A98"/>
    <w:rsid w:val="00CD3AEA"/>
    <w:rsid w:val="00CD3C32"/>
    <w:rsid w:val="00CD4235"/>
    <w:rsid w:val="00CD4569"/>
    <w:rsid w:val="00CD56D7"/>
    <w:rsid w:val="00CD57FC"/>
    <w:rsid w:val="00CD5F09"/>
    <w:rsid w:val="00CD632A"/>
    <w:rsid w:val="00CD6D83"/>
    <w:rsid w:val="00CE0B6D"/>
    <w:rsid w:val="00CE127E"/>
    <w:rsid w:val="00CE1C10"/>
    <w:rsid w:val="00CE217C"/>
    <w:rsid w:val="00CE3583"/>
    <w:rsid w:val="00CE3C42"/>
    <w:rsid w:val="00CE4AE9"/>
    <w:rsid w:val="00CE64C2"/>
    <w:rsid w:val="00CE77A3"/>
    <w:rsid w:val="00CF198C"/>
    <w:rsid w:val="00CF41D0"/>
    <w:rsid w:val="00CF66CB"/>
    <w:rsid w:val="00CF7C14"/>
    <w:rsid w:val="00D00CF9"/>
    <w:rsid w:val="00D012FF"/>
    <w:rsid w:val="00D04844"/>
    <w:rsid w:val="00D04CD8"/>
    <w:rsid w:val="00D04DEC"/>
    <w:rsid w:val="00D06CB5"/>
    <w:rsid w:val="00D114ED"/>
    <w:rsid w:val="00D1261E"/>
    <w:rsid w:val="00D13F32"/>
    <w:rsid w:val="00D14B5E"/>
    <w:rsid w:val="00D1685E"/>
    <w:rsid w:val="00D171BA"/>
    <w:rsid w:val="00D223CF"/>
    <w:rsid w:val="00D230DD"/>
    <w:rsid w:val="00D2397C"/>
    <w:rsid w:val="00D25034"/>
    <w:rsid w:val="00D254A4"/>
    <w:rsid w:val="00D25B74"/>
    <w:rsid w:val="00D25CA1"/>
    <w:rsid w:val="00D26224"/>
    <w:rsid w:val="00D27435"/>
    <w:rsid w:val="00D31096"/>
    <w:rsid w:val="00D31474"/>
    <w:rsid w:val="00D32933"/>
    <w:rsid w:val="00D3579F"/>
    <w:rsid w:val="00D3588B"/>
    <w:rsid w:val="00D36B62"/>
    <w:rsid w:val="00D37AF3"/>
    <w:rsid w:val="00D37BF5"/>
    <w:rsid w:val="00D37D73"/>
    <w:rsid w:val="00D421A7"/>
    <w:rsid w:val="00D428E9"/>
    <w:rsid w:val="00D42987"/>
    <w:rsid w:val="00D42C18"/>
    <w:rsid w:val="00D43F5E"/>
    <w:rsid w:val="00D44623"/>
    <w:rsid w:val="00D47CF6"/>
    <w:rsid w:val="00D50820"/>
    <w:rsid w:val="00D511C3"/>
    <w:rsid w:val="00D51C0C"/>
    <w:rsid w:val="00D52328"/>
    <w:rsid w:val="00D5481D"/>
    <w:rsid w:val="00D55B2D"/>
    <w:rsid w:val="00D60045"/>
    <w:rsid w:val="00D62819"/>
    <w:rsid w:val="00D628AE"/>
    <w:rsid w:val="00D647C9"/>
    <w:rsid w:val="00D6632B"/>
    <w:rsid w:val="00D6667C"/>
    <w:rsid w:val="00D67995"/>
    <w:rsid w:val="00D7163F"/>
    <w:rsid w:val="00D716AB"/>
    <w:rsid w:val="00D71F86"/>
    <w:rsid w:val="00D7298C"/>
    <w:rsid w:val="00D734D6"/>
    <w:rsid w:val="00D73998"/>
    <w:rsid w:val="00D75B70"/>
    <w:rsid w:val="00D76FD9"/>
    <w:rsid w:val="00D800BD"/>
    <w:rsid w:val="00D8036C"/>
    <w:rsid w:val="00D80AA1"/>
    <w:rsid w:val="00D80E8D"/>
    <w:rsid w:val="00D816C8"/>
    <w:rsid w:val="00D81BC5"/>
    <w:rsid w:val="00D827CE"/>
    <w:rsid w:val="00D83B25"/>
    <w:rsid w:val="00D84DEB"/>
    <w:rsid w:val="00D877A6"/>
    <w:rsid w:val="00D904D9"/>
    <w:rsid w:val="00D90E99"/>
    <w:rsid w:val="00D91303"/>
    <w:rsid w:val="00D946F0"/>
    <w:rsid w:val="00D95156"/>
    <w:rsid w:val="00D95298"/>
    <w:rsid w:val="00D95BD9"/>
    <w:rsid w:val="00D95DC3"/>
    <w:rsid w:val="00D96A46"/>
    <w:rsid w:val="00D96A67"/>
    <w:rsid w:val="00D97800"/>
    <w:rsid w:val="00DA114C"/>
    <w:rsid w:val="00DA12D5"/>
    <w:rsid w:val="00DA3326"/>
    <w:rsid w:val="00DA3644"/>
    <w:rsid w:val="00DA3FCB"/>
    <w:rsid w:val="00DA61B9"/>
    <w:rsid w:val="00DA630F"/>
    <w:rsid w:val="00DA6A38"/>
    <w:rsid w:val="00DA6B30"/>
    <w:rsid w:val="00DA7040"/>
    <w:rsid w:val="00DB07B5"/>
    <w:rsid w:val="00DB07F9"/>
    <w:rsid w:val="00DB3CAF"/>
    <w:rsid w:val="00DB3E79"/>
    <w:rsid w:val="00DB4966"/>
    <w:rsid w:val="00DB5871"/>
    <w:rsid w:val="00DB7C43"/>
    <w:rsid w:val="00DC1386"/>
    <w:rsid w:val="00DC437C"/>
    <w:rsid w:val="00DC60C3"/>
    <w:rsid w:val="00DC7A46"/>
    <w:rsid w:val="00DD0F54"/>
    <w:rsid w:val="00DD24D3"/>
    <w:rsid w:val="00DD3577"/>
    <w:rsid w:val="00DD4F7A"/>
    <w:rsid w:val="00DD5050"/>
    <w:rsid w:val="00DD5306"/>
    <w:rsid w:val="00DD577D"/>
    <w:rsid w:val="00DD5903"/>
    <w:rsid w:val="00DD5E1E"/>
    <w:rsid w:val="00DE17BA"/>
    <w:rsid w:val="00DE229B"/>
    <w:rsid w:val="00DE2622"/>
    <w:rsid w:val="00DE3A2B"/>
    <w:rsid w:val="00DE4A81"/>
    <w:rsid w:val="00DE65D3"/>
    <w:rsid w:val="00DE7AB8"/>
    <w:rsid w:val="00DF310D"/>
    <w:rsid w:val="00DF3188"/>
    <w:rsid w:val="00DF4F4C"/>
    <w:rsid w:val="00DF5529"/>
    <w:rsid w:val="00DF5C9A"/>
    <w:rsid w:val="00DF6DE8"/>
    <w:rsid w:val="00DF6FB0"/>
    <w:rsid w:val="00DF76B3"/>
    <w:rsid w:val="00DF76F2"/>
    <w:rsid w:val="00E00083"/>
    <w:rsid w:val="00E009E2"/>
    <w:rsid w:val="00E00E98"/>
    <w:rsid w:val="00E01112"/>
    <w:rsid w:val="00E01DE7"/>
    <w:rsid w:val="00E03934"/>
    <w:rsid w:val="00E0411F"/>
    <w:rsid w:val="00E0572E"/>
    <w:rsid w:val="00E05F98"/>
    <w:rsid w:val="00E0777E"/>
    <w:rsid w:val="00E10005"/>
    <w:rsid w:val="00E10E20"/>
    <w:rsid w:val="00E112F9"/>
    <w:rsid w:val="00E11E4B"/>
    <w:rsid w:val="00E1238E"/>
    <w:rsid w:val="00E124B9"/>
    <w:rsid w:val="00E13F21"/>
    <w:rsid w:val="00E14954"/>
    <w:rsid w:val="00E149E3"/>
    <w:rsid w:val="00E15B42"/>
    <w:rsid w:val="00E1612B"/>
    <w:rsid w:val="00E17515"/>
    <w:rsid w:val="00E20591"/>
    <w:rsid w:val="00E22766"/>
    <w:rsid w:val="00E22786"/>
    <w:rsid w:val="00E2572E"/>
    <w:rsid w:val="00E2692D"/>
    <w:rsid w:val="00E271C2"/>
    <w:rsid w:val="00E27AC2"/>
    <w:rsid w:val="00E30031"/>
    <w:rsid w:val="00E31023"/>
    <w:rsid w:val="00E329A6"/>
    <w:rsid w:val="00E342FC"/>
    <w:rsid w:val="00E34CB5"/>
    <w:rsid w:val="00E36419"/>
    <w:rsid w:val="00E37789"/>
    <w:rsid w:val="00E412D8"/>
    <w:rsid w:val="00E41E29"/>
    <w:rsid w:val="00E42265"/>
    <w:rsid w:val="00E42B68"/>
    <w:rsid w:val="00E44F78"/>
    <w:rsid w:val="00E45DAA"/>
    <w:rsid w:val="00E464A7"/>
    <w:rsid w:val="00E46560"/>
    <w:rsid w:val="00E47307"/>
    <w:rsid w:val="00E47601"/>
    <w:rsid w:val="00E5099C"/>
    <w:rsid w:val="00E50DB1"/>
    <w:rsid w:val="00E51053"/>
    <w:rsid w:val="00E51A6B"/>
    <w:rsid w:val="00E51A9F"/>
    <w:rsid w:val="00E52CA8"/>
    <w:rsid w:val="00E536AA"/>
    <w:rsid w:val="00E54750"/>
    <w:rsid w:val="00E550CE"/>
    <w:rsid w:val="00E55D06"/>
    <w:rsid w:val="00E56C38"/>
    <w:rsid w:val="00E57675"/>
    <w:rsid w:val="00E60B86"/>
    <w:rsid w:val="00E62E45"/>
    <w:rsid w:val="00E62F7D"/>
    <w:rsid w:val="00E642D8"/>
    <w:rsid w:val="00E6537B"/>
    <w:rsid w:val="00E657C7"/>
    <w:rsid w:val="00E66BC2"/>
    <w:rsid w:val="00E67A89"/>
    <w:rsid w:val="00E67FA1"/>
    <w:rsid w:val="00E700B8"/>
    <w:rsid w:val="00E702B9"/>
    <w:rsid w:val="00E70588"/>
    <w:rsid w:val="00E713B0"/>
    <w:rsid w:val="00E74412"/>
    <w:rsid w:val="00E74B3C"/>
    <w:rsid w:val="00E754CB"/>
    <w:rsid w:val="00E75E07"/>
    <w:rsid w:val="00E75FA1"/>
    <w:rsid w:val="00E76419"/>
    <w:rsid w:val="00E77039"/>
    <w:rsid w:val="00E77787"/>
    <w:rsid w:val="00E77CD7"/>
    <w:rsid w:val="00E81702"/>
    <w:rsid w:val="00E82017"/>
    <w:rsid w:val="00E82538"/>
    <w:rsid w:val="00E82792"/>
    <w:rsid w:val="00E8374B"/>
    <w:rsid w:val="00E844D7"/>
    <w:rsid w:val="00E8453C"/>
    <w:rsid w:val="00E90F76"/>
    <w:rsid w:val="00E92E9D"/>
    <w:rsid w:val="00E93B3C"/>
    <w:rsid w:val="00E96A7F"/>
    <w:rsid w:val="00EA031A"/>
    <w:rsid w:val="00EA0966"/>
    <w:rsid w:val="00EA0CE9"/>
    <w:rsid w:val="00EA1A40"/>
    <w:rsid w:val="00EA330D"/>
    <w:rsid w:val="00EA50E9"/>
    <w:rsid w:val="00EA5190"/>
    <w:rsid w:val="00EA5E8F"/>
    <w:rsid w:val="00EA5F4C"/>
    <w:rsid w:val="00EA6109"/>
    <w:rsid w:val="00EA7B94"/>
    <w:rsid w:val="00EB004A"/>
    <w:rsid w:val="00EB0B79"/>
    <w:rsid w:val="00EB2688"/>
    <w:rsid w:val="00EB2E9B"/>
    <w:rsid w:val="00EB42A0"/>
    <w:rsid w:val="00EB6181"/>
    <w:rsid w:val="00EB664F"/>
    <w:rsid w:val="00EB7E37"/>
    <w:rsid w:val="00EC12E8"/>
    <w:rsid w:val="00EC1357"/>
    <w:rsid w:val="00EC1FDB"/>
    <w:rsid w:val="00EC45D7"/>
    <w:rsid w:val="00EC52D9"/>
    <w:rsid w:val="00EC5ACF"/>
    <w:rsid w:val="00ED186A"/>
    <w:rsid w:val="00ED22A8"/>
    <w:rsid w:val="00ED2479"/>
    <w:rsid w:val="00ED4EB4"/>
    <w:rsid w:val="00ED5D09"/>
    <w:rsid w:val="00ED7107"/>
    <w:rsid w:val="00ED75FC"/>
    <w:rsid w:val="00EE2221"/>
    <w:rsid w:val="00EE276F"/>
    <w:rsid w:val="00EE2982"/>
    <w:rsid w:val="00EE329B"/>
    <w:rsid w:val="00EE3D5C"/>
    <w:rsid w:val="00EE634F"/>
    <w:rsid w:val="00EE788D"/>
    <w:rsid w:val="00EF1837"/>
    <w:rsid w:val="00EF369D"/>
    <w:rsid w:val="00EF38A7"/>
    <w:rsid w:val="00EF5B75"/>
    <w:rsid w:val="00EF6A39"/>
    <w:rsid w:val="00EF7EAF"/>
    <w:rsid w:val="00F00B38"/>
    <w:rsid w:val="00F01597"/>
    <w:rsid w:val="00F02DB8"/>
    <w:rsid w:val="00F0376E"/>
    <w:rsid w:val="00F044B3"/>
    <w:rsid w:val="00F05E83"/>
    <w:rsid w:val="00F07DC4"/>
    <w:rsid w:val="00F07E05"/>
    <w:rsid w:val="00F10842"/>
    <w:rsid w:val="00F10F8D"/>
    <w:rsid w:val="00F13C42"/>
    <w:rsid w:val="00F13FE3"/>
    <w:rsid w:val="00F15C50"/>
    <w:rsid w:val="00F161F7"/>
    <w:rsid w:val="00F16777"/>
    <w:rsid w:val="00F206E8"/>
    <w:rsid w:val="00F21755"/>
    <w:rsid w:val="00F21F2E"/>
    <w:rsid w:val="00F23947"/>
    <w:rsid w:val="00F23B61"/>
    <w:rsid w:val="00F276F1"/>
    <w:rsid w:val="00F315D0"/>
    <w:rsid w:val="00F3236A"/>
    <w:rsid w:val="00F32680"/>
    <w:rsid w:val="00F336FB"/>
    <w:rsid w:val="00F33A66"/>
    <w:rsid w:val="00F34368"/>
    <w:rsid w:val="00F34E5A"/>
    <w:rsid w:val="00F35452"/>
    <w:rsid w:val="00F35886"/>
    <w:rsid w:val="00F35953"/>
    <w:rsid w:val="00F37F06"/>
    <w:rsid w:val="00F40844"/>
    <w:rsid w:val="00F40CA7"/>
    <w:rsid w:val="00F40CED"/>
    <w:rsid w:val="00F4259D"/>
    <w:rsid w:val="00F44659"/>
    <w:rsid w:val="00F45532"/>
    <w:rsid w:val="00F45ED2"/>
    <w:rsid w:val="00F525AF"/>
    <w:rsid w:val="00F53C4F"/>
    <w:rsid w:val="00F54717"/>
    <w:rsid w:val="00F56A51"/>
    <w:rsid w:val="00F61899"/>
    <w:rsid w:val="00F62E90"/>
    <w:rsid w:val="00F639DE"/>
    <w:rsid w:val="00F66CD4"/>
    <w:rsid w:val="00F66E01"/>
    <w:rsid w:val="00F67D28"/>
    <w:rsid w:val="00F7129A"/>
    <w:rsid w:val="00F7180D"/>
    <w:rsid w:val="00F727A7"/>
    <w:rsid w:val="00F727FE"/>
    <w:rsid w:val="00F729D7"/>
    <w:rsid w:val="00F74320"/>
    <w:rsid w:val="00F774CD"/>
    <w:rsid w:val="00F80F59"/>
    <w:rsid w:val="00F822FC"/>
    <w:rsid w:val="00F82E69"/>
    <w:rsid w:val="00F8414D"/>
    <w:rsid w:val="00F84181"/>
    <w:rsid w:val="00F845EF"/>
    <w:rsid w:val="00F84C5D"/>
    <w:rsid w:val="00F86271"/>
    <w:rsid w:val="00F87164"/>
    <w:rsid w:val="00F87176"/>
    <w:rsid w:val="00F87303"/>
    <w:rsid w:val="00F91287"/>
    <w:rsid w:val="00F917FA"/>
    <w:rsid w:val="00F91B28"/>
    <w:rsid w:val="00F91DA0"/>
    <w:rsid w:val="00F9306F"/>
    <w:rsid w:val="00F93AAC"/>
    <w:rsid w:val="00F94B4E"/>
    <w:rsid w:val="00F96200"/>
    <w:rsid w:val="00F978B7"/>
    <w:rsid w:val="00F978E7"/>
    <w:rsid w:val="00F97E8C"/>
    <w:rsid w:val="00FA1082"/>
    <w:rsid w:val="00FA2925"/>
    <w:rsid w:val="00FA2FCD"/>
    <w:rsid w:val="00FA3653"/>
    <w:rsid w:val="00FA3FA8"/>
    <w:rsid w:val="00FA4718"/>
    <w:rsid w:val="00FA6E64"/>
    <w:rsid w:val="00FB1DCD"/>
    <w:rsid w:val="00FB2F0E"/>
    <w:rsid w:val="00FB31CC"/>
    <w:rsid w:val="00FC05EE"/>
    <w:rsid w:val="00FC165B"/>
    <w:rsid w:val="00FC2EC6"/>
    <w:rsid w:val="00FC339A"/>
    <w:rsid w:val="00FC36E0"/>
    <w:rsid w:val="00FC4E57"/>
    <w:rsid w:val="00FC546F"/>
    <w:rsid w:val="00FC6F5E"/>
    <w:rsid w:val="00FC711A"/>
    <w:rsid w:val="00FC7772"/>
    <w:rsid w:val="00FC7D31"/>
    <w:rsid w:val="00FD086C"/>
    <w:rsid w:val="00FD13AC"/>
    <w:rsid w:val="00FD1F83"/>
    <w:rsid w:val="00FD2D28"/>
    <w:rsid w:val="00FD419A"/>
    <w:rsid w:val="00FD6BFE"/>
    <w:rsid w:val="00FE0C31"/>
    <w:rsid w:val="00FE100C"/>
    <w:rsid w:val="00FE1365"/>
    <w:rsid w:val="00FE34B0"/>
    <w:rsid w:val="00FE3C7B"/>
    <w:rsid w:val="00FE3FF3"/>
    <w:rsid w:val="00FE6D8B"/>
    <w:rsid w:val="00FE735E"/>
    <w:rsid w:val="00FF05A6"/>
    <w:rsid w:val="00FF0C57"/>
    <w:rsid w:val="00FF459F"/>
    <w:rsid w:val="00FF4D4F"/>
    <w:rsid w:val="00FF7B22"/>
    <w:rsid w:val="00FF7DA7"/>
    <w:rsid w:val="028F6064"/>
    <w:rsid w:val="0DE900CF"/>
    <w:rsid w:val="1A113708"/>
    <w:rsid w:val="2B620169"/>
    <w:rsid w:val="491258FE"/>
    <w:rsid w:val="4D8212ED"/>
    <w:rsid w:val="50AD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301C3F7B-71FA-449D-B81A-983FCAF8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szCs w:val="20"/>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nhideWhenUsed/>
    <w:qFormat/>
    <w:pPr>
      <w:jc w:val="left"/>
    </w:pPr>
  </w:style>
  <w:style w:type="paragraph" w:styleId="a8">
    <w:name w:val="Balloon Text"/>
    <w:basedOn w:val="a"/>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ad">
    <w:name w:val="Subtitle"/>
    <w:basedOn w:val="a"/>
    <w:next w:val="a"/>
    <w:link w:val="ae"/>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qFormat/>
    <w:pPr>
      <w:ind w:leftChars="200" w:left="480"/>
    </w:pPr>
  </w:style>
  <w:style w:type="paragraph" w:styleId="af">
    <w:name w:val="annotation subject"/>
    <w:basedOn w:val="a6"/>
    <w:next w:val="a6"/>
    <w:link w:val="af0"/>
    <w:uiPriority w:val="99"/>
    <w:unhideWhenUsed/>
    <w:qFormat/>
    <w:rPr>
      <w:b/>
      <w:bCs/>
    </w:rPr>
  </w:style>
  <w:style w:type="table" w:styleId="af1">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af2">
    <w:name w:val="FollowedHyperlink"/>
    <w:uiPriority w:val="99"/>
    <w:semiHidden/>
    <w:unhideWhenUsed/>
    <w:qFormat/>
    <w:rPr>
      <w:color w:val="800080"/>
      <w:u w:val="single"/>
    </w:rPr>
  </w:style>
  <w:style w:type="character" w:styleId="af3">
    <w:name w:val="Hyperlink"/>
    <w:uiPriority w:val="99"/>
    <w:unhideWhenUsed/>
    <w:qFormat/>
    <w:rPr>
      <w:color w:val="0000FF"/>
      <w:u w:val="single"/>
    </w:rPr>
  </w:style>
  <w:style w:type="character" w:styleId="af4">
    <w:name w:val="annotation reference"/>
    <w:unhideWhenUsed/>
    <w:qFormat/>
    <w:rPr>
      <w:sz w:val="21"/>
      <w:szCs w:val="21"/>
    </w:rPr>
  </w:style>
  <w:style w:type="paragraph" w:customStyle="1" w:styleId="Style19">
    <w:name w:val="_Style 19"/>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d"/>
    <w:next w:val="4"/>
    <w:qFormat/>
    <w:pPr>
      <w:keepNext/>
      <w:keepLines/>
      <w:numPr>
        <w:ilvl w:val="5"/>
        <w:numId w:val="1"/>
      </w:numPr>
      <w:ind w:left="0" w:firstLine="0"/>
      <w:jc w:val="left"/>
    </w:pPr>
    <w:rPr>
      <w:bCs w:val="0"/>
      <w:sz w:val="24"/>
    </w:rPr>
  </w:style>
  <w:style w:type="paragraph" w:customStyle="1" w:styleId="Style21">
    <w:name w:val="_Style 21"/>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d"/>
    <w:next w:val="4"/>
    <w:qFormat/>
    <w:pPr>
      <w:keepNext/>
      <w:keepLines/>
      <w:numPr>
        <w:ilvl w:val="1"/>
        <w:numId w:val="1"/>
      </w:numPr>
      <w:jc w:val="left"/>
    </w:pPr>
    <w:rPr>
      <w:bCs w:val="0"/>
      <w:sz w:val="24"/>
    </w:rPr>
  </w:style>
  <w:style w:type="paragraph" w:customStyle="1" w:styleId="XBRLTitle3">
    <w:name w:val="XBRLTitle3"/>
    <w:basedOn w:val="ad"/>
    <w:next w:val="4"/>
    <w:qFormat/>
    <w:pPr>
      <w:keepNext/>
      <w:keepLines/>
      <w:numPr>
        <w:ilvl w:val="2"/>
        <w:numId w:val="1"/>
      </w:numPr>
      <w:ind w:left="0" w:firstLine="0"/>
      <w:jc w:val="left"/>
    </w:pPr>
    <w:rPr>
      <w:bCs w:val="0"/>
      <w:sz w:val="24"/>
    </w:rPr>
  </w:style>
  <w:style w:type="paragraph" w:customStyle="1" w:styleId="XBRLTitle5">
    <w:name w:val="XBRLTitle5"/>
    <w:basedOn w:val="ad"/>
    <w:next w:val="4"/>
    <w:qFormat/>
    <w:pPr>
      <w:keepNext/>
      <w:keepLines/>
      <w:numPr>
        <w:ilvl w:val="4"/>
        <w:numId w:val="1"/>
      </w:numPr>
      <w:ind w:left="0" w:firstLine="0"/>
      <w:jc w:val="left"/>
    </w:pPr>
    <w:rPr>
      <w:bCs w:val="0"/>
      <w:sz w:val="24"/>
    </w:rPr>
  </w:style>
  <w:style w:type="paragraph" w:customStyle="1" w:styleId="XBRLTitle4">
    <w:name w:val="XBRLTitle4"/>
    <w:basedOn w:val="ad"/>
    <w:next w:val="4"/>
    <w:qFormat/>
    <w:pPr>
      <w:keepNext/>
      <w:keepLines/>
      <w:numPr>
        <w:ilvl w:val="3"/>
        <w:numId w:val="1"/>
      </w:numPr>
      <w:ind w:left="0" w:firstLine="0"/>
      <w:jc w:val="left"/>
    </w:pPr>
    <w:rPr>
      <w:bCs w:val="0"/>
      <w:sz w:val="24"/>
    </w:rPr>
  </w:style>
  <w:style w:type="character" w:customStyle="1" w:styleId="Char1">
    <w:name w:val="副标题 Char1"/>
    <w:qFormat/>
    <w:rPr>
      <w:rFonts w:ascii="Cambria" w:hAnsi="Cambria"/>
      <w:b/>
      <w:kern w:val="28"/>
      <w:sz w:val="24"/>
      <w:szCs w:val="32"/>
    </w:rPr>
  </w:style>
  <w:style w:type="character" w:customStyle="1" w:styleId="txtcontent11">
    <w:name w:val="txtcontent11"/>
    <w:qFormat/>
    <w:rPr>
      <w:rFonts w:ascii="ˎ̥" w:hAnsi="ˎ̥" w:hint="default"/>
      <w:color w:val="000000"/>
      <w:sz w:val="21"/>
      <w:szCs w:val="21"/>
    </w:rPr>
  </w:style>
  <w:style w:type="character" w:customStyle="1" w:styleId="a7">
    <w:name w:val="批注文字 字符"/>
    <w:link w:val="a6"/>
    <w:qFormat/>
    <w:rPr>
      <w:kern w:val="2"/>
      <w:sz w:val="21"/>
      <w:szCs w:val="22"/>
    </w:rPr>
  </w:style>
  <w:style w:type="character" w:customStyle="1" w:styleId="af0">
    <w:name w:val="批注主题 字符"/>
    <w:link w:val="af"/>
    <w:uiPriority w:val="99"/>
    <w:semiHidden/>
    <w:qFormat/>
    <w:rPr>
      <w:b/>
      <w:bCs/>
      <w:kern w:val="2"/>
      <w:sz w:val="21"/>
      <w:szCs w:val="22"/>
    </w:rPr>
  </w:style>
  <w:style w:type="character" w:customStyle="1" w:styleId="ac">
    <w:name w:val="页眉 字符"/>
    <w:link w:val="ab"/>
    <w:uiPriority w:val="99"/>
    <w:qFormat/>
    <w:rPr>
      <w:sz w:val="18"/>
      <w:szCs w:val="18"/>
    </w:rPr>
  </w:style>
  <w:style w:type="character" w:customStyle="1" w:styleId="ae">
    <w:name w:val="副标题 字符"/>
    <w:link w:val="ad"/>
    <w:qFormat/>
    <w:rPr>
      <w:rFonts w:ascii="Cambria" w:hAnsi="Cambria" w:cs="Times New Roman"/>
      <w:b/>
      <w:bCs/>
      <w:kern w:val="28"/>
      <w:sz w:val="32"/>
      <w:szCs w:val="32"/>
    </w:rPr>
  </w:style>
  <w:style w:type="character" w:customStyle="1" w:styleId="a5">
    <w:name w:val="文档结构图 字符"/>
    <w:link w:val="a4"/>
    <w:uiPriority w:val="99"/>
    <w:semiHidden/>
    <w:qFormat/>
    <w:rPr>
      <w:rFonts w:ascii="宋体"/>
      <w:kern w:val="2"/>
      <w:sz w:val="18"/>
      <w:szCs w:val="18"/>
    </w:rPr>
  </w:style>
  <w:style w:type="character" w:customStyle="1" w:styleId="aa">
    <w:name w:val="页脚 字符"/>
    <w:link w:val="a9"/>
    <w:uiPriority w:val="99"/>
    <w:qFormat/>
    <w:rPr>
      <w:sz w:val="18"/>
      <w:szCs w:val="1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40">
    <w:name w:val="标题 4 字符"/>
    <w:link w:val="4"/>
    <w:uiPriority w:val="9"/>
    <w:semiHidden/>
    <w:qFormat/>
    <w:rPr>
      <w:rFonts w:ascii="Cambria" w:eastAsia="宋体" w:hAnsi="Cambria" w:cs="Times New Roman"/>
      <w:b/>
      <w:bCs/>
      <w:kern w:val="2"/>
      <w:sz w:val="28"/>
      <w:szCs w:val="28"/>
    </w:rPr>
  </w:style>
  <w:style w:type="character" w:customStyle="1" w:styleId="10">
    <w:name w:val="标题 1 字符"/>
    <w:link w:val="1"/>
    <w:uiPriority w:val="9"/>
    <w:qFormat/>
    <w:rPr>
      <w:b/>
      <w:bCs/>
      <w:kern w:val="44"/>
      <w:sz w:val="28"/>
      <w:szCs w:val="44"/>
    </w:rPr>
  </w:style>
  <w:style w:type="paragraph" w:customStyle="1" w:styleId="12">
    <w:name w:val="修订1"/>
    <w:hidden/>
    <w:uiPriority w:val="99"/>
    <w:semiHidden/>
    <w:qFormat/>
    <w:rPr>
      <w:kern w:val="2"/>
      <w:sz w:val="21"/>
      <w:szCs w:val="22"/>
    </w:rPr>
  </w:style>
  <w:style w:type="character" w:styleId="af5">
    <w:name w:val="Placeholder Text"/>
    <w:basedOn w:val="a0"/>
    <w:uiPriority w:val="99"/>
    <w:semiHidden/>
    <w:qFormat/>
    <w:rPr>
      <w:color w:val="808080"/>
    </w:rPr>
  </w:style>
  <w:style w:type="paragraph" w:styleId="af6">
    <w:name w:val="List Paragraph"/>
    <w:basedOn w:val="a"/>
    <w:uiPriority w:val="99"/>
    <w:qFormat/>
    <w:pPr>
      <w:ind w:firstLineChars="200" w:firstLine="420"/>
    </w:pPr>
  </w:style>
  <w:style w:type="paragraph" w:customStyle="1" w:styleId="22">
    <w:name w:val="修订2"/>
    <w:hidden/>
    <w:uiPriority w:val="99"/>
    <w:semiHidden/>
    <w:qFormat/>
    <w:rPr>
      <w:kern w:val="2"/>
      <w:sz w:val="21"/>
      <w:szCs w:val="22"/>
    </w:rPr>
  </w:style>
  <w:style w:type="paragraph" w:styleId="af7">
    <w:name w:val="Revision"/>
    <w:hidden/>
    <w:uiPriority w:val="99"/>
    <w:semiHidden/>
    <w:rsid w:val="001707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index.com.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D732-5D34-4906-B437-2020DA19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130</Pages>
  <Words>14377</Words>
  <Characters>81950</Characters>
  <Application>Microsoft Office Word</Application>
  <DocSecurity>0</DocSecurity>
  <Lines>682</Lines>
  <Paragraphs>192</Paragraphs>
  <ScaleCrop>false</ScaleCrop>
  <Company>Microsoft</Company>
  <LinksUpToDate>false</LinksUpToDate>
  <CharactersWithSpaces>96135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36</cp:revision>
  <cp:lastPrinted>2025-05-21T02:56:00Z</cp:lastPrinted>
  <dcterms:created xsi:type="dcterms:W3CDTF">2025-05-21T02:55:00Z</dcterms:created>
  <dcterms:modified xsi:type="dcterms:W3CDTF">2025-10-10T03:29:00Z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679D47C5D59F46C5A09B1E259D659A37</vt:lpwstr>
  </property>
</Properties>
</file>