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000000" w:themeColor="text1"/>
          <w:sz w:val="28"/>
          <w14:textFill>
            <w14:solidFill>
              <w14:schemeClr w14:val="tx1"/>
            </w14:solidFill>
          </w14:textFill>
        </w:rPr>
      </w:pPr>
      <w:bookmarkStart w:id="59" w:name="_GoBack"/>
      <w:bookmarkEnd w:id="59"/>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rFonts w:ascii="宋体" w:hAnsi="宋体"/>
          <w:sz w:val="44"/>
        </w:rPr>
      </w:pPr>
      <w:r>
        <w:rPr>
          <w:rFonts w:ascii="宋体" w:hAnsi="宋体"/>
          <w:sz w:val="44"/>
        </w:rPr>
        <w:drawing>
          <wp:inline distT="0" distB="0" distL="114300" distR="114300">
            <wp:extent cx="4343400" cy="571500"/>
            <wp:effectExtent l="0" t="0" r="0" b="762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pic:cNvPicPr>
                  </pic:nvPicPr>
                  <pic:blipFill>
                    <a:blip r:embed="rId8"/>
                    <a:stretch>
                      <a:fillRect/>
                    </a:stretch>
                  </pic:blipFill>
                  <pic:spPr>
                    <a:xfrm>
                      <a:off x="0" y="0"/>
                      <a:ext cx="4343400" cy="571500"/>
                    </a:xfrm>
                    <a:prstGeom prst="rect">
                      <a:avLst/>
                    </a:prstGeom>
                    <a:noFill/>
                    <a:ln>
                      <a:noFill/>
                    </a:ln>
                  </pic:spPr>
                </pic:pic>
              </a:graphicData>
            </a:graphic>
          </wp:inline>
        </w:drawing>
      </w:r>
    </w:p>
    <w:p>
      <w:pPr>
        <w:spacing w:line="360" w:lineRule="auto"/>
        <w:jc w:val="center"/>
        <w:rPr>
          <w:b/>
          <w:color w:val="000000" w:themeColor="text1"/>
          <w:sz w:val="44"/>
          <w:szCs w:val="44"/>
          <w:highlight w:val="yellow"/>
          <w14:textFill>
            <w14:solidFill>
              <w14:schemeClr w14:val="tx1"/>
            </w14:solidFill>
          </w14:textFill>
        </w:rPr>
      </w:pPr>
    </w:p>
    <w:p>
      <w:pPr>
        <w:spacing w:line="360" w:lineRule="auto"/>
        <w:jc w:val="center"/>
        <w:rPr>
          <w:b/>
          <w:color w:val="000000" w:themeColor="text1"/>
          <w:sz w:val="44"/>
          <w:szCs w:val="44"/>
          <w:highlight w:val="yellow"/>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交银施罗德港股通优质精选混合型</w:t>
      </w:r>
    </w:p>
    <w:p>
      <w:pPr>
        <w:spacing w:line="360" w:lineRule="auto"/>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证券投资基金</w:t>
      </w:r>
    </w:p>
    <w:p>
      <w:pPr>
        <w:spacing w:line="360" w:lineRule="auto"/>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托管协议</w:t>
      </w: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jc w:val="center"/>
        <w:rPr>
          <w:color w:val="000000" w:themeColor="text1"/>
          <w:sz w:val="28"/>
          <w14:textFill>
            <w14:solidFill>
              <w14:schemeClr w14:val="tx1"/>
            </w14:solidFill>
          </w14:textFill>
        </w:rPr>
      </w:pPr>
    </w:p>
    <w:p>
      <w:pPr>
        <w:spacing w:line="360" w:lineRule="auto"/>
        <w:ind w:firstLine="1960" w:firstLineChars="7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基金管理人：交银施罗德基金管理有限公司</w:t>
      </w:r>
    </w:p>
    <w:p>
      <w:pPr>
        <w:spacing w:line="360" w:lineRule="auto"/>
        <w:ind w:firstLine="1960" w:firstLineChars="7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基金托管人：中信证券股份有限公司</w:t>
      </w:r>
    </w:p>
    <w:p>
      <w:pPr>
        <w:spacing w:line="360" w:lineRule="auto"/>
        <w:ind w:firstLine="1960" w:firstLineChars="700"/>
        <w:jc w:val="center"/>
        <w:rPr>
          <w:color w:val="000000" w:themeColor="text1"/>
          <w:sz w:val="28"/>
          <w14:textFill>
            <w14:solidFill>
              <w14:schemeClr w14:val="tx1"/>
            </w14:solidFill>
          </w14:textFill>
        </w:rPr>
      </w:pPr>
    </w:p>
    <w:p>
      <w:pPr>
        <w:spacing w:line="360" w:lineRule="auto"/>
        <w:ind w:firstLine="3640" w:firstLineChars="1300"/>
        <w:rPr>
          <w:color w:val="000000" w:themeColor="text1"/>
          <w:sz w:val="28"/>
          <w14:textFill>
            <w14:solidFill>
              <w14:schemeClr w14:val="tx1"/>
            </w14:solidFill>
          </w14:textFill>
        </w:rPr>
        <w:sectPr>
          <w:footerReference r:id="rId3" w:type="default"/>
          <w:pgSz w:w="11906" w:h="16838"/>
          <w:pgMar w:top="1440" w:right="1797" w:bottom="1440" w:left="1797" w:header="851" w:footer="992" w:gutter="0"/>
          <w:cols w:space="425" w:num="1"/>
          <w:docGrid w:type="lines" w:linePitch="312" w:charSpace="0"/>
        </w:sectPr>
      </w:pPr>
      <w:r>
        <w:rPr>
          <w:rFonts w:hint="eastAsia"/>
          <w:color w:val="000000" w:themeColor="text1"/>
          <w:sz w:val="28"/>
          <w14:textFill>
            <w14:solidFill>
              <w14:schemeClr w14:val="tx1"/>
            </w14:solidFill>
          </w14:textFill>
        </w:rPr>
        <w:t>二〇二五年</w:t>
      </w:r>
      <w:r>
        <w:rPr>
          <w:rFonts w:hint="eastAsia"/>
          <w:color w:val="000000" w:themeColor="text1"/>
          <w:sz w:val="28"/>
          <w:lang w:val="en-US" w:eastAsia="zh-CN"/>
          <w14:textFill>
            <w14:solidFill>
              <w14:schemeClr w14:val="tx1"/>
            </w14:solidFill>
          </w14:textFill>
        </w:rPr>
        <w:t>八</w:t>
      </w:r>
      <w:r>
        <w:rPr>
          <w:rFonts w:hint="eastAsia"/>
          <w:color w:val="000000" w:themeColor="text1"/>
          <w:sz w:val="28"/>
          <w14:textFill>
            <w14:solidFill>
              <w14:schemeClr w14:val="tx1"/>
            </w14:solidFill>
          </w14:textFill>
        </w:rPr>
        <w:t>月</w:t>
      </w:r>
    </w:p>
    <w:p>
      <w:pPr>
        <w:spacing w:line="360" w:lineRule="auto"/>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目录</w:t>
      </w:r>
    </w:p>
    <w:p>
      <w:pPr>
        <w:spacing w:line="360" w:lineRule="auto"/>
        <w:jc w:val="center"/>
        <w:rPr>
          <w:b/>
          <w:bCs/>
          <w:color w:val="000000" w:themeColor="text1"/>
          <w:sz w:val="24"/>
          <w14:textFill>
            <w14:solidFill>
              <w14:schemeClr w14:val="tx1"/>
            </w14:solidFill>
          </w14:textFill>
        </w:rPr>
      </w:pPr>
    </w:p>
    <w:p>
      <w:pPr>
        <w:pStyle w:val="9"/>
        <w:rPr>
          <w:rFonts w:asciiTheme="minorHAnsi" w:hAnsiTheme="minorHAnsi" w:eastAsiaTheme="minorEastAsia" w:cstheme="minorBidi"/>
          <w:caps w:val="0"/>
          <w:szCs w:val="22"/>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TOC \o "1-3" \h \z </w:instrText>
      </w:r>
      <w:r>
        <w:rPr>
          <w:b/>
          <w:bCs/>
          <w:color w:val="000000" w:themeColor="text1"/>
          <w14:textFill>
            <w14:solidFill>
              <w14:schemeClr w14:val="tx1"/>
            </w14:solidFill>
          </w14:textFill>
        </w:rPr>
        <w:fldChar w:fldCharType="separate"/>
      </w:r>
      <w:r>
        <w:fldChar w:fldCharType="begin"/>
      </w:r>
      <w:r>
        <w:instrText xml:space="preserve"> HYPERLINK \l "_Toc881131" </w:instrText>
      </w:r>
      <w:r>
        <w:fldChar w:fldCharType="separate"/>
      </w:r>
      <w:r>
        <w:rPr>
          <w:rStyle w:val="13"/>
          <w:rFonts w:hint="eastAsia" w:ascii="宋体"/>
          <w:kern w:val="0"/>
        </w:rPr>
        <w:t>一、</w:t>
      </w:r>
      <w:r>
        <w:rPr>
          <w:rFonts w:asciiTheme="minorHAnsi" w:hAnsiTheme="minorHAnsi" w:eastAsiaTheme="minorEastAsia" w:cstheme="minorBidi"/>
          <w:caps w:val="0"/>
          <w:szCs w:val="22"/>
        </w:rPr>
        <w:tab/>
      </w:r>
      <w:r>
        <w:rPr>
          <w:rStyle w:val="13"/>
          <w:rFonts w:hint="eastAsia" w:ascii="宋体"/>
          <w:kern w:val="0"/>
        </w:rPr>
        <w:t>托管协议当事人</w:t>
      </w:r>
      <w:r>
        <w:tab/>
      </w:r>
      <w:r>
        <w:fldChar w:fldCharType="begin"/>
      </w:r>
      <w:r>
        <w:instrText xml:space="preserve"> PAGEREF _Toc881131 \h </w:instrText>
      </w:r>
      <w:r>
        <w:fldChar w:fldCharType="separate"/>
      </w:r>
      <w:r>
        <w:t>1</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"_Toc881132" </w:instrText>
      </w:r>
      <w:r>
        <w:fldChar w:fldCharType="separate"/>
      </w:r>
      <w:r>
        <w:rPr>
          <w:rStyle w:val="13"/>
          <w:rFonts w:hint="eastAsia" w:ascii="宋体"/>
          <w:kern w:val="0"/>
        </w:rPr>
        <w:t>二、</w:t>
      </w:r>
      <w:r>
        <w:rPr>
          <w:rFonts w:asciiTheme="minorHAnsi" w:hAnsiTheme="minorHAnsi" w:eastAsiaTheme="minorEastAsia" w:cstheme="minorBidi"/>
          <w:caps w:val="0"/>
          <w:szCs w:val="22"/>
        </w:rPr>
        <w:tab/>
      </w:r>
      <w:r>
        <w:rPr>
          <w:rStyle w:val="13"/>
          <w:rFonts w:hint="eastAsia" w:ascii="宋体"/>
          <w:kern w:val="0"/>
        </w:rPr>
        <w:t>托管协议的依据、目的、原则和解释</w:t>
      </w:r>
      <w:r>
        <w:tab/>
      </w:r>
      <w:r>
        <w:fldChar w:fldCharType="begin"/>
      </w:r>
      <w:r>
        <w:instrText xml:space="preserve"> PAGEREF _Toc881132 \h </w:instrText>
      </w:r>
      <w:r>
        <w:fldChar w:fldCharType="separate"/>
      </w:r>
      <w:r>
        <w:t>2</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"_Toc881133" </w:instrText>
      </w:r>
      <w:r>
        <w:fldChar w:fldCharType="separate"/>
      </w:r>
      <w:r>
        <w:rPr>
          <w:rStyle w:val="13"/>
          <w:rFonts w:hint="eastAsia" w:ascii="宋体"/>
          <w:kern w:val="0"/>
        </w:rPr>
        <w:t>三、</w:t>
      </w:r>
      <w:r>
        <w:rPr>
          <w:rFonts w:asciiTheme="minorHAnsi" w:hAnsiTheme="minorHAnsi" w:eastAsiaTheme="minorEastAsia" w:cstheme="minorBidi"/>
          <w:caps w:val="0"/>
          <w:szCs w:val="22"/>
        </w:rPr>
        <w:tab/>
      </w:r>
      <w:r>
        <w:rPr>
          <w:rStyle w:val="13"/>
          <w:rFonts w:hint="eastAsia" w:ascii="宋体"/>
          <w:kern w:val="0"/>
        </w:rPr>
        <w:t>基金托管人对基金管理人的业务监督和核查</w:t>
      </w:r>
      <w:r>
        <w:tab/>
      </w:r>
      <w:r>
        <w:fldChar w:fldCharType="begin"/>
      </w:r>
      <w:r>
        <w:instrText xml:space="preserve"> PAGEREF _Toc881133 \h </w:instrText>
      </w:r>
      <w:r>
        <w:fldChar w:fldCharType="separate"/>
      </w:r>
      <w:r>
        <w:t>3</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"_Toc881134" </w:instrText>
      </w:r>
      <w:r>
        <w:fldChar w:fldCharType="separate"/>
      </w:r>
      <w:r>
        <w:rPr>
          <w:rStyle w:val="13"/>
          <w:rFonts w:hint="eastAsia" w:ascii="宋体" w:hAnsi="Calibri" w:cs="宋体"/>
          <w:kern w:val="0"/>
        </w:rPr>
        <w:t>四、</w:t>
      </w:r>
      <w:r>
        <w:rPr>
          <w:rFonts w:asciiTheme="minorHAnsi" w:hAnsiTheme="minorHAnsi" w:eastAsiaTheme="minorEastAsia" w:cstheme="minorBidi"/>
          <w:caps w:val="0"/>
          <w:szCs w:val="22"/>
        </w:rPr>
        <w:tab/>
      </w:r>
      <w:r>
        <w:rPr>
          <w:rStyle w:val="13"/>
          <w:rFonts w:hint="eastAsia" w:ascii="宋体" w:hAnsi="Calibri" w:cs="宋体"/>
          <w:kern w:val="0"/>
        </w:rPr>
        <w:t>基金管理人对基金托管人的业务核查</w:t>
      </w:r>
      <w:r>
        <w:tab/>
      </w:r>
      <w:r>
        <w:fldChar w:fldCharType="begin"/>
      </w:r>
      <w:r>
        <w:instrText xml:space="preserve"> PAGEREF _Toc881134 \h </w:instrText>
      </w:r>
      <w:r>
        <w:fldChar w:fldCharType="separate"/>
      </w:r>
      <w:r>
        <w:t>9</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"_Toc881135" </w:instrText>
      </w:r>
      <w:r>
        <w:fldChar w:fldCharType="separate"/>
      </w:r>
      <w:r>
        <w:rPr>
          <w:rStyle w:val="13"/>
          <w:rFonts w:hint="eastAsia" w:ascii="宋体" w:hAnsi="Calibri" w:cs="宋体"/>
          <w:kern w:val="0"/>
        </w:rPr>
        <w:t>五、</w:t>
      </w:r>
      <w:r>
        <w:rPr>
          <w:rFonts w:asciiTheme="minorHAnsi" w:hAnsiTheme="minorHAnsi" w:eastAsiaTheme="minorEastAsia" w:cstheme="minorBidi"/>
          <w:caps w:val="0"/>
          <w:szCs w:val="22"/>
        </w:rPr>
        <w:tab/>
      </w:r>
      <w:r>
        <w:rPr>
          <w:rStyle w:val="13"/>
          <w:rFonts w:hint="eastAsia" w:ascii="宋体" w:hAnsi="Calibri" w:cs="宋体"/>
          <w:kern w:val="0"/>
        </w:rPr>
        <w:t>基金财产保管</w:t>
      </w:r>
      <w:r>
        <w:tab/>
      </w:r>
      <w:r>
        <w:fldChar w:fldCharType="begin"/>
      </w:r>
      <w:r>
        <w:instrText xml:space="preserve"> PAGEREF _Toc881135 \h </w:instrText>
      </w:r>
      <w:r>
        <w:fldChar w:fldCharType="separate"/>
      </w:r>
      <w:r>
        <w:t>9</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"_Toc881136" </w:instrText>
      </w:r>
      <w:r>
        <w:fldChar w:fldCharType="separate"/>
      </w:r>
      <w:r>
        <w:rPr>
          <w:rStyle w:val="13"/>
          <w:rFonts w:hint="eastAsia" w:ascii="宋体"/>
          <w:kern w:val="0"/>
        </w:rPr>
        <w:t>六、</w:t>
      </w:r>
      <w:r>
        <w:rPr>
          <w:rFonts w:asciiTheme="minorHAnsi" w:hAnsiTheme="minorHAnsi" w:eastAsiaTheme="minorEastAsia" w:cstheme="minorBidi"/>
          <w:caps w:val="0"/>
          <w:szCs w:val="22"/>
        </w:rPr>
        <w:tab/>
      </w:r>
      <w:r>
        <w:rPr>
          <w:rStyle w:val="13"/>
          <w:rFonts w:hint="eastAsia" w:ascii="宋体"/>
          <w:kern w:val="0"/>
        </w:rPr>
        <w:t>指令的发送、确认及执行</w:t>
      </w:r>
      <w:r>
        <w:tab/>
      </w:r>
      <w:r>
        <w:fldChar w:fldCharType="begin"/>
      </w:r>
      <w:r>
        <w:instrText xml:space="preserve"> PAGEREF _Toc881136 \h </w:instrText>
      </w:r>
      <w:r>
        <w:fldChar w:fldCharType="separate"/>
      </w:r>
      <w:r>
        <w:t>13</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"_Toc881137" </w:instrText>
      </w:r>
      <w:r>
        <w:fldChar w:fldCharType="separate"/>
      </w:r>
      <w:r>
        <w:rPr>
          <w:rStyle w:val="13"/>
          <w:rFonts w:hint="eastAsia" w:ascii="宋体"/>
          <w:kern w:val="0"/>
        </w:rPr>
        <w:t>七、</w:t>
      </w:r>
      <w:r>
        <w:rPr>
          <w:rFonts w:asciiTheme="minorHAnsi" w:hAnsiTheme="minorHAnsi" w:eastAsiaTheme="minorEastAsia" w:cstheme="minorBidi"/>
          <w:caps w:val="0"/>
          <w:szCs w:val="22"/>
        </w:rPr>
        <w:tab/>
      </w:r>
      <w:r>
        <w:rPr>
          <w:rStyle w:val="13"/>
          <w:rFonts w:hint="eastAsia" w:ascii="宋体"/>
          <w:kern w:val="0"/>
        </w:rPr>
        <w:t>交易及清算交收安排</w:t>
      </w:r>
      <w:r>
        <w:tab/>
      </w:r>
      <w:r>
        <w:fldChar w:fldCharType="begin"/>
      </w:r>
      <w:r>
        <w:instrText xml:space="preserve"> PAGEREF _Toc881137 \h </w:instrText>
      </w:r>
      <w:r>
        <w:fldChar w:fldCharType="separate"/>
      </w:r>
      <w:r>
        <w:t>16</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"_Toc881138" </w:instrText>
      </w:r>
      <w:r>
        <w:fldChar w:fldCharType="separate"/>
      </w:r>
      <w:r>
        <w:rPr>
          <w:rStyle w:val="13"/>
          <w:rFonts w:hint="eastAsia" w:ascii="宋体"/>
          <w:kern w:val="0"/>
        </w:rPr>
        <w:t>八、</w:t>
      </w:r>
      <w:r>
        <w:rPr>
          <w:rFonts w:asciiTheme="minorHAnsi" w:hAnsiTheme="minorHAnsi" w:eastAsiaTheme="minorEastAsia" w:cstheme="minorBidi"/>
          <w:caps w:val="0"/>
          <w:szCs w:val="22"/>
        </w:rPr>
        <w:tab/>
      </w:r>
      <w:r>
        <w:rPr>
          <w:rStyle w:val="13"/>
          <w:rFonts w:hint="eastAsia" w:ascii="宋体"/>
          <w:kern w:val="0"/>
        </w:rPr>
        <w:t>基金资产净值计算和会计核算</w:t>
      </w:r>
      <w:r>
        <w:tab/>
      </w:r>
      <w:r>
        <w:fldChar w:fldCharType="begin"/>
      </w:r>
      <w:r>
        <w:instrText xml:space="preserve"> PAGEREF _Toc881138 \h </w:instrText>
      </w:r>
      <w:r>
        <w:fldChar w:fldCharType="separate"/>
      </w:r>
      <w:r>
        <w:t>18</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"_Toc881139" </w:instrText>
      </w:r>
      <w:r>
        <w:fldChar w:fldCharType="separate"/>
      </w:r>
      <w:r>
        <w:rPr>
          <w:rStyle w:val="13"/>
          <w:rFonts w:hint="eastAsia"/>
        </w:rPr>
        <w:t>九、</w:t>
      </w:r>
      <w:r>
        <w:rPr>
          <w:rFonts w:asciiTheme="minorHAnsi" w:hAnsiTheme="minorHAnsi" w:eastAsiaTheme="minorEastAsia" w:cstheme="minorBidi"/>
          <w:caps w:val="0"/>
          <w:szCs w:val="22"/>
        </w:rPr>
        <w:tab/>
      </w:r>
      <w:r>
        <w:rPr>
          <w:rStyle w:val="13"/>
          <w:rFonts w:hint="eastAsia"/>
        </w:rPr>
        <w:t>基金收益分配</w:t>
      </w:r>
      <w:r>
        <w:tab/>
      </w:r>
      <w:r>
        <w:fldChar w:fldCharType="begin"/>
      </w:r>
      <w:r>
        <w:instrText xml:space="preserve"> PAGEREF _Toc881139 \h </w:instrText>
      </w:r>
      <w:r>
        <w:fldChar w:fldCharType="separate"/>
      </w:r>
      <w:r>
        <w:t>24</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"_Toc881140" </w:instrText>
      </w:r>
      <w:r>
        <w:fldChar w:fldCharType="separate"/>
      </w:r>
      <w:r>
        <w:rPr>
          <w:rStyle w:val="13"/>
          <w:rFonts w:hint="eastAsia"/>
        </w:rPr>
        <w:t>十、</w:t>
      </w:r>
      <w:r>
        <w:rPr>
          <w:rFonts w:asciiTheme="minorHAnsi" w:hAnsiTheme="minorHAnsi" w:eastAsiaTheme="minorEastAsia" w:cstheme="minorBidi"/>
          <w:caps w:val="0"/>
          <w:szCs w:val="22"/>
        </w:rPr>
        <w:tab/>
      </w:r>
      <w:r>
        <w:rPr>
          <w:rStyle w:val="13"/>
          <w:rFonts w:hint="eastAsia"/>
        </w:rPr>
        <w:t>基金信息披露</w:t>
      </w:r>
      <w:r>
        <w:tab/>
      </w:r>
      <w:r>
        <w:fldChar w:fldCharType="begin"/>
      </w:r>
      <w:r>
        <w:instrText xml:space="preserve"> PAGEREF _Toc881140 \h </w:instrText>
      </w:r>
      <w:r>
        <w:fldChar w:fldCharType="separate"/>
      </w:r>
      <w:r>
        <w:t>26</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"_Toc881141" </w:instrText>
      </w:r>
      <w:r>
        <w:fldChar w:fldCharType="separate"/>
      </w:r>
      <w:r>
        <w:rPr>
          <w:rStyle w:val="13"/>
          <w:rFonts w:hint="eastAsia"/>
        </w:rPr>
        <w:t>十一、</w:t>
      </w:r>
      <w:r>
        <w:rPr>
          <w:rFonts w:asciiTheme="minorHAnsi" w:hAnsiTheme="minorHAnsi" w:eastAsiaTheme="minorEastAsia" w:cstheme="minorBidi"/>
          <w:caps w:val="0"/>
          <w:szCs w:val="22"/>
        </w:rPr>
        <w:tab/>
      </w:r>
      <w:r>
        <w:rPr>
          <w:rStyle w:val="13"/>
          <w:rFonts w:hint="eastAsia"/>
        </w:rPr>
        <w:t>基金费用</w:t>
      </w:r>
      <w:r>
        <w:tab/>
      </w:r>
      <w:r>
        <w:fldChar w:fldCharType="begin"/>
      </w:r>
      <w:r>
        <w:instrText xml:space="preserve"> PAGEREF _Toc881141 \h </w:instrText>
      </w:r>
      <w:r>
        <w:fldChar w:fldCharType="separate"/>
      </w:r>
      <w:r>
        <w:t>28</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"_Toc881142" </w:instrText>
      </w:r>
      <w:r>
        <w:fldChar w:fldCharType="separate"/>
      </w:r>
      <w:r>
        <w:rPr>
          <w:rStyle w:val="13"/>
          <w:rFonts w:hint="eastAsia"/>
        </w:rPr>
        <w:t>十二、</w:t>
      </w:r>
      <w:r>
        <w:rPr>
          <w:rFonts w:asciiTheme="minorHAnsi" w:hAnsiTheme="minorHAnsi" w:eastAsiaTheme="minorEastAsia" w:cstheme="minorBidi"/>
          <w:caps w:val="0"/>
          <w:szCs w:val="22"/>
        </w:rPr>
        <w:tab/>
      </w:r>
      <w:r>
        <w:rPr>
          <w:rStyle w:val="13"/>
          <w:rFonts w:hint="eastAsia"/>
        </w:rPr>
        <w:t>基金份额持有人名册的保管</w:t>
      </w:r>
      <w:r>
        <w:tab/>
      </w:r>
      <w:r>
        <w:fldChar w:fldCharType="begin"/>
      </w:r>
      <w:r>
        <w:instrText xml:space="preserve"> PAGEREF _Toc881142 \h </w:instrText>
      </w:r>
      <w:r>
        <w:fldChar w:fldCharType="separate"/>
      </w:r>
      <w:r>
        <w:t>29</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"_Toc881143" </w:instrText>
      </w:r>
      <w:r>
        <w:fldChar w:fldCharType="separate"/>
      </w:r>
      <w:r>
        <w:rPr>
          <w:rStyle w:val="13"/>
          <w:rFonts w:hint="eastAsia"/>
        </w:rPr>
        <w:t>十三、</w:t>
      </w:r>
      <w:r>
        <w:rPr>
          <w:rFonts w:asciiTheme="minorHAnsi" w:hAnsiTheme="minorHAnsi" w:eastAsiaTheme="minorEastAsia" w:cstheme="minorBidi"/>
          <w:caps w:val="0"/>
          <w:szCs w:val="22"/>
        </w:rPr>
        <w:tab/>
      </w:r>
      <w:r>
        <w:rPr>
          <w:rStyle w:val="13"/>
          <w:rFonts w:hint="eastAsia"/>
        </w:rPr>
        <w:t>基金有关文件档案的保存</w:t>
      </w:r>
      <w:r>
        <w:tab/>
      </w:r>
      <w:r>
        <w:fldChar w:fldCharType="begin"/>
      </w:r>
      <w:r>
        <w:instrText xml:space="preserve"> PAGEREF _Toc881143 \h </w:instrText>
      </w:r>
      <w:r>
        <w:fldChar w:fldCharType="separate"/>
      </w:r>
      <w:r>
        <w:t>30</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"_Toc881144" </w:instrText>
      </w:r>
      <w:r>
        <w:fldChar w:fldCharType="separate"/>
      </w:r>
      <w:r>
        <w:rPr>
          <w:rStyle w:val="13"/>
          <w:rFonts w:hint="eastAsia"/>
        </w:rPr>
        <w:t>十四、</w:t>
      </w:r>
      <w:r>
        <w:rPr>
          <w:rFonts w:asciiTheme="minorHAnsi" w:hAnsiTheme="minorHAnsi" w:eastAsiaTheme="minorEastAsia" w:cstheme="minorBidi"/>
          <w:caps w:val="0"/>
          <w:szCs w:val="22"/>
        </w:rPr>
        <w:tab/>
      </w:r>
      <w:r>
        <w:rPr>
          <w:rStyle w:val="13"/>
          <w:rFonts w:hint="eastAsia"/>
        </w:rPr>
        <w:t>基金托管人和基金管理人的更换</w:t>
      </w:r>
      <w:r>
        <w:tab/>
      </w:r>
      <w:r>
        <w:fldChar w:fldCharType="begin"/>
      </w:r>
      <w:r>
        <w:instrText xml:space="preserve"> PAGEREF _Toc881144 \h </w:instrText>
      </w:r>
      <w:r>
        <w:fldChar w:fldCharType="separate"/>
      </w:r>
      <w:r>
        <w:t>31</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"_Toc881145" </w:instrText>
      </w:r>
      <w:r>
        <w:fldChar w:fldCharType="separate"/>
      </w:r>
      <w:r>
        <w:rPr>
          <w:rStyle w:val="13"/>
          <w:rFonts w:hint="eastAsia"/>
        </w:rPr>
        <w:t>十五、</w:t>
      </w:r>
      <w:r>
        <w:rPr>
          <w:rFonts w:asciiTheme="minorHAnsi" w:hAnsiTheme="minorHAnsi" w:eastAsiaTheme="minorEastAsia" w:cstheme="minorBidi"/>
          <w:caps w:val="0"/>
          <w:szCs w:val="22"/>
        </w:rPr>
        <w:tab/>
      </w:r>
      <w:r>
        <w:rPr>
          <w:rStyle w:val="13"/>
          <w:rFonts w:hint="eastAsia"/>
        </w:rPr>
        <w:t>禁止行为</w:t>
      </w:r>
      <w:r>
        <w:tab/>
      </w:r>
      <w:r>
        <w:fldChar w:fldCharType="begin"/>
      </w:r>
      <w:r>
        <w:instrText xml:space="preserve"> PAGEREF _Toc881145 \h </w:instrText>
      </w:r>
      <w:r>
        <w:fldChar w:fldCharType="separate"/>
      </w:r>
      <w:r>
        <w:t>33</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"_Toc881146" </w:instrText>
      </w:r>
      <w:r>
        <w:fldChar w:fldCharType="separate"/>
      </w:r>
      <w:r>
        <w:rPr>
          <w:rStyle w:val="13"/>
          <w:rFonts w:hint="eastAsia"/>
        </w:rPr>
        <w:t>十六、</w:t>
      </w:r>
      <w:r>
        <w:rPr>
          <w:rFonts w:asciiTheme="minorHAnsi" w:hAnsiTheme="minorHAnsi" w:eastAsiaTheme="minorEastAsia" w:cstheme="minorBidi"/>
          <w:caps w:val="0"/>
          <w:szCs w:val="22"/>
        </w:rPr>
        <w:tab/>
      </w:r>
      <w:r>
        <w:rPr>
          <w:rStyle w:val="13"/>
          <w:rFonts w:hint="eastAsia"/>
        </w:rPr>
        <w:t>托管协议的变更、终止与基金财产的清算</w:t>
      </w:r>
      <w:r>
        <w:tab/>
      </w:r>
      <w:r>
        <w:fldChar w:fldCharType="begin"/>
      </w:r>
      <w:r>
        <w:instrText xml:space="preserve"> PAGEREF _Toc881146 \h </w:instrText>
      </w:r>
      <w:r>
        <w:fldChar w:fldCharType="separate"/>
      </w:r>
      <w:r>
        <w:t>34</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"_Toc881147" </w:instrText>
      </w:r>
      <w:r>
        <w:fldChar w:fldCharType="separate"/>
      </w:r>
      <w:r>
        <w:rPr>
          <w:rStyle w:val="13"/>
          <w:rFonts w:hint="eastAsia"/>
        </w:rPr>
        <w:t>十七、</w:t>
      </w:r>
      <w:r>
        <w:rPr>
          <w:rFonts w:asciiTheme="minorHAnsi" w:hAnsiTheme="minorHAnsi" w:eastAsiaTheme="minorEastAsia" w:cstheme="minorBidi"/>
          <w:caps w:val="0"/>
          <w:szCs w:val="22"/>
        </w:rPr>
        <w:tab/>
      </w:r>
      <w:r>
        <w:rPr>
          <w:rStyle w:val="13"/>
          <w:rFonts w:hint="eastAsia"/>
        </w:rPr>
        <w:t>违约责任和责任划分</w:t>
      </w:r>
      <w:r>
        <w:tab/>
      </w:r>
      <w:r>
        <w:fldChar w:fldCharType="begin"/>
      </w:r>
      <w:r>
        <w:instrText xml:space="preserve"> PAGEREF _Toc881147 \h </w:instrText>
      </w:r>
      <w:r>
        <w:fldChar w:fldCharType="separate"/>
      </w:r>
      <w:r>
        <w:t>35</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"_Toc881148" </w:instrText>
      </w:r>
      <w:r>
        <w:fldChar w:fldCharType="separate"/>
      </w:r>
      <w:r>
        <w:rPr>
          <w:rStyle w:val="13"/>
          <w:rFonts w:hint="eastAsia"/>
        </w:rPr>
        <w:t>十八、</w:t>
      </w:r>
      <w:r>
        <w:rPr>
          <w:rFonts w:asciiTheme="minorHAnsi" w:hAnsiTheme="minorHAnsi" w:eastAsiaTheme="minorEastAsia" w:cstheme="minorBidi"/>
          <w:caps w:val="0"/>
          <w:szCs w:val="22"/>
        </w:rPr>
        <w:tab/>
      </w:r>
      <w:r>
        <w:rPr>
          <w:rStyle w:val="13"/>
          <w:rFonts w:hint="eastAsia"/>
        </w:rPr>
        <w:t>适用法律与争议解决方式</w:t>
      </w:r>
      <w:r>
        <w:tab/>
      </w:r>
      <w:r>
        <w:fldChar w:fldCharType="begin"/>
      </w:r>
      <w:r>
        <w:instrText xml:space="preserve"> PAGEREF _Toc881148 \h </w:instrText>
      </w:r>
      <w:r>
        <w:fldChar w:fldCharType="separate"/>
      </w:r>
      <w:r>
        <w:t>36</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"_Toc881149" </w:instrText>
      </w:r>
      <w:r>
        <w:fldChar w:fldCharType="separate"/>
      </w:r>
      <w:r>
        <w:rPr>
          <w:rStyle w:val="13"/>
          <w:rFonts w:hint="eastAsia"/>
        </w:rPr>
        <w:t>十九、</w:t>
      </w:r>
      <w:r>
        <w:rPr>
          <w:rFonts w:asciiTheme="minorHAnsi" w:hAnsiTheme="minorHAnsi" w:eastAsiaTheme="minorEastAsia" w:cstheme="minorBidi"/>
          <w:caps w:val="0"/>
          <w:szCs w:val="22"/>
        </w:rPr>
        <w:tab/>
      </w:r>
      <w:r>
        <w:rPr>
          <w:rStyle w:val="13"/>
          <w:rFonts w:hint="eastAsia"/>
        </w:rPr>
        <w:t>托管协议的效力</w:t>
      </w:r>
      <w:r>
        <w:tab/>
      </w:r>
      <w:r>
        <w:fldChar w:fldCharType="begin"/>
      </w:r>
      <w:r>
        <w:instrText xml:space="preserve"> PAGEREF _Toc881149 \h </w:instrText>
      </w:r>
      <w:r>
        <w:fldChar w:fldCharType="separate"/>
      </w:r>
      <w:r>
        <w:t>37</w:t>
      </w:r>
      <w:r>
        <w:fldChar w:fldCharType="end"/>
      </w:r>
      <w:r>
        <w:fldChar w:fldCharType="end"/>
      </w:r>
    </w:p>
    <w:p>
      <w:pPr>
        <w:pStyle w:val="9"/>
        <w:rPr>
          <w:rFonts w:asciiTheme="minorHAnsi" w:hAnsiTheme="minorHAnsi" w:eastAsiaTheme="minorEastAsia" w:cstheme="minorBidi"/>
          <w:caps w:val="0"/>
          <w:szCs w:val="22"/>
        </w:rPr>
      </w:pPr>
      <w:r>
        <w:fldChar w:fldCharType="begin"/>
      </w:r>
      <w:r>
        <w:instrText xml:space="preserve"> HYPERLINK \l "_Toc881150" </w:instrText>
      </w:r>
      <w:r>
        <w:fldChar w:fldCharType="separate"/>
      </w:r>
      <w:r>
        <w:rPr>
          <w:rStyle w:val="13"/>
          <w:rFonts w:hint="eastAsia"/>
        </w:rPr>
        <w:t>二十、</w:t>
      </w:r>
      <w:r>
        <w:rPr>
          <w:rFonts w:asciiTheme="minorHAnsi" w:hAnsiTheme="minorHAnsi" w:eastAsiaTheme="minorEastAsia" w:cstheme="minorBidi"/>
          <w:caps w:val="0"/>
          <w:szCs w:val="22"/>
        </w:rPr>
        <w:tab/>
      </w:r>
      <w:r>
        <w:rPr>
          <w:rStyle w:val="13"/>
          <w:rFonts w:hint="eastAsia"/>
        </w:rPr>
        <w:t>托管协议的签订</w:t>
      </w:r>
      <w:r>
        <w:tab/>
      </w:r>
      <w:r>
        <w:fldChar w:fldCharType="begin"/>
      </w:r>
      <w:r>
        <w:instrText xml:space="preserve"> PAGEREF _Toc881150 \h </w:instrText>
      </w:r>
      <w:r>
        <w:fldChar w:fldCharType="separate"/>
      </w:r>
      <w:r>
        <w:t>37</w:t>
      </w:r>
      <w:r>
        <w:fldChar w:fldCharType="end"/>
      </w:r>
      <w:r>
        <w:fldChar w:fldCharType="end"/>
      </w:r>
    </w:p>
    <w:p>
      <w:pPr>
        <w:spacing w:line="360" w:lineRule="auto"/>
        <w:ind w:firstLine="1890" w:firstLineChars="900"/>
        <w:jc w:val="left"/>
        <w:rPr>
          <w:color w:val="000000" w:themeColor="text1"/>
          <w:sz w:val="28"/>
          <w14:textFill>
            <w14:solidFill>
              <w14:schemeClr w14:val="tx1"/>
            </w14:solidFill>
          </w14:textFill>
        </w:rPr>
      </w:pPr>
      <w:r>
        <w:rPr>
          <w:color w:val="000000" w:themeColor="text1"/>
          <w14:textFill>
            <w14:solidFill>
              <w14:schemeClr w14:val="tx1"/>
            </w14:solidFill>
          </w14:textFill>
        </w:rPr>
        <w:fldChar w:fldCharType="end"/>
      </w:r>
    </w:p>
    <w:p>
      <w:pPr>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sectPr>
          <w:headerReference r:id="rId4" w:type="default"/>
          <w:pgSz w:w="11906" w:h="16838"/>
          <w:pgMar w:top="1440" w:right="1800" w:bottom="1440" w:left="1800" w:header="851" w:footer="992" w:gutter="0"/>
          <w:cols w:space="425" w:num="1"/>
          <w:docGrid w:type="lines" w:linePitch="312" w:charSpace="0"/>
        </w:sectPr>
      </w:pPr>
    </w:p>
    <w:p>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鉴于交银施罗德基金管理有限公司（以下简称“交银施罗德基金”）是一家依照中国法律合法成立并有效存续的有限责任公司，按照相关法律法规的规定具备担任基金管理人的资格和能力；</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鉴于中信证券股份有限公司（以下简称“中信证券”）是一家依照中国法律合法成立并有效存续的机构，按照相关法律法规的规定具备担任基金托管人的资格和能力；</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鉴于交银施罗德基金为交银施罗德港股通优质精选混合型证券投资基金的基金管理人，中信证券为交银施罗德港股通优质精选混合型证券投资基金的基金托管人；</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为明确交银施罗德港股通优质精选混合型证券投资基金基金管理人和基金托管人之间的权利义务关系，特制订本协议。</w:t>
      </w:r>
    </w:p>
    <w:p>
      <w:pPr>
        <w:pStyle w:val="5"/>
        <w:rPr>
          <w:color w:val="000000" w:themeColor="text1"/>
          <w14:textFill>
            <w14:solidFill>
              <w14:schemeClr w14:val="tx1"/>
            </w14:solidFill>
          </w14:textFill>
        </w:rPr>
      </w:pPr>
    </w:p>
    <w:p>
      <w:pPr>
        <w:pStyle w:val="2"/>
        <w:numPr>
          <w:ilvl w:val="0"/>
          <w:numId w:val="1"/>
        </w:numPr>
        <w:spacing w:before="120" w:after="120" w:line="360" w:lineRule="auto"/>
        <w:jc w:val="center"/>
        <w:rPr>
          <w:rFonts w:ascii="宋体"/>
          <w:bCs w:val="0"/>
          <w:color w:val="000000" w:themeColor="text1"/>
          <w:kern w:val="0"/>
          <w:sz w:val="24"/>
          <w:szCs w:val="24"/>
          <w14:textFill>
            <w14:solidFill>
              <w14:schemeClr w14:val="tx1"/>
            </w14:solidFill>
          </w14:textFill>
        </w:rPr>
      </w:pPr>
      <w:bookmarkStart w:id="0" w:name="_Toc394473996"/>
      <w:bookmarkStart w:id="1" w:name="_Toc881131"/>
      <w:r>
        <w:rPr>
          <w:rFonts w:hint="eastAsia" w:ascii="宋体"/>
          <w:bCs w:val="0"/>
          <w:color w:val="000000" w:themeColor="text1"/>
          <w:kern w:val="0"/>
          <w:sz w:val="24"/>
          <w:szCs w:val="24"/>
          <w14:textFill>
            <w14:solidFill>
              <w14:schemeClr w14:val="tx1"/>
            </w14:solidFill>
          </w14:textFill>
        </w:rPr>
        <w:t>托管协议当事人</w:t>
      </w:r>
      <w:bookmarkEnd w:id="0"/>
      <w:bookmarkEnd w:id="1"/>
    </w:p>
    <w:p>
      <w:pPr>
        <w:rPr>
          <w:color w:val="000000" w:themeColor="text1"/>
          <w14:textFill>
            <w14:solidFill>
              <w14:schemeClr w14:val="tx1"/>
            </w14:solidFill>
          </w14:textFill>
        </w:rPr>
      </w:pPr>
    </w:p>
    <w:p>
      <w:pPr>
        <w:pStyle w:val="17"/>
        <w:numPr>
          <w:ilvl w:val="0"/>
          <w:numId w:val="2"/>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基金管理人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或简称“管理人”</w:t>
      </w:r>
      <w:r>
        <w:rPr>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名称：交银施罗德基金管理有限公司</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注册地址：中国（上海）自由贸易试验区银城中路188号交通银行大楼二层（裙）</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办公地址：上海市浦东新区世纪大道8号国金中心二期21-22楼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法定代表人：张宏良</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成立时间：2005年8月4日</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批准设立机关：中国证券监督管理委员会</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批准设立文号：中国证监会证监基金字[2005]128号</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组织形式：有限责任公司</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注册资本：2亿元人民币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存续期间：持续经营</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经营范围：基金募集、基金销售、资产管理和中国证监会许可的其他业务。</w:t>
      </w:r>
    </w:p>
    <w:p>
      <w:pPr>
        <w:pStyle w:val="17"/>
        <w:numPr>
          <w:ilvl w:val="0"/>
          <w:numId w:val="2"/>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基金托管人(或简称“托管人”)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名称：中信证券股份有限公司</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注册地址：广东省深圳市福田区中心三路</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号卓越时代广场（二期）北座</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办公地址：北京市朝阳区亮马桥路</w:t>
      </w:r>
      <w:r>
        <w:rPr>
          <w:color w:val="000000" w:themeColor="text1"/>
          <w14:textFill>
            <w14:solidFill>
              <w14:schemeClr w14:val="tx1"/>
            </w14:solidFill>
          </w14:textFill>
        </w:rPr>
        <w:t>48</w:t>
      </w:r>
      <w:r>
        <w:rPr>
          <w:rFonts w:hint="eastAsia"/>
          <w:color w:val="000000" w:themeColor="text1"/>
          <w14:textFill>
            <w14:solidFill>
              <w14:schemeClr w14:val="tx1"/>
            </w14:solidFill>
          </w14:textFill>
        </w:rPr>
        <w:t>号中信证券大厦</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广东省深圳市福田区中心三路8号中信证券大厦</w:t>
      </w:r>
    </w:p>
    <w:p>
      <w:pPr>
        <w:spacing w:line="360" w:lineRule="auto"/>
        <w:ind w:right="-178" w:rightChars="-85"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法定代表人：张佑君</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成立时间：</w:t>
      </w:r>
      <w:r>
        <w:rPr>
          <w:color w:val="000000" w:themeColor="text1"/>
          <w14:textFill>
            <w14:solidFill>
              <w14:schemeClr w14:val="tx1"/>
            </w14:solidFill>
          </w14:textFill>
        </w:rPr>
        <w:t>1995</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日</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批准设立机关：国家工商总局</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批准设立文号：</w:t>
      </w:r>
      <w:r>
        <w:rPr>
          <w:color w:val="000000" w:themeColor="text1"/>
          <w14:textFill>
            <w14:solidFill>
              <w14:schemeClr w14:val="tx1"/>
            </w14:solidFill>
          </w14:textFill>
        </w:rPr>
        <w:t>100000000018305</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组织形式：股份有限公司（上市）</w:t>
      </w:r>
    </w:p>
    <w:p>
      <w:pPr>
        <w:spacing w:line="360" w:lineRule="auto"/>
        <w:ind w:firstLine="420" w:firstLineChars="200"/>
        <w:rPr>
          <w:bCs/>
        </w:rPr>
      </w:pPr>
      <w:r>
        <w:rPr>
          <w:rFonts w:hint="eastAsia"/>
          <w:color w:val="000000" w:themeColor="text1"/>
          <w14:textFill>
            <w14:solidFill>
              <w14:schemeClr w14:val="tx1"/>
            </w14:solidFill>
          </w14:textFill>
        </w:rPr>
        <w:t>注册资本：</w:t>
      </w:r>
      <w:r>
        <w:rPr>
          <w:rFonts w:hint="eastAsia"/>
          <w:bCs/>
        </w:rPr>
        <w:t>14,820,546,829元人民币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基金托管资格批文及文号：《关于核准中信证券股份有限公司证券投资基金托管资格的批复》（证监许可[2014]1044号）</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经营范围：证券经纪（限山东省、河南省、浙江省天台县、浙江省苍南县以外区域）；证券投资咨询；与证券交易、证券投资活动有关的财务顾问；证券承销与保荐；证券自营；证券资产管理（全国社会保障基金境内委托投资管理、基本养老保险基金证券投资管理、企业年金基金投资管理和职业年金基金投资管理）；融资融券；证券投资基金代销；为期货公司提供中间介绍业务；代销金融产品；股票期权做市。上市证券做市交易。(依法须经批准的项目,经相关部门批准后方可开展经营活动,具体经营项目以相关部门批准文件或许可证件为准)</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存续期间：无限期</w:t>
      </w:r>
    </w:p>
    <w:p>
      <w:pPr>
        <w:spacing w:line="360" w:lineRule="auto"/>
        <w:ind w:firstLine="420" w:firstLineChars="200"/>
        <w:rPr>
          <w:color w:val="000000" w:themeColor="text1"/>
          <w14:textFill>
            <w14:solidFill>
              <w14:schemeClr w14:val="tx1"/>
            </w14:solidFill>
          </w14:textFill>
        </w:rPr>
      </w:pPr>
    </w:p>
    <w:p>
      <w:pPr>
        <w:pStyle w:val="2"/>
        <w:numPr>
          <w:ilvl w:val="0"/>
          <w:numId w:val="1"/>
        </w:numPr>
        <w:spacing w:before="120" w:after="120" w:line="360" w:lineRule="auto"/>
        <w:jc w:val="center"/>
        <w:rPr>
          <w:rFonts w:ascii="宋体"/>
          <w:bCs w:val="0"/>
          <w:color w:val="000000" w:themeColor="text1"/>
          <w:kern w:val="0"/>
          <w:sz w:val="21"/>
          <w:szCs w:val="20"/>
          <w14:textFill>
            <w14:solidFill>
              <w14:schemeClr w14:val="tx1"/>
            </w14:solidFill>
          </w14:textFill>
        </w:rPr>
      </w:pPr>
      <w:bookmarkStart w:id="2" w:name="_Toc881132"/>
      <w:bookmarkStart w:id="3" w:name="_Toc394473997"/>
      <w:r>
        <w:rPr>
          <w:rFonts w:hint="eastAsia" w:ascii="宋体"/>
          <w:bCs w:val="0"/>
          <w:color w:val="000000" w:themeColor="text1"/>
          <w:kern w:val="0"/>
          <w:sz w:val="21"/>
          <w:szCs w:val="20"/>
          <w14:textFill>
            <w14:solidFill>
              <w14:schemeClr w14:val="tx1"/>
            </w14:solidFill>
          </w14:textFill>
        </w:rPr>
        <w:t>托管协议的依据、目的、原则和解释</w:t>
      </w:r>
      <w:bookmarkEnd w:id="2"/>
      <w:bookmarkEnd w:id="3"/>
    </w:p>
    <w:p>
      <w:pPr>
        <w:pStyle w:val="17"/>
        <w:ind w:left="450" w:firstLine="0" w:firstLineChars="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（一）依据</w:t>
      </w:r>
    </w:p>
    <w:p>
      <w:pPr>
        <w:autoSpaceDE w:val="0"/>
        <w:autoSpaceDN w:val="0"/>
        <w:adjustRightIn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协议依据《中华人民共和国证券投资基金法》（以下简称“《基金法》”）、《公开募集证券投资基金运作管理办法》（以下简称“《运作办法》”）、《公开募集证券投资基金销售机构监督管理办法》、《公开募集证券投资基金信息披露管理办法》（以下简称“《信息披露办法》”）、《证券投资基金托管业务管理办法》、《证券投资基金信息披露内容与格式准则第</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号〈托管协议的内容与格式〉》、《公开募集开放式证券投资基金流动性风险管理规定》（以下简称“《流动性风险管理规定》”）、《</w:t>
      </w:r>
      <w:bookmarkStart w:id="4" w:name="OLE_LINK4"/>
      <w:bookmarkStart w:id="5" w:name="OLE_LINK3"/>
      <w:r>
        <w:rPr>
          <w:rFonts w:hint="eastAsia"/>
          <w:color w:val="000000" w:themeColor="text1"/>
          <w14:textFill>
            <w14:solidFill>
              <w14:schemeClr w14:val="tx1"/>
            </w14:solidFill>
          </w14:textFill>
        </w:rPr>
        <w:t>交银施罗德港股通优质精选混合型</w:t>
      </w:r>
      <w:bookmarkEnd w:id="4"/>
      <w:bookmarkEnd w:id="5"/>
      <w:r>
        <w:rPr>
          <w:rFonts w:hint="eastAsia"/>
          <w:color w:val="000000" w:themeColor="text1"/>
          <w14:textFill>
            <w14:solidFill>
              <w14:schemeClr w14:val="tx1"/>
            </w14:solidFill>
          </w14:textFill>
        </w:rPr>
        <w:t>证券投资基金基金合同》（以下简称“《基金合同》”或“基金合同”）及其他有关法律、法规制定。</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（二）目的</w:t>
      </w:r>
    </w:p>
    <w:p>
      <w:pPr>
        <w:autoSpaceDE w:val="0"/>
        <w:autoSpaceDN w:val="0"/>
        <w:adjustRightIn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（三）原则</w:t>
      </w:r>
    </w:p>
    <w:p>
      <w:pPr>
        <w:autoSpaceDE w:val="0"/>
        <w:autoSpaceDN w:val="0"/>
        <w:adjustRightIn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基金管理人和基金托管人本着平等自愿、诚实信用、充分保护基金份额持有人合法权益的原则，经协商一致，签订本协议。</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（四）解释</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除非本协议另有约定，本协议所有术语与《基金合同》的相应术语具有相同含义；若有抵触应以《基金合同》为准，并依其条款解释。</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（五）若本基金实施侧袋机制的，侧袋机制实施期间的相关安排见基金合同和招募说明书的规定。</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p>
    <w:p>
      <w:pPr>
        <w:spacing w:line="360" w:lineRule="auto"/>
        <w:rPr>
          <w:color w:val="000000" w:themeColor="text1"/>
          <w14:textFill>
            <w14:solidFill>
              <w14:schemeClr w14:val="tx1"/>
            </w14:solidFill>
          </w14:textFill>
        </w:rPr>
      </w:pPr>
    </w:p>
    <w:p>
      <w:pPr>
        <w:pStyle w:val="2"/>
        <w:numPr>
          <w:ilvl w:val="0"/>
          <w:numId w:val="1"/>
        </w:numPr>
        <w:spacing w:before="120" w:after="120" w:line="360" w:lineRule="auto"/>
        <w:jc w:val="center"/>
        <w:rPr>
          <w:rFonts w:ascii="宋体"/>
          <w:bCs w:val="0"/>
          <w:color w:val="000000" w:themeColor="text1"/>
          <w:kern w:val="0"/>
          <w:sz w:val="24"/>
          <w:szCs w:val="24"/>
          <w14:textFill>
            <w14:solidFill>
              <w14:schemeClr w14:val="tx1"/>
            </w14:solidFill>
          </w14:textFill>
        </w:rPr>
      </w:pPr>
      <w:bookmarkStart w:id="6" w:name="_Toc881133"/>
      <w:bookmarkStart w:id="7" w:name="_Toc394473998"/>
      <w:r>
        <w:rPr>
          <w:rFonts w:hint="eastAsia" w:ascii="宋体"/>
          <w:bCs w:val="0"/>
          <w:color w:val="000000" w:themeColor="text1"/>
          <w:kern w:val="0"/>
          <w:sz w:val="24"/>
          <w:szCs w:val="24"/>
          <w14:textFill>
            <w14:solidFill>
              <w14:schemeClr w14:val="tx1"/>
            </w14:solidFill>
          </w14:textFill>
        </w:rPr>
        <w:t>基金托管人对基金管理人的业务监督和核查</w:t>
      </w:r>
      <w:bookmarkEnd w:id="6"/>
      <w:bookmarkEnd w:id="7"/>
    </w:p>
    <w:p>
      <w:pPr>
        <w:pStyle w:val="17"/>
        <w:ind w:left="450" w:firstLine="0" w:firstLineChars="0"/>
        <w:rPr>
          <w:color w:val="000000" w:themeColor="text1"/>
          <w14:textFill>
            <w14:solidFill>
              <w14:schemeClr w14:val="tx1"/>
            </w14:solidFill>
          </w14:textFill>
        </w:rPr>
      </w:pPr>
    </w:p>
    <w:p>
      <w:pPr>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（一）基金托管人对基金管理人的投资行为行使监督权</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1</w:t>
      </w:r>
      <w:r>
        <w:rPr>
          <w:rFonts w:hint="eastAsia" w:ascii="宋体" w:hAnsi="Calibri" w:cs="宋体"/>
          <w:color w:val="000000" w:themeColor="text1"/>
          <w:kern w:val="0"/>
          <w:szCs w:val="21"/>
          <w14:textFill>
            <w14:solidFill>
              <w14:schemeClr w14:val="tx1"/>
            </w14:solidFill>
          </w14:textFill>
        </w:rPr>
        <w:t>、 基金托管人根据有关法律法规的规定和《基金合同》的约定，对下述基金投资范围进行监督。</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本基金将投资于以下金融工具：</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本基金的投资范围为具有良好流动性的金融工具，包括港股通标的股票、国内依法发行上市的股票（含</w:t>
      </w:r>
      <w:r>
        <w:rPr>
          <w:rFonts w:hint="eastAsia" w:ascii="宋体" w:hAnsi="Calibri" w:cs="宋体"/>
          <w:color w:val="000000" w:themeColor="text1"/>
          <w:kern w:val="0"/>
          <w:szCs w:val="21"/>
          <w:lang w:val="en-US" w:eastAsia="zh-CN"/>
          <w14:textFill>
            <w14:solidFill>
              <w14:schemeClr w14:val="tx1"/>
            </w14:solidFill>
          </w14:textFill>
        </w:rPr>
        <w:t>主板、</w:t>
      </w:r>
      <w:r>
        <w:rPr>
          <w:rFonts w:hint="eastAsia" w:ascii="宋体" w:hAnsi="Calibri" w:cs="宋体"/>
          <w:color w:val="000000" w:themeColor="text1"/>
          <w:kern w:val="0"/>
          <w:szCs w:val="21"/>
          <w14:textFill>
            <w14:solidFill>
              <w14:schemeClr w14:val="tx1"/>
            </w14:solidFill>
          </w14:textFill>
        </w:rPr>
        <w:t>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如法律法规或监管机构以后允许基金投资其他品种，基金管理人在履行适当程序后，可以将其纳入投资范围。</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基金托管人根据有关法律法规的规定及《基金合同》的约定对下述基金投资比例进行监督。</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）按法律法规的规定及《基金合同》的约定，本基金的投资资产配置比例为：</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股票投资（含存托凭证）占基金资产的比例为60%-95%，其中投资于港股通标的股票的比例不低于非现金基金资产的80%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如果法律法规</w:t>
      </w:r>
      <w:r>
        <w:rPr>
          <w:rFonts w:hint="eastAsia" w:ascii="宋体" w:hAnsi="Calibri" w:cs="宋体"/>
          <w:color w:val="000000" w:themeColor="text1"/>
          <w:kern w:val="0"/>
          <w:szCs w:val="21"/>
          <w14:textFill>
            <w14:solidFill>
              <w14:schemeClr w14:val="tx1"/>
            </w14:solidFill>
          </w14:textFill>
        </w:rPr>
        <w:t>或中国证监会</w:t>
      </w:r>
      <w:r>
        <w:rPr>
          <w:rFonts w:hint="eastAsia"/>
          <w:color w:val="000000" w:themeColor="text1"/>
          <w:szCs w:val="21"/>
          <w14:textFill>
            <w14:solidFill>
              <w14:schemeClr w14:val="tx1"/>
            </w14:solidFill>
          </w14:textFill>
        </w:rPr>
        <w:t>变更投资品种的投资比例限制，基金管理人在履行适当程序后，可以调整上述投资品种的投资比例。</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）根据法律法规的规定及《基金合同》的约定，本基金投资组合遵循以下投资限制：</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1）股票投资（含存托凭证）占基金资产的比例为60%-95%，其中投资于港股通标的股票的比例不低于非现金基金资产的80%；</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3）本基金持有一家公司发行的证券（同一家公司在内地和香港同时上市的A+H股合计计算），其市值不超过基金资产净值的10％；</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本基金管理人管理且在基金托管人处托管的全部基金持有一家公司发行的证券（同一家公司在内地和香港同时上市的A+H股合计计算），不超过该证券的10％，完全按照有关指数的构成比例进行证券投资的基金品种可以不受此条款规定的比例限制；</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5）本基金投资于同一原始权益人的各类资产支持证券的比例，不得超过基金资产净值的10％；</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6）本基金持有的全部资产支持证券，其市值不得超过基金资产净值的20％；</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7）本基金持有的同一（指同一信用级别）资产支持证券的比例，不得超过该资产支持证券规模的10％；</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8）本基金管理人管理且在基金托管人处托管的全部基金投资于同一原始权益人的各类资产支持证券，不得超过其各类资产支持证券合计规模的10％；</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9）本基金应投资于信用级别评级为BBB以上（含BBB）的资产支持证券。基金持有资产支持证券期间，如果其信用等级下降、不再符合投资标准，应在评级报告发布之日起3个月内予以全部卖出；</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10）基金财产参与股票发行申购，本基金所申报的金额不超过本基金的总资产，本基金所申报的股票数量不超过拟发行股票公司本次发行股票的总量；</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本基金管理人管理且在基金托管人处托管的全部开放式基金（包括开放式基金以及处于开放期的定期开放基金）持有一家上市公司发行的可流通股票，不得超过该上市公司可流通股票的15%；本基金管理人管理且在基金托管人处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）本基金与私募类证券资管产品及中国证监会认定的其他主体为交易对手开展逆回购交易的，可接受质押品的资质要求应当与基金合同约定的投资范围保持一致；</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）本基金参与股指期货交易，则：</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hint="eastAsia"/>
          <w:color w:val="000000" w:themeColor="text1"/>
          <w:szCs w:val="21"/>
          <w14:textFill>
            <w14:solidFill>
              <w14:schemeClr w14:val="tx1"/>
            </w14:solidFill>
          </w14:textFill>
        </w:rPr>
        <w:t>本基金在任何交易日日终，持有的买入股指期货合约价值，不得超过基金资产净值的10%；</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hint="eastAsia"/>
          <w:color w:val="000000" w:themeColor="text1"/>
          <w:szCs w:val="21"/>
          <w14:textFill>
            <w14:solidFill>
              <w14:schemeClr w14:val="tx1"/>
            </w14:solidFill>
          </w14:textFill>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hint="eastAsia"/>
          <w:color w:val="000000" w:themeColor="text1"/>
          <w:szCs w:val="21"/>
          <w14:textFill>
            <w14:solidFill>
              <w14:schemeClr w14:val="tx1"/>
            </w14:solidFill>
          </w14:textFill>
        </w:rPr>
        <w:t>本基金在任何交易日日终，持有的卖出股指期货合约价值不得超过基金持有的股票总市值的20%；</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hint="eastAsia"/>
          <w:color w:val="000000" w:themeColor="text1"/>
          <w:szCs w:val="21"/>
          <w14:textFill>
            <w14:solidFill>
              <w14:schemeClr w14:val="tx1"/>
            </w14:solidFill>
          </w14:textFill>
        </w:rPr>
        <w:t>本基金所持有的股票市值和买入、卖出股指期货合约价值，合计（轧差计算）应当符合基金合同关于股票投资比例的有关约定；</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rFonts w:hint="eastAsia"/>
          <w:color w:val="000000" w:themeColor="text1"/>
          <w:szCs w:val="21"/>
          <w14:textFill>
            <w14:solidFill>
              <w14:schemeClr w14:val="tx1"/>
            </w14:solidFill>
          </w14:textFill>
        </w:rPr>
        <w:t>本基金在任何交易日内交易（不包括平仓）的股指期货合约的成交金额不得超过上一交易日基金资产净值的20%；</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）本基金资产总值不超过基金资产净值的140%；</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）本基金投资存托凭证的比例限制依照境内上市交易的股票执行；</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）法律法规及中国证监会规定的和《基金合同》约定的其他投资限制。</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除上述2）、9）、1</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numPr>
          <w:ilvl w:val="255"/>
          <w:numId w:val="0"/>
        </w:num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应当自基金合同生效之日起6个月内使基金的投资组合比例符合基金合同的有关约定。在上述期间内，本基金的投资范围应当符合基金合同的约定。基金托管人对基金的投资的监督与检查自基金合同生效之日起开始。</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法律法规或监管部门取消或者变更上述限制，如适用于本基金，基金管理人在履行适当程序后，则本基金投资不再受相关限制或以变更后的规定为准。</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基金托管人根据有关法律法规的规定及《基金合同》的约定对下述基金投资禁止行为通过事后监督方式进行监督：</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）承销证券；</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）违反规定向他人贷款或者提供担保；</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）从事承担无限责任的投资；</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bookmarkStart w:id="8" w:name="_Hlk531772207"/>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）买卖其他基金份额，但是中国证监会另有规定的除外；</w:t>
      </w:r>
    </w:p>
    <w:bookmarkEnd w:id="8"/>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）向其基金管理人、基金托管人出资；</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）从事内幕交易、操纵证券交易价格及其他不正当的证券交易活动；</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）法律、行政法规和中国证监会规定禁止的其他活动。</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szCs w:val="21"/>
        </w:rPr>
        <w:t>如法律、行政法规或监管部门取消或变更上述规定，如适用于本基金，基金管理人在履行适当程序后，本基金可不受上述规定的限制或以变更后的规定为准。</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、基金托管人依据有关法律法规的规定和《基金合同》的约定对于基金关联投资限制进行监督。</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如法律、行政法规或监管部门取消或变更上述规定，如适用于本基金，基金管理人在履行适当程序后，本基金可不受上述规定的限制或以变更后的规定为准。</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5、本基金参与银行间市场交易，由基金管理人决定银行间市场交易对手的名单，并按照审慎的风险控制原则在该名单中约定各交易对手所适用的交易结算方式。基金管理人应严格按照交易对手名单的范围在银行间债券市场选择交易对手；基金管理人在银行间市场进行现券买卖和回购交易时，需按交易对手名单中约定的该交易对手所适用的交易结算方式进行交易。基金托管人对基金管理人参与银行间市场交易的交易对手是否符合交易对手名单进行事后监督。基金托管人监控依赖基金管理人提供的交易对手名单，如基金管理人未能提供，基金托管人不承担任何责任。</w:t>
      </w:r>
    </w:p>
    <w:p>
      <w:pPr>
        <w:autoSpaceDE w:val="0"/>
        <w:autoSpaceDN w:val="0"/>
        <w:adjustRightInd w:val="0"/>
        <w:spacing w:line="360" w:lineRule="auto"/>
        <w:ind w:firstLine="420" w:firstLineChars="200"/>
        <w:jc w:val="left"/>
        <w:rPr>
          <w:rFonts w:ascii="宋体" w:hAnsi="Calibri" w:cs="宋体"/>
          <w:kern w:val="0"/>
          <w:szCs w:val="21"/>
        </w:rPr>
      </w:pPr>
      <w:r>
        <w:rPr>
          <w:rFonts w:hint="eastAsia" w:ascii="宋体" w:hAnsi="Calibri" w:cs="宋体"/>
          <w:kern w:val="0"/>
          <w:szCs w:val="21"/>
        </w:rPr>
        <w:t>6、基金托管人对基金投资流通受限证券的监督</w:t>
      </w:r>
    </w:p>
    <w:p>
      <w:pPr>
        <w:autoSpaceDE w:val="0"/>
        <w:autoSpaceDN w:val="0"/>
        <w:adjustRightInd w:val="0"/>
        <w:spacing w:line="360" w:lineRule="auto"/>
        <w:ind w:firstLine="420" w:firstLineChars="200"/>
        <w:jc w:val="left"/>
        <w:rPr>
          <w:rFonts w:hAnsi="Calibri"/>
          <w:szCs w:val="21"/>
        </w:rPr>
      </w:pPr>
      <w:r>
        <w:rPr>
          <w:rFonts w:hint="eastAsia" w:ascii="宋体" w:hAnsi="Calibri" w:cs="宋体"/>
          <w:kern w:val="0"/>
          <w:szCs w:val="21"/>
        </w:rPr>
        <w:t>（1）</w:t>
      </w:r>
      <w:r>
        <w:rPr>
          <w:rFonts w:ascii="宋体" w:hAnsi="Calibri" w:cs="宋体"/>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pPr>
        <w:autoSpaceDE w:val="0"/>
        <w:autoSpaceDN w:val="0"/>
        <w:adjustRightInd w:val="0"/>
        <w:spacing w:line="360" w:lineRule="auto"/>
        <w:ind w:firstLine="420" w:firstLineChars="200"/>
        <w:jc w:val="left"/>
        <w:rPr>
          <w:rFonts w:ascii="宋体" w:hAnsi="Calibri" w:cs="宋体"/>
          <w:kern w:val="0"/>
          <w:szCs w:val="21"/>
        </w:rPr>
      </w:pPr>
      <w:r>
        <w:rPr>
          <w:rFonts w:hint="eastAsia" w:ascii="宋体" w:hAnsi="Calibri" w:cs="宋体"/>
          <w:kern w:val="0"/>
          <w:szCs w:val="21"/>
        </w:rPr>
        <w:t>（</w:t>
      </w:r>
      <w:r>
        <w:rPr>
          <w:rFonts w:ascii="宋体" w:hAnsi="Calibri" w:cs="宋体"/>
          <w:kern w:val="0"/>
          <w:szCs w:val="21"/>
        </w:rPr>
        <w:t>2</w:t>
      </w:r>
      <w:r>
        <w:rPr>
          <w:rFonts w:hint="eastAsia" w:ascii="宋体" w:hAnsi="Calibri" w:cs="宋体"/>
          <w:kern w:val="0"/>
          <w:szCs w:val="21"/>
        </w:rPr>
        <w:t>）此处流通受限证券与上文所述的流动性受限资产并不完全一致，包括经中国证监会批准的非公开发行股票、公开发行股票网下配售部分等在发行时明确一定期限锁定期的可交易证券</w:t>
      </w:r>
      <w:r>
        <w:rPr>
          <w:rFonts w:ascii="宋体" w:hAnsi="Calibri" w:cs="宋体"/>
          <w:kern w:val="0"/>
          <w:szCs w:val="21"/>
        </w:rPr>
        <w:t>,</w:t>
      </w:r>
      <w:r>
        <w:rPr>
          <w:rFonts w:hint="eastAsia" w:ascii="宋体" w:hAnsi="Calibri" w:cs="宋体"/>
          <w:kern w:val="0"/>
          <w:szCs w:val="21"/>
        </w:rPr>
        <w:t>不包括由于发布重大消息或其他原因而临时停牌的证券、已发行未上市证券、回购交易中的质押券等流通受限证券。</w:t>
      </w:r>
    </w:p>
    <w:p>
      <w:pPr>
        <w:autoSpaceDE w:val="0"/>
        <w:autoSpaceDN w:val="0"/>
        <w:adjustRightInd w:val="0"/>
        <w:spacing w:line="360" w:lineRule="auto"/>
        <w:ind w:firstLine="420" w:firstLineChars="200"/>
        <w:jc w:val="left"/>
        <w:rPr>
          <w:rFonts w:ascii="宋体" w:hAnsi="Calibri" w:cs="宋体"/>
          <w:kern w:val="0"/>
          <w:szCs w:val="21"/>
        </w:rPr>
      </w:pPr>
      <w:r>
        <w:rPr>
          <w:rFonts w:hint="eastAsia" w:ascii="宋体" w:hAnsi="Calibri" w:cs="宋体"/>
          <w:kern w:val="0"/>
          <w:szCs w:val="21"/>
        </w:rPr>
        <w:t>（</w:t>
      </w:r>
      <w:r>
        <w:rPr>
          <w:rFonts w:ascii="宋体" w:hAnsi="Calibri" w:cs="宋体"/>
          <w:kern w:val="0"/>
          <w:szCs w:val="21"/>
        </w:rPr>
        <w:t>3</w:t>
      </w:r>
      <w:r>
        <w:rPr>
          <w:rFonts w:hint="eastAsia" w:ascii="宋体" w:hAnsi="Calibri" w:cs="宋体"/>
          <w:kern w:val="0"/>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autoSpaceDE w:val="0"/>
        <w:autoSpaceDN w:val="0"/>
        <w:adjustRightInd w:val="0"/>
        <w:spacing w:line="360" w:lineRule="auto"/>
        <w:ind w:firstLine="420" w:firstLineChars="200"/>
        <w:jc w:val="left"/>
        <w:rPr>
          <w:rFonts w:ascii="宋体" w:hAnsi="Calibri" w:cs="宋体"/>
          <w:kern w:val="0"/>
          <w:szCs w:val="21"/>
        </w:rPr>
      </w:pPr>
      <w:r>
        <w:rPr>
          <w:rFonts w:hint="eastAsia" w:ascii="宋体" w:hAnsi="Calibri" w:cs="宋体"/>
          <w:kern w:val="0"/>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进行确认。</w:t>
      </w:r>
    </w:p>
    <w:p>
      <w:pPr>
        <w:autoSpaceDE w:val="0"/>
        <w:autoSpaceDN w:val="0"/>
        <w:adjustRightInd w:val="0"/>
        <w:spacing w:line="360" w:lineRule="auto"/>
        <w:ind w:firstLine="420" w:firstLineChars="200"/>
        <w:jc w:val="left"/>
        <w:rPr>
          <w:rFonts w:ascii="宋体" w:hAnsi="Calibri" w:cs="宋体"/>
          <w:kern w:val="0"/>
          <w:szCs w:val="21"/>
        </w:rPr>
      </w:pPr>
      <w:r>
        <w:rPr>
          <w:rFonts w:hint="eastAsia" w:ascii="宋体" w:hAnsi="Calibri" w:cs="宋体"/>
          <w:kern w:val="0"/>
          <w:szCs w:val="21"/>
        </w:rPr>
        <w:t>（</w:t>
      </w:r>
      <w:r>
        <w:rPr>
          <w:rFonts w:ascii="宋体" w:hAnsi="Calibri" w:cs="宋体"/>
          <w:kern w:val="0"/>
          <w:szCs w:val="21"/>
        </w:rPr>
        <w:t>4</w:t>
      </w:r>
      <w:r>
        <w:rPr>
          <w:rFonts w:hint="eastAsia" w:ascii="宋体" w:hAnsi="Calibri" w:cs="宋体"/>
          <w:kern w:val="0"/>
          <w:szCs w:val="21"/>
        </w:rPr>
        <w:t>）基金投资非公开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于拟执行投资指令前将上述信息书面发至基金托管人，保证基金托管人有足够的时间进行审核。</w:t>
      </w:r>
    </w:p>
    <w:p>
      <w:pPr>
        <w:autoSpaceDE w:val="0"/>
        <w:autoSpaceDN w:val="0"/>
        <w:adjustRightInd w:val="0"/>
        <w:spacing w:line="360" w:lineRule="auto"/>
        <w:ind w:firstLine="420" w:firstLineChars="200"/>
        <w:jc w:val="left"/>
        <w:rPr>
          <w:rFonts w:ascii="宋体" w:hAnsi="Calibri" w:cs="宋体"/>
          <w:kern w:val="0"/>
          <w:szCs w:val="21"/>
        </w:rPr>
      </w:pPr>
      <w:r>
        <w:rPr>
          <w:rFonts w:hint="eastAsia" w:ascii="宋体" w:hAnsi="Calibri" w:cs="宋体"/>
          <w:kern w:val="0"/>
          <w:szCs w:val="21"/>
        </w:rPr>
        <w:t>（</w:t>
      </w:r>
      <w:r>
        <w:rPr>
          <w:rFonts w:ascii="宋体" w:hAnsi="Calibri" w:cs="宋体"/>
          <w:kern w:val="0"/>
          <w:szCs w:val="21"/>
        </w:rPr>
        <w:t>5</w:t>
      </w:r>
      <w:r>
        <w:rPr>
          <w:rFonts w:hint="eastAsia" w:ascii="宋体" w:hAnsi="Calibri" w:cs="宋体"/>
          <w:kern w:val="0"/>
          <w:szCs w:val="21"/>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相应责任，并有权报告中国证监会。</w:t>
      </w:r>
    </w:p>
    <w:p>
      <w:pPr>
        <w:autoSpaceDE w:val="0"/>
        <w:autoSpaceDN w:val="0"/>
        <w:adjustRightInd w:val="0"/>
        <w:spacing w:line="360" w:lineRule="auto"/>
        <w:ind w:firstLine="420" w:firstLineChars="200"/>
        <w:jc w:val="left"/>
        <w:rPr>
          <w:rFonts w:ascii="宋体" w:hAnsi="Calibri" w:cs="宋体"/>
          <w:kern w:val="0"/>
          <w:szCs w:val="21"/>
        </w:rPr>
      </w:pPr>
      <w:r>
        <w:rPr>
          <w:rFonts w:hint="eastAsia" w:ascii="宋体" w:hAnsi="Calibri" w:cs="宋体"/>
          <w:kern w:val="0"/>
          <w:szCs w:val="21"/>
        </w:rPr>
        <w:t>如基金管理人和基金托管人无法达成一致，应及时上报中国证监会请求解决。如果基金托管人切实履行监督职责，则不承担相应责任。</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ascii="宋体" w:hAnsi="Calibri" w:cs="宋体"/>
          <w:color w:val="000000" w:themeColor="text1"/>
          <w:kern w:val="0"/>
          <w:szCs w:val="21"/>
          <w14:textFill>
            <w14:solidFill>
              <w14:schemeClr w14:val="tx1"/>
            </w14:solidFill>
          </w14:textFill>
        </w:rPr>
        <w:t>7</w:t>
      </w:r>
      <w:r>
        <w:rPr>
          <w:rFonts w:hint="eastAsia" w:ascii="宋体" w:hAnsi="Calibri" w:cs="宋体"/>
          <w:color w:val="000000" w:themeColor="text1"/>
          <w:kern w:val="0"/>
          <w:szCs w:val="21"/>
          <w14:textFill>
            <w14:solidFill>
              <w14:schemeClr w14:val="tx1"/>
            </w14:solidFill>
          </w14:textFill>
        </w:rPr>
        <w:t>、本基金投资银行存款的信用风险主要包括存款银行的信用等级、存款银行的支付能力等涉及到存款银行选择方面的风险。本基金的基金管理人根据相应规则确定存款银行，本基金投资存款银行以外的银行存款出现由于存款银行信用风险而造成的损失时由相关责任人进行赔偿。基金托管人不对本基金投资银行存款的存款银行进行监控。</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基金托管人应根据有关法律法规的规定及《基金合同》的约定，对基金资产净值计算、各类基金份额净值计算、应收资金到账、基金费用开支及收入确定、基金收益分配、相关信息披露、基金宣传推介材料（需基金管理人主动提供）中登载基金业绩表现数据等进行监督和核查。</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（三） 基金托管人发现基金管理人的投资运作及其他运作违反法律法规、《基金合同》、本托管协议及其他有关规定时，应及时以书面形式通知基金管理人限期纠正，基金管理人收到通知后应及时核对，并以书面形式向基金托管人发出回函，进行解释或举证，说明违规原因及纠正期限。</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在限期内，基金托管人有权随时对通知事项进行复查，督促基金管理人改正。基金管理人对基金托管人通知的违规事项未能在限期内纠正的，基金托管人应报告中国证监会。基金管理人应赔偿因其违反法律法规、行业自律性规定或《基金合同》或本托管协议及其他有关规定而致使投资者和基金托管人遭受的损失。</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对于依据交易程序尚未成交的且基金托管人在交易前能够监控的投资指令，基金托管人发现该投资指令违反有关法律法规规定或者违反《基金合同》约定的，应当拒绝执行，立即通知基金管理人，并向中国证监会报告。</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对于必须于估值完成后方可获知的监控指标或依据交易程序已经成交的投资指令，基金托管人发现该投资指令违反有关法律法规或者违反《基金合同》约定的，应当立即通知基金管理人，并报告中国证监会。</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基金托管人发现基金管理人有重大违规行为，应立即报告中国证监会，同时通知基金管理人限期纠正。</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p>
    <w:p>
      <w:pPr>
        <w:pStyle w:val="2"/>
        <w:numPr>
          <w:ilvl w:val="0"/>
          <w:numId w:val="1"/>
        </w:numPr>
        <w:spacing w:before="120" w:after="120" w:line="360" w:lineRule="auto"/>
        <w:jc w:val="center"/>
        <w:rPr>
          <w:rFonts w:ascii="宋体" w:hAnsi="Calibri" w:cs="宋体"/>
          <w:color w:val="000000" w:themeColor="text1"/>
          <w:kern w:val="0"/>
          <w:sz w:val="24"/>
          <w14:textFill>
            <w14:solidFill>
              <w14:schemeClr w14:val="tx1"/>
            </w14:solidFill>
          </w14:textFill>
        </w:rPr>
      </w:pPr>
      <w:bookmarkStart w:id="9" w:name="_Toc394473999"/>
      <w:bookmarkStart w:id="10" w:name="_Toc881134"/>
      <w:r>
        <w:rPr>
          <w:rFonts w:hint="eastAsia" w:ascii="宋体" w:hAnsi="Calibri" w:cs="宋体"/>
          <w:color w:val="000000" w:themeColor="text1"/>
          <w:kern w:val="0"/>
          <w:sz w:val="24"/>
          <w14:textFill>
            <w14:solidFill>
              <w14:schemeClr w14:val="tx1"/>
            </w14:solidFill>
          </w14:textFill>
        </w:rPr>
        <w:t>基金管理人对基金托管人的业务核查</w:t>
      </w:r>
      <w:bookmarkEnd w:id="9"/>
      <w:bookmarkEnd w:id="10"/>
    </w:p>
    <w:p>
      <w:pPr>
        <w:pStyle w:val="17"/>
        <w:autoSpaceDE w:val="0"/>
        <w:autoSpaceDN w:val="0"/>
        <w:adjustRightInd w:val="0"/>
        <w:spacing w:line="360" w:lineRule="auto"/>
        <w:ind w:left="450" w:firstLine="0" w:firstLineChars="0"/>
        <w:rPr>
          <w:rFonts w:ascii="宋体" w:hAnsi="Calibri" w:cs="宋体"/>
          <w:b/>
          <w:color w:val="000000" w:themeColor="text1"/>
          <w:kern w:val="0"/>
          <w:sz w:val="24"/>
          <w14:textFill>
            <w14:solidFill>
              <w14:schemeClr w14:val="tx1"/>
            </w14:solidFill>
          </w14:textFill>
        </w:rPr>
      </w:pPr>
    </w:p>
    <w:p>
      <w:pPr>
        <w:autoSpaceDE w:val="0"/>
        <w:autoSpaceDN w:val="0"/>
        <w:adjustRightInd w:val="0"/>
        <w:spacing w:line="360" w:lineRule="auto"/>
        <w:ind w:firstLine="42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一）基金管理人对基金托管人履行托管职责情况进行核查，核查事项包括但不限于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pPr>
        <w:autoSpaceDE w:val="0"/>
        <w:autoSpaceDN w:val="0"/>
        <w:adjustRightInd w:val="0"/>
        <w:spacing w:line="360" w:lineRule="auto"/>
        <w:ind w:firstLine="315" w:firstLineChars="15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二）基金管理人发现基金托管人擅自挪用基金财产、未对基金财产实行分账管理、未执行或无故延迟执行基金管理人资金划拨指令、泄露基金投资信息等违反《基金法》等法律法规、《基金合同》、本托管协议及其他有关规定时，基金管理人应及时以书面形式通知基金托管人限期纠正，基金托管人收到通知后应及时核对确认并以书面形式向基金管理人发出回函，</w:t>
      </w:r>
      <w:r>
        <w:rPr>
          <w:rFonts w:hint="eastAsia"/>
          <w:color w:val="000000" w:themeColor="text1"/>
          <w:szCs w:val="20"/>
          <w14:textFill>
            <w14:solidFill>
              <w14:schemeClr w14:val="tx1"/>
            </w14:solidFill>
          </w14:textFill>
        </w:rPr>
        <w:t>说明违规原因及纠正期限，并保证在规定期限内及时改正。</w:t>
      </w:r>
      <w:r>
        <w:rPr>
          <w:rFonts w:hint="eastAsia" w:ascii="宋体" w:hAnsi="Calibri" w:cs="宋体"/>
          <w:color w:val="000000" w:themeColor="text1"/>
          <w:kern w:val="0"/>
          <w:szCs w:val="21"/>
          <w14:textFill>
            <w14:solidFill>
              <w14:schemeClr w14:val="tx1"/>
            </w14:solidFill>
          </w14:textFill>
        </w:rPr>
        <w:t>在上述限期内，基金管理人有权随时对通知事项进行复查，督促基金托管人改正，并予协助配合。基金托管人应积极配合基金管理人的核查行为，包括但不限于：提交相关资料以供基金管理人核查基金财产的完整性和真实性，在规定时间内答复基金管理人并改正。基金托管人对基金管理人通知的违规事项未能在限期内纠正的，基金管理人应报告中国证监会。</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（三）基金管理人发现基金托管人有重大违规行为，应立即报告中国证监会，同时通知基金托管人限期纠正，并将纠正结果报告中国证监会。</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pPr>
        <w:autoSpaceDE w:val="0"/>
        <w:autoSpaceDN w:val="0"/>
        <w:adjustRightInd w:val="0"/>
        <w:spacing w:line="360" w:lineRule="auto"/>
        <w:ind w:firstLine="420" w:firstLineChars="200"/>
        <w:jc w:val="left"/>
        <w:rPr>
          <w:rFonts w:ascii="宋体" w:hAnsi="Calibri" w:cs="宋体"/>
          <w:color w:val="000000" w:themeColor="text1"/>
          <w:kern w:val="0"/>
          <w:szCs w:val="21"/>
          <w14:textFill>
            <w14:solidFill>
              <w14:schemeClr w14:val="tx1"/>
            </w14:solidFill>
          </w14:textFill>
        </w:rPr>
      </w:pPr>
    </w:p>
    <w:p>
      <w:pPr>
        <w:pStyle w:val="2"/>
        <w:numPr>
          <w:ilvl w:val="0"/>
          <w:numId w:val="1"/>
        </w:numPr>
        <w:spacing w:before="120" w:after="120" w:line="360" w:lineRule="auto"/>
        <w:jc w:val="center"/>
        <w:rPr>
          <w:rFonts w:ascii="宋体" w:hAnsi="Calibri" w:cs="宋体"/>
          <w:color w:val="000000" w:themeColor="text1"/>
          <w:kern w:val="0"/>
          <w:szCs w:val="21"/>
          <w14:textFill>
            <w14:solidFill>
              <w14:schemeClr w14:val="tx1"/>
            </w14:solidFill>
          </w14:textFill>
        </w:rPr>
      </w:pPr>
      <w:bookmarkStart w:id="11" w:name="_Toc394474000"/>
      <w:bookmarkStart w:id="12" w:name="_Toc881135"/>
      <w:r>
        <w:rPr>
          <w:rFonts w:hint="eastAsia" w:ascii="宋体" w:hAnsi="Calibri" w:cs="宋体"/>
          <w:color w:val="000000" w:themeColor="text1"/>
          <w:kern w:val="0"/>
          <w:sz w:val="24"/>
          <w14:textFill>
            <w14:solidFill>
              <w14:schemeClr w14:val="tx1"/>
            </w14:solidFill>
          </w14:textFill>
        </w:rPr>
        <w:t>基金财产保管</w:t>
      </w:r>
      <w:bookmarkEnd w:id="11"/>
      <w:bookmarkEnd w:id="12"/>
    </w:p>
    <w:p>
      <w:pPr>
        <w:autoSpaceDE w:val="0"/>
        <w:autoSpaceDN w:val="0"/>
        <w:adjustRightInd w:val="0"/>
        <w:spacing w:line="360" w:lineRule="auto"/>
        <w:jc w:val="left"/>
        <w:rPr>
          <w:rFonts w:ascii="宋体" w:hAnsi="Calibri" w:cs="宋体"/>
          <w:color w:val="000000" w:themeColor="text1"/>
          <w:kern w:val="0"/>
          <w:szCs w:val="2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（一）基金财产保管的原则</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、基金财产应独立于基金管理人、基金托管人、证券经纪机构的固有财产。</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、基金托管人应安全保管基金财产，未经基金管理人的合法合规指令或法律法规、《基金合同》及本协议另有规定，不得自行运用、处分、分配基金的任何财产。</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、基金托管人按照规定开设基金财产的资金账户、证券账户等投资所需账户，相关开户费用由基金资产承担。</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、基金托管人对所托管的不同基金财产分别设置账户，分账管理，独立核算，确保基金财产的完整与独立。</w:t>
      </w:r>
    </w:p>
    <w:p>
      <w:pPr>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对于因为基金认申购、投资产生的应收资产，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基金托管人应予以必要的协助与配合，但对此不承担</w:t>
      </w:r>
      <w:r>
        <w:rPr>
          <w:rFonts w:hint="eastAsia" w:ascii="宋体" w:hAnsi="Calibri" w:cs="宋体"/>
          <w:kern w:val="0"/>
          <w:szCs w:val="21"/>
        </w:rPr>
        <w:t>相应</w:t>
      </w:r>
      <w:r>
        <w:rPr>
          <w:rFonts w:hint="eastAsia"/>
          <w:color w:val="000000" w:themeColor="text1"/>
          <w:szCs w:val="21"/>
          <w14:textFill>
            <w14:solidFill>
              <w14:schemeClr w14:val="tx1"/>
            </w14:solidFill>
          </w14:textFill>
        </w:rPr>
        <w:t>责任。</w:t>
      </w:r>
    </w:p>
    <w:p>
      <w:pPr>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对因为基金管理人投资产生的存放或存管在基金托管人以外机构的基金财产，或交由期货公司或证券公司负责清算交收的基金财产（包括但不限于期货保证金账户内的资金、期货合约等）及其收益，若由于该等机构或该机构会员单位等本协议当事人外第三方的原因给基金财产造成的损失等，基金托管人不承担责任。</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、除依据</w:t>
      </w:r>
      <w:r>
        <w:rPr>
          <w:rFonts w:hint="eastAsia"/>
          <w:color w:val="000000" w:themeColor="text1"/>
          <w:sz w:val="23"/>
          <w:szCs w:val="23"/>
          <w14:textFill>
            <w14:solidFill>
              <w14:schemeClr w14:val="tx1"/>
            </w14:solidFill>
          </w14:textFill>
        </w:rPr>
        <w:t>法律法规</w:t>
      </w:r>
      <w:r>
        <w:rPr>
          <w:rFonts w:hint="eastAsia"/>
          <w:color w:val="000000" w:themeColor="text1"/>
          <w14:textFill>
            <w14:solidFill>
              <w14:schemeClr w14:val="tx1"/>
            </w14:solidFill>
          </w14:textFill>
        </w:rPr>
        <w:t>、《基金合同》及其他有关规定外，基金托管人不得委托第三人托管基金财产。</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w:t>
      </w:r>
      <w:r>
        <w:rPr>
          <w:rFonts w:hint="eastAsia" w:ascii="宋体" w:hAnsi="Calibri" w:cs="宋体"/>
          <w:color w:val="000000" w:themeColor="text1"/>
          <w:kern w:val="0"/>
          <w:szCs w:val="21"/>
          <w14:textFill>
            <w14:solidFill>
              <w14:schemeClr w14:val="tx1"/>
            </w14:solidFill>
          </w14:textFill>
        </w:rPr>
        <w:t>《基金合同》</w:t>
      </w:r>
      <w:r>
        <w:rPr>
          <w:rFonts w:hint="eastAsia"/>
          <w:color w:val="000000" w:themeColor="text1"/>
          <w14:textFill>
            <w14:solidFill>
              <w14:schemeClr w14:val="tx1"/>
            </w14:solidFill>
          </w14:textFill>
        </w:rPr>
        <w:t>生效前募集资金的验资和入账</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基金募集期间募集的资金应存于基金管理人在具有托管资格的银行开立的“基金募集专户”，该账户由基金管理人开立并管理。基金募集期满或基金管理人宣布停止募集时，募集的基金份额总额、基金募集金额、基金份额持有人人数符合《基金法》、《运作办法》等有关规定后，基金管理人应将属于本基金财产的全部资金划入在基金托管人为本基金开立的基金银行账户。同时在</w:t>
      </w:r>
      <w:r>
        <w:rPr>
          <w:color w:val="000000" w:themeColor="text1"/>
          <w14:textFill>
            <w14:solidFill>
              <w14:schemeClr w14:val="tx1"/>
            </w14:solidFill>
          </w14:textFill>
        </w:rPr>
        <w:t>规定时间内</w:t>
      </w:r>
      <w:r>
        <w:rPr>
          <w:rFonts w:hint="eastAsia"/>
          <w:color w:val="000000" w:themeColor="text1"/>
          <w14:textFill>
            <w14:solidFill>
              <w14:schemeClr w14:val="tx1"/>
            </w14:solidFill>
          </w14:textFill>
        </w:rPr>
        <w:t>，由基金管理人在法定期限内聘请符合《中华人民共和国</w:t>
      </w:r>
      <w:r>
        <w:rPr>
          <w:rFonts w:hint="eastAsia"/>
          <w:color w:val="000000" w:themeColor="text1"/>
          <w:szCs w:val="21"/>
          <w14:textFill>
            <w14:solidFill>
              <w14:schemeClr w14:val="tx1"/>
            </w14:solidFill>
          </w14:textFill>
        </w:rPr>
        <w:t>证券法</w:t>
      </w:r>
      <w:r>
        <w:rPr>
          <w:rFonts w:hint="eastAsia"/>
          <w:color w:val="000000" w:themeColor="text1"/>
          <w14:textFill>
            <w14:solidFill>
              <w14:schemeClr w14:val="tx1"/>
            </w14:solidFill>
          </w14:textFill>
        </w:rPr>
        <w:t>》规定的会计师事务所对基金进行验资，并出具验资报告，出具的验资报告应由参加验资的</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名以上</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含</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名</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中国注册会计师签字方为有效。</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、若基金募集期限届满，未能达到</w:t>
      </w:r>
      <w:r>
        <w:rPr>
          <w:rFonts w:hint="eastAsia" w:ascii="宋体" w:hAnsi="Calibri" w:cs="宋体"/>
          <w:color w:val="000000" w:themeColor="text1"/>
          <w:kern w:val="0"/>
          <w:szCs w:val="21"/>
          <w14:textFill>
            <w14:solidFill>
              <w14:schemeClr w14:val="tx1"/>
            </w14:solidFill>
          </w14:textFill>
        </w:rPr>
        <w:t>《基金合同》</w:t>
      </w:r>
      <w:r>
        <w:rPr>
          <w:rFonts w:hint="eastAsia"/>
          <w:color w:val="000000" w:themeColor="text1"/>
          <w14:textFill>
            <w14:solidFill>
              <w14:schemeClr w14:val="tx1"/>
            </w14:solidFill>
          </w14:textFill>
        </w:rPr>
        <w:t>生效的条件，由基</w:t>
      </w:r>
      <w:r>
        <w:rPr>
          <w:rFonts w:hint="eastAsia"/>
          <w:color w:val="000000" w:themeColor="text1"/>
          <w:szCs w:val="21"/>
          <w14:textFill>
            <w14:solidFill>
              <w14:schemeClr w14:val="tx1"/>
            </w14:solidFill>
          </w14:textFill>
        </w:rPr>
        <w:t>金管理人按规定办理退款等事宜，基金托管人应提供必要的协助。</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（三）基金的银行账户（基金托管账户）的开设和管理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、基金托管人应负责本基金的银行账户的开设和管理。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、基金托管人以本基金的名义在具有基金托管资格的商业银行开设本基金的银行账户。本基金的银行预留印鉴为“中信证券股份有限公司托管业务结算专用章”和</w:t>
      </w:r>
      <w:r>
        <w:rPr>
          <w:rFonts w:hint="eastAsia"/>
        </w:rPr>
        <w:t>基金托管人</w:t>
      </w:r>
      <w:r>
        <w:rPr>
          <w:rFonts w:hint="eastAsia"/>
          <w:color w:val="000000" w:themeColor="text1"/>
          <w14:textFill>
            <w14:solidFill>
              <w14:schemeClr w14:val="tx1"/>
            </w14:solidFill>
          </w14:textFill>
        </w:rPr>
        <w:t>有权人名章。本基金的一切货币收支活动，包括但不限于投资、支付赎回金额、支付基金收益、收取申购款，均需通过本基金的银行账户进行。</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、本基金银行账户的开立和使用，限于满足开展本基金业务的需要。基金托管人和基金管理人不得假借本基金的名义开立其他任何银行账户；亦不得使用本基金的银行账户进行本基金业务以外的活动。</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、本基金银行账户的开立和管理应符合法律法规及银行业监督管理机构的有关规定。</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（四）基金证券账户和证券资金账户的开设和管理</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、基金托管人应当代表本基金，以基金托管人和本基金联名的方式在中国证券登记结算有限责任公司（以下简称为“中登公司”）开设证券账户。</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、本基金证券账户的开立和使用，限于满足开展本基金业务的需要。基金托管人和基金管理人不得出借或未经另一方同意擅自转让本基金的证券账户；亦不得使用本基金的证券账户进行本基金业务以外的活动。</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基金证券账户的开立由基金托管人负责，账户资产的管理和运用由基金管理人负责。</w:t>
      </w:r>
    </w:p>
    <w:p>
      <w:pPr>
        <w:spacing w:line="360" w:lineRule="auto"/>
        <w:ind w:firstLine="424" w:firstLineChars="20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、证券账户开立后，证券经纪商选择指定营业网点为本基金开立证券资金账户，并通知基金托管人，该证券资金账户与基金托管账户之间建立银证转账对应关系。</w:t>
      </w:r>
    </w:p>
    <w:p>
      <w:pPr>
        <w:spacing w:line="360" w:lineRule="auto"/>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交易所证券交易资金采用第三方存管模式，即用于证券交易结算资金全额存放在基金管理人为基金开设证券资金账户中，场内的证券交易资金清算由基金管理人所选择的证券公司负责。基金托管人不负责办理场内的证券交易资金清算，也不负责保管证券资金账户内存放的资金。</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6、在本托管协议生效日之后，本基金被允许从事其他投资品种的投资业务的，涉及相关账户的开设、使用的，若无相关规定，则基金托管人应当比照并遵守上述关于账户开设、使用的规定。</w:t>
      </w:r>
    </w:p>
    <w:p>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（五）债券托管账户的开设和管理</w:t>
      </w:r>
    </w:p>
    <w:p>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基金合同》生效后，基金管理人负责以基金的名义申请并取得进入全国银行间同业拆借市场的交易资格，并代表基金进行交易；基金托管人根据中国人民银行、银行间市场登记结算机构的有关规定，以基金的名义在中央国债登记结算有限责任公司、银行间市场清算所股份有限公司开设银行间债券市场债券托管账户和资金结算专户，并代表基金进行银行间债券市场债券和资金的清算。基金管理人和基金托管人应共同负责完成银行间债券市场准入备案。</w:t>
      </w:r>
    </w:p>
    <w:p>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（六）期货账户的开设和管理</w:t>
      </w:r>
    </w:p>
    <w:p>
      <w:pPr>
        <w:spacing w:line="360" w:lineRule="auto"/>
        <w:ind w:firstLine="525"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基金管理人根据投资需要按照规定开立期货保证金账户及期货交易编码等。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pPr>
        <w:spacing w:line="360" w:lineRule="auto"/>
        <w:ind w:firstLine="525"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基金托管人和基金管理人应当在开户过程中相互配合，并提供所需资料。基金管理人保证所提供的账户开户材料的真实性和有效性，且在相关资料变更后及时将变更的资料提供给基金托管人。</w:t>
      </w:r>
    </w:p>
    <w:p>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（七）其他账户的开立和管理</w:t>
      </w:r>
    </w:p>
    <w:p>
      <w:pPr>
        <w:spacing w:line="360" w:lineRule="auto"/>
        <w:ind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、因业务发展需要而开立的其他账户，可以根据法律法规和</w:t>
      </w:r>
      <w:r>
        <w:rPr>
          <w:rFonts w:hint="eastAsia" w:ascii="宋体" w:hAnsi="Calibri" w:cs="宋体"/>
          <w:color w:val="000000" w:themeColor="text1"/>
          <w:kern w:val="0"/>
          <w:szCs w:val="21"/>
          <w14:textFill>
            <w14:solidFill>
              <w14:schemeClr w14:val="tx1"/>
            </w14:solidFill>
          </w14:textFill>
        </w:rPr>
        <w:t>《基金合同》</w:t>
      </w:r>
      <w:r>
        <w:rPr>
          <w:rFonts w:hint="eastAsia"/>
          <w:color w:val="000000" w:themeColor="text1"/>
          <w14:textFill>
            <w14:solidFill>
              <w14:schemeClr w14:val="tx1"/>
            </w14:solidFill>
          </w14:textFill>
        </w:rPr>
        <w:t>的规定，由基金管理人协助基金托管人按照有关法律法规和本协议的约定协商后开立。新账户按有关规定使用并管理。</w:t>
      </w:r>
    </w:p>
    <w:p>
      <w:pPr>
        <w:spacing w:line="360" w:lineRule="auto"/>
        <w:ind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、法律法规等有关规定对相关账户的开立和管理另有规定的，从其规定办理。</w:t>
      </w:r>
    </w:p>
    <w:p>
      <w:pPr>
        <w:spacing w:line="360" w:lineRule="auto"/>
        <w:ind w:firstLine="525"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（八）基金投资银行存款账户的开立和管理</w:t>
      </w:r>
    </w:p>
    <w:p>
      <w:pPr>
        <w:spacing w:line="360" w:lineRule="auto"/>
        <w:ind w:firstLine="525"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基金投资银行定期存款应由基金管理人与存款银行总行或其授权分行签订总体合作协议，并将资金存放于存款银行总行或其授权分行指定的分支机构。</w:t>
      </w:r>
    </w:p>
    <w:p>
      <w:pPr>
        <w:spacing w:line="360" w:lineRule="auto"/>
        <w:ind w:firstLine="525"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存款账户必须以基金名义开立，账户名称为基金名称，存款账户开户文件上加盖预留印鉴及基金管理人公章。预留印鉴为“中信证券股份有限公司托管业务结算专用章”和</w:t>
      </w:r>
      <w:r>
        <w:rPr>
          <w:rFonts w:hint="eastAsia"/>
        </w:rPr>
        <w:t>基金托管人</w:t>
      </w:r>
      <w:r>
        <w:rPr>
          <w:rFonts w:hint="eastAsia"/>
          <w:color w:val="000000" w:themeColor="text1"/>
          <w14:textFill>
            <w14:solidFill>
              <w14:schemeClr w14:val="tx1"/>
            </w14:solidFill>
          </w14:textFill>
        </w:rPr>
        <w:t>有权人名章。存款证实书原件由基金托管人负责保管。</w:t>
      </w:r>
    </w:p>
    <w:p>
      <w:pPr>
        <w:spacing w:line="360" w:lineRule="auto"/>
        <w:ind w:firstLine="525"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本基金投资银行存款时，基金管理人应当与存款银行签订具体存款协议，明确存款的类型、期限、利率、金额、账号、对账方式、支取方式、账户管理等细则。存款协议</w:t>
      </w:r>
      <w:r>
        <w:rPr>
          <w:rFonts w:hint="eastAsia"/>
          <w:bCs/>
          <w:color w:val="000000" w:themeColor="text1"/>
          <w14:textFill>
            <w14:solidFill>
              <w14:schemeClr w14:val="tx1"/>
            </w14:solidFill>
          </w14:textFill>
        </w:rPr>
        <w:t>须约定将基金托管人为本基金开立的托管银行账户指定为唯一回款账户，</w:t>
      </w:r>
      <w:r>
        <w:rPr>
          <w:rFonts w:hint="eastAsia"/>
          <w:color w:val="000000" w:themeColor="text1"/>
          <w14:textFill>
            <w14:solidFill>
              <w14:schemeClr w14:val="tx1"/>
            </w14:solidFill>
          </w14:textFill>
        </w:rPr>
        <w:t>任何情况下，存款银行都不得将存款本息划往任何其他账户。</w:t>
      </w:r>
    </w:p>
    <w:p>
      <w:pPr>
        <w:spacing w:line="360" w:lineRule="auto"/>
        <w:ind w:firstLine="525"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为防范特殊情况下的流动性风险，定期存款协议中应当约定提前支取条款。</w:t>
      </w:r>
    </w:p>
    <w:p>
      <w:pPr>
        <w:spacing w:line="360" w:lineRule="auto"/>
        <w:ind w:firstLine="525"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基金所投资定期存款存续期间，基金管理人、基金托管人应当与存款银行建立定期对账机制，确保基金银行存款业务账目及核对的真实、准确。</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（九）基金财产投资的有关有价凭证的保管</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实物证券、银行定期存款存单等有价凭证由基金托管人存放于其档案库</w:t>
      </w:r>
      <w:r>
        <w:rPr>
          <w:rFonts w:hint="eastAsia"/>
        </w:rPr>
        <w:t>或保险柜</w:t>
      </w:r>
      <w:r>
        <w:rPr>
          <w:rFonts w:hint="eastAsia"/>
          <w:color w:val="000000" w:themeColor="text1"/>
          <w14:textFill>
            <w14:solidFill>
              <w14:schemeClr w14:val="tx1"/>
            </w14:solidFill>
          </w14:textFill>
        </w:rPr>
        <w:t>，但要与非本基金的其他有价凭证分开保管。保管凭证由基金托管人持有，基金托管人承担保管职责。</w:t>
      </w:r>
      <w:r>
        <w:rPr>
          <w:rFonts w:hint="eastAsia" w:ascii="宋体" w:hAnsi="Calibri" w:cs="宋体"/>
          <w:color w:val="000000" w:themeColor="text1"/>
          <w:kern w:val="0"/>
          <w:sz w:val="22"/>
          <w:szCs w:val="22"/>
          <w:lang w:val="zh-CN"/>
          <w14:textFill>
            <w14:solidFill>
              <w14:schemeClr w14:val="tx1"/>
            </w14:solidFill>
          </w14:textFill>
        </w:rPr>
        <w:t>基金托管人对由基金托管人以外机构实际有效控制的证券不承担保管责任</w:t>
      </w:r>
      <w:r>
        <w:rPr>
          <w:rFonts w:hint="eastAsia"/>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（十）与基金财产有关的重大合同及有关凭证的保管</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基金托管人按照法律法规保管由基金管理人代表基金签署的与基金有关的重大合同及有关凭证。基金管理人代表基金签署有关重大合同后应在收到合同正本后</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的保管期限不少于法律法规的规定。</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对于无法取得二份以上的正本的，基金管理人应向基金托管人提供与合同原件核对一致的并加盖基金管理人公章的合同传真件或复印件或扫描件，未经双方协商一致，合同原件不得转移。</w:t>
      </w:r>
    </w:p>
    <w:p>
      <w:pPr>
        <w:spacing w:line="360" w:lineRule="auto"/>
        <w:ind w:firstLine="420" w:firstLineChars="200"/>
        <w:rPr>
          <w:color w:val="000000" w:themeColor="text1"/>
          <w14:textFill>
            <w14:solidFill>
              <w14:schemeClr w14:val="tx1"/>
            </w14:solidFill>
          </w14:textFill>
        </w:rPr>
      </w:pPr>
    </w:p>
    <w:p>
      <w:pPr>
        <w:pStyle w:val="2"/>
        <w:numPr>
          <w:ilvl w:val="0"/>
          <w:numId w:val="1"/>
        </w:numPr>
        <w:spacing w:before="120" w:after="120" w:line="360" w:lineRule="auto"/>
        <w:jc w:val="center"/>
        <w:rPr>
          <w:rFonts w:ascii="宋体"/>
          <w:b w:val="0"/>
          <w:color w:val="000000" w:themeColor="text1"/>
          <w:kern w:val="0"/>
          <w:sz w:val="24"/>
          <w:szCs w:val="24"/>
          <w14:textFill>
            <w14:solidFill>
              <w14:schemeClr w14:val="tx1"/>
            </w14:solidFill>
          </w14:textFill>
        </w:rPr>
      </w:pPr>
      <w:bookmarkStart w:id="13" w:name="_Toc881136"/>
      <w:bookmarkStart w:id="14" w:name="_Toc394474001"/>
      <w:r>
        <w:rPr>
          <w:rFonts w:hint="eastAsia" w:ascii="宋体"/>
          <w:color w:val="000000" w:themeColor="text1"/>
          <w:kern w:val="0"/>
          <w:sz w:val="24"/>
          <w:szCs w:val="24"/>
          <w14:textFill>
            <w14:solidFill>
              <w14:schemeClr w14:val="tx1"/>
            </w14:solidFill>
          </w14:textFill>
        </w:rPr>
        <w:t>指令的发送、确认及执行</w:t>
      </w:r>
      <w:bookmarkEnd w:id="13"/>
      <w:bookmarkEnd w:id="14"/>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基金管理人在运用基金财产时，开展场内证券交易前，基金管理人通过基金银行账户与证券资金账户已建立的第三方存管系统在基金银行账户与证券资金账户之间划款，即银证互转；银证互转由基金托管人根据基金管理人的划款指令执行。</w:t>
      </w:r>
    </w:p>
    <w:p>
      <w:pPr>
        <w:pStyle w:val="17"/>
        <w:spacing w:line="360" w:lineRule="auto"/>
        <w:ind w:left="45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（一）基金管理人对发送指令人员的书面授权</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基金管理人应当事先向基金托管人发出书面通知（以下称“授权通知”），载明基金管理人有权发送指令的人员名单（以下称“指令发送人员”）及各个人员的权限范围。基金管理人应向基金托管人提供预留印鉴样本、指令发送人员的名章样本和签字样本。</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基金管理人向基金托管人发出的授权通知应由基金管理人盖公章。基金托管人在收到授权通知原件或邮件扫描件并经电话确认后，授权通知即生效。如果授权通知中载明具体生效时间的，该生效时间不得早于基金托管人收到授权通知并经电话确认的时点。如早于前述时间，则以基金托管人收到授权通知并经电话确认的时点为授权通知的生效时间。</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于基金管理人拟通过基金托管人电子服务平台发送划款指令的，基金管理人需与基金托管人签署相关服务协议，并提供授权通知及其他基金托管人要求的材料，由基金托管人为基金管理人的被授权人在电子服务平台配置相关操作权限。</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于基金管理人通过深证通金融数据交换平台电子直连的方式向托管人发出划款指令的（以下简称“深证通电子直连”），基金管理人应确保划款指令合法有效。对于已通过深证通数据接口识别并进入基金托管人指令系统的划款指令，基金管理人不可否认其效力，并视为已通过基金管理人的适当授权。</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、基金管理人和基金托管人对授权通知及其更改负有保密义务，除法律法规规定或有权机关要求外，其内容不得向指令发送人员及相关操作人员以外的任何人披露、泄露。</w:t>
      </w:r>
    </w:p>
    <w:p>
      <w:pPr>
        <w:pStyle w:val="17"/>
        <w:spacing w:line="360" w:lineRule="auto"/>
        <w:ind w:left="45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（二）指令的内容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指令包括付款指令（含赎回、分红付款指令、银行间业务划款指令）以及其他资金划拨指令等。对于通过传真或电子邮件发送扫描件方式发送的指令，基金管理人发送给基金托管人的划款指令应写明以下要素：资金用途、支付时间、金额、账户信息等，加盖预留印鉴并由被授权人签字或加盖名章；对于通过深证通电子直连方式发送的指令、电子服务平台发送的划款指令或由电子平台推送给基金管理人并需基金管理人确认后才能发送的划款指令，基金管理人的被授权人向基金托管人发送划款指令时应写明以下要素：资金用途、支付时间、金额、账户信息等（以上内容统称为“划款指令的书面要素”）。</w:t>
      </w:r>
    </w:p>
    <w:p>
      <w:pPr>
        <w:pStyle w:val="17"/>
        <w:ind w:left="45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（三）指令的发送、确认和执行</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、指令由“授权通知”确定的指令发送人员代表基金管理人</w:t>
      </w:r>
      <w:r>
        <w:rPr>
          <w:rFonts w:hint="eastAsia"/>
          <w:color w:val="000000" w:themeColor="text1"/>
          <w:szCs w:val="21"/>
          <w14:textFill>
            <w14:solidFill>
              <w14:schemeClr w14:val="tx1"/>
            </w14:solidFill>
          </w14:textFill>
        </w:rPr>
        <w:t>通过</w:t>
      </w:r>
      <w:r>
        <w:rPr>
          <w:rFonts w:hint="eastAsia"/>
          <w:color w:val="000000" w:themeColor="text1"/>
          <w14:textFill>
            <w14:solidFill>
              <w14:schemeClr w14:val="tx1"/>
            </w14:solidFill>
          </w14:textFill>
        </w:rPr>
        <w:t>传真、电子邮件发送扫描件、深证通电子直连或电子服务平台的方式向基金托管人发送。对于指令发送人员发出的指令，基金管理人不得否认其效力。</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基金管理人应按照《基金合同》和有关法律法规的规定，在其合法的经营权限和交易权限内，并依据相关业务规则发送指令。对于通过传真或电子邮件发送扫描件方式发送的划款指令，基金管理人有义务在发送划款指令后及时与基金托管人进行录音电话确认。因基金管理人未能及时与基金托管人进行指令确认</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致使资金未能及时到账所造成的损失不由基金托管人承担。对于通过深证通电子直连或电子服务平台发送的划款指令，基金管理人需在划款指令跟踪界面查看划款指令是否完成。如果由于基金托管人自身过错影响资金未能及时到账所造成的损失由基金托管人承担。</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基金托管人在接收指令时，应对投资指令的书面要素进行表面一致性形式审查，并根据《基金合同》和有关法律法规的规定对指令的内容合规性进行检查。对于通过传真或电子邮件发送扫描件方式发送的指令，基金托管人表面一致性形式审查的方式限于验证划款指令的前述书面要素是否齐全、审核划款指令用章和签发人的签字或名章是否与预留印鉴样本、被授权人的签字样本或名章样本相符、操作权限是否与授权通知一致；对于通过深证通电子直连或电子服务平台方式发送的划款指令，视为由基金管理人有效被授权人发送，基金托管人形式审查的方式限于验证划款指令的前述书面要素是否齐全。对表面一致性形式审查无误、合法合规的指令，基金托管人应在规定期限内执行，不得延误。</w:t>
      </w:r>
    </w:p>
    <w:p>
      <w:pPr>
        <w:spacing w:line="360" w:lineRule="auto"/>
        <w:ind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、基金管理人在发送指令时，应为基金托管人执行指令留出执行指令时所必需的时间。发送指令日完成划款的指令，基金管理人应给基金托管人预留至少距划款截至时点</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个工作小时（工作时间：工作日</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00-11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00-17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）的指令执行时间。因基金管理人原因导致指令传输不及时而未能留出足够的执行时间，致使指令未能及时执行所造成的损失由基金管理人承担。</w:t>
      </w:r>
    </w:p>
    <w:p>
      <w:pPr>
        <w:spacing w:line="360" w:lineRule="auto"/>
        <w:ind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、对于</w:t>
      </w:r>
      <w:r>
        <w:rPr>
          <w:color w:val="000000" w:themeColor="text1"/>
          <w14:textFill>
            <w14:solidFill>
              <w14:schemeClr w14:val="tx1"/>
            </w14:solidFill>
          </w14:textFill>
        </w:rPr>
        <w:t>T</w:t>
      </w:r>
      <w:r>
        <w:rPr>
          <w:rFonts w:hint="eastAsia"/>
          <w:color w:val="000000" w:themeColor="text1"/>
          <w14:textFill>
            <w14:solidFill>
              <w14:schemeClr w14:val="tx1"/>
            </w14:solidFill>
          </w14:textFill>
        </w:rPr>
        <w:t>日交收的投资交易，基金管理人应于</w:t>
      </w:r>
      <w:r>
        <w:rPr>
          <w:color w:val="000000" w:themeColor="text1"/>
          <w14:textFill>
            <w14:solidFill>
              <w14:schemeClr w14:val="tx1"/>
            </w14:solidFill>
          </w14:textFill>
        </w:rPr>
        <w:t>T</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15:00</w:t>
      </w:r>
      <w:r>
        <w:rPr>
          <w:rFonts w:hint="eastAsia"/>
          <w:color w:val="000000" w:themeColor="text1"/>
          <w14:textFill>
            <w14:solidFill>
              <w14:schemeClr w14:val="tx1"/>
            </w14:solidFill>
          </w14:textFill>
        </w:rPr>
        <w:t>之前发送指令至基金托管人并进行电话确认，基金托管人应根据本协议要求按投资指令执行。</w:t>
      </w:r>
      <w:r>
        <w:rPr>
          <w:color w:val="000000" w:themeColor="text1"/>
          <w14:textFill>
            <w14:solidFill>
              <w14:schemeClr w14:val="tx1"/>
            </w14:solidFill>
          </w14:textFill>
        </w:rPr>
        <w:t>15:00</w:t>
      </w:r>
      <w:r>
        <w:rPr>
          <w:rFonts w:hint="eastAsia"/>
          <w:color w:val="000000" w:themeColor="text1"/>
          <w14:textFill>
            <w14:solidFill>
              <w14:schemeClr w14:val="tx1"/>
            </w14:solidFill>
          </w14:textFill>
        </w:rPr>
        <w:t>之后发送的，基金托管人尽力执行但不保证执行成功，由于基金管理人未能在规定时间内向基金托管人发送指令导致划付失败的，由基金管理人承担该责任，基金托管人不承担该责任。</w:t>
      </w:r>
    </w:p>
    <w:p>
      <w:pPr>
        <w:spacing w:line="360" w:lineRule="auto"/>
        <w:ind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基金管理人应确保基金托管人在执行指令时基金的银行存款账户有足够的资金余额，确保基金的证券账户有足够的证券余额。对超头寸的指令，基金托管人可不予立刻执行，但应立即通知基金管理人，待头寸足额后，基金托管人应立刻执行指令，由此造成的损失，不由基金托管人承担。</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（四）基金管理人发送错误指令的情形和处理程序</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基金管理人发送错误指令的情形包括指令违反法律法规和本协议，指令发送人员无权或超越权限发送指令，指令发送人员发送的指令不能辨识或投资指令的要素不全导致无法执行等情形。</w:t>
      </w:r>
    </w:p>
    <w:p>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基金托管人在履行监督职能时，发现基金管理人的指令错误时，有权拒绝执行，并及时通知基金管理人改正。基金管理人如需撤销指令，应在基金托管人执行指令之前出具书面撤销说明或在原指令上注明“作废”，并加盖预留印鉴发送给基金托管人，并与基金托管人进行电话确认，基金托管人确认后，该书面撤销的说明或指令生效。如果基金托管人在收到书面撤销的说明或指令前已执行原指令，由此造成的损失由基金管理人承担。</w:t>
      </w:r>
    </w:p>
    <w:p>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（五）基金托管人依照法律法规暂缓、拒绝执行指令的情形和处理程序</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基金托管人发现基金管理人的指令违法、违规的，有权视情况暂缓或不予执行，并及时书面通知基金管理人纠正。基金管理人收到通知后应及时核对，并以书面形式对基金托管人发出回函确认，基金管理人未予书面回函确认的，也视为同意基金托管人的处理，由此造成的损失由基金管理人承担。</w:t>
      </w:r>
    </w:p>
    <w:p>
      <w:pPr>
        <w:spacing w:line="360" w:lineRule="auto"/>
        <w:ind w:firstLine="315" w:firstLineChars="1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（六）基金托管人未按照基金管理人指令执行的处理方法</w:t>
      </w:r>
    </w:p>
    <w:p>
      <w:pPr>
        <w:spacing w:line="360" w:lineRule="auto"/>
        <w:ind w:firstLine="525"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对于基金管理人的有效指令和通知，除非违反法律法规、</w:t>
      </w:r>
      <w:r>
        <w:rPr>
          <w:rFonts w:hint="eastAsia" w:ascii="宋体" w:hAnsi="Calibri" w:cs="宋体"/>
          <w:color w:val="000000" w:themeColor="text1"/>
          <w:kern w:val="0"/>
          <w:szCs w:val="21"/>
          <w14:textFill>
            <w14:solidFill>
              <w14:schemeClr w14:val="tx1"/>
            </w14:solidFill>
          </w14:textFill>
        </w:rPr>
        <w:t>《基金合同》</w:t>
      </w:r>
      <w:r>
        <w:rPr>
          <w:rFonts w:hint="eastAsia"/>
          <w:color w:val="000000" w:themeColor="text1"/>
          <w14:textFill>
            <w14:solidFill>
              <w14:schemeClr w14:val="tx1"/>
            </w14:solidFill>
          </w14:textFill>
        </w:rPr>
        <w:t>、托管协议，基金托管人不得无故拒绝或拖延执行。基金托管人因过错未按照基金管理人符合法律法规、</w:t>
      </w:r>
      <w:r>
        <w:rPr>
          <w:rFonts w:hint="eastAsia" w:ascii="宋体" w:hAnsi="Calibri" w:cs="宋体"/>
          <w:color w:val="000000" w:themeColor="text1"/>
          <w:kern w:val="0"/>
          <w:szCs w:val="21"/>
          <w14:textFill>
            <w14:solidFill>
              <w14:schemeClr w14:val="tx1"/>
            </w14:solidFill>
          </w14:textFill>
        </w:rPr>
        <w:t>《基金合同》</w:t>
      </w:r>
      <w:r>
        <w:rPr>
          <w:rFonts w:hint="eastAsia"/>
          <w:color w:val="000000" w:themeColor="text1"/>
          <w14:textFill>
            <w14:solidFill>
              <w14:schemeClr w14:val="tx1"/>
            </w14:solidFill>
          </w14:textFill>
        </w:rPr>
        <w:t>及本协议规定的有效指令执行或拖延执行基金管理人的前述有效指令，致使基金的利益受到损害的，基金托管人应负赔偿责任。</w:t>
      </w:r>
    </w:p>
    <w:p>
      <w:pPr>
        <w:spacing w:line="360" w:lineRule="auto"/>
        <w:ind w:firstLine="315" w:firstLineChars="15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（七）被授权人员及授权权限的变更</w:t>
      </w:r>
      <w:r>
        <w:rPr>
          <w:color w:val="000000" w:themeColor="text1"/>
          <w14:textFill>
            <w14:solidFill>
              <w14:schemeClr w14:val="tx1"/>
            </w14:solidFill>
          </w14:textFill>
        </w:rPr>
        <w:tab/>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基金管理人若对授权通知的内容进行修改（包括但不限于指令发送人员的名单的修改，及</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或权限的修改），应当至少提前</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个工作日通知基金托管人；修改授权通知的文件应由基金管理人加盖公章。基金管理人对授权通知的修改应当至少提前</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工作日以传真或邮件扫描件的形式发送给基金托管人，同时电话通知基金托管人，基金托管人收到变更通知后应向基金管理人电话确认。基金管理人对授权通知的内容的修改自通知送达基金托管人并经基金托管人确认无异议之时起生效。基金管理人在此后</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个工作日内将对授权通知修改的文件原件送交基金托管人，原件与传真件不一致的，基金托管人应及时与基金管理人联系予以确认，在确认前基金托管人以传真件为准执行指令，由此产生的责任由基金管理人承担。基金管理人更换被授权人通知生效后，对于已被撤换的人员无权发送的指令，或被改变授权人员超权限发送的指令，基金托管人不予执行。如因基金托管人过错造成损失的，由基金托管人承担责任。</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基金托管人更换接收基金管理人指令的人员，应提前通过录音电话通知基金管理人，并随后向基金管理人发送更换后的名单且注明更换日期。</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（八）其他事项</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除因其自身故意或重大过失原因致使基金的利益受到损害而负赔偿责任外，基金托管人按照法律法规、本协议的规定执行基金管理人指令而引起的相应损失，基金托管人不负赔偿责任。</w:t>
      </w:r>
    </w:p>
    <w:p>
      <w:pPr>
        <w:spacing w:line="360" w:lineRule="auto"/>
        <w:ind w:firstLine="420" w:firstLineChars="200"/>
        <w:rPr>
          <w:color w:val="000000" w:themeColor="text1"/>
          <w14:textFill>
            <w14:solidFill>
              <w14:schemeClr w14:val="tx1"/>
            </w14:solidFill>
          </w14:textFill>
        </w:rPr>
      </w:pPr>
    </w:p>
    <w:p>
      <w:pPr>
        <w:pStyle w:val="2"/>
        <w:numPr>
          <w:ilvl w:val="0"/>
          <w:numId w:val="1"/>
        </w:numPr>
        <w:spacing w:before="120" w:after="120" w:line="360" w:lineRule="auto"/>
        <w:jc w:val="center"/>
        <w:rPr>
          <w:rFonts w:ascii="宋体"/>
          <w:b w:val="0"/>
          <w:color w:val="000000" w:themeColor="text1"/>
          <w:kern w:val="0"/>
          <w:sz w:val="24"/>
          <w:szCs w:val="24"/>
          <w14:textFill>
            <w14:solidFill>
              <w14:schemeClr w14:val="tx1"/>
            </w14:solidFill>
          </w14:textFill>
        </w:rPr>
      </w:pPr>
      <w:bookmarkStart w:id="15" w:name="_Toc421544159"/>
      <w:bookmarkEnd w:id="15"/>
      <w:bookmarkStart w:id="16" w:name="_Toc394474002"/>
      <w:bookmarkStart w:id="17" w:name="_Toc881137"/>
      <w:r>
        <w:rPr>
          <w:rFonts w:hint="eastAsia" w:ascii="宋体"/>
          <w:color w:val="000000" w:themeColor="text1"/>
          <w:kern w:val="0"/>
          <w:sz w:val="24"/>
          <w:szCs w:val="24"/>
          <w14:textFill>
            <w14:solidFill>
              <w14:schemeClr w14:val="tx1"/>
            </w14:solidFill>
          </w14:textFill>
        </w:rPr>
        <w:t>交易及清算交收安排</w:t>
      </w:r>
      <w:bookmarkEnd w:id="16"/>
      <w:bookmarkEnd w:id="17"/>
    </w:p>
    <w:p>
      <w:pPr>
        <w:pStyle w:val="17"/>
        <w:ind w:left="450" w:firstLine="0" w:firstLineChars="0"/>
        <w:rPr>
          <w:color w:val="000000" w:themeColor="text1"/>
          <w14:textFill>
            <w14:solidFill>
              <w14:schemeClr w14:val="tx1"/>
            </w14:solidFill>
          </w14:textFill>
        </w:rPr>
      </w:pP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（一）基金管理人负责选择代理本基金证券、期货买卖的证券经纪机构、期货经纪机构。</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1、选择代理证券买卖的证券经纪机构的标准：</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基金管理人应制定选择代理证券买卖的证券经纪机构的标准和程序。基金管理人负责选择代理本基金证券买卖的证券经纪机构。</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2、选择代理证券买卖的证券经纪机构的程序</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基金管理人根据相关标准进行考察后确定证券经纪机构。基金管理人与基金托管人及证券经纪商签订本基金的证券经纪服务协议，基金管理人、基金托管人和证券经纪商可就基金参与证券交易的具体事项另行签订协议。 </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3、相关信息的通知</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基金管理人应及时将本基金财产的佣金费率等基本信息以及变更情况及时以书面形式通知基金托管人，以便基金托管人估值核算使用。 </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基金管理人负责选择代理本基金期货交易的期货经纪机构，并与期货经纪机构、基金托管人共同签订期货经纪合同，其他事宜根据法律法规、《基金合同》的相关规定执行，若无明确规定的，可参照有关证券买卖、证券经纪机构选择的规则执行。</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（二）基金清算交收</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1、证券交易所资金结算</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本基金通过证券经纪商进行的交易由证券经纪商作为结算参与人代理本基金进行结算；基金托管人负责基金场外买卖证券的清算交收，场外资金汇划由基金托管人根据基金管理人的场外交易划款指令具体办理。</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基金托管人、基金管理人应共同遵守中登公司制定的相关业务规则和规定，该等规则和规定自动成为本条款约定的内容。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基金管理人在投资前，应充分知晓与理解中登公司针对各类交易品种制定结算业务规则和规定。</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证券经纪商代理本基金财产与中登公司完成证券交易及非交易涉及的证券资金结算业务，并承担由证券经纪商原因造成的正常结算、交收业务无法完成的责任；若由于基金管理人原因造成的正常结算业务无法完成，责任由基金管理人承担。</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2、其它场外交易资金结算</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场外资金对外投资划款由基金托管人凭基金管理人符合本托管协议约定的有效资金划拨指令和相关投资合同（如有）进行资金划拨；场外投资本金及收益的划回，由基金管理人负责协调相关资金划拨回基金托管账户事宜。</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（三）资金、证券账目和交易记录核对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）交易记录的核对</w:t>
      </w:r>
      <w:r>
        <w:rPr>
          <w:color w:val="000000" w:themeColor="text1"/>
          <w:szCs w:val="21"/>
          <w14:textFill>
            <w14:solidFill>
              <w14:schemeClr w14:val="tx1"/>
            </w14:solidFill>
          </w14:textFill>
        </w:rPr>
        <w:t xml:space="preserve"> </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基金管理人按日进行交易记录的核对。每日对外披露净值之前，必须保证当天所有实际交易记录与基金会计账簿上的交易记录完全一致。如果实际交易记录</w:t>
      </w:r>
      <w:r>
        <w:rPr>
          <w:rFonts w:hint="eastAsia"/>
          <w:color w:val="000000" w:themeColor="text1"/>
          <w14:textFill>
            <w14:solidFill>
              <w14:schemeClr w14:val="tx1"/>
            </w14:solidFill>
          </w14:textFill>
        </w:rPr>
        <w:t>与会计账簿记录不一致，造成基金会计核算不完整或不真实，由此导致的损失由基金管理人承担。</w:t>
      </w:r>
      <w:r>
        <w:rPr>
          <w:color w:val="000000" w:themeColor="text1"/>
          <w14:textFill>
            <w14:solidFill>
              <w14:schemeClr w14:val="tx1"/>
            </w14:solidFill>
          </w14:textFill>
        </w:rPr>
        <w:t xml:space="preserve"> </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）资金账目的核对</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资金账目按日核实。</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）证券账目的核对</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基金管理人和基金托管人每交易日结束后核对基金交易所场内证券账目，确保双方账目相符。基金管理人和基金托管人每月月末最后一个交易日核对非交易所场内的证券账目。</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（四）申购、赎回和基金转换的资金清算</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1、T日，投资者进行基金申购、赎回和转换申请，基金管理人和基金托管人分别计算基金资产净值，并进行核对。</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T+1日，登记机构根据T日各类基金份额净值计算申购份额、赎回金额及转换份额，更新基金份额持有人数据库；并将确认的申购、赎回及转换数据向基金托管人、基金管理人传送。基金管理人、基金托管人根据确认数据进行账务处理。</w:t>
      </w:r>
    </w:p>
    <w:p>
      <w:pPr>
        <w:spacing w:line="360" w:lineRule="auto"/>
        <w:ind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基金托管账户与“基金清算账户”间的资金清算遵循“全额清算、净额交收”的原则，即按照托管账户当日应收额（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在交收日15:00前从“基金清算账户”划到基金托管账户；当存在托管账户净应付额时，基金管理人需提前2小时发送划款指令，基金托管人按基金管理人的划款指令将托管账户净应付额在交收日12:00前划到“基金清算账户”。</w:t>
      </w:r>
    </w:p>
    <w:p>
      <w:pPr>
        <w:spacing w:line="360" w:lineRule="auto"/>
        <w:ind w:firstLine="4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基金管理人未能按上款约定将托管账户应收额全额、及时汇至基金的托管账户，由此产生的责任应由该基金管理人承担；基金托管人未能按上款约定将托管账户应付额全额、及时汇至“基金清算账户”，由此产生的责任应由基金托管人承担。</w:t>
      </w:r>
    </w:p>
    <w:p>
      <w:pPr>
        <w:spacing w:line="360" w:lineRule="auto"/>
        <w:ind w:firstLine="4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基金管理人应将每个开放日的申购、赎回、转换开放式基金的数据传送给基金托管人。基金管理人应对传递的申购、赎回、转换开放式基金的数据真实性负责。基金托管人应及时查收申购资金的到账情况并根据基金管理人指令及时划付赎回款项。</w:t>
      </w:r>
    </w:p>
    <w:p>
      <w:pPr>
        <w:spacing w:line="360" w:lineRule="auto"/>
        <w:ind w:firstLine="420"/>
        <w:rPr>
          <w:color w:val="000000" w:themeColor="text1"/>
          <w14:textFill>
            <w14:solidFill>
              <w14:schemeClr w14:val="tx1"/>
            </w14:solidFill>
          </w14:textFill>
        </w:rPr>
      </w:pPr>
    </w:p>
    <w:p>
      <w:pPr>
        <w:pStyle w:val="2"/>
        <w:numPr>
          <w:ilvl w:val="0"/>
          <w:numId w:val="1"/>
        </w:numPr>
        <w:spacing w:before="120" w:after="120" w:line="360" w:lineRule="auto"/>
        <w:jc w:val="center"/>
        <w:rPr>
          <w:rFonts w:ascii="宋体"/>
          <w:color w:val="000000" w:themeColor="text1"/>
          <w:kern w:val="0"/>
          <w:sz w:val="24"/>
          <w:szCs w:val="24"/>
          <w14:textFill>
            <w14:solidFill>
              <w14:schemeClr w14:val="tx1"/>
            </w14:solidFill>
          </w14:textFill>
        </w:rPr>
      </w:pPr>
      <w:bookmarkStart w:id="18" w:name="_Toc421544161"/>
      <w:bookmarkEnd w:id="18"/>
      <w:bookmarkStart w:id="19" w:name="_Toc394474003"/>
      <w:bookmarkStart w:id="20" w:name="_Toc881138"/>
      <w:r>
        <w:rPr>
          <w:rFonts w:hint="eastAsia" w:ascii="宋体"/>
          <w:color w:val="000000" w:themeColor="text1"/>
          <w:kern w:val="0"/>
          <w:sz w:val="24"/>
          <w:szCs w:val="24"/>
          <w14:textFill>
            <w14:solidFill>
              <w14:schemeClr w14:val="tx1"/>
            </w14:solidFill>
          </w14:textFill>
        </w:rPr>
        <w:t>基金资产净值计算和会计核算</w:t>
      </w:r>
      <w:bookmarkEnd w:id="19"/>
      <w:bookmarkEnd w:id="20"/>
    </w:p>
    <w:p>
      <w:pPr>
        <w:pStyle w:val="17"/>
        <w:ind w:left="450" w:firstLine="0" w:firstLineChars="0"/>
        <w:rPr>
          <w:color w:val="000000" w:themeColor="text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（一）基金资产净值的计算和复核</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、基金资产净值</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基金资产净值是指基金资产总值减去负债后的价值。</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、复核程序</w:t>
      </w:r>
    </w:p>
    <w:p>
      <w:pPr>
        <w:spacing w:line="360" w:lineRule="auto"/>
        <w:ind w:firstLine="42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基金管理人应每个工作日对基金资产估值，但基金管理人根据法律法规或</w:t>
      </w:r>
      <w:r>
        <w:rPr>
          <w:rFonts w:hint="eastAsia" w:ascii="宋体" w:hAnsi="Calibri" w:cs="宋体"/>
          <w:color w:val="000000" w:themeColor="text1"/>
          <w:kern w:val="0"/>
          <w:szCs w:val="21"/>
          <w14:textFill>
            <w14:solidFill>
              <w14:schemeClr w14:val="tx1"/>
            </w14:solidFill>
          </w14:textFill>
        </w:rPr>
        <w:t>《基金合同》</w:t>
      </w:r>
      <w:r>
        <w:rPr>
          <w:rFonts w:hint="eastAsia"/>
          <w:color w:val="000000" w:themeColor="text1"/>
          <w:szCs w:val="21"/>
          <w14:textFill>
            <w14:solidFill>
              <w14:schemeClr w14:val="tx1"/>
            </w14:solidFill>
          </w14:textFill>
        </w:rPr>
        <w:t>的规定暂停估值时除外。估值原则应符合《基金合同》、《证券投资基金会计核算业务指引》及其他法律、法规的规定。基金资产净值和各类基金份额净值由基金管理人负责计算，基金托管人复核。基金管理人应于每个估值日对基金资产估值后，将基金资产净值、基金份额净值以双方认可的方式发送给基金托管人。基金托管人对净值计算结果复核后以双方认可的方式发送给基金管理人，由基金管理人按规定对基金净值予以公布。</w:t>
      </w:r>
    </w:p>
    <w:p>
      <w:pPr>
        <w:spacing w:line="360" w:lineRule="auto"/>
        <w:ind w:firstLine="420"/>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根据《基金法》，基金管理人计算并公告基金资产净值，基金托管人复核、审查基金管</w:t>
      </w:r>
      <w:r>
        <w:rPr>
          <w:rFonts w:hint="eastAsia"/>
          <w:color w:val="000000" w:themeColor="text1"/>
          <w14:textFill>
            <w14:solidFill>
              <w14:schemeClr w14:val="tx1"/>
            </w14:solidFill>
          </w14:textFill>
        </w:rPr>
        <w:t>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最新规定估值。</w:t>
      </w:r>
    </w:p>
    <w:p>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（二）基金资产估值方法</w:t>
      </w:r>
    </w:p>
    <w:p>
      <w:pPr>
        <w:spacing w:line="360" w:lineRule="auto"/>
        <w:ind w:firstLine="420" w:firstLineChars="200"/>
        <w:rPr>
          <w:color w:val="000000" w:themeColor="text1"/>
          <w14:textFill>
            <w14:solidFill>
              <w14:schemeClr w14:val="tx1"/>
            </w14:solidFill>
          </w14:textFill>
        </w:rPr>
      </w:pPr>
      <w:bookmarkStart w:id="21" w:name="_Hlk195691572"/>
      <w:r>
        <w:rPr>
          <w:color w:val="000000" w:themeColor="text1"/>
          <w14:textFill>
            <w14:solidFill>
              <w14:schemeClr w14:val="tx1"/>
            </w14:solidFill>
          </w14:textFill>
        </w:rPr>
        <w:t>1</w:t>
      </w:r>
      <w:r>
        <w:rPr>
          <w:rFonts w:hint="eastAsia"/>
          <w:color w:val="000000" w:themeColor="text1"/>
          <w14:textFill>
            <w14:solidFill>
              <w14:schemeClr w14:val="tx1"/>
            </w14:solidFill>
          </w14:textFill>
        </w:rPr>
        <w:t>、估值对象</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基金所拥有的股票、债券、资产支持证券、股指期货和其他投资等持续以公允价值计量的金融资产及负债。</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、估值方法</w:t>
      </w:r>
    </w:p>
    <w:p>
      <w:pPr>
        <w:spacing w:line="360" w:lineRule="auto"/>
        <w:ind w:firstLine="420" w:firstLineChars="2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（2）处于未上市期间的有价证券应区分如下情况处理：</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1）送股、转增股、配股和公开增发的新股，按估值日在证券交易所挂牌的同一股票的估值方法估值；该日无交易的，以最近一日的市价（收盘价）估值；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2）首次公开发行未上市的股票和债券，采用估值技术确定公允价值；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（3）对于已上市或已挂牌转让的不含权固定收益品种（另有规定的除外），选取第三方估值基准服务机构提供的相应品种当日的估值全价进行估值。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（4）对于已上市或已挂牌转让的含权固定收益品种（另有规定的除外），选取第三方估值基准服务机构提供的相应品种当日的唯一估值全价或推荐估值全价进行估值。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（6）对于未上市或未挂牌转让且不存在活跃市场的固定收益品种，采用在当前情况下适用并且有足够可利用数据和其他信息支持的估值技术确定其公允价值。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）本基金投资股指期货合约，一般以估值当日结算价进行估值，估值当日无结算价的，且最近交易日后经济环境未发生重大变化的，采用最近交易日结算价估值。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）同一证券同时在两个或两个以上市场交易的，按证券所处的市场分别估值。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）估值计算中涉及港币对人民币汇率的，将依据下列信息提供机构所提供的汇率为基准：当日中国人民银行或其授权机构公布的人民币与港币的中间价。</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）对于因税收规定调整或其他原因导致本基金实际交纳税金与估算的应交税金有差异的，本基金将在相关税金调整日或实际支付日进行相应的会计处理。</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）本基金投资存托凭证的估值核算依照境内上市交易的股票执行。</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）如有确凿证据表明按上述方法进行估值不能客观反映其公允价值的，基金管理人可根据具体情况与基金托管人商定后，按最能反映公允价值的价格估值。</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13</w:t>
      </w:r>
      <w:r>
        <w:rPr>
          <w:rFonts w:hint="eastAsia"/>
          <w:color w:val="000000" w:themeColor="text1"/>
          <w14:textFill>
            <w14:solidFill>
              <w14:schemeClr w14:val="tx1"/>
            </w14:solidFill>
          </w14:textFill>
        </w:rPr>
        <w:t>）当发生大额申购或赎回情形时，基金管理人可以采用摆动定价机制，以确保基金估值的公平性。</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）相关法律法规以及监管部门有强制规定的，从其规定。如有新增事项，按国家最新规定估值。</w:t>
      </w:r>
    </w:p>
    <w:p>
      <w:pPr>
        <w:spacing w:line="360" w:lineRule="auto"/>
        <w:ind w:firstLine="420" w:firstLineChars="200"/>
        <w:rPr>
          <w:color w:val="000000" w:themeColor="text1"/>
          <w14:textFill>
            <w14:solidFill>
              <w14:schemeClr w14:val="tx1"/>
            </w14:solidFill>
          </w14:textFill>
        </w:rPr>
      </w:pPr>
      <w:bookmarkStart w:id="22" w:name="OLE_LINK9"/>
      <w:bookmarkStart w:id="23" w:name="OLE_LINK10"/>
      <w:r>
        <w:rPr>
          <w:rFonts w:hint="eastAsia"/>
          <w:color w:val="000000" w:themeColor="text1"/>
          <w14:textFill>
            <w14:solidFill>
              <w14:schemeClr w14:val="tx1"/>
            </w14:solidFill>
          </w14:textFill>
        </w:rPr>
        <w:t>如基金管理人或基金托管人发现基金估值违反基金合同订明的估值方法、程序及相关法律法规的规定或者未能充分维护基金份额持有人利益时，应立即通知对方，共同查明原因，双方协商解决。</w:t>
      </w:r>
    </w:p>
    <w:bookmarkEnd w:id="22"/>
    <w:bookmarkEnd w:id="23"/>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（三）基金份额净值错误的处理方式</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基金管理人和基金托管人将采取必要、适当、合理的措施确保基金资产估值的准确性、及时性。当基金份额净值小数点后</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位以内（含第</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位）发生估值错误时，视为基金份额净值错误。</w:t>
      </w:r>
    </w:p>
    <w:p>
      <w:pPr>
        <w:spacing w:line="360" w:lineRule="auto"/>
        <w:ind w:firstLine="420" w:firstLineChars="200"/>
        <w:rPr>
          <w:color w:val="000000" w:themeColor="text1"/>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《基金合同》</w:t>
      </w:r>
      <w:r>
        <w:rPr>
          <w:rFonts w:hint="eastAsia"/>
          <w:color w:val="000000" w:themeColor="text1"/>
          <w:szCs w:val="21"/>
          <w14:textFill>
            <w14:solidFill>
              <w14:schemeClr w14:val="tx1"/>
            </w14:solidFill>
          </w14:textFill>
        </w:rPr>
        <w:t>的当事人应按照以下约定处理：</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1、估值错误类型</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上述估值错误的主要类型包括但不限于：资料申报差错、数据传输差错、数据计算差错、系统故障差错、下达指令差错等。</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对于因技术原因引起的差错，若系同行业现有技术水平无法预见、无法避免、无法抗拒，则属不可抗力，按照下述规定执行。</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2、估值错误处理原则</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（2）估值错误的责任方对有关当事人的直接损失负责，不对间接损失负责，并且仅对估值错误的有关直接当事人负责，不对第三方负责。</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（4）估值错误调整采用尽量恢复至假设未发生估值错误的正确情形的方式。</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（5）按法律法规规定的其他原则处理估值错误。</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3、估值错误处理程序</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估值错误被发现后，有关的当事人应当及时进行处理，处理的程序如下：</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（1）查明估值错误发生的原因，列明所有的当事人，并根据估值错误发生的原因确定估值错误的责任方；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（2）根据估值错误处理原则或当事人协商的方法对因估值错误造成的损失进行评估；</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（3）根据估值错误处理原则或当事人协商的方法由估值错误的责任方进行更正和赔偿损失；</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（4）根据估值错误处理的方法，需要修改基金登记机构交易数据的，由基金登记机构进行更正，并就估值错误的更正向有关当事人进行确认。</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4、基金份额净值估值错误处理的方法如下：</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（1）基金份额净值计算出现错误时，基金管理人应当立即予以纠正，通报基金托管人，并采取合理的措施防止损失进一步扩大。</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（2）错误偏差达到该类基金份额净值的0.25%时，基金管理人应当通报基金托管人并报中国证监会备案；错误偏差达到该类基金份额净值的0.5%时，基金管理人应当公告，并报中国证监会备案。</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（3）前述内容如法律法规或监管机关另有规定的，从其规定处理。</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、特殊情况的处理</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）基金管理人或基金托管人按本协议约定的估值方法的第（</w:t>
      </w: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）项进行估值时，所造成的误差不作为基金资产估值错误处理。</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由于不可抗力原因，或由于证券、期货交易所、证券经纪机构、期货公司及登记结算公司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（四）暂停估值的情形</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1、基金投资所涉及的证券、期货交易市场或外汇市场遇法定节假日或因其他原因暂停营业时；</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2、因不可抗力致使基金管理人、基金托管人无法准确评估基金资产价值时；</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3、当特定资产占前一估值日基金资产净值50%以上的，经与基金托管人协商确认后，基金管理人应当暂停基金估值；</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4、法律法规、中国证监会和《基金合同》认定的其他情形。</w:t>
      </w:r>
    </w:p>
    <w:bookmarkEnd w:id="21"/>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（五）基金会计制度</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按国家有关部门规定的会计制度执行。</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（六）基金账册的建立</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（七）基金财务报表和定期报告的编制和复核</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、财务报表的编制</w:t>
      </w:r>
    </w:p>
    <w:p>
      <w:pPr>
        <w:autoSpaceDE w:val="0"/>
        <w:autoSpaceDN w:val="0"/>
        <w:adjustRightIn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基金财务报表由基金管理人和基金托管人每月分别独立编制。月度报表的编制，应于每月终了后</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个工作日内完成；《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基金招募说明书、基金产品资料概要其他信息发生变更的，基金管理人至少每年更新一次。基金终止运作的，基金管理人不再更新基金招募说明书和基金产品资料概要。季度报告应在季度结束之日起</w:t>
      </w:r>
      <w:r>
        <w:rPr>
          <w:color w:val="000000" w:themeColor="text1"/>
          <w:szCs w:val="21"/>
          <w14:textFill>
            <w14:solidFill>
              <w14:schemeClr w14:val="tx1"/>
            </w14:solidFill>
          </w14:textFill>
        </w:rPr>
        <w:t>15</w:t>
      </w:r>
      <w:r>
        <w:rPr>
          <w:rFonts w:hint="eastAsia"/>
          <w:color w:val="000000" w:themeColor="text1"/>
          <w:szCs w:val="21"/>
          <w14:textFill>
            <w14:solidFill>
              <w14:schemeClr w14:val="tx1"/>
            </w14:solidFill>
          </w14:textFill>
        </w:rPr>
        <w:t>个工作日内予以公告；中期报告在会计年度半年终了后两个月内予以公告；年度报告在会计年度终了后三个月内予以公告。</w:t>
      </w:r>
      <w:r>
        <w:rPr>
          <w:rFonts w:hint="eastAsia" w:ascii="宋体" w:hAnsi="Calibri" w:cs="宋体"/>
          <w:color w:val="000000" w:themeColor="text1"/>
          <w:kern w:val="0"/>
          <w:szCs w:val="21"/>
          <w14:textFill>
            <w14:solidFill>
              <w14:schemeClr w14:val="tx1"/>
            </w14:solidFill>
          </w14:textFill>
        </w:rPr>
        <w:t>《基金合同》</w:t>
      </w:r>
      <w:r>
        <w:rPr>
          <w:rFonts w:hint="eastAsia"/>
          <w:color w:val="000000" w:themeColor="text1"/>
          <w:szCs w:val="21"/>
          <w14:textFill>
            <w14:solidFill>
              <w14:schemeClr w14:val="tx1"/>
            </w14:solidFill>
          </w14:textFill>
        </w:rPr>
        <w:t>生效不足</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个月的，基金管理人可以不编制当期季度报告、中期报告或者年度报告。</w:t>
      </w:r>
    </w:p>
    <w:p>
      <w:pPr>
        <w:autoSpaceDE w:val="0"/>
        <w:autoSpaceDN w:val="0"/>
        <w:adjustRightInd w:val="0"/>
        <w:spacing w:line="360" w:lineRule="auto"/>
        <w:ind w:firstLine="420"/>
        <w:jc w:val="left"/>
        <w:rPr>
          <w:color w:val="000000" w:themeColor="text1"/>
          <w:szCs w:val="21"/>
          <w14:textFill>
            <w14:solidFill>
              <w14:schemeClr w14:val="tx1"/>
            </w14:solidFill>
          </w14:textFill>
        </w:rPr>
      </w:pP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、报表复核</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个工作日内完成复核，并将复核结果书面通知基金管理人。基金管理人在年度报告完成当日，将有关报告提供基金托管人复核，基金托管人应在收到后45个工作日内完成复核，并将复核结果书面通知基金管理人。基金管理人和基金托管人之间的上述文件往来均以传真的方式或双方商定的其他方式进行。</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业务印鉴或者出具加盖业务印鉴的复核意见书或进行电子确认，双方各自留存一份。如果基金管理人与基金托管人不能于应当发布公告之日之前就相关报表达成一致，基金管理人有权按照其编制的报表对外发布公告，基金托管人有权就相关情况报中国证监会备案。</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基金托管人在对财务会计报告、季度报告、中期报告或年度报告复核完毕后，需盖章确认或出具相应的复核确认书或</w:t>
      </w:r>
      <w:r>
        <w:rPr>
          <w:color w:val="000000" w:themeColor="text1"/>
          <w:szCs w:val="21"/>
          <w14:textFill>
            <w14:solidFill>
              <w14:schemeClr w14:val="tx1"/>
            </w14:solidFill>
          </w14:textFill>
        </w:rPr>
        <w:t>进行电子</w:t>
      </w:r>
      <w:r>
        <w:rPr>
          <w:rFonts w:hint="eastAsia"/>
          <w:color w:val="000000" w:themeColor="text1"/>
          <w:szCs w:val="21"/>
          <w14:textFill>
            <w14:solidFill>
              <w14:schemeClr w14:val="tx1"/>
            </w14:solidFill>
          </w14:textFill>
        </w:rPr>
        <w:t>确认，以备有权机构对相关文件审核时出具。</w:t>
      </w:r>
      <w:bookmarkStart w:id="24" w:name="_Toc22454461"/>
      <w:bookmarkStart w:id="25" w:name="_Toc48703912"/>
      <w:bookmarkStart w:id="26" w:name="_Toc523830000"/>
      <w:bookmarkStart w:id="27" w:name="_Toc466788859"/>
    </w:p>
    <w:bookmarkEnd w:id="24"/>
    <w:bookmarkEnd w:id="25"/>
    <w:bookmarkEnd w:id="26"/>
    <w:bookmarkEnd w:id="27"/>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（八）基金管理人应每季向基金托管人提供基金业绩比较基准的基础数据和编制结果。</w:t>
      </w:r>
    </w:p>
    <w:p>
      <w:pPr>
        <w:pStyle w:val="2"/>
        <w:numPr>
          <w:ilvl w:val="0"/>
          <w:numId w:val="1"/>
        </w:numPr>
        <w:spacing w:before="120" w:after="120" w:line="360" w:lineRule="auto"/>
        <w:jc w:val="center"/>
        <w:rPr>
          <w:color w:val="000000" w:themeColor="text1"/>
          <w:sz w:val="24"/>
          <w:szCs w:val="24"/>
          <w14:textFill>
            <w14:solidFill>
              <w14:schemeClr w14:val="tx1"/>
            </w14:solidFill>
          </w14:textFill>
        </w:rPr>
      </w:pPr>
      <w:bookmarkStart w:id="28" w:name="_Toc394474004"/>
      <w:bookmarkStart w:id="29" w:name="_Toc881139"/>
      <w:r>
        <w:rPr>
          <w:rFonts w:hint="eastAsia"/>
          <w:color w:val="000000" w:themeColor="text1"/>
          <w:sz w:val="24"/>
          <w:szCs w:val="24"/>
          <w14:textFill>
            <w14:solidFill>
              <w14:schemeClr w14:val="tx1"/>
            </w14:solidFill>
          </w14:textFill>
        </w:rPr>
        <w:t>基金收益分配</w:t>
      </w:r>
      <w:bookmarkEnd w:id="28"/>
      <w:bookmarkEnd w:id="29"/>
    </w:p>
    <w:p>
      <w:pPr>
        <w:spacing w:line="360" w:lineRule="auto"/>
        <w:rPr>
          <w:color w:val="000000" w:themeColor="text1"/>
          <w:szCs w:val="21"/>
          <w14:textFill>
            <w14:solidFill>
              <w14:schemeClr w14:val="tx1"/>
            </w14:solidFill>
          </w14:textFill>
        </w:rPr>
      </w:pPr>
      <w:bookmarkStart w:id="30" w:name="_Toc22454462"/>
      <w:bookmarkStart w:id="31" w:name="_Toc48703913"/>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（一）基金利润的构成</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基金利润指基金利息收入、投资收益、公允价值变动收益和其他收入扣除相关费用后的余额，基金已实现收益指基金利润减去公允价值变动收益后的余额。</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（二）基金可供分配利润</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基金可供分配利润指截至收益分配基准日基金未分配利润与未分配利润中已实现收益的孰低数。</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（三）基金收益分配原则</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1、由于本基金A类基金份额不收取销售服务费，C类基金份额收取销售服务费，各基金份额类别对应的可供分配利润将有所不同；</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2、在符合有关基金分红条件的前提下，本基金管理人可以根据实际情况进行收益分配，具体分配方案以公告为准，若《基金合同》生效不满3个月可不进行收益分配；</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4、基金收益分配后任一类基金份额净值不能低于面值；即基金收益分配基准日的任一类基金份额净值减去该类每单位基金份额收益分配金额后不能低于面值；</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5、本基金同一基金份额类别的每一基金份额享有同等分配权；</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6、法律法规或监管机关另有规定的，从其规定。</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（四）收益分配方案</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基金收益分配方案中应载明截止收益分配基准日的可供分配利润、基金收益分配对象、分配时间、分配数额及比例、分配方式等内容。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（五）收益分配方案的确定、公告与实施</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本基金收益分配方案由基金管理人拟定，并由基金托管人复核，依照《信息披露办法》的规定在规定媒介公告。</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法律法规或监管机关另有规定的，从其规定。</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（六）基金收益分配中发生的费用</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（七）实施侧袋机制期间的收益分配</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本基金实施侧袋机制的，侧袋账户不进行收益分配，详见招募说明书的规定。</w:t>
      </w:r>
      <w:bookmarkEnd w:id="30"/>
      <w:bookmarkEnd w:id="31"/>
    </w:p>
    <w:p>
      <w:pPr>
        <w:spacing w:line="360" w:lineRule="auto"/>
        <w:ind w:firstLine="420" w:firstLineChars="200"/>
        <w:rPr>
          <w:color w:val="000000" w:themeColor="text1"/>
          <w:szCs w:val="21"/>
          <w14:textFill>
            <w14:solidFill>
              <w14:schemeClr w14:val="tx1"/>
            </w14:solidFill>
          </w14:textFill>
        </w:rPr>
      </w:pPr>
    </w:p>
    <w:p>
      <w:pPr>
        <w:pStyle w:val="2"/>
        <w:numPr>
          <w:ilvl w:val="0"/>
          <w:numId w:val="1"/>
        </w:numPr>
        <w:spacing w:before="120" w:after="120" w:line="360" w:lineRule="auto"/>
        <w:jc w:val="center"/>
        <w:rPr>
          <w:color w:val="000000" w:themeColor="text1"/>
          <w:sz w:val="24"/>
          <w:szCs w:val="24"/>
          <w14:textFill>
            <w14:solidFill>
              <w14:schemeClr w14:val="tx1"/>
            </w14:solidFill>
          </w14:textFill>
        </w:rPr>
      </w:pPr>
      <w:bookmarkStart w:id="32" w:name="_Toc881140"/>
      <w:bookmarkStart w:id="33" w:name="_Toc394474005"/>
      <w:r>
        <w:rPr>
          <w:rFonts w:hint="eastAsia"/>
          <w:color w:val="000000" w:themeColor="text1"/>
          <w:sz w:val="24"/>
          <w:szCs w:val="24"/>
          <w14:textFill>
            <w14:solidFill>
              <w14:schemeClr w14:val="tx1"/>
            </w14:solidFill>
          </w14:textFill>
        </w:rPr>
        <w:t>基金信息披露</w:t>
      </w:r>
      <w:bookmarkEnd w:id="32"/>
      <w:bookmarkEnd w:id="33"/>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（一）保密义务</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除按照《基金法》、《基金合同》、《信息披露办法》、《流动性风险管理规定》及其他有关规定外，基金管理人和基金托管人对基金运作中产生的信息以及从对方获得的业务信息应予保密。基金管理人与基金托管人对本基金的任何信息，不得在其公开披露之前，先行对双方和基金份额持有人大会以外的任何机构、组织和个人泄露。法律法规另有规定的除外。</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基金管理人和基金托管人除为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）非因基金管理人和基金托管人的原因导致保密信息被披露、泄露或公开；</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）基金管理人和基金托管人为遵守和服从法院判决、仲裁裁决或中国证监会等监管机构的命令、决定所做出的信息披露或公开；</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）法律法规或有权机构要求披露的；</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（4）为取得</w:t>
      </w:r>
      <w:bookmarkStart w:id="34" w:name="OLE_LINK2"/>
      <w:bookmarkStart w:id="35" w:name="OLE_LINK1"/>
      <w:r>
        <w:rPr>
          <w:rFonts w:hint="eastAsia"/>
          <w:color w:val="000000" w:themeColor="text1"/>
          <w:szCs w:val="21"/>
          <w14:textFill>
            <w14:solidFill>
              <w14:schemeClr w14:val="tx1"/>
            </w14:solidFill>
          </w14:textFill>
        </w:rPr>
        <w:t>法律、审计、信息技术</w:t>
      </w:r>
      <w:bookmarkEnd w:id="34"/>
      <w:bookmarkEnd w:id="35"/>
      <w:r>
        <w:rPr>
          <w:rFonts w:hint="eastAsia"/>
          <w:color w:val="000000" w:themeColor="text1"/>
          <w:szCs w:val="21"/>
          <w14:textFill>
            <w14:solidFill>
              <w14:schemeClr w14:val="tx1"/>
            </w14:solidFill>
          </w14:textFill>
        </w:rPr>
        <w:t>等专业服务而向第三方专业服务机构提供的；</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）因不可抗力发生信息披露或公开的。</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（二）信息披露的内容</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金份额持有人大会决议、实施侧袋机制期间的信息披露、清算报告、投资资产支持证券/股指期货/港股通标的股票情况及中国证监会规定的其他信息。基金年度报告需经符合《</w:t>
      </w:r>
      <w:r>
        <w:rPr>
          <w:rFonts w:hint="eastAsia"/>
          <w:color w:val="000000" w:themeColor="text1"/>
          <w14:textFill>
            <w14:solidFill>
              <w14:schemeClr w14:val="tx1"/>
            </w14:solidFill>
          </w14:textFill>
        </w:rPr>
        <w:t>中华人民共和国</w:t>
      </w:r>
      <w:r>
        <w:rPr>
          <w:rFonts w:hint="eastAsia"/>
          <w:color w:val="000000" w:themeColor="text1"/>
          <w:szCs w:val="21"/>
          <w14:textFill>
            <w14:solidFill>
              <w14:schemeClr w14:val="tx1"/>
            </w14:solidFill>
          </w14:textFill>
        </w:rPr>
        <w:t>证券法》规定的会计师事务所审计后，方可披露。</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（三）基金管理人和基金托管人在信息披露中的职责和信息披露程序</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、职责</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托管人和基金管理人在信息披露过程中应以保护基金份额持有人利益为宗旨，诚实信用，严守秘密。基金管理人和基金托管人应根据相关法律法规、《基金合同》的规定各自承担相应的信息披露职责。基金管理人负责办理与基金有关的信息披露事宜，基金托管人应当按照相关法律法规和《基金合同》的约定，对于应由基金托管人复核的事项进行复核，基金托管人复核无误后，由基金管理人予以公布。</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基金管理人和基金托管人应积极配合、互相监督，保证按照法定的方式和时限履行信息披露义务。</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基金管理人应当在中国证监会规定的时间内，将应予披露的基金信息通过规定媒介披露。根据法律法规应由基金托管人公开披露的信息，基金托管人将通过规定报刊和规定网站公开披露。</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当出现下述情况时，基金管理人和基金托管人可暂停或延迟披露基金相关信息：</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（1）基金投资所涉及的证券、期货交易市场或外汇市场遇法定节假日或因其他原因暂停营业时；</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（2）因不可抗力致使基金管理人、基金托管人无法准确评估基金资产价值时；</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（3）当特定资产占前一估值日基金资产净值50%以上的，经与基金托管人协商一致的，基金管理人应当暂停估值；</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（4）法律法规规定、中国证监会或《基金合同》认定的其他情形。</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对于因不可抗力等原因导致基金信息的暂停或延迟披露的</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如暂停披露基金资产净值和各类基金份额净值</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，基金管理人应及时向中国证监会报告，并与基金托管人协商采取补救措施。不可抗力情形消失后，基金管理人和基金托管人应及时恢复办理信息披露。</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、程序</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托管人应当按照相关法律、行政法规、中国证监会的规定和《基金合同》的约定，对基金管理人编制的基金资产净值、基金份额净值、基金业绩表现数据、基金定期报告和更新的招募说明书等相关基金信息进行复核、审查，并向基金管理人出具书面文件或者盖章确认。</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基金年度报告中的财务会计报告必须经符合《</w:t>
      </w:r>
      <w:r>
        <w:rPr>
          <w:rFonts w:hint="eastAsia"/>
          <w:color w:val="000000" w:themeColor="text1"/>
          <w14:textFill>
            <w14:solidFill>
              <w14:schemeClr w14:val="tx1"/>
            </w14:solidFill>
          </w14:textFill>
        </w:rPr>
        <w:t>中华人民共和国</w:t>
      </w:r>
      <w:r>
        <w:rPr>
          <w:rFonts w:hint="eastAsia"/>
          <w:color w:val="000000" w:themeColor="text1"/>
          <w:szCs w:val="21"/>
          <w14:textFill>
            <w14:solidFill>
              <w14:schemeClr w14:val="tx1"/>
            </w14:solidFill>
          </w14:textFill>
        </w:rPr>
        <w:t>证券法》规定的会计师事务所审计。</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、信息文本的存放与备查</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法必须披露的信息发布后，基金管理人、基金托管人应当按照相关法律法规规定将信息置备于各自住所，供社会公众查阅、复制。基金管理人、基金托管人应为文本存放、基金份额持有人查询有关文件提供必要的场所和其他便利。</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基金管理人和基金托管人应保证文本的内容与所公告的内容完全一致。</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（四）基金托管人报告</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基金托管人应按《基金法》、《信息披露办法》和其他有关法律法规的规定于上半年度结束后两个月内、每年结束之日起三个月在基金中期报告及年度报告中分别出具基金托管人报告。</w:t>
      </w: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36" w:name="_Toc394474006"/>
      <w:bookmarkStart w:id="37" w:name="_Toc881141"/>
      <w:r>
        <w:rPr>
          <w:rFonts w:hint="eastAsia"/>
          <w:color w:val="000000" w:themeColor="text1"/>
          <w:sz w:val="24"/>
          <w:szCs w:val="24"/>
          <w14:textFill>
            <w14:solidFill>
              <w14:schemeClr w14:val="tx1"/>
            </w14:solidFill>
          </w14:textFill>
        </w:rPr>
        <w:t>基金费用</w:t>
      </w:r>
      <w:bookmarkEnd w:id="36"/>
      <w:bookmarkEnd w:id="37"/>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（一）基金管理费的计提比例和计提方法</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本基金的管理费按前一日基金资产净值的1.2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年费率计提。管理费的计算方法如下：</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H</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E</w:t>
      </w:r>
      <w:r>
        <w:rPr>
          <w:rFonts w:hint="eastAsia"/>
          <w:color w:val="000000" w:themeColor="text1"/>
          <w:szCs w:val="21"/>
          <w14:textFill>
            <w14:solidFill>
              <w14:schemeClr w14:val="tx1"/>
            </w14:solidFill>
          </w14:textFill>
        </w:rPr>
        <w:t>×1.2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÷当年天数</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H</w:t>
      </w:r>
      <w:r>
        <w:rPr>
          <w:rFonts w:hint="eastAsia"/>
          <w:color w:val="000000" w:themeColor="text1"/>
          <w:szCs w:val="21"/>
          <w14:textFill>
            <w14:solidFill>
              <w14:schemeClr w14:val="tx1"/>
            </w14:solidFill>
          </w14:textFill>
        </w:rPr>
        <w:t>为每日应计提的基金管理费</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E</w:t>
      </w:r>
      <w:r>
        <w:rPr>
          <w:rFonts w:hint="eastAsia"/>
          <w:color w:val="000000" w:themeColor="text1"/>
          <w:szCs w:val="21"/>
          <w14:textFill>
            <w14:solidFill>
              <w14:schemeClr w14:val="tx1"/>
            </w14:solidFill>
          </w14:textFill>
        </w:rPr>
        <w:t>为前一日的基金资产净值</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基金管理费每日计提，逐日累计至每月月末，按月支付，由基金管理人向基金托管人发送基金管理费划款指令，基金托管人复核后于次月前</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个工作日内从基金财产中一次性支付给基金管理人。若遇法定节假日、公休假等，支付日期顺延至最近可支付日支付。</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（二）基金托管费的计提比例和计提方法</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本基金的托管费按前一日基金资产净值的0.2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年费率计提。托管费的计算方法如下：</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H</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E</w:t>
      </w:r>
      <w:r>
        <w:rPr>
          <w:rFonts w:hint="eastAsia"/>
          <w:color w:val="000000" w:themeColor="text1"/>
          <w:szCs w:val="21"/>
          <w14:textFill>
            <w14:solidFill>
              <w14:schemeClr w14:val="tx1"/>
            </w14:solidFill>
          </w14:textFill>
        </w:rPr>
        <w:t>×0.2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÷当年天数</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H</w:t>
      </w:r>
      <w:r>
        <w:rPr>
          <w:rFonts w:hint="eastAsia"/>
          <w:color w:val="000000" w:themeColor="text1"/>
          <w:szCs w:val="21"/>
          <w14:textFill>
            <w14:solidFill>
              <w14:schemeClr w14:val="tx1"/>
            </w14:solidFill>
          </w14:textFill>
        </w:rPr>
        <w:t>为每日应计提的基金托管费</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E</w:t>
      </w:r>
      <w:r>
        <w:rPr>
          <w:rFonts w:hint="eastAsia"/>
          <w:color w:val="000000" w:themeColor="text1"/>
          <w:szCs w:val="21"/>
          <w14:textFill>
            <w14:solidFill>
              <w14:schemeClr w14:val="tx1"/>
            </w14:solidFill>
          </w14:textFill>
        </w:rPr>
        <w:t>为前一日的基金资产净值</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基金托管费每日计提，逐日累计至每月月末，按月支付，由基金管理人向基金托管人发送基金托管费划款指令，基金托管人复核后于次月前</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个工作日内从基金财产中一次性支付给基金托管人。若遇法定节假日、公休假等，支付日期顺延至最近可支付日支付。</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（三）C类基金份额的</w:t>
      </w:r>
      <w:bookmarkStart w:id="38" w:name="OLE_LINK11"/>
      <w:r>
        <w:rPr>
          <w:rFonts w:hint="eastAsia"/>
          <w:color w:val="000000" w:themeColor="text1"/>
          <w:szCs w:val="21"/>
          <w14:textFill>
            <w14:solidFill>
              <w14:schemeClr w14:val="tx1"/>
            </w14:solidFill>
          </w14:textFill>
        </w:rPr>
        <w:t>销售服务费</w:t>
      </w:r>
      <w:bookmarkEnd w:id="38"/>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本基金A类基金份额不收取销售服务费，C类基金份额的销售服务费按前一日C类基金资产净值的0.6%年费率计提。计算方法如下：</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H＝E×0.6%÷当年天数</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H为C类基金份额每日应计提的销售服务费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E为C类基金份额前一日基金资产净值</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类基金份额销售服务费每日计提，逐日累计至每月月末，按月支付。由基金管理人与基金托管人核对一致后，由基金托管人按照与基金管理人协商一致的方式于次月前5个工作日内从基金财产中一次性支付给基金管理人，由基金管理人代付给销售机构。若遇法定节假日、公休假等，支付日期顺延至最近可支付日支付。</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C类基金份额的销售服务费将专门用于本基金的市场推广、销售与基金份额持有人服务。</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（四）证券</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期货交易费用、《基金合同》生效后与基金相关的信息披露费用、基金份额持有人大会费用、《基金合同》生效后与基金相关的会计师费、律师费、仲裁费和诉讼费、基金的银行汇划费用、基金的开户费用及维护费用、因投资港股通标的股票而产生的各项合理费用等根据有关法规、《基金合同》及相应协议的规定，由基金托管人按基金管理人的划款指令并根据费用实际支出金额支付，列入当期基金费用。</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（五）不列入基金费用的项目</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下列费用不列入基金费用：</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1、基金管理人和基金托管人因未履行或未完全履行义务导致的费用支出或基金财产的损失；</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2、基金管理人和基金托管人处理与基金运作无关的事项发生的费用；</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3、《基金合同》生效前的相关费用；</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4、其他根据相关法律法规及中国证监会的有关规定不得列入基金费用的项目。</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（六）基金管理费、基金托管费、销售服务费的复核程序</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基金托管人对不符合《基金法》、《运作办法》等有关规定、《基金合同》以及本协议的其他费用有权拒绝执行。</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基金托管人对基金管理人计提的基金管理费、基金托管费、销售服务费等，根据本托管协议和《基金合同》的有关规定进行复核。</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七）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pPr>
        <w:spacing w:line="360" w:lineRule="auto"/>
        <w:rPr>
          <w:b/>
          <w:color w:val="000000" w:themeColor="text1"/>
          <w:szCs w:val="21"/>
          <w14:textFill>
            <w14:solidFill>
              <w14:schemeClr w14:val="tx1"/>
            </w14:solidFill>
          </w14:textFill>
        </w:rPr>
      </w:pP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39" w:name="_Toc394474007"/>
      <w:bookmarkStart w:id="40" w:name="_Toc881142"/>
      <w:r>
        <w:rPr>
          <w:rFonts w:hint="eastAsia"/>
          <w:color w:val="000000" w:themeColor="text1"/>
          <w:sz w:val="24"/>
          <w:szCs w:val="24"/>
          <w14:textFill>
            <w14:solidFill>
              <w14:schemeClr w14:val="tx1"/>
            </w14:solidFill>
          </w14:textFill>
        </w:rPr>
        <w:t>基金份额持有人名册的保管</w:t>
      </w:r>
      <w:bookmarkEnd w:id="39"/>
      <w:bookmarkEnd w:id="40"/>
    </w:p>
    <w:p>
      <w:pPr>
        <w:pStyle w:val="17"/>
        <w:autoSpaceDE w:val="0"/>
        <w:autoSpaceDN w:val="0"/>
        <w:adjustRightInd w:val="0"/>
        <w:spacing w:line="360" w:lineRule="auto"/>
        <w:ind w:left="450" w:firstLine="0" w:firstLineChars="0"/>
        <w:rPr>
          <w:color w:val="000000" w:themeColor="text1"/>
          <w:szCs w:val="21"/>
          <w14:textFill>
            <w14:solidFill>
              <w14:schemeClr w14:val="tx1"/>
            </w14:solidFill>
          </w14:textFill>
        </w:rPr>
      </w:pP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（一）基金份额持有人名册的保管</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份额持有人名册至少应包括基金份额持有人的名称和持有的基金份额。基金份额持有人名册由基金的基金登记机构根据基金管理人的指令编制和保管，基金管理人和基金托管人应按照目前相关规则分别保管基金份额持有人名册。保管方式可以采用电子或文档的形式。保管期限不低于法定最低期限。</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若基金管理人或基金托管人由于自身原因无法妥善保管基金份额持有人名册，应按有关法规规定各自承担相应的责任。</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（二）基金份额持有人名册的提交</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基金管理人应当及时向基金托管人提交下列日期的基金份额持有人名册：《基金合同》生效日、《基金合同》终止日、基金份额持有人大会权益登记日、每年</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月</w:t>
      </w:r>
      <w:r>
        <w:rPr>
          <w:color w:val="000000" w:themeColor="text1"/>
          <w:szCs w:val="21"/>
          <w14:textFill>
            <w14:solidFill>
              <w14:schemeClr w14:val="tx1"/>
            </w14:solidFill>
          </w14:textFill>
        </w:rPr>
        <w:t>30</w:t>
      </w:r>
      <w:r>
        <w:rPr>
          <w:rFonts w:hint="eastAsia"/>
          <w:color w:val="000000" w:themeColor="text1"/>
          <w:szCs w:val="21"/>
          <w14:textFill>
            <w14:solidFill>
              <w14:schemeClr w14:val="tx1"/>
            </w14:solidFill>
          </w14:textFill>
        </w:rPr>
        <w:t>日、每年</w:t>
      </w: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月</w:t>
      </w:r>
      <w:r>
        <w:rPr>
          <w:color w:val="000000" w:themeColor="text1"/>
          <w:szCs w:val="21"/>
          <w14:textFill>
            <w14:solidFill>
              <w14:schemeClr w14:val="tx1"/>
            </w14:solidFill>
          </w14:textFill>
        </w:rPr>
        <w:t>31</w:t>
      </w:r>
      <w:r>
        <w:rPr>
          <w:rFonts w:hint="eastAsia"/>
          <w:color w:val="000000" w:themeColor="text1"/>
          <w:szCs w:val="21"/>
          <w14:textFill>
            <w14:solidFill>
              <w14:schemeClr w14:val="tx1"/>
            </w14:solidFill>
          </w14:textFill>
        </w:rPr>
        <w:t>日的基金份额持有人名册。基金份额持有人名册的内容必须包括基金份额持有人的名称和持有的基金份额。其中每年</w:t>
      </w: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月</w:t>
      </w:r>
      <w:r>
        <w:rPr>
          <w:color w:val="000000" w:themeColor="text1"/>
          <w:szCs w:val="21"/>
          <w14:textFill>
            <w14:solidFill>
              <w14:schemeClr w14:val="tx1"/>
            </w14:solidFill>
          </w14:textFill>
        </w:rPr>
        <w:t>31</w:t>
      </w:r>
      <w:r>
        <w:rPr>
          <w:rFonts w:hint="eastAsia"/>
          <w:color w:val="000000" w:themeColor="text1"/>
          <w:szCs w:val="21"/>
          <w14:textFill>
            <w14:solidFill>
              <w14:schemeClr w14:val="tx1"/>
            </w14:solidFill>
          </w14:textFill>
        </w:rPr>
        <w:t>日的基金份额持有人名册应于下月前十个工作日内提交；《基金合同》生效日、《基金合同》终止日等涉及到基金重要事项日期的基金份额持有人名册应于发生日后十个工作日内提交。</w:t>
      </w:r>
    </w:p>
    <w:p>
      <w:pPr>
        <w:spacing w:line="360" w:lineRule="auto"/>
        <w:ind w:firstLine="420" w:firstLineChars="200"/>
        <w:rPr>
          <w:color w:val="000000" w:themeColor="text1"/>
          <w:szCs w:val="21"/>
          <w14:textFill>
            <w14:solidFill>
              <w14:schemeClr w14:val="tx1"/>
            </w14:solidFill>
          </w14:textFill>
        </w:rPr>
      </w:pP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41" w:name="_Toc394474008"/>
      <w:bookmarkStart w:id="42" w:name="_Toc881143"/>
      <w:r>
        <w:rPr>
          <w:rFonts w:hint="eastAsia"/>
          <w:color w:val="000000" w:themeColor="text1"/>
          <w:sz w:val="24"/>
          <w:szCs w:val="24"/>
          <w14:textFill>
            <w14:solidFill>
              <w14:schemeClr w14:val="tx1"/>
            </w14:solidFill>
          </w14:textFill>
        </w:rPr>
        <w:t>基金有关文件档案的保存</w:t>
      </w:r>
      <w:bookmarkEnd w:id="41"/>
      <w:bookmarkEnd w:id="42"/>
    </w:p>
    <w:p>
      <w:pPr>
        <w:spacing w:line="360" w:lineRule="auto"/>
        <w:ind w:firstLine="420" w:firstLineChars="200"/>
        <w:rPr>
          <w:color w:val="000000" w:themeColor="text1"/>
          <w:szCs w:val="21"/>
          <w14:textFill>
            <w14:solidFill>
              <w14:schemeClr w14:val="tx1"/>
            </w14:solidFill>
          </w14:textFill>
        </w:rPr>
      </w:pP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（一）档案保存</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基金管理人应保存财产业务活动的记录、账册报表和其他相关资料。基金托管人应保存基金托管业务活动的记录、账册、报表和其他相关资料。基金管理人和基金托管人都应当按规定的期限保管，保存期限不</w:t>
      </w:r>
      <w:r>
        <w:rPr>
          <w:rFonts w:hint="eastAsia"/>
          <w:color w:val="000000" w:themeColor="text1"/>
          <w14:textFill>
            <w14:solidFill>
              <w14:schemeClr w14:val="tx1"/>
            </w14:solidFill>
          </w14:textFill>
        </w:rPr>
        <w:t>低于法定最低期限</w:t>
      </w:r>
      <w:r>
        <w:rPr>
          <w:rFonts w:hint="eastAsia"/>
          <w:color w:val="000000" w:themeColor="text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（二）合同档案的建立</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、除本协议另有规定外，基金管理人代表基金签署与基金相关的重大合同文本后，应及时将重大合同传真给基金托管人，并在</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0个工作日内将合同文本正本送达基金托管人处。</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、基金管理人应及时将与本基金账务处理、资金划拨等有关的合同、协议以传真或者双方约定的其他方式发送给基金托管人。</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（三）变更与协助</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若基金管理人</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基金托管人发生变更，未变更的一方有义务协助变更后的接任人接收相应文件。</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（四）基金管理人和基金托管人应按各自职责完整保存原始凭证、记账凭证、基金账册、交易记录和重要合同等，承担保密义务并保存</w:t>
      </w:r>
      <w:r>
        <w:rPr>
          <w:rFonts w:hint="eastAsia"/>
          <w:color w:val="000000" w:themeColor="text1"/>
          <w14:textFill>
            <w14:solidFill>
              <w14:schemeClr w14:val="tx1"/>
            </w14:solidFill>
          </w14:textFill>
        </w:rPr>
        <w:t>不低于法定最低期限</w:t>
      </w:r>
      <w:r>
        <w:rPr>
          <w:rFonts w:hint="eastAsia"/>
          <w:color w:val="000000" w:themeColor="text1"/>
          <w:szCs w:val="21"/>
          <w14:textFill>
            <w14:solidFill>
              <w14:schemeClr w14:val="tx1"/>
            </w14:solidFill>
          </w14:textFill>
        </w:rPr>
        <w:t>。</w:t>
      </w:r>
    </w:p>
    <w:p>
      <w:pPr>
        <w:ind w:firstLine="420"/>
        <w:rPr>
          <w:color w:val="000000" w:themeColor="text1"/>
          <w14:textFill>
            <w14:solidFill>
              <w14:schemeClr w14:val="tx1"/>
            </w14:solidFill>
          </w14:textFill>
        </w:rPr>
      </w:pP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43" w:name="_Toc394474009"/>
      <w:bookmarkStart w:id="44" w:name="_Toc881144"/>
      <w:r>
        <w:rPr>
          <w:rFonts w:hint="eastAsia"/>
          <w:color w:val="000000" w:themeColor="text1"/>
          <w:sz w:val="24"/>
          <w:szCs w:val="24"/>
          <w14:textFill>
            <w14:solidFill>
              <w14:schemeClr w14:val="tx1"/>
            </w14:solidFill>
          </w14:textFill>
        </w:rPr>
        <w:t>基金托管人和基金管理人的更换</w:t>
      </w:r>
      <w:bookmarkEnd w:id="43"/>
      <w:bookmarkEnd w:id="44"/>
    </w:p>
    <w:p>
      <w:pPr>
        <w:spacing w:line="360" w:lineRule="auto"/>
        <w:ind w:firstLine="420" w:firstLineChars="200"/>
        <w:rPr>
          <w:color w:val="000000" w:themeColor="text1"/>
          <w:szCs w:val="21"/>
          <w14:textFill>
            <w14:solidFill>
              <w14:schemeClr w14:val="tx1"/>
            </w14:solidFill>
          </w14:textFill>
        </w:rPr>
      </w:pPr>
    </w:p>
    <w:p>
      <w:pPr>
        <w:spacing w:line="360" w:lineRule="auto"/>
        <w:ind w:firstLine="420" w:firstLineChars="200"/>
        <w:rPr>
          <w:color w:val="000000" w:themeColor="text1"/>
          <w:szCs w:val="21"/>
          <w14:textFill>
            <w14:solidFill>
              <w14:schemeClr w14:val="tx1"/>
            </w14:solidFill>
          </w14:textFill>
        </w:rPr>
      </w:pPr>
      <w:bookmarkStart w:id="45" w:name="_Hlk195693490"/>
      <w:r>
        <w:rPr>
          <w:rFonts w:hint="eastAsia"/>
          <w:color w:val="000000" w:themeColor="text1"/>
          <w:szCs w:val="21"/>
          <w14:textFill>
            <w14:solidFill>
              <w14:schemeClr w14:val="tx1"/>
            </w14:solidFill>
          </w14:textFill>
        </w:rPr>
        <w:t>（一）基金管理人的更换</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、基金管理人的更换条件</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有下列情形之一的，</w:t>
      </w:r>
      <w:r>
        <w:rPr>
          <w:rFonts w:hint="eastAsia"/>
          <w:bCs/>
          <w:color w:val="000000" w:themeColor="text1"/>
          <w:szCs w:val="21"/>
          <w14:textFill>
            <w14:solidFill>
              <w14:schemeClr w14:val="tx1"/>
            </w14:solidFill>
          </w14:textFill>
        </w:rPr>
        <w:t>基金管理人职责终止</w:t>
      </w:r>
      <w:r>
        <w:rPr>
          <w:rFonts w:hint="eastAsia"/>
          <w:color w:val="000000" w:themeColor="text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）被依法取消基金管理资格；</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）被基金份额持有人大会解任；</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）依法解散、被依法撤销或被依法宣告破产；</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）法律法规及中国证监会规定的和《基金合同》约定的其他情形。</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、更换基金管理人的程序</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）提名：新任基金管理人由基金托管人或由单独或合计持有10%以上（含10%）基金份额的基金份额持有人提名；</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）决议：基金份额持有人大会在基金管理人职责终止后</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）临时基金管理人：新任基金管理人产生之前，由中国证监会指定临时基金管理人；</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）备案：基金份额持有人大会更换基金管理人的决议须报中国证监会备案；</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）公告：基金管理人更换后，由基金托管人在更换基金管理人的基金份额持有人大会决议生效后依照《信息披露办法》的规定在规定媒介公告；</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审计：基金管理人职责终止的，应当按照法律法规规定聘请符合《中华人民共和国证券法》规定的会计师事务所对基金财产进行审计，并将审计结果予以公告，同时报中国证监会备案，审计费用从基金财产中列支；</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）基金名称变更：基金管理人更换后，如果原任或新任基金管理人要求，应按其要求替换或删除基金名称中与原基金管理人有关的名称字样。</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（二）基金托管人的更换</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、基金托管人的更换条件</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有下列情形之一的，基金托管人职责终止：</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）被依法取消基金托管资格；</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）被基金份额持有人大会解任；</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）依法解散、被依法撤销或被依法宣告破产；</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）法律法规及中国证监会规定的和《基金合同》约定的其他情形。</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、更换基金托管人的程序</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）提名：新任基金托管人由基金管理人或由单独或合计持有</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以上（含</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）基金份额的基金份额持有人提名；</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）决议：基金份额持有人大会在基金托管人职责终止后</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个月内对被提名的新任基金托管人形成决议，该决议需经参加大会的基金份额持有人所持表决权的</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三分之二以上（含三分之二）表决通过，决议自表决通过之日起生效，新任基金托管人应当符合法律法规及中国证监会规定的资格条件；</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）临时基金托管人：新任基金托管人产生之前，由中国证监会指定临时基金托管人；</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）备案：基金份额持有人大会更换基金托管人的决议须报中国证监会备案；</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）公告：基金托管人更换后，由基金管理人在更换基金托管人的基金份额持有人大会决议生效后依照《信息披露办法》的规定在规定媒介公告；</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r>
        <w:rPr>
          <w:color w:val="000000" w:themeColor="text1"/>
          <w:szCs w:val="21"/>
          <w14:textFill>
            <w14:solidFill>
              <w14:schemeClr w14:val="tx1"/>
            </w14:solidFill>
          </w14:textFill>
        </w:rPr>
        <w:t xml:space="preserve"> </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）审计：基金托管人职责终止的，应当按照法律法规规定聘请</w:t>
      </w:r>
      <w:r>
        <w:rPr>
          <w:rFonts w:hint="eastAsia"/>
          <w:bCs w:val="0"/>
          <w:color w:val="000000" w:themeColor="text1"/>
          <w:sz w:val="21"/>
          <w:szCs w:val="21"/>
          <w14:textFill>
            <w14:solidFill>
              <w14:schemeClr w14:val="tx1"/>
            </w14:solidFill>
          </w14:textFill>
        </w:rPr>
        <w:t>符合《中华人民共和国证券法》规定的</w:t>
      </w:r>
      <w:r>
        <w:rPr>
          <w:rFonts w:hint="eastAsia"/>
          <w:color w:val="000000" w:themeColor="text1"/>
          <w:szCs w:val="21"/>
          <w14:textFill>
            <w14:solidFill>
              <w14:schemeClr w14:val="tx1"/>
            </w14:solidFill>
          </w14:textFill>
        </w:rPr>
        <w:t>会计师事务所对基金财产进行审计，并将审计结果予以公告，同时报中国证监会备案，审计费用从基金财产中列支。</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（三）基金管理人和基金托管人的同时更换</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）提名：如果基金管理人和基金托管人同时更换，由单独或合计持有基金总份额</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以上（含</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）的基金份额持有人提名新的基金管理人和基金托管人；</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）基金管理人和基金托管人的更换分别按上述程序进行；</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）公告：新任基金管理人和新任基金托管人应在更换基金管理人和基金托管人的基金份额持有人大会决议生效后依照《信息披露办法》的规定在规定媒介上联合公告。</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本基金合同的约定收取基金管理费或基金托管费。</w:t>
      </w:r>
    </w:p>
    <w:p>
      <w:pPr>
        <w:spacing w:line="360" w:lineRule="auto"/>
        <w:ind w:firstLine="420" w:firstLineChars="200"/>
        <w:rPr>
          <w:color w:val="000000" w:themeColor="text1"/>
          <w:szCs w:val="21"/>
          <w14:textFill>
            <w14:solidFill>
              <w14:schemeClr w14:val="tx1"/>
            </w14:solidFill>
          </w14:textFill>
        </w:rPr>
      </w:pPr>
    </w:p>
    <w:bookmarkEnd w:id="45"/>
    <w:p>
      <w:pPr>
        <w:spacing w:line="360" w:lineRule="auto"/>
        <w:ind w:firstLine="420" w:firstLineChars="200"/>
        <w:rPr>
          <w:color w:val="000000" w:themeColor="text1"/>
          <w:szCs w:val="21"/>
          <w14:textFill>
            <w14:solidFill>
              <w14:schemeClr w14:val="tx1"/>
            </w14:solidFill>
          </w14:textFill>
        </w:rPr>
      </w:pP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46" w:name="_Toc881145"/>
      <w:bookmarkStart w:id="47" w:name="_Toc394474010"/>
      <w:r>
        <w:rPr>
          <w:rFonts w:hint="eastAsia"/>
          <w:color w:val="000000" w:themeColor="text1"/>
          <w:sz w:val="24"/>
          <w:szCs w:val="24"/>
          <w14:textFill>
            <w14:solidFill>
              <w14:schemeClr w14:val="tx1"/>
            </w14:solidFill>
          </w14:textFill>
        </w:rPr>
        <w:t>禁止行为</w:t>
      </w:r>
      <w:bookmarkEnd w:id="46"/>
      <w:bookmarkEnd w:id="47"/>
    </w:p>
    <w:p>
      <w:pPr>
        <w:spacing w:line="360" w:lineRule="auto"/>
        <w:ind w:firstLine="420" w:firstLineChars="200"/>
        <w:rPr>
          <w:color w:val="000000" w:themeColor="text1"/>
          <w:szCs w:val="21"/>
          <w14:textFill>
            <w14:solidFill>
              <w14:schemeClr w14:val="tx1"/>
            </w14:solidFill>
          </w14:textFill>
        </w:rPr>
      </w:pP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托管协议当事人禁止从事的行为，包括但不限于：</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（一）基金管理人、基金托管人将其固有财产或者他人财产混同于基金财产从事证券投资。</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（二）基金管理人、基金托管人不公平地对待其管理或托管的不同基金财产。</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（三）基金管理人、基金托管人利用基金财产为基金份额持有人以外的第三人牟取利益。</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（四）基金管理人、基金托管人向基金份额持有人违规承诺收益或者承担损失。</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（五）基金管理人、基金托管人对他人泄露基金经营过程中任何尚未按法律法规规定的方式公开披露的信息。</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（六）基金管理人在没有充足资金的情况下向基金托管人发出投资指令和赎回、分红资金的划拨指令，或违规向基金托管人发出指令。</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（七）基金托管人对基金管理人的正常有效指令拖延或拒绝执行。</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（八）基金管理人、基金托管人在行政上、财务上不独立，其高级基金管理人员和其他从业人员相互兼职。</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（九）基金托管人私自动用或处分基金资产，根据基金管理人的合法指令、</w:t>
      </w:r>
      <w:r>
        <w:rPr>
          <w:rFonts w:hint="eastAsia" w:ascii="宋体" w:hAnsi="Calibri" w:cs="宋体"/>
          <w:color w:val="000000" w:themeColor="text1"/>
          <w:kern w:val="0"/>
          <w:szCs w:val="21"/>
          <w14:textFill>
            <w14:solidFill>
              <w14:schemeClr w14:val="tx1"/>
            </w14:solidFill>
          </w14:textFill>
        </w:rPr>
        <w:t>《基金合同》</w:t>
      </w:r>
      <w:r>
        <w:rPr>
          <w:rFonts w:hint="eastAsia"/>
          <w:color w:val="000000" w:themeColor="text1"/>
          <w:szCs w:val="21"/>
          <w14:textFill>
            <w14:solidFill>
              <w14:schemeClr w14:val="tx1"/>
            </w14:solidFill>
          </w14:textFill>
        </w:rPr>
        <w:t>或托管协议的规定进行处分的除外。</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（十）基金管理人、基金托管人不得利用基金财产用于下列投资或者活动（同本协议第三章约定内容）：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）承销证券；</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）违反规定向他人贷款或者提供担保；</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）从事承担无限责任的投资；</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）买卖其他基金份额，但是中国证监会另有规定的除外；</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）向其基金管理人、基金托管人出资；</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）从事内幕交易、操纵证券交易价格及其他不正当的证券交易活动；</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法律、行政法规和中国证监会规定禁止的其他活动。</w:t>
      </w:r>
    </w:p>
    <w:p>
      <w:pPr>
        <w:spacing w:line="360" w:lineRule="auto"/>
        <w:ind w:firstLine="420" w:firstLineChars="200"/>
        <w:rPr>
          <w:color w:val="000000" w:themeColor="text1"/>
          <w:szCs w:val="21"/>
          <w14:textFill>
            <w14:solidFill>
              <w14:schemeClr w14:val="tx1"/>
            </w14:solidFill>
          </w14:textFill>
        </w:rPr>
      </w:pPr>
      <w:r>
        <w:rPr>
          <w:rFonts w:hint="eastAsia"/>
          <w:szCs w:val="21"/>
        </w:rPr>
        <w:t>如法律法规或监管部门取消或</w:t>
      </w:r>
      <w:r>
        <w:rPr>
          <w:rFonts w:hint="eastAsia"/>
          <w:color w:val="000000" w:themeColor="text1"/>
          <w:szCs w:val="21"/>
          <w14:textFill>
            <w14:solidFill>
              <w14:schemeClr w14:val="tx1"/>
            </w14:solidFill>
          </w14:textFill>
        </w:rPr>
        <w:t>调整</w:t>
      </w:r>
      <w:r>
        <w:rPr>
          <w:rFonts w:hint="eastAsia"/>
          <w:szCs w:val="21"/>
        </w:rPr>
        <w:t>上述禁止性规定，如适用于本基金，基金管理人在履行适当程序后，则本基金投资不再受相关限制或</w:t>
      </w:r>
      <w:r>
        <w:rPr>
          <w:rFonts w:hint="eastAsia"/>
          <w:color w:val="000000" w:themeColor="text1"/>
          <w:szCs w:val="21"/>
          <w14:textFill>
            <w14:solidFill>
              <w14:schemeClr w14:val="tx1"/>
            </w14:solidFill>
          </w14:textFill>
        </w:rPr>
        <w:t>按照调整</w:t>
      </w:r>
      <w:r>
        <w:rPr>
          <w:rFonts w:hint="eastAsia"/>
          <w:szCs w:val="21"/>
        </w:rPr>
        <w:t>后的规定</w:t>
      </w:r>
      <w:r>
        <w:rPr>
          <w:rFonts w:hint="eastAsia"/>
          <w:color w:val="000000" w:themeColor="text1"/>
          <w:szCs w:val="21"/>
          <w14:textFill>
            <w14:solidFill>
              <w14:schemeClr w14:val="tx1"/>
            </w14:solidFill>
          </w14:textFill>
        </w:rPr>
        <w:t>执行</w:t>
      </w:r>
      <w:r>
        <w:rPr>
          <w:rFonts w:hint="eastAsia"/>
          <w:szCs w:val="21"/>
        </w:rPr>
        <w:t>。</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48" w:name="_Toc881146"/>
      <w:bookmarkStart w:id="49" w:name="_Toc394474011"/>
      <w:r>
        <w:rPr>
          <w:rFonts w:hint="eastAsia"/>
          <w:color w:val="000000" w:themeColor="text1"/>
          <w:sz w:val="24"/>
          <w:szCs w:val="24"/>
          <w14:textFill>
            <w14:solidFill>
              <w14:schemeClr w14:val="tx1"/>
            </w14:solidFill>
          </w14:textFill>
        </w:rPr>
        <w:t>托管协议的变更、终止与基金财产的清算</w:t>
      </w:r>
      <w:bookmarkEnd w:id="48"/>
      <w:bookmarkEnd w:id="49"/>
    </w:p>
    <w:p>
      <w:pPr>
        <w:autoSpaceDE w:val="0"/>
        <w:autoSpaceDN w:val="0"/>
        <w:adjustRightInd w:val="0"/>
        <w:spacing w:line="360" w:lineRule="auto"/>
        <w:jc w:val="left"/>
        <w:rPr>
          <w:color w:val="000000" w:themeColor="text1"/>
          <w:szCs w:val="21"/>
          <w14:textFill>
            <w14:solidFill>
              <w14:schemeClr w14:val="tx1"/>
            </w14:solidFill>
          </w14:textFill>
        </w:rPr>
      </w:pPr>
    </w:p>
    <w:p>
      <w:pPr>
        <w:autoSpaceDE w:val="0"/>
        <w:autoSpaceDN w:val="0"/>
        <w:adjustRightInd w:val="0"/>
        <w:spacing w:line="360" w:lineRule="auto"/>
        <w:ind w:firstLine="315" w:firstLineChars="150"/>
        <w:jc w:val="left"/>
        <w:rPr>
          <w:color w:val="000000" w:themeColor="text1"/>
          <w:szCs w:val="21"/>
          <w14:textFill>
            <w14:solidFill>
              <w14:schemeClr w14:val="tx1"/>
            </w14:solidFill>
          </w14:textFill>
        </w:rPr>
      </w:pPr>
      <w:bookmarkStart w:id="50" w:name="_Hlk195694070"/>
      <w:r>
        <w:rPr>
          <w:rFonts w:hint="eastAsia"/>
          <w:color w:val="000000" w:themeColor="text1"/>
          <w:szCs w:val="21"/>
          <w14:textFill>
            <w14:solidFill>
              <w14:schemeClr w14:val="tx1"/>
            </w14:solidFill>
          </w14:textFill>
        </w:rPr>
        <w:t>（一）托管协议的变更与终止</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、托管协议的变更程序</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本协议双方当事人经协商一致，可以对协议的内容进行变更。变更后的托管协议，其内容不得与《基金合同》的规定有任何冲突。基金托管协议的变更按规定报中国证监会备案。</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、基金托管协议终止的情形</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发生以下情况，本托管协议终止：</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）《基金合同》终止；</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）基金托管人解散、依法被撤销、破产或有其他基金托管人接管基金资产；</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）基金管理人解散、依法被撤销、破产或有其他基金管理人接管基金管理权；</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）发生法律法规、中国证监会或《基金合同》规定的终止事项。</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（二）基金财产的清算</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1、基金财产清算小组：自出现《基金合同》终止事由之日起30个工作日内成立清算小组，基金管理人组织基金财产清算小组并在中国证监会的监督下进行基金清算。</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3、基金财产清算小组职责：基金财产清算小组负责基金财产的保管、清理、估价、变现和分配。基金财产清算小组可以依法进行必要的民事活动。</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4、基金财产清算程序：</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（1）《基金合同》终止情形出现时，由基金财产清算小组统一接管基金财产；</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（2）对基金财产和债权债务进行清理和确认；</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（3）对基金财产进行估值和变现；</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（4）制作清算报告；</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（5）聘请会计师事务所对清算报告进行外部审计，聘请律师事务所对清算报告出具法律意见书；</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（6）将清算报告报中国证监会备案并公告；</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（7）对基金剩余财产进行分配。</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、基金财产清算的期限为6个月，但因本基金所持证券的流动性受到限制而不能及时变现的，清算期限相应顺延。</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、清算费用</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清算费用是指基金财产清算小组在进行基金财产清算过程中发生的所有合理费用，清算费用由基金财产清算小组优先从基金财产中支付。</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、基金财产清算剩余资产的分配</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、基金财产清算的公告</w:t>
      </w:r>
    </w:p>
    <w:p>
      <w:pPr>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个工作日内由基金财产清算小组进行公告，基金财产清算小组应当将清算报告登载在规定网站上，并将清算报告提示性公告登载在规定报刊上。</w:t>
      </w:r>
    </w:p>
    <w:p>
      <w:pPr>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r>
        <w:rPr>
          <w:rFonts w:hint="eastAsia"/>
          <w:color w:val="000000" w:themeColor="text1"/>
          <w:szCs w:val="21"/>
          <w14:textFill>
            <w14:solidFill>
              <w14:schemeClr w14:val="tx1"/>
            </w14:solidFill>
          </w14:textFill>
        </w:rPr>
        <w:t>、基金财产清算账册及文件的保存</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基金财产清算账册及有关文件由基金托管人保存</w:t>
      </w:r>
      <w:r>
        <w:rPr>
          <w:rFonts w:hint="eastAsia"/>
          <w:bCs/>
          <w:szCs w:val="21"/>
        </w:rPr>
        <w:t>不低于法律法规规定的最低期限</w:t>
      </w:r>
      <w:r>
        <w:rPr>
          <w:rFonts w:hint="eastAsia"/>
          <w:color w:val="000000" w:themeColor="text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p>
    <w:bookmarkEnd w:id="50"/>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51" w:name="_Toc394474012"/>
      <w:bookmarkStart w:id="52" w:name="_Toc881147"/>
      <w:r>
        <w:rPr>
          <w:rFonts w:hint="eastAsia"/>
          <w:color w:val="000000" w:themeColor="text1"/>
          <w:sz w:val="24"/>
          <w:szCs w:val="24"/>
          <w14:textFill>
            <w14:solidFill>
              <w14:schemeClr w14:val="tx1"/>
            </w14:solidFill>
          </w14:textFill>
        </w:rPr>
        <w:t>违约责任和责任划分</w:t>
      </w:r>
      <w:bookmarkEnd w:id="51"/>
      <w:bookmarkEnd w:id="52"/>
    </w:p>
    <w:p>
      <w:pPr>
        <w:spacing w:line="360" w:lineRule="auto"/>
        <w:ind w:firstLine="420" w:firstLineChars="200"/>
        <w:rPr>
          <w:color w:val="000000" w:themeColor="text1"/>
          <w:szCs w:val="21"/>
          <w14:textFill>
            <w14:solidFill>
              <w14:schemeClr w14:val="tx1"/>
            </w14:solidFill>
          </w14:textFill>
        </w:rPr>
      </w:pP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（一）本协议当事人不履行本协议或履行本协议不符合约定的，应当承担违约责任。</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（二）因本协议当事人违约给基金财产或者基金份额持有人造成损害的，应当分别对各自的行为依法承担赔偿责任，因共同行为给基金财产或者基金份额持有人造成损害的，应当承担连带赔偿责任。</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（三）一方当事人违反本协议，给另一方当事人造成损失的，应承担赔偿责任。</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（四）发生下列情况时，当事人免责：</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、不可抗力；</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、基金管理人和/或基金托管人按照当时有效的法律法规或中国证监会等监管机构的规定作为或不作为而造成的损失等；</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、基金管理人由于按照</w:t>
      </w:r>
      <w:r>
        <w:rPr>
          <w:rFonts w:hint="eastAsia" w:ascii="宋体" w:hAnsi="Calibri" w:cs="宋体"/>
          <w:color w:val="000000" w:themeColor="text1"/>
          <w:kern w:val="0"/>
          <w:szCs w:val="21"/>
          <w14:textFill>
            <w14:solidFill>
              <w14:schemeClr w14:val="tx1"/>
            </w14:solidFill>
          </w14:textFill>
        </w:rPr>
        <w:t>《基金合同》</w:t>
      </w:r>
      <w:r>
        <w:rPr>
          <w:rFonts w:hint="eastAsia"/>
          <w:color w:val="000000" w:themeColor="text1"/>
          <w:szCs w:val="21"/>
          <w14:textFill>
            <w14:solidFill>
              <w14:schemeClr w14:val="tx1"/>
            </w14:solidFill>
          </w14:textFill>
        </w:rPr>
        <w:t>规定的投资原则行使或不行使其投资权而造成的损失等。</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当事人一方违约，另一方在职责范围内有义务及时采取必要的措施，尽力防止损失的扩大。没有采取适当措施致使损失进一步扩大的，不得就扩大的损失要求赔偿。非违约方因防止损失扩大而支出的合理费用由违约方承担。</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（六）违约行为虽已发生，但本协议能够继续履行的，在最大限度地保护基金份额持有人利益的前提下，基金管理人和基金托管人应当继续履行本协议。</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（七）本协议所述责任划分仅指基金</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基金管理人、基金</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基金托管人之间的责任划分，并不影响承担责任一方向其他责任方追索的权利。</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八）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（九）本协议所指损失均为直接损失。</w:t>
      </w:r>
    </w:p>
    <w:p>
      <w:pPr>
        <w:spacing w:line="360" w:lineRule="auto"/>
        <w:ind w:firstLine="420" w:firstLineChars="200"/>
        <w:rPr>
          <w:color w:val="000000" w:themeColor="text1"/>
          <w:szCs w:val="21"/>
          <w14:textFill>
            <w14:solidFill>
              <w14:schemeClr w14:val="tx1"/>
            </w14:solidFill>
          </w14:textFill>
        </w:rPr>
      </w:pP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53" w:name="_Toc394474013"/>
      <w:bookmarkStart w:id="54" w:name="_Toc881148"/>
      <w:r>
        <w:rPr>
          <w:rFonts w:hint="eastAsia"/>
          <w:color w:val="000000" w:themeColor="text1"/>
          <w:sz w:val="24"/>
          <w:szCs w:val="24"/>
          <w14:textFill>
            <w14:solidFill>
              <w14:schemeClr w14:val="tx1"/>
            </w14:solidFill>
          </w14:textFill>
        </w:rPr>
        <w:t>适用法律与争议解决方式</w:t>
      </w:r>
      <w:bookmarkEnd w:id="53"/>
      <w:bookmarkEnd w:id="54"/>
    </w:p>
    <w:p>
      <w:pPr>
        <w:spacing w:line="360" w:lineRule="auto"/>
        <w:ind w:firstLine="420" w:firstLineChars="200"/>
        <w:rPr>
          <w:color w:val="000000" w:themeColor="text1"/>
          <w:szCs w:val="21"/>
          <w14:textFill>
            <w14:solidFill>
              <w14:schemeClr w14:val="tx1"/>
            </w14:solidFill>
          </w14:textFill>
        </w:rPr>
      </w:pP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（一）本协议适用中华人民共和国法律（为本协议之目的，不包括香港特别行政区、澳门特别行政区和台湾地区法律）并从其解释。</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基金管理人与基金托管人之间因本协议产生的或与本协议有关的争议可通过友好协商解决。但争议未能以协商方式解决的，则任何一方有权将争议提交中国国际经济贸易仲裁委员会，按照中国国际经济贸易仲裁委员会届时有效的仲裁规则进行仲裁，仲裁地点为北京市。仲裁裁决是终局的，对仲裁各方当事人均具有约束力。除非仲裁裁决另有规定，仲裁费用由败诉方承担。</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（三）争议处理期间，双方当事人应恪守基金管理人和基金托管人职责，各自继续忠实、勤勉、尽责地履行《基金合同》和《托管协议》规定的义务，维护基金份额持有人的合法权益。</w:t>
      </w:r>
    </w:p>
    <w:p>
      <w:pPr>
        <w:spacing w:line="360" w:lineRule="auto"/>
        <w:ind w:firstLine="420" w:firstLineChars="200"/>
        <w:rPr>
          <w:color w:val="000000" w:themeColor="text1"/>
          <w:szCs w:val="21"/>
          <w14:textFill>
            <w14:solidFill>
              <w14:schemeClr w14:val="tx1"/>
            </w14:solidFill>
          </w14:textFill>
        </w:rPr>
      </w:pP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55" w:name="_Toc881149"/>
      <w:bookmarkStart w:id="56" w:name="_Toc394474014"/>
      <w:r>
        <w:rPr>
          <w:rFonts w:hint="eastAsia"/>
          <w:color w:val="000000" w:themeColor="text1"/>
          <w:sz w:val="24"/>
          <w:szCs w:val="24"/>
          <w14:textFill>
            <w14:solidFill>
              <w14:schemeClr w14:val="tx1"/>
            </w14:solidFill>
          </w14:textFill>
        </w:rPr>
        <w:t>托管协议的效力</w:t>
      </w:r>
      <w:bookmarkEnd w:id="55"/>
      <w:bookmarkEnd w:id="56"/>
    </w:p>
    <w:p>
      <w:pPr>
        <w:spacing w:line="360" w:lineRule="auto"/>
        <w:ind w:firstLine="420" w:firstLineChars="200"/>
        <w:rPr>
          <w:color w:val="000000" w:themeColor="text1"/>
          <w:szCs w:val="21"/>
          <w14:textFill>
            <w14:solidFill>
              <w14:schemeClr w14:val="tx1"/>
            </w14:solidFill>
          </w14:textFill>
        </w:rPr>
      </w:pP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基金管理人在向中国证监会申请募集注册本基金时提交的基金托管协议草案，应经托管协议当事人双方盖章以及双方法定代表人或授权代表签字或盖章，协议当事人双方根据中国证监会的意见修改托管协议草案。托管协议以中国证监会注册的文本为正式文本。</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（二）本协议自《基金合同》成立之日起成立，自</w:t>
      </w:r>
      <w:r>
        <w:rPr>
          <w:rFonts w:hint="eastAsia" w:ascii="宋体" w:hAnsi="Calibri" w:cs="宋体"/>
          <w:color w:val="000000" w:themeColor="text1"/>
          <w:kern w:val="0"/>
          <w:szCs w:val="21"/>
          <w14:textFill>
            <w14:solidFill>
              <w14:schemeClr w14:val="tx1"/>
            </w14:solidFill>
          </w14:textFill>
        </w:rPr>
        <w:t>《基金合同》</w:t>
      </w:r>
      <w:r>
        <w:rPr>
          <w:rFonts w:hint="eastAsia"/>
          <w:color w:val="000000" w:themeColor="text1"/>
          <w:szCs w:val="21"/>
          <w14:textFill>
            <w14:solidFill>
              <w14:schemeClr w14:val="tx1"/>
            </w14:solidFill>
          </w14:textFill>
        </w:rPr>
        <w:t>生效之日起生效，与</w:t>
      </w:r>
      <w:r>
        <w:rPr>
          <w:rFonts w:hint="eastAsia" w:ascii="宋体" w:hAnsi="Calibri" w:cs="宋体"/>
          <w:color w:val="000000" w:themeColor="text1"/>
          <w:kern w:val="0"/>
          <w:szCs w:val="21"/>
          <w14:textFill>
            <w14:solidFill>
              <w14:schemeClr w14:val="tx1"/>
            </w14:solidFill>
          </w14:textFill>
        </w:rPr>
        <w:t>《基金合同》</w:t>
      </w:r>
      <w:r>
        <w:rPr>
          <w:rFonts w:hint="eastAsia"/>
          <w:color w:val="000000" w:themeColor="text1"/>
          <w:szCs w:val="21"/>
          <w14:textFill>
            <w14:solidFill>
              <w14:schemeClr w14:val="tx1"/>
            </w14:solidFill>
          </w14:textFill>
        </w:rPr>
        <w:t>具有同等法律效力。本协议的有效期自其生效之日起至基金财产清算结果报中国证监会备案并公告之日止。</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（三）本协议自生效之日起对双方当事人具有同等的法律约束力。</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（四）本协议正本一式三份，协议双方各执一份，上报有关监管部门一份，每份具有同等法律效力。</w:t>
      </w:r>
    </w:p>
    <w:p>
      <w:pPr>
        <w:pStyle w:val="2"/>
        <w:numPr>
          <w:ilvl w:val="0"/>
          <w:numId w:val="1"/>
        </w:numPr>
        <w:spacing w:before="120" w:after="120" w:line="360" w:lineRule="auto"/>
        <w:jc w:val="center"/>
        <w:rPr>
          <w:b w:val="0"/>
          <w:color w:val="000000" w:themeColor="text1"/>
          <w:sz w:val="24"/>
          <w:szCs w:val="24"/>
          <w14:textFill>
            <w14:solidFill>
              <w14:schemeClr w14:val="tx1"/>
            </w14:solidFill>
          </w14:textFill>
        </w:rPr>
      </w:pPr>
      <w:bookmarkStart w:id="57" w:name="_Toc881150"/>
      <w:bookmarkStart w:id="58" w:name="_Toc394474015"/>
      <w:r>
        <w:rPr>
          <w:rFonts w:hint="eastAsia"/>
          <w:color w:val="000000" w:themeColor="text1"/>
          <w:sz w:val="24"/>
          <w:szCs w:val="24"/>
          <w14:textFill>
            <w14:solidFill>
              <w14:schemeClr w14:val="tx1"/>
            </w14:solidFill>
          </w14:textFill>
        </w:rPr>
        <w:t>托管协议的签订</w:t>
      </w:r>
      <w:bookmarkEnd w:id="57"/>
      <w:bookmarkEnd w:id="58"/>
    </w:p>
    <w:p>
      <w:pPr>
        <w:spacing w:line="360" w:lineRule="auto"/>
        <w:ind w:firstLine="420" w:firstLineChars="200"/>
        <w:rPr>
          <w:color w:val="000000" w:themeColor="text1"/>
          <w:szCs w:val="21"/>
          <w14:textFill>
            <w14:solidFill>
              <w14:schemeClr w14:val="tx1"/>
            </w14:solidFill>
          </w14:textFill>
        </w:rPr>
      </w:pP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本托管协议经基金管理人和基金托管人认可后，由该双方当事人在基金托管协议上盖章，并由各自的法定代表人或授权代表签字或盖章，并注明基金托管协议的签订地点和签订日期。</w:t>
      </w:r>
    </w:p>
    <w:p>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pPr>
        <w:pStyle w:val="30"/>
        <w:ind w:firstLine="480"/>
        <w:rPr>
          <w:color w:val="000000"/>
        </w:rPr>
      </w:pPr>
      <w:r>
        <w:rPr>
          <w:color w:val="000000"/>
        </w:rPr>
        <w:t>本页无正文，为《</w:t>
      </w:r>
      <w:r>
        <w:rPr>
          <w:rFonts w:hint="eastAsia"/>
          <w:color w:val="000000"/>
        </w:rPr>
        <w:t>交银施罗德港股通优质精选混合型</w:t>
      </w:r>
      <w:r>
        <w:rPr>
          <w:color w:val="000000"/>
        </w:rPr>
        <w:t>证券投资基金</w:t>
      </w:r>
      <w:r>
        <w:rPr>
          <w:rFonts w:hint="eastAsia"/>
          <w:color w:val="000000"/>
        </w:rPr>
        <w:t>托管</w:t>
      </w:r>
      <w:r>
        <w:rPr>
          <w:color w:val="000000"/>
        </w:rPr>
        <w:t>协议》的签字盖章页。</w:t>
      </w:r>
    </w:p>
    <w:p>
      <w:pPr>
        <w:pStyle w:val="30"/>
        <w:ind w:firstLine="480"/>
        <w:rPr>
          <w:color w:val="000000"/>
        </w:rPr>
      </w:pPr>
    </w:p>
    <w:p>
      <w:pPr>
        <w:pStyle w:val="30"/>
        <w:ind w:firstLine="480"/>
        <w:rPr>
          <w:color w:val="000000"/>
        </w:rPr>
      </w:pPr>
    </w:p>
    <w:p>
      <w:pPr>
        <w:pStyle w:val="30"/>
        <w:ind w:firstLine="480"/>
        <w:rPr>
          <w:color w:val="000000"/>
        </w:rPr>
      </w:pPr>
    </w:p>
    <w:p>
      <w:pPr>
        <w:pStyle w:val="30"/>
        <w:ind w:firstLine="480"/>
        <w:rPr>
          <w:color w:val="000000"/>
        </w:rPr>
      </w:pPr>
    </w:p>
    <w:p>
      <w:pPr>
        <w:pStyle w:val="30"/>
        <w:ind w:firstLine="480"/>
        <w:rPr>
          <w:color w:val="000000"/>
        </w:rPr>
      </w:pPr>
      <w:r>
        <w:rPr>
          <w:color w:val="000000"/>
        </w:rPr>
        <w:t>基金管理人：</w:t>
      </w:r>
      <w:r>
        <w:rPr>
          <w:rFonts w:hint="eastAsia"/>
          <w:color w:val="000000"/>
        </w:rPr>
        <w:t>交银施罗德基金管理有限公司</w:t>
      </w:r>
      <w:r>
        <w:rPr>
          <w:color w:val="000000"/>
        </w:rPr>
        <w:t>（</w:t>
      </w:r>
      <w:r>
        <w:rPr>
          <w:rFonts w:hint="eastAsia"/>
          <w:color w:val="000000"/>
          <w:lang w:val="en-US" w:eastAsia="zh-CN"/>
        </w:rPr>
        <w:t>公章或合同专用章</w:t>
      </w:r>
      <w:r>
        <w:rPr>
          <w:color w:val="000000"/>
        </w:rPr>
        <w:t>）</w:t>
      </w:r>
    </w:p>
    <w:p>
      <w:pPr>
        <w:pStyle w:val="30"/>
        <w:ind w:firstLine="480"/>
        <w:rPr>
          <w:color w:val="000000"/>
        </w:rPr>
      </w:pPr>
    </w:p>
    <w:p>
      <w:pPr>
        <w:pStyle w:val="30"/>
        <w:ind w:firstLine="480"/>
        <w:rPr>
          <w:color w:val="000000"/>
        </w:rPr>
      </w:pPr>
    </w:p>
    <w:p>
      <w:pPr>
        <w:pStyle w:val="30"/>
        <w:ind w:firstLine="480"/>
        <w:rPr>
          <w:color w:val="000000"/>
        </w:rPr>
      </w:pPr>
    </w:p>
    <w:p>
      <w:pPr>
        <w:pStyle w:val="30"/>
        <w:ind w:firstLine="480"/>
        <w:rPr>
          <w:color w:val="000000"/>
        </w:rPr>
      </w:pPr>
    </w:p>
    <w:p>
      <w:pPr>
        <w:pStyle w:val="30"/>
        <w:ind w:firstLine="480"/>
        <w:rPr>
          <w:color w:val="000000"/>
        </w:rPr>
      </w:pPr>
      <w:r>
        <w:rPr>
          <w:color w:val="000000"/>
        </w:rPr>
        <w:t>法定代表人或授权代表</w:t>
      </w:r>
      <w:r>
        <w:rPr>
          <w:rFonts w:hint="eastAsia"/>
          <w:color w:val="000000"/>
        </w:rPr>
        <w:t>（签字或盖章）</w:t>
      </w:r>
      <w:r>
        <w:rPr>
          <w:color w:val="000000"/>
        </w:rPr>
        <w:t>：</w:t>
      </w:r>
    </w:p>
    <w:p>
      <w:pPr>
        <w:pStyle w:val="30"/>
        <w:ind w:firstLine="480"/>
        <w:rPr>
          <w:color w:val="000000"/>
        </w:rPr>
      </w:pPr>
    </w:p>
    <w:p>
      <w:pPr>
        <w:pStyle w:val="30"/>
        <w:ind w:firstLine="480"/>
        <w:rPr>
          <w:color w:val="000000"/>
        </w:rPr>
      </w:pPr>
    </w:p>
    <w:p>
      <w:pPr>
        <w:pStyle w:val="30"/>
        <w:ind w:firstLine="480"/>
        <w:rPr>
          <w:color w:val="000000"/>
        </w:rPr>
      </w:pPr>
    </w:p>
    <w:p>
      <w:pPr>
        <w:pStyle w:val="30"/>
        <w:ind w:firstLine="480"/>
        <w:rPr>
          <w:color w:val="000000"/>
        </w:rPr>
      </w:pPr>
    </w:p>
    <w:p>
      <w:pPr>
        <w:pStyle w:val="30"/>
        <w:ind w:firstLine="480"/>
        <w:rPr>
          <w:color w:val="000000"/>
        </w:rPr>
      </w:pPr>
      <w:r>
        <w:rPr>
          <w:color w:val="000000"/>
        </w:rPr>
        <w:t>基金托管人：中信证券股份有限公司（</w:t>
      </w:r>
      <w:r>
        <w:rPr>
          <w:rFonts w:hint="eastAsia"/>
          <w:color w:val="000000"/>
        </w:rPr>
        <w:t>公章或合同专用章</w:t>
      </w:r>
      <w:r>
        <w:rPr>
          <w:color w:val="000000"/>
        </w:rPr>
        <w:t>）</w:t>
      </w:r>
    </w:p>
    <w:p>
      <w:pPr>
        <w:pStyle w:val="30"/>
        <w:ind w:firstLine="480"/>
        <w:rPr>
          <w:color w:val="000000"/>
        </w:rPr>
      </w:pPr>
    </w:p>
    <w:p>
      <w:pPr>
        <w:pStyle w:val="30"/>
        <w:ind w:firstLine="480"/>
        <w:rPr>
          <w:color w:val="000000"/>
        </w:rPr>
      </w:pPr>
    </w:p>
    <w:p>
      <w:pPr>
        <w:pStyle w:val="30"/>
        <w:ind w:firstLine="480"/>
        <w:rPr>
          <w:color w:val="000000"/>
        </w:rPr>
      </w:pPr>
    </w:p>
    <w:p>
      <w:pPr>
        <w:pStyle w:val="30"/>
        <w:ind w:firstLine="480"/>
        <w:rPr>
          <w:color w:val="000000"/>
        </w:rPr>
      </w:pPr>
    </w:p>
    <w:p>
      <w:pPr>
        <w:pStyle w:val="30"/>
        <w:ind w:firstLine="480"/>
        <w:rPr>
          <w:color w:val="000000"/>
        </w:rPr>
      </w:pPr>
      <w:r>
        <w:rPr>
          <w:color w:val="000000"/>
        </w:rPr>
        <w:t>法定代表人或授权代表</w:t>
      </w:r>
      <w:r>
        <w:rPr>
          <w:rFonts w:hint="eastAsia"/>
          <w:color w:val="000000"/>
        </w:rPr>
        <w:t>（签字或盖章）</w:t>
      </w:r>
      <w:r>
        <w:rPr>
          <w:color w:val="000000"/>
        </w:rPr>
        <w:t>：</w:t>
      </w:r>
    </w:p>
    <w:p>
      <w:pPr>
        <w:pStyle w:val="30"/>
        <w:ind w:firstLine="480"/>
        <w:rPr>
          <w:color w:val="000000"/>
        </w:rPr>
      </w:pPr>
    </w:p>
    <w:p>
      <w:pPr>
        <w:pStyle w:val="30"/>
        <w:ind w:firstLine="480"/>
        <w:rPr>
          <w:color w:val="000000"/>
        </w:rPr>
      </w:pPr>
    </w:p>
    <w:p>
      <w:pPr>
        <w:pStyle w:val="30"/>
        <w:ind w:firstLine="480"/>
        <w:rPr>
          <w:color w:val="000000"/>
        </w:rPr>
      </w:pPr>
    </w:p>
    <w:p>
      <w:pPr>
        <w:pStyle w:val="30"/>
        <w:ind w:firstLine="480"/>
        <w:rPr>
          <w:color w:val="000000"/>
        </w:rPr>
      </w:pPr>
    </w:p>
    <w:p>
      <w:pPr>
        <w:pStyle w:val="30"/>
        <w:ind w:firstLine="480"/>
        <w:rPr>
          <w:color w:val="000000"/>
        </w:rPr>
      </w:pPr>
      <w:r>
        <w:rPr>
          <w:color w:val="000000"/>
        </w:rPr>
        <w:t>签订地点：北京</w:t>
      </w:r>
    </w:p>
    <w:p>
      <w:pPr>
        <w:pStyle w:val="30"/>
        <w:ind w:firstLine="480"/>
        <w:rPr>
          <w:color w:val="000000"/>
        </w:rPr>
      </w:pPr>
      <w:r>
        <w:rPr>
          <w:color w:val="000000"/>
        </w:rPr>
        <w:t>签订日期：二〇二</w:t>
      </w:r>
      <w:r>
        <w:rPr>
          <w:rFonts w:hint="eastAsia"/>
          <w:color w:val="000000"/>
        </w:rPr>
        <w:t>五</w:t>
      </w:r>
      <w:r>
        <w:rPr>
          <w:color w:val="000000"/>
        </w:rPr>
        <w:t>年    月     日</w:t>
      </w:r>
    </w:p>
    <w:p>
      <w:pPr>
        <w:spacing w:line="360" w:lineRule="auto"/>
        <w:ind w:firstLine="420" w:firstLineChars="200"/>
        <w:rPr>
          <w:color w:val="000000" w:themeColor="text1"/>
          <w14:textFill>
            <w14:solidFill>
              <w14:schemeClr w14:val="tx1"/>
            </w14:solidFill>
          </w14:textFill>
        </w:rPr>
      </w:pPr>
    </w:p>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866400"/>
    </w:sdtPr>
    <w:sdtContent>
      <w:p>
        <w:pPr>
          <w:pStyle w:val="7"/>
          <w:jc w:val="center"/>
        </w:pPr>
        <w:r>
          <w:rPr>
            <w:rFonts w:hint="eastAsia"/>
          </w:rPr>
          <w:t>4-</w:t>
        </w:r>
        <w:r>
          <w:fldChar w:fldCharType="begin"/>
        </w:r>
        <w:r>
          <w:instrText xml:space="preserve">PAGE   \* MERGEFORMAT</w:instrText>
        </w:r>
        <w:r>
          <w:fldChar w:fldCharType="separate"/>
        </w:r>
        <w:r>
          <w:rPr>
            <w:lang w:val="zh-CN"/>
          </w:rPr>
          <w:t>26</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交银施罗德港股通优质精选混合型证券投资基金托管协议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交银施罗德港股通优质精选混合型证券投资基金托管协议</w:t>
    </w:r>
  </w:p>
  <w:p>
    <w:pPr>
      <w:pStyle w:val="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4246B"/>
    <w:multiLevelType w:val="multilevel"/>
    <w:tmpl w:val="4574246B"/>
    <w:lvl w:ilvl="0" w:tentative="0">
      <w:start w:val="1"/>
      <w:numFmt w:val="japaneseCounting"/>
      <w:lvlText w:val="%1、"/>
      <w:lvlJc w:val="left"/>
      <w:pPr>
        <w:ind w:left="450" w:hanging="450"/>
      </w:pPr>
      <w:rPr>
        <w:rFonts w:hint="default"/>
        <w:b/>
        <w:sz w:val="24"/>
        <w:szCs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3723742"/>
    <w:multiLevelType w:val="multilevel"/>
    <w:tmpl w:val="73723742"/>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8F"/>
    <w:rsid w:val="00012534"/>
    <w:rsid w:val="00014D14"/>
    <w:rsid w:val="00025271"/>
    <w:rsid w:val="00025E69"/>
    <w:rsid w:val="000305D9"/>
    <w:rsid w:val="000313FC"/>
    <w:rsid w:val="00032445"/>
    <w:rsid w:val="00040CCE"/>
    <w:rsid w:val="00042F80"/>
    <w:rsid w:val="000448D9"/>
    <w:rsid w:val="00050031"/>
    <w:rsid w:val="00050A9B"/>
    <w:rsid w:val="00062FF4"/>
    <w:rsid w:val="0006711D"/>
    <w:rsid w:val="00070820"/>
    <w:rsid w:val="000718F9"/>
    <w:rsid w:val="00073BC8"/>
    <w:rsid w:val="00075BE5"/>
    <w:rsid w:val="000826F4"/>
    <w:rsid w:val="00083A51"/>
    <w:rsid w:val="00086495"/>
    <w:rsid w:val="00090A1D"/>
    <w:rsid w:val="00090E6A"/>
    <w:rsid w:val="0009101B"/>
    <w:rsid w:val="0009105A"/>
    <w:rsid w:val="00097F0A"/>
    <w:rsid w:val="000A017E"/>
    <w:rsid w:val="000A2699"/>
    <w:rsid w:val="000B09EF"/>
    <w:rsid w:val="000B25CC"/>
    <w:rsid w:val="000B39EA"/>
    <w:rsid w:val="000C2B2E"/>
    <w:rsid w:val="000C490A"/>
    <w:rsid w:val="000C5179"/>
    <w:rsid w:val="000C6A36"/>
    <w:rsid w:val="000D28C6"/>
    <w:rsid w:val="000D29A6"/>
    <w:rsid w:val="000D2E50"/>
    <w:rsid w:val="000E024C"/>
    <w:rsid w:val="000E305A"/>
    <w:rsid w:val="00104CCE"/>
    <w:rsid w:val="001079A0"/>
    <w:rsid w:val="001411CB"/>
    <w:rsid w:val="001438C2"/>
    <w:rsid w:val="00144E6F"/>
    <w:rsid w:val="001450FC"/>
    <w:rsid w:val="0015665D"/>
    <w:rsid w:val="00162A6B"/>
    <w:rsid w:val="0017426C"/>
    <w:rsid w:val="0017449A"/>
    <w:rsid w:val="00184051"/>
    <w:rsid w:val="00185797"/>
    <w:rsid w:val="00195F80"/>
    <w:rsid w:val="0019637B"/>
    <w:rsid w:val="001A32EE"/>
    <w:rsid w:val="001A5516"/>
    <w:rsid w:val="001A5EF7"/>
    <w:rsid w:val="001A7F87"/>
    <w:rsid w:val="001B04B0"/>
    <w:rsid w:val="001C51A0"/>
    <w:rsid w:val="001C542D"/>
    <w:rsid w:val="001F45C6"/>
    <w:rsid w:val="00202701"/>
    <w:rsid w:val="00215E0B"/>
    <w:rsid w:val="00216CFE"/>
    <w:rsid w:val="00226D59"/>
    <w:rsid w:val="00236725"/>
    <w:rsid w:val="00246C1D"/>
    <w:rsid w:val="00246FF5"/>
    <w:rsid w:val="002526B7"/>
    <w:rsid w:val="002529E1"/>
    <w:rsid w:val="002565E5"/>
    <w:rsid w:val="00264015"/>
    <w:rsid w:val="00285EA0"/>
    <w:rsid w:val="002A1E40"/>
    <w:rsid w:val="002A4616"/>
    <w:rsid w:val="002A52CB"/>
    <w:rsid w:val="002B6047"/>
    <w:rsid w:val="002B6DCE"/>
    <w:rsid w:val="002C0B23"/>
    <w:rsid w:val="002C1933"/>
    <w:rsid w:val="002E022D"/>
    <w:rsid w:val="002E59CE"/>
    <w:rsid w:val="002E74B7"/>
    <w:rsid w:val="002F3BE8"/>
    <w:rsid w:val="002F4625"/>
    <w:rsid w:val="002F46AE"/>
    <w:rsid w:val="002F7227"/>
    <w:rsid w:val="00301CF3"/>
    <w:rsid w:val="003029C2"/>
    <w:rsid w:val="003046DF"/>
    <w:rsid w:val="003077A5"/>
    <w:rsid w:val="003119D4"/>
    <w:rsid w:val="003165D0"/>
    <w:rsid w:val="00321203"/>
    <w:rsid w:val="00322A58"/>
    <w:rsid w:val="00327AA2"/>
    <w:rsid w:val="003328FC"/>
    <w:rsid w:val="0034787F"/>
    <w:rsid w:val="003508E9"/>
    <w:rsid w:val="003609CA"/>
    <w:rsid w:val="0036738F"/>
    <w:rsid w:val="0037175E"/>
    <w:rsid w:val="003779A4"/>
    <w:rsid w:val="0039174C"/>
    <w:rsid w:val="003946FA"/>
    <w:rsid w:val="00396608"/>
    <w:rsid w:val="003A4D9C"/>
    <w:rsid w:val="003B0B7D"/>
    <w:rsid w:val="003B70D8"/>
    <w:rsid w:val="003B7545"/>
    <w:rsid w:val="003C1F04"/>
    <w:rsid w:val="003C4059"/>
    <w:rsid w:val="003D1F2D"/>
    <w:rsid w:val="003D34AE"/>
    <w:rsid w:val="003F0414"/>
    <w:rsid w:val="00402D79"/>
    <w:rsid w:val="0041061E"/>
    <w:rsid w:val="00413403"/>
    <w:rsid w:val="00416C85"/>
    <w:rsid w:val="00417C24"/>
    <w:rsid w:val="004424D0"/>
    <w:rsid w:val="00443E9F"/>
    <w:rsid w:val="004603F5"/>
    <w:rsid w:val="00462160"/>
    <w:rsid w:val="0046331F"/>
    <w:rsid w:val="00471AA4"/>
    <w:rsid w:val="0048258F"/>
    <w:rsid w:val="00485D3C"/>
    <w:rsid w:val="00493236"/>
    <w:rsid w:val="00495097"/>
    <w:rsid w:val="00495DA6"/>
    <w:rsid w:val="004B1E0D"/>
    <w:rsid w:val="004C0C7A"/>
    <w:rsid w:val="004C277D"/>
    <w:rsid w:val="004C6A85"/>
    <w:rsid w:val="004D16E7"/>
    <w:rsid w:val="004E4C10"/>
    <w:rsid w:val="004F0068"/>
    <w:rsid w:val="004F6E6A"/>
    <w:rsid w:val="00500C23"/>
    <w:rsid w:val="00506B28"/>
    <w:rsid w:val="00507FE4"/>
    <w:rsid w:val="00521099"/>
    <w:rsid w:val="00522BD6"/>
    <w:rsid w:val="00530252"/>
    <w:rsid w:val="00542AC3"/>
    <w:rsid w:val="00556C10"/>
    <w:rsid w:val="0055796D"/>
    <w:rsid w:val="00564C2B"/>
    <w:rsid w:val="00566511"/>
    <w:rsid w:val="0058084F"/>
    <w:rsid w:val="00582186"/>
    <w:rsid w:val="005846B2"/>
    <w:rsid w:val="005875AB"/>
    <w:rsid w:val="005959EE"/>
    <w:rsid w:val="005A0AB9"/>
    <w:rsid w:val="005A3A94"/>
    <w:rsid w:val="005A54F7"/>
    <w:rsid w:val="005A6547"/>
    <w:rsid w:val="005A687A"/>
    <w:rsid w:val="005B2A38"/>
    <w:rsid w:val="005B546A"/>
    <w:rsid w:val="005C3179"/>
    <w:rsid w:val="005D1100"/>
    <w:rsid w:val="005D263F"/>
    <w:rsid w:val="005D5F6B"/>
    <w:rsid w:val="005D65EA"/>
    <w:rsid w:val="005E5D39"/>
    <w:rsid w:val="005E70B2"/>
    <w:rsid w:val="005F79B3"/>
    <w:rsid w:val="0060325F"/>
    <w:rsid w:val="006035EA"/>
    <w:rsid w:val="00605FD0"/>
    <w:rsid w:val="006155F0"/>
    <w:rsid w:val="00631AFD"/>
    <w:rsid w:val="00632F2A"/>
    <w:rsid w:val="006540FC"/>
    <w:rsid w:val="006920D1"/>
    <w:rsid w:val="0069581D"/>
    <w:rsid w:val="006C394A"/>
    <w:rsid w:val="006D0A18"/>
    <w:rsid w:val="006D1583"/>
    <w:rsid w:val="006F1125"/>
    <w:rsid w:val="006F141E"/>
    <w:rsid w:val="006F5A12"/>
    <w:rsid w:val="006F67D3"/>
    <w:rsid w:val="007011F6"/>
    <w:rsid w:val="00702A7D"/>
    <w:rsid w:val="007076D6"/>
    <w:rsid w:val="00711182"/>
    <w:rsid w:val="0071251F"/>
    <w:rsid w:val="007135A5"/>
    <w:rsid w:val="00730574"/>
    <w:rsid w:val="00732E8C"/>
    <w:rsid w:val="00747E64"/>
    <w:rsid w:val="00750C1B"/>
    <w:rsid w:val="00752301"/>
    <w:rsid w:val="00752B35"/>
    <w:rsid w:val="00756DC0"/>
    <w:rsid w:val="00757B5A"/>
    <w:rsid w:val="00765682"/>
    <w:rsid w:val="00772169"/>
    <w:rsid w:val="007A1969"/>
    <w:rsid w:val="007A2C0A"/>
    <w:rsid w:val="007B6B1F"/>
    <w:rsid w:val="007C2BD0"/>
    <w:rsid w:val="007C6562"/>
    <w:rsid w:val="007D53E5"/>
    <w:rsid w:val="007E162C"/>
    <w:rsid w:val="007E7A56"/>
    <w:rsid w:val="007F4D16"/>
    <w:rsid w:val="007F6ACE"/>
    <w:rsid w:val="007F7354"/>
    <w:rsid w:val="00801560"/>
    <w:rsid w:val="00803A9F"/>
    <w:rsid w:val="00806E8A"/>
    <w:rsid w:val="008175CA"/>
    <w:rsid w:val="00817DC3"/>
    <w:rsid w:val="00826F18"/>
    <w:rsid w:val="008333D5"/>
    <w:rsid w:val="00842A0B"/>
    <w:rsid w:val="008528E8"/>
    <w:rsid w:val="008600B3"/>
    <w:rsid w:val="00893082"/>
    <w:rsid w:val="00894BC5"/>
    <w:rsid w:val="00897D44"/>
    <w:rsid w:val="008A2230"/>
    <w:rsid w:val="008B0719"/>
    <w:rsid w:val="008B141F"/>
    <w:rsid w:val="008B317E"/>
    <w:rsid w:val="008B465C"/>
    <w:rsid w:val="008B77EC"/>
    <w:rsid w:val="008D004F"/>
    <w:rsid w:val="008D44EF"/>
    <w:rsid w:val="008F1588"/>
    <w:rsid w:val="008F2E88"/>
    <w:rsid w:val="0090459E"/>
    <w:rsid w:val="00914AED"/>
    <w:rsid w:val="00916478"/>
    <w:rsid w:val="009170C6"/>
    <w:rsid w:val="0093078E"/>
    <w:rsid w:val="00937C23"/>
    <w:rsid w:val="00945785"/>
    <w:rsid w:val="00945872"/>
    <w:rsid w:val="009530B9"/>
    <w:rsid w:val="00962AEF"/>
    <w:rsid w:val="0097015F"/>
    <w:rsid w:val="00974B86"/>
    <w:rsid w:val="00981351"/>
    <w:rsid w:val="00984865"/>
    <w:rsid w:val="009855C6"/>
    <w:rsid w:val="009A1494"/>
    <w:rsid w:val="009A47CE"/>
    <w:rsid w:val="009D1D80"/>
    <w:rsid w:val="009E0F0A"/>
    <w:rsid w:val="009E3F64"/>
    <w:rsid w:val="009F1C08"/>
    <w:rsid w:val="009F1E3C"/>
    <w:rsid w:val="00A0461C"/>
    <w:rsid w:val="00A069BF"/>
    <w:rsid w:val="00A31698"/>
    <w:rsid w:val="00A47394"/>
    <w:rsid w:val="00A54651"/>
    <w:rsid w:val="00A63628"/>
    <w:rsid w:val="00A66F09"/>
    <w:rsid w:val="00A70916"/>
    <w:rsid w:val="00A74092"/>
    <w:rsid w:val="00A74D6A"/>
    <w:rsid w:val="00A82ADB"/>
    <w:rsid w:val="00A82AE1"/>
    <w:rsid w:val="00A84CF2"/>
    <w:rsid w:val="00A87D28"/>
    <w:rsid w:val="00A929B4"/>
    <w:rsid w:val="00A951F5"/>
    <w:rsid w:val="00A9797A"/>
    <w:rsid w:val="00AA0AFD"/>
    <w:rsid w:val="00AA6D76"/>
    <w:rsid w:val="00AB0494"/>
    <w:rsid w:val="00AB24FE"/>
    <w:rsid w:val="00AB53C8"/>
    <w:rsid w:val="00AE3DDF"/>
    <w:rsid w:val="00AE4A42"/>
    <w:rsid w:val="00AE7031"/>
    <w:rsid w:val="00B01232"/>
    <w:rsid w:val="00B24F16"/>
    <w:rsid w:val="00B27283"/>
    <w:rsid w:val="00B423E7"/>
    <w:rsid w:val="00B424E4"/>
    <w:rsid w:val="00B43196"/>
    <w:rsid w:val="00B45F39"/>
    <w:rsid w:val="00B56272"/>
    <w:rsid w:val="00B75E8D"/>
    <w:rsid w:val="00B83709"/>
    <w:rsid w:val="00B85795"/>
    <w:rsid w:val="00B87FE0"/>
    <w:rsid w:val="00B926B4"/>
    <w:rsid w:val="00BA651C"/>
    <w:rsid w:val="00BA658E"/>
    <w:rsid w:val="00BB4BEF"/>
    <w:rsid w:val="00BD7543"/>
    <w:rsid w:val="00BE7ACF"/>
    <w:rsid w:val="00BF3D2C"/>
    <w:rsid w:val="00C01FB2"/>
    <w:rsid w:val="00C20799"/>
    <w:rsid w:val="00C23A8C"/>
    <w:rsid w:val="00C24C1D"/>
    <w:rsid w:val="00C268C0"/>
    <w:rsid w:val="00C3008E"/>
    <w:rsid w:val="00C3023B"/>
    <w:rsid w:val="00C40CA0"/>
    <w:rsid w:val="00C4482F"/>
    <w:rsid w:val="00C61BFD"/>
    <w:rsid w:val="00C70A1B"/>
    <w:rsid w:val="00C71F91"/>
    <w:rsid w:val="00C80922"/>
    <w:rsid w:val="00C82543"/>
    <w:rsid w:val="00CB35A3"/>
    <w:rsid w:val="00CB36FF"/>
    <w:rsid w:val="00CC585C"/>
    <w:rsid w:val="00CD1F2D"/>
    <w:rsid w:val="00CF74AF"/>
    <w:rsid w:val="00D008C7"/>
    <w:rsid w:val="00D037A2"/>
    <w:rsid w:val="00D0775A"/>
    <w:rsid w:val="00D07A09"/>
    <w:rsid w:val="00D330ED"/>
    <w:rsid w:val="00D3680E"/>
    <w:rsid w:val="00D3712A"/>
    <w:rsid w:val="00D43E86"/>
    <w:rsid w:val="00D51FB8"/>
    <w:rsid w:val="00D5314E"/>
    <w:rsid w:val="00D53420"/>
    <w:rsid w:val="00D60896"/>
    <w:rsid w:val="00D73113"/>
    <w:rsid w:val="00D81993"/>
    <w:rsid w:val="00D936A2"/>
    <w:rsid w:val="00D962B5"/>
    <w:rsid w:val="00DA5F8F"/>
    <w:rsid w:val="00DB2F13"/>
    <w:rsid w:val="00DB6C3F"/>
    <w:rsid w:val="00DC018C"/>
    <w:rsid w:val="00DC1330"/>
    <w:rsid w:val="00DD4108"/>
    <w:rsid w:val="00DE2B6B"/>
    <w:rsid w:val="00DF049F"/>
    <w:rsid w:val="00DF05FB"/>
    <w:rsid w:val="00E024F5"/>
    <w:rsid w:val="00E0704B"/>
    <w:rsid w:val="00E11E4D"/>
    <w:rsid w:val="00E13F50"/>
    <w:rsid w:val="00E235DA"/>
    <w:rsid w:val="00E2664B"/>
    <w:rsid w:val="00E2793F"/>
    <w:rsid w:val="00E34C05"/>
    <w:rsid w:val="00E44B3D"/>
    <w:rsid w:val="00E53F49"/>
    <w:rsid w:val="00E5496E"/>
    <w:rsid w:val="00E54DA4"/>
    <w:rsid w:val="00E60BFE"/>
    <w:rsid w:val="00E649BA"/>
    <w:rsid w:val="00E67F35"/>
    <w:rsid w:val="00E7634B"/>
    <w:rsid w:val="00E77381"/>
    <w:rsid w:val="00E84B68"/>
    <w:rsid w:val="00E936B9"/>
    <w:rsid w:val="00EA4084"/>
    <w:rsid w:val="00EA6016"/>
    <w:rsid w:val="00EA61C1"/>
    <w:rsid w:val="00EC10FE"/>
    <w:rsid w:val="00EC59BD"/>
    <w:rsid w:val="00ED3732"/>
    <w:rsid w:val="00EE0A3E"/>
    <w:rsid w:val="00EE0CB7"/>
    <w:rsid w:val="00EE257F"/>
    <w:rsid w:val="00EF5159"/>
    <w:rsid w:val="00F1192E"/>
    <w:rsid w:val="00F15728"/>
    <w:rsid w:val="00F31DB4"/>
    <w:rsid w:val="00F3445D"/>
    <w:rsid w:val="00F42866"/>
    <w:rsid w:val="00F56FFD"/>
    <w:rsid w:val="00F57B58"/>
    <w:rsid w:val="00F72A53"/>
    <w:rsid w:val="00F74222"/>
    <w:rsid w:val="00F76A2B"/>
    <w:rsid w:val="00F77BB6"/>
    <w:rsid w:val="00F91694"/>
    <w:rsid w:val="00F97AD0"/>
    <w:rsid w:val="00FA46A3"/>
    <w:rsid w:val="00FB01B4"/>
    <w:rsid w:val="00FB4CBC"/>
    <w:rsid w:val="00FB500A"/>
    <w:rsid w:val="00FB7D71"/>
    <w:rsid w:val="00FC12F3"/>
    <w:rsid w:val="00FC2536"/>
    <w:rsid w:val="00FC3182"/>
    <w:rsid w:val="00FC4B75"/>
    <w:rsid w:val="00FD0245"/>
    <w:rsid w:val="00FD1725"/>
    <w:rsid w:val="00FD4DC8"/>
    <w:rsid w:val="00FD76D3"/>
    <w:rsid w:val="00FE426B"/>
    <w:rsid w:val="00FE736F"/>
    <w:rsid w:val="00FE7BD9"/>
    <w:rsid w:val="00FF7C3C"/>
    <w:rsid w:val="013B54FC"/>
    <w:rsid w:val="02296423"/>
    <w:rsid w:val="046F0B5C"/>
    <w:rsid w:val="05BB0F8E"/>
    <w:rsid w:val="061B5B93"/>
    <w:rsid w:val="084B1B5C"/>
    <w:rsid w:val="094B5E7C"/>
    <w:rsid w:val="0A090137"/>
    <w:rsid w:val="0D5877ED"/>
    <w:rsid w:val="0F380960"/>
    <w:rsid w:val="0F4E27BB"/>
    <w:rsid w:val="10FB1F22"/>
    <w:rsid w:val="13330EE1"/>
    <w:rsid w:val="133E1CAC"/>
    <w:rsid w:val="1C9A3548"/>
    <w:rsid w:val="2374658F"/>
    <w:rsid w:val="273526A7"/>
    <w:rsid w:val="2A200073"/>
    <w:rsid w:val="2A3234A0"/>
    <w:rsid w:val="2E135B07"/>
    <w:rsid w:val="2F0620BE"/>
    <w:rsid w:val="30BD64FC"/>
    <w:rsid w:val="38D5381C"/>
    <w:rsid w:val="38DE39B4"/>
    <w:rsid w:val="3CC93CE4"/>
    <w:rsid w:val="42E21465"/>
    <w:rsid w:val="46D6798B"/>
    <w:rsid w:val="48107365"/>
    <w:rsid w:val="49A1020F"/>
    <w:rsid w:val="4B86207B"/>
    <w:rsid w:val="4D122689"/>
    <w:rsid w:val="4DF31EBD"/>
    <w:rsid w:val="500D205E"/>
    <w:rsid w:val="59BF514D"/>
    <w:rsid w:val="5D1A254C"/>
    <w:rsid w:val="5D9D6B85"/>
    <w:rsid w:val="64B44BAD"/>
    <w:rsid w:val="67F4173D"/>
    <w:rsid w:val="681715D3"/>
    <w:rsid w:val="6B9F199F"/>
    <w:rsid w:val="71661AB0"/>
    <w:rsid w:val="77837DBC"/>
    <w:rsid w:val="7DD1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5"/>
    <w:semiHidden/>
    <w:unhideWhenUsed/>
    <w:qFormat/>
    <w:uiPriority w:val="99"/>
    <w:rPr>
      <w:rFonts w:ascii="宋体"/>
      <w:sz w:val="18"/>
      <w:szCs w:val="18"/>
    </w:rPr>
  </w:style>
  <w:style w:type="paragraph" w:styleId="4">
    <w:name w:val="annotation text"/>
    <w:basedOn w:val="1"/>
    <w:link w:val="23"/>
    <w:unhideWhenUsed/>
    <w:qFormat/>
    <w:uiPriority w:val="0"/>
    <w:pPr>
      <w:jc w:val="left"/>
    </w:pPr>
  </w:style>
  <w:style w:type="paragraph" w:styleId="5">
    <w:name w:val="Body Text Indent"/>
    <w:basedOn w:val="1"/>
    <w:link w:val="16"/>
    <w:semiHidden/>
    <w:qFormat/>
    <w:uiPriority w:val="0"/>
    <w:pPr>
      <w:spacing w:line="360" w:lineRule="auto"/>
      <w:ind w:firstLine="420" w:firstLineChars="200"/>
    </w:p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426"/>
        <w:tab w:val="right" w:leader="dot" w:pos="8647"/>
      </w:tabs>
      <w:spacing w:before="120" w:after="120" w:line="360" w:lineRule="auto"/>
      <w:ind w:left="-424" w:leftChars="-202"/>
      <w:jc w:val="left"/>
    </w:pPr>
    <w:rPr>
      <w:caps/>
      <w:szCs w:val="20"/>
    </w:rPr>
  </w:style>
  <w:style w:type="paragraph" w:styleId="10">
    <w:name w:val="annotation subject"/>
    <w:basedOn w:val="4"/>
    <w:next w:val="4"/>
    <w:link w:val="24"/>
    <w:semiHidden/>
    <w:unhideWhenUsed/>
    <w:qFormat/>
    <w:uiPriority w:val="99"/>
    <w:rPr>
      <w:b/>
      <w:bCs/>
    </w:rPr>
  </w:style>
  <w:style w:type="character" w:styleId="13">
    <w:name w:val="Hyperlink"/>
    <w:basedOn w:val="12"/>
    <w:qFormat/>
    <w:uiPriority w:val="99"/>
    <w:rPr>
      <w:color w:val="0000FF"/>
      <w:u w:val="single"/>
    </w:rPr>
  </w:style>
  <w:style w:type="character" w:styleId="14">
    <w:name w:val="annotation reference"/>
    <w:basedOn w:val="12"/>
    <w:unhideWhenUsed/>
    <w:qFormat/>
    <w:uiPriority w:val="0"/>
    <w:rPr>
      <w:sz w:val="21"/>
      <w:szCs w:val="21"/>
    </w:rPr>
  </w:style>
  <w:style w:type="character" w:customStyle="1" w:styleId="15">
    <w:name w:val="标题 1 字符"/>
    <w:basedOn w:val="12"/>
    <w:link w:val="2"/>
    <w:qFormat/>
    <w:uiPriority w:val="0"/>
    <w:rPr>
      <w:rFonts w:ascii="Times New Roman" w:hAnsi="Times New Roman" w:eastAsia="宋体" w:cs="Times New Roman"/>
      <w:b/>
      <w:bCs/>
      <w:kern w:val="44"/>
      <w:sz w:val="44"/>
      <w:szCs w:val="44"/>
    </w:rPr>
  </w:style>
  <w:style w:type="character" w:customStyle="1" w:styleId="16">
    <w:name w:val="正文文本缩进 字符"/>
    <w:basedOn w:val="12"/>
    <w:link w:val="5"/>
    <w:semiHidden/>
    <w:qFormat/>
    <w:uiPriority w:val="0"/>
    <w:rPr>
      <w:rFonts w:ascii="Times New Roman" w:hAnsi="Times New Roman" w:eastAsia="宋体" w:cs="Times New Roman"/>
      <w:szCs w:val="24"/>
    </w:rPr>
  </w:style>
  <w:style w:type="paragraph" w:styleId="17">
    <w:name w:val="List Paragraph"/>
    <w:basedOn w:val="1"/>
    <w:qFormat/>
    <w:uiPriority w:val="34"/>
    <w:pPr>
      <w:ind w:firstLine="420" w:firstLineChars="200"/>
    </w:pPr>
  </w:style>
  <w:style w:type="character" w:customStyle="1" w:styleId="18">
    <w:name w:val="页眉 字符"/>
    <w:basedOn w:val="12"/>
    <w:link w:val="8"/>
    <w:qFormat/>
    <w:uiPriority w:val="99"/>
    <w:rPr>
      <w:rFonts w:ascii="Times New Roman" w:hAnsi="Times New Roman" w:eastAsia="宋体" w:cs="Times New Roman"/>
      <w:sz w:val="18"/>
      <w:szCs w:val="18"/>
    </w:rPr>
  </w:style>
  <w:style w:type="character" w:customStyle="1" w:styleId="19">
    <w:name w:val="页脚 字符"/>
    <w:basedOn w:val="12"/>
    <w:link w:val="7"/>
    <w:qFormat/>
    <w:uiPriority w:val="99"/>
    <w:rPr>
      <w:rFonts w:ascii="Times New Roman" w:hAnsi="Times New Roman" w:eastAsia="宋体" w:cs="Times New Roman"/>
      <w:sz w:val="18"/>
      <w:szCs w:val="18"/>
    </w:rPr>
  </w:style>
  <w:style w:type="character" w:customStyle="1" w:styleId="20">
    <w:name w:val="批注框文本 字符"/>
    <w:basedOn w:val="12"/>
    <w:link w:val="6"/>
    <w:semiHidden/>
    <w:qFormat/>
    <w:uiPriority w:val="99"/>
    <w:rPr>
      <w:rFonts w:ascii="Times New Roman" w:hAnsi="Times New Roman" w:eastAsia="宋体" w:cs="Times New Roman"/>
      <w:sz w:val="18"/>
      <w:szCs w:val="18"/>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正文所"/>
    <w:basedOn w:val="1"/>
    <w:qFormat/>
    <w:uiPriority w:val="0"/>
    <w:pPr>
      <w:spacing w:line="360" w:lineRule="auto"/>
      <w:ind w:firstLine="420" w:firstLineChars="200"/>
    </w:pPr>
  </w:style>
  <w:style w:type="character" w:customStyle="1" w:styleId="23">
    <w:name w:val="批注文字 字符"/>
    <w:basedOn w:val="12"/>
    <w:link w:val="4"/>
    <w:qFormat/>
    <w:uiPriority w:val="0"/>
    <w:rPr>
      <w:rFonts w:ascii="Times New Roman" w:hAnsi="Times New Roman" w:eastAsia="宋体" w:cs="Times New Roman"/>
      <w:szCs w:val="24"/>
    </w:rPr>
  </w:style>
  <w:style w:type="character" w:customStyle="1" w:styleId="24">
    <w:name w:val="批注主题 字符"/>
    <w:basedOn w:val="23"/>
    <w:link w:val="10"/>
    <w:semiHidden/>
    <w:qFormat/>
    <w:uiPriority w:val="99"/>
    <w:rPr>
      <w:rFonts w:ascii="Times New Roman" w:hAnsi="Times New Roman" w:eastAsia="宋体" w:cs="Times New Roman"/>
      <w:b/>
      <w:bCs/>
      <w:szCs w:val="24"/>
    </w:rPr>
  </w:style>
  <w:style w:type="character" w:customStyle="1" w:styleId="25">
    <w:name w:val="文档结构图 字符"/>
    <w:basedOn w:val="12"/>
    <w:link w:val="3"/>
    <w:semiHidden/>
    <w:qFormat/>
    <w:uiPriority w:val="99"/>
    <w:rPr>
      <w:rFonts w:ascii="宋体" w:hAnsi="Times New Roman" w:eastAsia="宋体" w:cs="Times New Roman"/>
      <w:sz w:val="18"/>
      <w:szCs w:val="18"/>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7">
    <w:name w:val="Char Char"/>
    <w:basedOn w:val="1"/>
    <w:qFormat/>
    <w:uiPriority w:val="0"/>
    <w:rPr>
      <w:szCs w:val="20"/>
    </w:rPr>
  </w:style>
  <w:style w:type="character" w:customStyle="1" w:styleId="28">
    <w:name w:val="read"/>
    <w:basedOn w:val="12"/>
    <w:qFormat/>
    <w:uiPriority w:val="0"/>
  </w:style>
  <w:style w:type="paragraph" w:customStyle="1" w:styleId="29">
    <w:name w:val="juzhong"/>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缩进2字符"/>
    <w:basedOn w:val="1"/>
    <w:qFormat/>
    <w:uiPriority w:val="0"/>
    <w:pPr>
      <w:widowControl/>
      <w:spacing w:line="360" w:lineRule="auto"/>
      <w:ind w:firstLine="20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B2233-D30B-4032-B167-E7BD8388E85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41</Pages>
  <Words>6315</Words>
  <Characters>35997</Characters>
  <Lines>299</Lines>
  <Paragraphs>84</Paragraphs>
  <TotalTime>594</TotalTime>
  <ScaleCrop>false</ScaleCrop>
  <LinksUpToDate>false</LinksUpToDate>
  <CharactersWithSpaces>42228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2025-04-17T06:46:00Z</dcterms:created>
  <dc:creator>张雨萱</dc:creator>
  <cp:lastModifiedBy>喻秋燕</cp:lastModifiedBy>
  <dcterms:modified xsi:type="dcterms:W3CDTF">2025-08-21T05:32:48Z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B90E68062AAA48FB8B0853518ECB7D83</vt:lpwstr>
  </property>
</Properties>
</file>