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3D2DB" w14:textId="77777777" w:rsidR="00C86C88" w:rsidRPr="00EB07BC" w:rsidRDefault="00C86C88">
      <w:pPr>
        <w:rPr>
          <w:sz w:val="32"/>
        </w:rPr>
      </w:pPr>
    </w:p>
    <w:p w14:paraId="26AD0283" w14:textId="77777777" w:rsidR="00C86C88" w:rsidRPr="00EB07BC" w:rsidRDefault="00C86C88">
      <w:pPr>
        <w:rPr>
          <w:sz w:val="32"/>
        </w:rPr>
      </w:pPr>
    </w:p>
    <w:p w14:paraId="5646253E" w14:textId="77777777" w:rsidR="00C86C88" w:rsidRPr="00EB07BC" w:rsidRDefault="00C86C88">
      <w:pPr>
        <w:rPr>
          <w:sz w:val="32"/>
        </w:rPr>
      </w:pPr>
    </w:p>
    <w:p w14:paraId="5C0FAA91" w14:textId="442AD2A6" w:rsidR="00C86C88" w:rsidRPr="00EB07BC" w:rsidRDefault="00B43131">
      <w:pPr>
        <w:jc w:val="center"/>
        <w:rPr>
          <w:sz w:val="32"/>
        </w:rPr>
      </w:pPr>
      <w:r>
        <w:rPr>
          <w:noProof/>
        </w:rPr>
        <w:drawing>
          <wp:inline distT="0" distB="0" distL="0" distR="0" wp14:anchorId="36D72E4B" wp14:editId="0A0385A5">
            <wp:extent cx="4343400" cy="571500"/>
            <wp:effectExtent l="0" t="0" r="0" b="0"/>
            <wp:docPr id="6"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14:paraId="600F5DDB" w14:textId="77777777" w:rsidR="00542AF7" w:rsidRDefault="00542AF7">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14:paraId="48908AF3" w14:textId="77777777" w:rsidR="00542AF7" w:rsidRDefault="00542AF7">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14:paraId="6C2F77CC" w14:textId="77777777" w:rsidR="00542AF7" w:rsidRDefault="00D93D5A">
      <w:pPr>
        <w:autoSpaceDE w:val="0"/>
        <w:autoSpaceDN w:val="0"/>
        <w:adjustRightInd w:val="0"/>
        <w:snapToGrid w:val="0"/>
        <w:spacing w:before="63" w:line="360" w:lineRule="auto"/>
        <w:ind w:rightChars="6" w:right="13"/>
        <w:jc w:val="center"/>
        <w:rPr>
          <w:rFonts w:ascii="黑体" w:hAnsi="黑体"/>
          <w:b/>
          <w:spacing w:val="2"/>
          <w:w w:val="99"/>
          <w:kern w:val="0"/>
          <w:position w:val="-4"/>
          <w:sz w:val="44"/>
          <w:szCs w:val="44"/>
        </w:rPr>
      </w:pPr>
      <w:r>
        <w:rPr>
          <w:rFonts w:ascii="Times New Roman" w:hAnsi="Times New Roman"/>
          <w:b/>
          <w:spacing w:val="2"/>
          <w:w w:val="99"/>
          <w:kern w:val="0"/>
          <w:position w:val="-4"/>
          <w:sz w:val="44"/>
          <w:szCs w:val="44"/>
        </w:rPr>
        <w:t>交银施罗德裕盈纯债债券型证券投资基金</w:t>
      </w:r>
    </w:p>
    <w:p w14:paraId="7413C00C" w14:textId="77777777" w:rsidR="00542AF7" w:rsidRDefault="00D93D5A">
      <w:pPr>
        <w:autoSpaceDE w:val="0"/>
        <w:autoSpaceDN w:val="0"/>
        <w:adjustRightInd w:val="0"/>
        <w:snapToGrid w:val="0"/>
        <w:spacing w:before="63" w:line="360" w:lineRule="auto"/>
        <w:ind w:rightChars="6" w:right="13"/>
        <w:jc w:val="center"/>
        <w:rPr>
          <w:rFonts w:ascii="宋体" w:hAnsi="宋体"/>
          <w:b/>
          <w:kern w:val="0"/>
          <w:sz w:val="44"/>
          <w:szCs w:val="44"/>
        </w:rPr>
      </w:pPr>
      <w:r>
        <w:rPr>
          <w:rFonts w:ascii="宋体" w:hAnsi="宋体"/>
          <w:b/>
          <w:spacing w:val="2"/>
          <w:w w:val="99"/>
          <w:kern w:val="0"/>
          <w:sz w:val="44"/>
          <w:szCs w:val="44"/>
        </w:rPr>
        <w:t>(更新)招募说明书</w:t>
      </w:r>
    </w:p>
    <w:p w14:paraId="34BB7EC7" w14:textId="3FF05B94" w:rsidR="00542AF7" w:rsidRDefault="00D93D5A">
      <w:pPr>
        <w:snapToGrid w:val="0"/>
        <w:spacing w:line="360" w:lineRule="auto"/>
        <w:jc w:val="center"/>
        <w:rPr>
          <w:rFonts w:ascii="宋体" w:hAnsi="宋体"/>
          <w:b/>
          <w:sz w:val="30"/>
          <w:szCs w:val="30"/>
        </w:rPr>
      </w:pPr>
      <w:r>
        <w:rPr>
          <w:rFonts w:ascii="Times New Roman" w:hAnsi="Times New Roman"/>
          <w:b/>
          <w:color w:val="000000"/>
          <w:sz w:val="32"/>
          <w:szCs w:val="32"/>
        </w:rPr>
        <w:t>(2023</w:t>
      </w:r>
      <w:r>
        <w:rPr>
          <w:rFonts w:ascii="Times New Roman" w:hAnsi="Times New Roman"/>
          <w:b/>
          <w:color w:val="000000"/>
          <w:sz w:val="32"/>
          <w:szCs w:val="32"/>
        </w:rPr>
        <w:t>年</w:t>
      </w:r>
      <w:r w:rsidR="00BB4A60">
        <w:rPr>
          <w:rFonts w:ascii="Times New Roman" w:hAnsi="Times New Roman"/>
          <w:b/>
          <w:color w:val="000000"/>
          <w:sz w:val="32"/>
          <w:szCs w:val="32"/>
        </w:rPr>
        <w:t>第</w:t>
      </w:r>
      <w:r w:rsidR="0001013B">
        <w:rPr>
          <w:rFonts w:ascii="Times New Roman" w:hAnsi="Times New Roman"/>
          <w:b/>
          <w:color w:val="000000"/>
          <w:sz w:val="32"/>
          <w:szCs w:val="32"/>
        </w:rPr>
        <w:t>2</w:t>
      </w:r>
      <w:r>
        <w:rPr>
          <w:rFonts w:ascii="Times New Roman" w:hAnsi="Times New Roman"/>
          <w:b/>
          <w:color w:val="000000"/>
          <w:sz w:val="32"/>
          <w:szCs w:val="32"/>
        </w:rPr>
        <w:t>号</w:t>
      </w:r>
      <w:r>
        <w:rPr>
          <w:rFonts w:ascii="Times New Roman" w:hAnsi="Times New Roman"/>
          <w:b/>
          <w:color w:val="000000"/>
          <w:sz w:val="32"/>
          <w:szCs w:val="32"/>
        </w:rPr>
        <w:t>)</w:t>
      </w:r>
    </w:p>
    <w:p w14:paraId="17FB59DC" w14:textId="77777777" w:rsidR="00542AF7" w:rsidRDefault="00542AF7">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20B2FDED" w14:textId="77777777" w:rsidR="00542AF7" w:rsidRDefault="00542AF7">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0DC43EFF" w14:textId="77777777" w:rsidR="00542AF7" w:rsidRDefault="00542AF7">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3CB18492" w14:textId="77777777" w:rsidR="00542AF7" w:rsidRDefault="00542AF7">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013796E8" w14:textId="77777777" w:rsidR="00542AF7" w:rsidRDefault="00542AF7">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4CA4E8CB" w14:textId="77777777" w:rsidR="00542AF7" w:rsidRDefault="00542AF7">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6D839B85" w14:textId="77777777" w:rsidR="00542AF7" w:rsidRDefault="00D93D5A">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基金管理人：交银施罗德基金管理有限公司</w:t>
      </w:r>
    </w:p>
    <w:p w14:paraId="6CF23892" w14:textId="77777777" w:rsidR="00542AF7" w:rsidRDefault="00D93D5A">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基金托管人：兴业银行股份有限公司</w:t>
      </w:r>
    </w:p>
    <w:p w14:paraId="2371319A" w14:textId="77777777" w:rsidR="00542AF7" w:rsidRDefault="00542AF7">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48889E76" w14:textId="77777777" w:rsidR="00542AF7" w:rsidRDefault="00542AF7">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3C33F394" w14:textId="3560CEE5" w:rsidR="00542AF7" w:rsidRDefault="00BB4A60">
      <w:pPr>
        <w:autoSpaceDE w:val="0"/>
        <w:autoSpaceDN w:val="0"/>
        <w:adjustRightInd w:val="0"/>
        <w:snapToGrid w:val="0"/>
        <w:spacing w:line="360" w:lineRule="auto"/>
        <w:ind w:rightChars="6" w:right="13"/>
        <w:jc w:val="center"/>
        <w:rPr>
          <w:rFonts w:ascii="宋体" w:hAnsi="宋体"/>
          <w:b/>
          <w:kern w:val="0"/>
          <w:sz w:val="28"/>
          <w:szCs w:val="32"/>
        </w:rPr>
      </w:pPr>
      <w:r>
        <w:rPr>
          <w:rFonts w:ascii="Times New Roman" w:hAnsi="Times New Roman"/>
          <w:b/>
          <w:spacing w:val="2"/>
          <w:w w:val="99"/>
          <w:kern w:val="0"/>
          <w:sz w:val="28"/>
          <w:szCs w:val="32"/>
        </w:rPr>
        <w:t>二〇二三年</w:t>
      </w:r>
      <w:r w:rsidR="00CD6DC0">
        <w:rPr>
          <w:rFonts w:ascii="Times New Roman" w:hAnsi="Times New Roman" w:hint="eastAsia"/>
          <w:b/>
          <w:spacing w:val="2"/>
          <w:w w:val="99"/>
          <w:kern w:val="0"/>
          <w:sz w:val="28"/>
          <w:szCs w:val="32"/>
        </w:rPr>
        <w:t>十二</w:t>
      </w:r>
      <w:r>
        <w:rPr>
          <w:rFonts w:ascii="Times New Roman" w:hAnsi="Times New Roman"/>
          <w:b/>
          <w:spacing w:val="2"/>
          <w:w w:val="99"/>
          <w:kern w:val="0"/>
          <w:sz w:val="28"/>
          <w:szCs w:val="32"/>
        </w:rPr>
        <w:t>月</w:t>
      </w:r>
    </w:p>
    <w:p w14:paraId="30143F05" w14:textId="77777777" w:rsidR="00542AF7" w:rsidRDefault="00542AF7">
      <w:pPr>
        <w:autoSpaceDE w:val="0"/>
        <w:autoSpaceDN w:val="0"/>
        <w:adjustRightInd w:val="0"/>
        <w:snapToGrid w:val="0"/>
        <w:spacing w:line="360" w:lineRule="auto"/>
        <w:ind w:left="1347" w:rightChars="6" w:right="13"/>
        <w:rPr>
          <w:rFonts w:ascii="宋体" w:hAnsi="宋体"/>
          <w:kern w:val="0"/>
          <w:sz w:val="32"/>
          <w:szCs w:val="32"/>
        </w:rPr>
        <w:sectPr w:rsidR="00542AF7">
          <w:headerReference w:type="default" r:id="rId9"/>
          <w:footerReference w:type="default" r:id="rId10"/>
          <w:headerReference w:type="first" r:id="rId11"/>
          <w:pgSz w:w="11920" w:h="16840"/>
          <w:pgMar w:top="1560" w:right="1680" w:bottom="280" w:left="1680" w:header="0" w:footer="1073" w:gutter="0"/>
          <w:pgNumType w:start="1"/>
          <w:cols w:space="720"/>
          <w:titlePg/>
          <w:docGrid w:linePitch="286"/>
        </w:sectPr>
      </w:pPr>
    </w:p>
    <w:p w14:paraId="13C27CE2" w14:textId="77777777" w:rsidR="00542AF7" w:rsidRDefault="00D93D5A">
      <w:pPr>
        <w:pStyle w:val="1"/>
        <w:snapToGrid w:val="0"/>
        <w:spacing w:beforeLines="0" w:before="240" w:after="240"/>
        <w:rPr>
          <w:rFonts w:ascii="宋体" w:hAnsi="宋体"/>
          <w:kern w:val="0"/>
        </w:rPr>
      </w:pPr>
      <w:bookmarkStart w:id="0" w:name="_Toc324920538"/>
      <w:bookmarkStart w:id="1" w:name="_Toc496884613"/>
      <w:bookmarkStart w:id="2" w:name="_Toc151542533"/>
      <w:r>
        <w:rPr>
          <w:rFonts w:ascii="Times New Roman" w:hAnsi="Times New Roman"/>
          <w:kern w:val="0"/>
        </w:rPr>
        <w:lastRenderedPageBreak/>
        <w:t>重要提示</w:t>
      </w:r>
      <w:bookmarkEnd w:id="0"/>
      <w:bookmarkEnd w:id="1"/>
      <w:bookmarkEnd w:id="2"/>
    </w:p>
    <w:p w14:paraId="273DAA51" w14:textId="77777777" w:rsidR="00542AF7" w:rsidRDefault="00D93D5A">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交银施罗德裕盈纯债债券型证券投资基金（以下简称</w:t>
      </w:r>
      <w:r>
        <w:rPr>
          <w:rFonts w:ascii="Times New Roman" w:hAnsi="Times New Roman"/>
          <w:kern w:val="0"/>
          <w:sz w:val="24"/>
        </w:rPr>
        <w:t>“</w:t>
      </w:r>
      <w:r>
        <w:rPr>
          <w:rFonts w:ascii="Times New Roman" w:hAnsi="Times New Roman"/>
          <w:kern w:val="0"/>
          <w:sz w:val="24"/>
        </w:rPr>
        <w:t>本基金</w:t>
      </w:r>
      <w:r>
        <w:rPr>
          <w:rFonts w:ascii="Times New Roman" w:hAnsi="Times New Roman"/>
          <w:kern w:val="0"/>
          <w:sz w:val="24"/>
        </w:rPr>
        <w:t>”</w:t>
      </w:r>
      <w:r>
        <w:rPr>
          <w:rFonts w:ascii="Times New Roman" w:hAnsi="Times New Roman"/>
          <w:kern w:val="0"/>
          <w:sz w:val="24"/>
        </w:rPr>
        <w:t>）经</w:t>
      </w:r>
      <w:r>
        <w:rPr>
          <w:rFonts w:ascii="Times New Roman" w:hAnsi="Times New Roman"/>
          <w:kern w:val="0"/>
          <w:sz w:val="24"/>
        </w:rPr>
        <w:t>2016</w:t>
      </w:r>
      <w:r>
        <w:rPr>
          <w:rFonts w:ascii="Times New Roman" w:hAnsi="Times New Roman"/>
          <w:kern w:val="0"/>
          <w:sz w:val="24"/>
        </w:rPr>
        <w:t>年</w:t>
      </w:r>
      <w:r>
        <w:rPr>
          <w:rFonts w:ascii="Times New Roman" w:hAnsi="Times New Roman"/>
          <w:kern w:val="0"/>
          <w:sz w:val="24"/>
        </w:rPr>
        <w:t>6</w:t>
      </w:r>
      <w:r>
        <w:rPr>
          <w:rFonts w:ascii="Times New Roman" w:hAnsi="Times New Roman"/>
          <w:kern w:val="0"/>
          <w:sz w:val="24"/>
        </w:rPr>
        <w:t>月</w:t>
      </w:r>
      <w:r>
        <w:rPr>
          <w:rFonts w:ascii="Times New Roman" w:hAnsi="Times New Roman"/>
          <w:kern w:val="0"/>
          <w:sz w:val="24"/>
        </w:rPr>
        <w:t>3</w:t>
      </w:r>
      <w:r>
        <w:rPr>
          <w:rFonts w:ascii="Times New Roman" w:hAnsi="Times New Roman"/>
          <w:kern w:val="0"/>
          <w:sz w:val="24"/>
        </w:rPr>
        <w:t>日中国证券监督管理委员会（以下简称</w:t>
      </w:r>
      <w:r>
        <w:rPr>
          <w:rFonts w:ascii="Times New Roman" w:hAnsi="Times New Roman"/>
          <w:kern w:val="0"/>
          <w:sz w:val="24"/>
        </w:rPr>
        <w:t>“</w:t>
      </w:r>
      <w:r>
        <w:rPr>
          <w:rFonts w:ascii="Times New Roman" w:hAnsi="Times New Roman"/>
          <w:kern w:val="0"/>
          <w:sz w:val="24"/>
        </w:rPr>
        <w:t>中国证监会</w:t>
      </w:r>
      <w:r>
        <w:rPr>
          <w:rFonts w:ascii="Times New Roman" w:hAnsi="Times New Roman"/>
          <w:kern w:val="0"/>
          <w:sz w:val="24"/>
        </w:rPr>
        <w:t>”</w:t>
      </w:r>
      <w:r>
        <w:rPr>
          <w:rFonts w:ascii="Times New Roman" w:hAnsi="Times New Roman"/>
          <w:kern w:val="0"/>
          <w:sz w:val="24"/>
        </w:rPr>
        <w:t>）证监许可【</w:t>
      </w:r>
      <w:r>
        <w:rPr>
          <w:rFonts w:ascii="Times New Roman" w:hAnsi="Times New Roman"/>
          <w:kern w:val="0"/>
          <w:sz w:val="24"/>
        </w:rPr>
        <w:t>2016</w:t>
      </w:r>
      <w:r>
        <w:rPr>
          <w:rFonts w:ascii="Times New Roman" w:hAnsi="Times New Roman"/>
          <w:kern w:val="0"/>
          <w:sz w:val="24"/>
        </w:rPr>
        <w:t>】</w:t>
      </w:r>
      <w:r>
        <w:rPr>
          <w:rFonts w:ascii="Times New Roman" w:hAnsi="Times New Roman"/>
          <w:kern w:val="0"/>
          <w:sz w:val="24"/>
        </w:rPr>
        <w:t>1209</w:t>
      </w:r>
      <w:r>
        <w:rPr>
          <w:rFonts w:ascii="Times New Roman" w:hAnsi="Times New Roman"/>
          <w:kern w:val="0"/>
          <w:sz w:val="24"/>
        </w:rPr>
        <w:t>号文准予募集注册。本基金基金合同于</w:t>
      </w:r>
      <w:r>
        <w:rPr>
          <w:rFonts w:ascii="Times New Roman" w:hAnsi="Times New Roman"/>
          <w:kern w:val="0"/>
          <w:sz w:val="24"/>
        </w:rPr>
        <w:t>2016</w:t>
      </w:r>
      <w:r>
        <w:rPr>
          <w:rFonts w:ascii="Times New Roman" w:hAnsi="Times New Roman"/>
          <w:kern w:val="0"/>
          <w:sz w:val="24"/>
        </w:rPr>
        <w:t>年</w:t>
      </w:r>
      <w:r>
        <w:rPr>
          <w:rFonts w:ascii="Times New Roman" w:hAnsi="Times New Roman"/>
          <w:kern w:val="0"/>
          <w:sz w:val="24"/>
        </w:rPr>
        <w:t>11</w:t>
      </w:r>
      <w:r>
        <w:rPr>
          <w:rFonts w:ascii="Times New Roman" w:hAnsi="Times New Roman"/>
          <w:kern w:val="0"/>
          <w:sz w:val="24"/>
        </w:rPr>
        <w:t>月</w:t>
      </w:r>
      <w:r>
        <w:rPr>
          <w:rFonts w:ascii="Times New Roman" w:hAnsi="Times New Roman"/>
          <w:kern w:val="0"/>
          <w:sz w:val="24"/>
        </w:rPr>
        <w:t>4</w:t>
      </w:r>
      <w:r>
        <w:rPr>
          <w:rFonts w:ascii="Times New Roman" w:hAnsi="Times New Roman"/>
          <w:kern w:val="0"/>
          <w:sz w:val="24"/>
        </w:rPr>
        <w:t>日正式生效。</w:t>
      </w:r>
    </w:p>
    <w:p w14:paraId="03BBB275" w14:textId="77777777" w:rsidR="00542AF7" w:rsidRDefault="00D93D5A">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管理人保证招募说明书的内容真实、准确、完整。本招募说明书经中国证监会注册，但中国证监会对本基金募集的注册，并不表明其对本基金的价值和收益作出实质性判断或保证，也不表明投资于本基金没有风险。中国证监会不对基金的投资价值及市场前景等作出实质性判断或者保证。</w:t>
      </w:r>
    </w:p>
    <w:p w14:paraId="52B9DB7D" w14:textId="77777777" w:rsidR="00542AF7" w:rsidRDefault="00D93D5A">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3F2631F6" w14:textId="77777777" w:rsidR="00542AF7" w:rsidRDefault="00D93D5A">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份额享受基金的收益，但同时也需承担相应的投资风险。投资本基金可能遇到的风险包括：因受到经济因素、政治因素、投资心理和交易制度等各种因素的影响而引起的市场风险；基金管理人在基金管理实施过程中产生的基金管理风险；流动性风险（包括实施侧袋机制时的特定风险）；交易对手违约风险；投资资产支持证券的特定风险；投资本基金特有的其他风险等等。</w:t>
      </w:r>
    </w:p>
    <w:p w14:paraId="37578542" w14:textId="77777777" w:rsidR="00542AF7" w:rsidRDefault="00D93D5A">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投资中小企业私募债，中小企业私募债是根据相关法律法规由非上市中小企业采用非公开方式发行的债券。由于不能公开交易，一般情况下，交易不活跃，潜在较大流动性风险。当发债主体信用质量恶化时，受市场流动性所限，本基金可能无法卖出所持有的中小企业私募债，由此可能给基金净值带来更大的负面影响和损失。</w:t>
      </w:r>
    </w:p>
    <w:p w14:paraId="339FF51E" w14:textId="77777777" w:rsidR="00542AF7" w:rsidRDefault="00D93D5A">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本基金是一只债券型基金，其风险与预期收益高于货币市场基金，低于混合型基金和股票型基金，属于证券投资基金中中等风险的品种。</w:t>
      </w:r>
    </w:p>
    <w:p w14:paraId="1A8B45F6" w14:textId="77777777" w:rsidR="00542AF7" w:rsidRDefault="00D93D5A">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投资有风险，投资人在投资本基金前应认真阅读本基金的招募说明书和基金合同、基金产品资料概要等信息披露文件。基金的过往业绩并不代表未来表现。</w:t>
      </w:r>
      <w:r>
        <w:rPr>
          <w:rFonts w:ascii="Times New Roman" w:hAnsi="Times New Roman"/>
          <w:kern w:val="0"/>
          <w:sz w:val="24"/>
        </w:rPr>
        <w:lastRenderedPageBreak/>
        <w:t>基金管理人管理的其他基金的业绩并不构成对本基金业绩表现的保证。基金管理人提醒投资者基金投资的</w:t>
      </w:r>
      <w:r>
        <w:rPr>
          <w:rFonts w:ascii="Times New Roman" w:hAnsi="Times New Roman"/>
          <w:kern w:val="0"/>
          <w:sz w:val="24"/>
        </w:rPr>
        <w:t>“</w:t>
      </w:r>
      <w:r>
        <w:rPr>
          <w:rFonts w:ascii="Times New Roman" w:hAnsi="Times New Roman"/>
          <w:kern w:val="0"/>
          <w:sz w:val="24"/>
        </w:rPr>
        <w:t>买者自负</w:t>
      </w:r>
      <w:r>
        <w:rPr>
          <w:rFonts w:ascii="Times New Roman" w:hAnsi="Times New Roman"/>
          <w:kern w:val="0"/>
          <w:sz w:val="24"/>
        </w:rPr>
        <w:t>”</w:t>
      </w:r>
      <w:r>
        <w:rPr>
          <w:rFonts w:ascii="Times New Roman" w:hAnsi="Times New Roman"/>
          <w:kern w:val="0"/>
          <w:sz w:val="24"/>
        </w:rPr>
        <w:t>原则，在投资者作出投资决策后，基金运营状况与基金净值变化引致的投资风险，由投资者自行负责。</w:t>
      </w:r>
    </w:p>
    <w:p w14:paraId="6C079B79" w14:textId="2752B3F5" w:rsidR="00542AF7" w:rsidRDefault="00BB4A60">
      <w:pPr>
        <w:autoSpaceDE w:val="0"/>
        <w:autoSpaceDN w:val="0"/>
        <w:adjustRightInd w:val="0"/>
        <w:snapToGrid w:val="0"/>
        <w:spacing w:line="360" w:lineRule="auto"/>
        <w:ind w:leftChars="50" w:left="105" w:firstLineChars="200" w:firstLine="480"/>
        <w:rPr>
          <w:rFonts w:ascii="宋体" w:hAnsi="宋体"/>
          <w:kern w:val="0"/>
          <w:sz w:val="24"/>
        </w:rPr>
      </w:pPr>
      <w:r w:rsidRPr="00156651">
        <w:rPr>
          <w:rFonts w:ascii="Times New Roman" w:hAnsi="Times New Roman" w:hint="eastAsia"/>
          <w:kern w:val="0"/>
          <w:sz w:val="24"/>
        </w:rPr>
        <w:t>本次更新招募说明书主要对本基金增设</w:t>
      </w:r>
      <w:r>
        <w:rPr>
          <w:rFonts w:ascii="Times New Roman" w:hAnsi="Times New Roman"/>
          <w:kern w:val="0"/>
          <w:sz w:val="24"/>
        </w:rPr>
        <w:t>D</w:t>
      </w:r>
      <w:r w:rsidRPr="00156651">
        <w:rPr>
          <w:rFonts w:ascii="Times New Roman" w:hAnsi="Times New Roman" w:hint="eastAsia"/>
          <w:kern w:val="0"/>
          <w:sz w:val="24"/>
        </w:rPr>
        <w:t>类基金份额</w:t>
      </w:r>
      <w:r>
        <w:rPr>
          <w:rFonts w:ascii="Times New Roman" w:hAnsi="Times New Roman" w:hint="eastAsia"/>
          <w:kern w:val="0"/>
          <w:sz w:val="24"/>
        </w:rPr>
        <w:t>的</w:t>
      </w:r>
      <w:r w:rsidRPr="00156651">
        <w:rPr>
          <w:rFonts w:ascii="Times New Roman" w:hAnsi="Times New Roman" w:hint="eastAsia"/>
          <w:kern w:val="0"/>
          <w:sz w:val="24"/>
        </w:rPr>
        <w:t>相关信息进行更新，前述内容更新截止日为</w:t>
      </w:r>
      <w:r>
        <w:rPr>
          <w:rFonts w:ascii="Times New Roman" w:hAnsi="Times New Roman" w:hint="eastAsia"/>
          <w:kern w:val="0"/>
          <w:sz w:val="24"/>
        </w:rPr>
        <w:t>20</w:t>
      </w:r>
      <w:r w:rsidR="00E5696E">
        <w:rPr>
          <w:rFonts w:ascii="Times New Roman" w:hAnsi="Times New Roman"/>
          <w:kern w:val="0"/>
          <w:sz w:val="24"/>
        </w:rPr>
        <w:t>23</w:t>
      </w:r>
      <w:r w:rsidRPr="00156651">
        <w:rPr>
          <w:rFonts w:ascii="Times New Roman" w:hAnsi="Times New Roman" w:hint="eastAsia"/>
          <w:kern w:val="0"/>
          <w:sz w:val="24"/>
        </w:rPr>
        <w:t>年</w:t>
      </w:r>
      <w:r w:rsidR="00E5696E">
        <w:rPr>
          <w:rFonts w:ascii="Times New Roman" w:hAnsi="Times New Roman"/>
          <w:kern w:val="0"/>
          <w:sz w:val="24"/>
        </w:rPr>
        <w:t>12</w:t>
      </w:r>
      <w:r w:rsidRPr="00156651">
        <w:rPr>
          <w:rFonts w:ascii="Times New Roman" w:hAnsi="Times New Roman" w:hint="eastAsia"/>
          <w:kern w:val="0"/>
          <w:sz w:val="24"/>
        </w:rPr>
        <w:t>月</w:t>
      </w:r>
      <w:r w:rsidR="00E5696E">
        <w:rPr>
          <w:rFonts w:ascii="Times New Roman" w:hAnsi="Times New Roman"/>
          <w:kern w:val="0"/>
          <w:sz w:val="24"/>
        </w:rPr>
        <w:t>21</w:t>
      </w:r>
      <w:r w:rsidRPr="00156651">
        <w:rPr>
          <w:rFonts w:ascii="Times New Roman" w:hAnsi="Times New Roman" w:hint="eastAsia"/>
          <w:kern w:val="0"/>
          <w:sz w:val="24"/>
        </w:rPr>
        <w:t>日</w:t>
      </w:r>
      <w:r>
        <w:rPr>
          <w:rFonts w:ascii="Times New Roman" w:hAnsi="Times New Roman" w:hint="eastAsia"/>
          <w:kern w:val="0"/>
          <w:sz w:val="24"/>
        </w:rPr>
        <w:t>，</w:t>
      </w:r>
      <w:r w:rsidRPr="00156651">
        <w:rPr>
          <w:rFonts w:ascii="Times New Roman" w:hAnsi="Times New Roman" w:hint="eastAsia"/>
          <w:kern w:val="0"/>
          <w:sz w:val="24"/>
        </w:rPr>
        <w:t>除非另有说明，</w:t>
      </w:r>
      <w:r w:rsidR="00D93D5A">
        <w:rPr>
          <w:rFonts w:ascii="Times New Roman" w:hAnsi="Times New Roman"/>
          <w:kern w:val="0"/>
          <w:sz w:val="24"/>
        </w:rPr>
        <w:t>本招募说明书</w:t>
      </w:r>
      <w:r>
        <w:rPr>
          <w:rFonts w:ascii="Times New Roman" w:hAnsi="Times New Roman" w:hint="eastAsia"/>
          <w:kern w:val="0"/>
          <w:sz w:val="24"/>
        </w:rPr>
        <w:t>其他</w:t>
      </w:r>
      <w:r w:rsidR="00D93D5A">
        <w:rPr>
          <w:rFonts w:ascii="Times New Roman" w:hAnsi="Times New Roman"/>
          <w:kern w:val="0"/>
          <w:sz w:val="24"/>
        </w:rPr>
        <w:t>所载内容截止日为</w:t>
      </w:r>
      <w:r w:rsidR="00D93D5A">
        <w:rPr>
          <w:rFonts w:ascii="Times New Roman" w:hAnsi="Times New Roman"/>
          <w:kern w:val="0"/>
          <w:sz w:val="24"/>
        </w:rPr>
        <w:t>2023</w:t>
      </w:r>
      <w:r w:rsidR="00D93D5A">
        <w:rPr>
          <w:rFonts w:ascii="Times New Roman" w:hAnsi="Times New Roman"/>
          <w:kern w:val="0"/>
          <w:sz w:val="24"/>
        </w:rPr>
        <w:t>年</w:t>
      </w:r>
      <w:r w:rsidR="00D93D5A">
        <w:rPr>
          <w:rFonts w:ascii="Times New Roman" w:hAnsi="Times New Roman"/>
          <w:kern w:val="0"/>
          <w:sz w:val="24"/>
        </w:rPr>
        <w:t>11</w:t>
      </w:r>
      <w:r w:rsidR="00D93D5A">
        <w:rPr>
          <w:rFonts w:ascii="Times New Roman" w:hAnsi="Times New Roman"/>
          <w:kern w:val="0"/>
          <w:sz w:val="24"/>
        </w:rPr>
        <w:t>月</w:t>
      </w:r>
      <w:r w:rsidR="00D93D5A">
        <w:rPr>
          <w:rFonts w:ascii="Times New Roman" w:hAnsi="Times New Roman"/>
          <w:kern w:val="0"/>
          <w:sz w:val="24"/>
        </w:rPr>
        <w:t>02</w:t>
      </w:r>
      <w:r w:rsidR="00D93D5A">
        <w:rPr>
          <w:rFonts w:ascii="Times New Roman" w:hAnsi="Times New Roman"/>
          <w:kern w:val="0"/>
          <w:sz w:val="24"/>
        </w:rPr>
        <w:t>日，有关财务数据和净值表现截止日为</w:t>
      </w:r>
      <w:r w:rsidR="00D93D5A">
        <w:rPr>
          <w:rFonts w:ascii="Times New Roman" w:hAnsi="Times New Roman"/>
          <w:kern w:val="0"/>
          <w:sz w:val="24"/>
        </w:rPr>
        <w:t>2023</w:t>
      </w:r>
      <w:r w:rsidR="00D93D5A">
        <w:rPr>
          <w:rFonts w:ascii="Times New Roman" w:hAnsi="Times New Roman"/>
          <w:kern w:val="0"/>
          <w:sz w:val="24"/>
        </w:rPr>
        <w:t>年</w:t>
      </w:r>
      <w:r w:rsidR="00D93D5A">
        <w:rPr>
          <w:rFonts w:ascii="Times New Roman" w:hAnsi="Times New Roman"/>
          <w:kern w:val="0"/>
          <w:sz w:val="24"/>
        </w:rPr>
        <w:t>09</w:t>
      </w:r>
      <w:r w:rsidR="00D93D5A">
        <w:rPr>
          <w:rFonts w:ascii="Times New Roman" w:hAnsi="Times New Roman"/>
          <w:kern w:val="0"/>
          <w:sz w:val="24"/>
        </w:rPr>
        <w:t>月</w:t>
      </w:r>
      <w:r w:rsidR="00D93D5A">
        <w:rPr>
          <w:rFonts w:ascii="Times New Roman" w:hAnsi="Times New Roman"/>
          <w:kern w:val="0"/>
          <w:sz w:val="24"/>
        </w:rPr>
        <w:t>30</w:t>
      </w:r>
      <w:r w:rsidR="00D93D5A">
        <w:rPr>
          <w:rFonts w:ascii="Times New Roman" w:hAnsi="Times New Roman"/>
          <w:kern w:val="0"/>
          <w:sz w:val="24"/>
        </w:rPr>
        <w:t>日。本招募说明书所载的财务数据未经审计。</w:t>
      </w:r>
    </w:p>
    <w:p w14:paraId="7AE45821" w14:textId="77777777" w:rsidR="00542AF7" w:rsidRDefault="00542AF7">
      <w:pPr>
        <w:autoSpaceDE w:val="0"/>
        <w:autoSpaceDN w:val="0"/>
        <w:adjustRightInd w:val="0"/>
        <w:snapToGrid w:val="0"/>
        <w:spacing w:before="51" w:line="360" w:lineRule="auto"/>
        <w:ind w:left="120" w:rightChars="6" w:right="13" w:firstLine="480"/>
        <w:rPr>
          <w:rFonts w:ascii="宋体" w:hAnsi="宋体"/>
          <w:kern w:val="0"/>
          <w:szCs w:val="24"/>
        </w:rPr>
        <w:sectPr w:rsidR="00542AF7">
          <w:headerReference w:type="default" r:id="rId12"/>
          <w:pgSz w:w="11920" w:h="16840"/>
          <w:pgMar w:top="1440" w:right="1680" w:bottom="280" w:left="1680" w:header="0" w:footer="1073" w:gutter="0"/>
          <w:pgNumType w:start="1"/>
          <w:cols w:space="720"/>
        </w:sectPr>
      </w:pPr>
    </w:p>
    <w:p w14:paraId="2515EED7" w14:textId="77777777" w:rsidR="00267176" w:rsidRPr="00267176" w:rsidRDefault="00D93D5A" w:rsidP="00267176">
      <w:pPr>
        <w:pStyle w:val="af3"/>
        <w:snapToGrid w:val="0"/>
        <w:spacing w:after="240" w:line="360" w:lineRule="auto"/>
        <w:jc w:val="center"/>
        <w:rPr>
          <w:rFonts w:ascii="宋体" w:hAnsi="宋体"/>
          <w:noProof/>
          <w:sz w:val="24"/>
        </w:rPr>
      </w:pPr>
      <w:r w:rsidRPr="00267176">
        <w:rPr>
          <w:rFonts w:ascii="宋体" w:hAnsi="宋体"/>
          <w:color w:val="000000"/>
          <w:position w:val="-4"/>
          <w:sz w:val="24"/>
          <w:szCs w:val="30"/>
        </w:rPr>
        <w:lastRenderedPageBreak/>
        <w:t>目</w:t>
      </w:r>
      <w:r w:rsidRPr="00267176">
        <w:rPr>
          <w:rFonts w:ascii="宋体" w:hAnsi="宋体"/>
          <w:color w:val="000000"/>
          <w:position w:val="-4"/>
          <w:sz w:val="24"/>
          <w:szCs w:val="30"/>
        </w:rPr>
        <w:tab/>
        <w:t>录</w:t>
      </w:r>
      <w:r w:rsidR="00267176" w:rsidRPr="00267176">
        <w:rPr>
          <w:rFonts w:ascii="宋体" w:hAnsi="宋体"/>
          <w:color w:val="000000"/>
          <w:position w:val="-4"/>
          <w:sz w:val="24"/>
          <w:szCs w:val="30"/>
        </w:rPr>
        <w:fldChar w:fldCharType="begin"/>
      </w:r>
      <w:r w:rsidR="00267176" w:rsidRPr="00267176">
        <w:rPr>
          <w:rFonts w:ascii="宋体" w:hAnsi="宋体"/>
          <w:color w:val="000000"/>
          <w:position w:val="-4"/>
          <w:sz w:val="24"/>
          <w:szCs w:val="30"/>
        </w:rPr>
        <w:instrText xml:space="preserve"> TOC \o "1-3" \f - \h \t "-1" </w:instrText>
      </w:r>
      <w:r w:rsidR="00267176" w:rsidRPr="00267176">
        <w:rPr>
          <w:rFonts w:ascii="宋体" w:hAnsi="宋体"/>
          <w:color w:val="000000"/>
          <w:position w:val="-4"/>
          <w:sz w:val="24"/>
          <w:szCs w:val="30"/>
        </w:rPr>
        <w:fldChar w:fldCharType="separate"/>
      </w:r>
    </w:p>
    <w:p w14:paraId="55786387" w14:textId="56E3DED7" w:rsidR="00267176" w:rsidRPr="00C0019B" w:rsidRDefault="00DB4989" w:rsidP="00267176">
      <w:pPr>
        <w:pStyle w:val="11"/>
        <w:tabs>
          <w:tab w:val="right" w:leader="dot" w:pos="8550"/>
        </w:tabs>
        <w:spacing w:line="360" w:lineRule="auto"/>
        <w:rPr>
          <w:rFonts w:ascii="宋体" w:hAnsi="宋体"/>
          <w:noProof/>
          <w:sz w:val="24"/>
        </w:rPr>
      </w:pPr>
      <w:hyperlink w:anchor="_Toc151542533" w:history="1">
        <w:r w:rsidR="00267176" w:rsidRPr="00267176">
          <w:rPr>
            <w:rStyle w:val="af0"/>
            <w:rFonts w:ascii="宋体" w:hAnsi="宋体" w:hint="eastAsia"/>
            <w:noProof/>
            <w:kern w:val="0"/>
            <w:sz w:val="24"/>
          </w:rPr>
          <w:t>重要提示</w:t>
        </w:r>
        <w:r w:rsidR="00267176" w:rsidRPr="00267176">
          <w:rPr>
            <w:rFonts w:ascii="宋体" w:hAnsi="宋体"/>
            <w:noProof/>
            <w:sz w:val="24"/>
          </w:rPr>
          <w:tab/>
        </w:r>
        <w:r w:rsidR="00267176" w:rsidRPr="00267176">
          <w:rPr>
            <w:rFonts w:ascii="宋体" w:hAnsi="宋体"/>
            <w:noProof/>
            <w:sz w:val="24"/>
          </w:rPr>
          <w:fldChar w:fldCharType="begin"/>
        </w:r>
        <w:r w:rsidR="00267176" w:rsidRPr="00267176">
          <w:rPr>
            <w:rFonts w:ascii="宋体" w:hAnsi="宋体"/>
            <w:noProof/>
            <w:sz w:val="24"/>
          </w:rPr>
          <w:instrText xml:space="preserve"> PAGEREF _Toc151542533 \h </w:instrText>
        </w:r>
        <w:r w:rsidR="00267176" w:rsidRPr="00267176">
          <w:rPr>
            <w:rFonts w:ascii="宋体" w:hAnsi="宋体"/>
            <w:noProof/>
            <w:sz w:val="24"/>
          </w:rPr>
        </w:r>
        <w:r w:rsidR="00267176" w:rsidRPr="00267176">
          <w:rPr>
            <w:rFonts w:ascii="宋体" w:hAnsi="宋体"/>
            <w:noProof/>
            <w:sz w:val="24"/>
          </w:rPr>
          <w:fldChar w:fldCharType="separate"/>
        </w:r>
        <w:r w:rsidR="00B57D2B">
          <w:rPr>
            <w:rFonts w:ascii="宋体" w:hAnsi="宋体"/>
            <w:noProof/>
            <w:sz w:val="24"/>
          </w:rPr>
          <w:t>1</w:t>
        </w:r>
        <w:r w:rsidR="00267176" w:rsidRPr="00267176">
          <w:rPr>
            <w:rFonts w:ascii="宋体" w:hAnsi="宋体"/>
            <w:noProof/>
            <w:sz w:val="24"/>
          </w:rPr>
          <w:fldChar w:fldCharType="end"/>
        </w:r>
      </w:hyperlink>
    </w:p>
    <w:p w14:paraId="068F1F71" w14:textId="6AB3250B" w:rsidR="00267176" w:rsidRPr="00C0019B" w:rsidRDefault="00DB4989" w:rsidP="00267176">
      <w:pPr>
        <w:pStyle w:val="11"/>
        <w:tabs>
          <w:tab w:val="right" w:leader="dot" w:pos="8550"/>
        </w:tabs>
        <w:spacing w:line="360" w:lineRule="auto"/>
        <w:rPr>
          <w:rFonts w:ascii="宋体" w:hAnsi="宋体"/>
          <w:noProof/>
          <w:sz w:val="24"/>
        </w:rPr>
      </w:pPr>
      <w:hyperlink w:anchor="_Toc151542534" w:history="1">
        <w:r w:rsidR="00267176" w:rsidRPr="00267176">
          <w:rPr>
            <w:rStyle w:val="af0"/>
            <w:rFonts w:ascii="宋体" w:hAnsi="宋体" w:hint="eastAsia"/>
            <w:noProof/>
            <w:sz w:val="24"/>
          </w:rPr>
          <w:t>一、绪言</w:t>
        </w:r>
        <w:r w:rsidR="00267176" w:rsidRPr="00267176">
          <w:rPr>
            <w:rFonts w:ascii="宋体" w:hAnsi="宋体"/>
            <w:noProof/>
            <w:sz w:val="24"/>
          </w:rPr>
          <w:tab/>
        </w:r>
        <w:r w:rsidR="00267176" w:rsidRPr="00267176">
          <w:rPr>
            <w:rFonts w:ascii="宋体" w:hAnsi="宋体"/>
            <w:noProof/>
            <w:sz w:val="24"/>
          </w:rPr>
          <w:fldChar w:fldCharType="begin"/>
        </w:r>
        <w:r w:rsidR="00267176" w:rsidRPr="00267176">
          <w:rPr>
            <w:rFonts w:ascii="宋体" w:hAnsi="宋体"/>
            <w:noProof/>
            <w:sz w:val="24"/>
          </w:rPr>
          <w:instrText xml:space="preserve"> PAGEREF _Toc151542534 \h </w:instrText>
        </w:r>
        <w:r w:rsidR="00267176" w:rsidRPr="00267176">
          <w:rPr>
            <w:rFonts w:ascii="宋体" w:hAnsi="宋体"/>
            <w:noProof/>
            <w:sz w:val="24"/>
          </w:rPr>
        </w:r>
        <w:r w:rsidR="00267176" w:rsidRPr="00267176">
          <w:rPr>
            <w:rFonts w:ascii="宋体" w:hAnsi="宋体"/>
            <w:noProof/>
            <w:sz w:val="24"/>
          </w:rPr>
          <w:fldChar w:fldCharType="separate"/>
        </w:r>
        <w:r w:rsidR="00B57D2B">
          <w:rPr>
            <w:rFonts w:ascii="宋体" w:hAnsi="宋体"/>
            <w:noProof/>
            <w:sz w:val="24"/>
          </w:rPr>
          <w:t>4</w:t>
        </w:r>
        <w:r w:rsidR="00267176" w:rsidRPr="00267176">
          <w:rPr>
            <w:rFonts w:ascii="宋体" w:hAnsi="宋体"/>
            <w:noProof/>
            <w:sz w:val="24"/>
          </w:rPr>
          <w:fldChar w:fldCharType="end"/>
        </w:r>
      </w:hyperlink>
    </w:p>
    <w:p w14:paraId="3BB5ED05" w14:textId="5DE8F329" w:rsidR="00267176" w:rsidRPr="00C0019B" w:rsidRDefault="00DB4989" w:rsidP="00267176">
      <w:pPr>
        <w:pStyle w:val="11"/>
        <w:tabs>
          <w:tab w:val="right" w:leader="dot" w:pos="8550"/>
        </w:tabs>
        <w:spacing w:line="360" w:lineRule="auto"/>
        <w:rPr>
          <w:rFonts w:ascii="宋体" w:hAnsi="宋体"/>
          <w:noProof/>
          <w:sz w:val="24"/>
        </w:rPr>
      </w:pPr>
      <w:hyperlink w:anchor="_Toc151542535" w:history="1">
        <w:r w:rsidR="00267176" w:rsidRPr="00267176">
          <w:rPr>
            <w:rStyle w:val="af0"/>
            <w:rFonts w:ascii="宋体" w:hAnsi="宋体" w:hint="eastAsia"/>
            <w:noProof/>
            <w:sz w:val="24"/>
          </w:rPr>
          <w:t>二、释义</w:t>
        </w:r>
        <w:r w:rsidR="00267176" w:rsidRPr="00267176">
          <w:rPr>
            <w:rFonts w:ascii="宋体" w:hAnsi="宋体"/>
            <w:noProof/>
            <w:sz w:val="24"/>
          </w:rPr>
          <w:tab/>
        </w:r>
        <w:r w:rsidR="00267176" w:rsidRPr="00267176">
          <w:rPr>
            <w:rFonts w:ascii="宋体" w:hAnsi="宋体"/>
            <w:noProof/>
            <w:sz w:val="24"/>
          </w:rPr>
          <w:fldChar w:fldCharType="begin"/>
        </w:r>
        <w:r w:rsidR="00267176" w:rsidRPr="00267176">
          <w:rPr>
            <w:rFonts w:ascii="宋体" w:hAnsi="宋体"/>
            <w:noProof/>
            <w:sz w:val="24"/>
          </w:rPr>
          <w:instrText xml:space="preserve"> PAGEREF _Toc151542535 \h </w:instrText>
        </w:r>
        <w:r w:rsidR="00267176" w:rsidRPr="00267176">
          <w:rPr>
            <w:rFonts w:ascii="宋体" w:hAnsi="宋体"/>
            <w:noProof/>
            <w:sz w:val="24"/>
          </w:rPr>
        </w:r>
        <w:r w:rsidR="00267176" w:rsidRPr="00267176">
          <w:rPr>
            <w:rFonts w:ascii="宋体" w:hAnsi="宋体"/>
            <w:noProof/>
            <w:sz w:val="24"/>
          </w:rPr>
          <w:fldChar w:fldCharType="separate"/>
        </w:r>
        <w:r w:rsidR="00B57D2B">
          <w:rPr>
            <w:rFonts w:ascii="宋体" w:hAnsi="宋体"/>
            <w:noProof/>
            <w:sz w:val="24"/>
          </w:rPr>
          <w:t>5</w:t>
        </w:r>
        <w:r w:rsidR="00267176" w:rsidRPr="00267176">
          <w:rPr>
            <w:rFonts w:ascii="宋体" w:hAnsi="宋体"/>
            <w:noProof/>
            <w:sz w:val="24"/>
          </w:rPr>
          <w:fldChar w:fldCharType="end"/>
        </w:r>
      </w:hyperlink>
    </w:p>
    <w:p w14:paraId="4D52B0C8" w14:textId="7E57E51F" w:rsidR="00267176" w:rsidRPr="00C0019B" w:rsidRDefault="00DB4989" w:rsidP="00267176">
      <w:pPr>
        <w:pStyle w:val="11"/>
        <w:tabs>
          <w:tab w:val="right" w:leader="dot" w:pos="8550"/>
        </w:tabs>
        <w:spacing w:line="360" w:lineRule="auto"/>
        <w:rPr>
          <w:rFonts w:ascii="宋体" w:hAnsi="宋体"/>
          <w:noProof/>
          <w:sz w:val="24"/>
        </w:rPr>
      </w:pPr>
      <w:hyperlink w:anchor="_Toc151542536" w:history="1">
        <w:r w:rsidR="00267176" w:rsidRPr="00267176">
          <w:rPr>
            <w:rStyle w:val="af0"/>
            <w:rFonts w:ascii="宋体" w:hAnsi="宋体" w:hint="eastAsia"/>
            <w:noProof/>
            <w:sz w:val="24"/>
          </w:rPr>
          <w:t>三、基金管理人</w:t>
        </w:r>
        <w:bookmarkStart w:id="3" w:name="_GoBack"/>
        <w:bookmarkEnd w:id="3"/>
        <w:r w:rsidR="00267176" w:rsidRPr="00267176">
          <w:rPr>
            <w:rFonts w:ascii="宋体" w:hAnsi="宋体"/>
            <w:noProof/>
            <w:sz w:val="24"/>
          </w:rPr>
          <w:tab/>
        </w:r>
        <w:r w:rsidR="00267176" w:rsidRPr="00267176">
          <w:rPr>
            <w:rFonts w:ascii="宋体" w:hAnsi="宋体"/>
            <w:noProof/>
            <w:sz w:val="24"/>
          </w:rPr>
          <w:fldChar w:fldCharType="begin"/>
        </w:r>
        <w:r w:rsidR="00267176" w:rsidRPr="00267176">
          <w:rPr>
            <w:rFonts w:ascii="宋体" w:hAnsi="宋体"/>
            <w:noProof/>
            <w:sz w:val="24"/>
          </w:rPr>
          <w:instrText xml:space="preserve"> PAGEREF _Toc151542536 \h </w:instrText>
        </w:r>
        <w:r w:rsidR="00267176" w:rsidRPr="00267176">
          <w:rPr>
            <w:rFonts w:ascii="宋体" w:hAnsi="宋体"/>
            <w:noProof/>
            <w:sz w:val="24"/>
          </w:rPr>
        </w:r>
        <w:r w:rsidR="00267176" w:rsidRPr="00267176">
          <w:rPr>
            <w:rFonts w:ascii="宋体" w:hAnsi="宋体"/>
            <w:noProof/>
            <w:sz w:val="24"/>
          </w:rPr>
          <w:fldChar w:fldCharType="separate"/>
        </w:r>
        <w:r w:rsidR="00B57D2B">
          <w:rPr>
            <w:rFonts w:ascii="宋体" w:hAnsi="宋体"/>
            <w:noProof/>
            <w:sz w:val="24"/>
          </w:rPr>
          <w:t>10</w:t>
        </w:r>
        <w:r w:rsidR="00267176" w:rsidRPr="00267176">
          <w:rPr>
            <w:rFonts w:ascii="宋体" w:hAnsi="宋体"/>
            <w:noProof/>
            <w:sz w:val="24"/>
          </w:rPr>
          <w:fldChar w:fldCharType="end"/>
        </w:r>
      </w:hyperlink>
    </w:p>
    <w:p w14:paraId="7854CBEF" w14:textId="33008854" w:rsidR="00267176" w:rsidRPr="00C0019B" w:rsidRDefault="00DB4989" w:rsidP="00267176">
      <w:pPr>
        <w:pStyle w:val="11"/>
        <w:tabs>
          <w:tab w:val="right" w:leader="dot" w:pos="8550"/>
        </w:tabs>
        <w:spacing w:line="360" w:lineRule="auto"/>
        <w:rPr>
          <w:rFonts w:ascii="宋体" w:hAnsi="宋体"/>
          <w:noProof/>
          <w:sz w:val="24"/>
        </w:rPr>
      </w:pPr>
      <w:hyperlink w:anchor="_Toc151542537" w:history="1">
        <w:r w:rsidR="00267176" w:rsidRPr="00267176">
          <w:rPr>
            <w:rStyle w:val="af0"/>
            <w:rFonts w:ascii="宋体" w:hAnsi="宋体" w:hint="eastAsia"/>
            <w:noProof/>
            <w:sz w:val="24"/>
          </w:rPr>
          <w:t>四、基金托管人</w:t>
        </w:r>
        <w:r w:rsidR="00267176" w:rsidRPr="00267176">
          <w:rPr>
            <w:rFonts w:ascii="宋体" w:hAnsi="宋体"/>
            <w:noProof/>
            <w:sz w:val="24"/>
          </w:rPr>
          <w:tab/>
        </w:r>
        <w:r w:rsidR="00267176" w:rsidRPr="00267176">
          <w:rPr>
            <w:rFonts w:ascii="宋体" w:hAnsi="宋体"/>
            <w:noProof/>
            <w:sz w:val="24"/>
          </w:rPr>
          <w:fldChar w:fldCharType="begin"/>
        </w:r>
        <w:r w:rsidR="00267176" w:rsidRPr="00267176">
          <w:rPr>
            <w:rFonts w:ascii="宋体" w:hAnsi="宋体"/>
            <w:noProof/>
            <w:sz w:val="24"/>
          </w:rPr>
          <w:instrText xml:space="preserve"> PAGEREF _Toc151542537 \h </w:instrText>
        </w:r>
        <w:r w:rsidR="00267176" w:rsidRPr="00267176">
          <w:rPr>
            <w:rFonts w:ascii="宋体" w:hAnsi="宋体"/>
            <w:noProof/>
            <w:sz w:val="24"/>
          </w:rPr>
        </w:r>
        <w:r w:rsidR="00267176" w:rsidRPr="00267176">
          <w:rPr>
            <w:rFonts w:ascii="宋体" w:hAnsi="宋体"/>
            <w:noProof/>
            <w:sz w:val="24"/>
          </w:rPr>
          <w:fldChar w:fldCharType="separate"/>
        </w:r>
        <w:r w:rsidR="00B57D2B">
          <w:rPr>
            <w:rFonts w:ascii="宋体" w:hAnsi="宋体"/>
            <w:noProof/>
            <w:sz w:val="24"/>
          </w:rPr>
          <w:t>19</w:t>
        </w:r>
        <w:r w:rsidR="00267176" w:rsidRPr="00267176">
          <w:rPr>
            <w:rFonts w:ascii="宋体" w:hAnsi="宋体"/>
            <w:noProof/>
            <w:sz w:val="24"/>
          </w:rPr>
          <w:fldChar w:fldCharType="end"/>
        </w:r>
      </w:hyperlink>
    </w:p>
    <w:p w14:paraId="68208383" w14:textId="447DA00F" w:rsidR="00267176" w:rsidRPr="00C0019B" w:rsidRDefault="00DB4989" w:rsidP="00267176">
      <w:pPr>
        <w:pStyle w:val="11"/>
        <w:tabs>
          <w:tab w:val="right" w:leader="dot" w:pos="8550"/>
        </w:tabs>
        <w:spacing w:line="360" w:lineRule="auto"/>
        <w:rPr>
          <w:rFonts w:ascii="宋体" w:hAnsi="宋体"/>
          <w:noProof/>
          <w:sz w:val="24"/>
        </w:rPr>
      </w:pPr>
      <w:hyperlink w:anchor="_Toc151542538" w:history="1">
        <w:r w:rsidR="00267176" w:rsidRPr="00267176">
          <w:rPr>
            <w:rStyle w:val="af0"/>
            <w:rFonts w:ascii="宋体" w:hAnsi="宋体" w:hint="eastAsia"/>
            <w:noProof/>
            <w:sz w:val="24"/>
          </w:rPr>
          <w:t>五、相关服务机构</w:t>
        </w:r>
        <w:r w:rsidR="00267176" w:rsidRPr="00267176">
          <w:rPr>
            <w:rFonts w:ascii="宋体" w:hAnsi="宋体"/>
            <w:noProof/>
            <w:sz w:val="24"/>
          </w:rPr>
          <w:tab/>
        </w:r>
        <w:r w:rsidR="00267176" w:rsidRPr="00267176">
          <w:rPr>
            <w:rFonts w:ascii="宋体" w:hAnsi="宋体"/>
            <w:noProof/>
            <w:sz w:val="24"/>
          </w:rPr>
          <w:fldChar w:fldCharType="begin"/>
        </w:r>
        <w:r w:rsidR="00267176" w:rsidRPr="00267176">
          <w:rPr>
            <w:rFonts w:ascii="宋体" w:hAnsi="宋体"/>
            <w:noProof/>
            <w:sz w:val="24"/>
          </w:rPr>
          <w:instrText xml:space="preserve"> PAGEREF _Toc151542538 \h </w:instrText>
        </w:r>
        <w:r w:rsidR="00267176" w:rsidRPr="00267176">
          <w:rPr>
            <w:rFonts w:ascii="宋体" w:hAnsi="宋体"/>
            <w:noProof/>
            <w:sz w:val="24"/>
          </w:rPr>
        </w:r>
        <w:r w:rsidR="00267176" w:rsidRPr="00267176">
          <w:rPr>
            <w:rFonts w:ascii="宋体" w:hAnsi="宋体"/>
            <w:noProof/>
            <w:sz w:val="24"/>
          </w:rPr>
          <w:fldChar w:fldCharType="separate"/>
        </w:r>
        <w:r w:rsidR="00B57D2B">
          <w:rPr>
            <w:rFonts w:ascii="宋体" w:hAnsi="宋体"/>
            <w:noProof/>
            <w:sz w:val="24"/>
          </w:rPr>
          <w:t>23</w:t>
        </w:r>
        <w:r w:rsidR="00267176" w:rsidRPr="00267176">
          <w:rPr>
            <w:rFonts w:ascii="宋体" w:hAnsi="宋体"/>
            <w:noProof/>
            <w:sz w:val="24"/>
          </w:rPr>
          <w:fldChar w:fldCharType="end"/>
        </w:r>
      </w:hyperlink>
    </w:p>
    <w:p w14:paraId="426223D0" w14:textId="269B44B0" w:rsidR="00267176" w:rsidRPr="00C0019B" w:rsidRDefault="00DB4989" w:rsidP="00267176">
      <w:pPr>
        <w:pStyle w:val="11"/>
        <w:tabs>
          <w:tab w:val="right" w:leader="dot" w:pos="8550"/>
        </w:tabs>
        <w:spacing w:line="360" w:lineRule="auto"/>
        <w:rPr>
          <w:rFonts w:ascii="宋体" w:hAnsi="宋体"/>
          <w:noProof/>
          <w:sz w:val="24"/>
        </w:rPr>
      </w:pPr>
      <w:hyperlink w:anchor="_Toc151542539" w:history="1">
        <w:r w:rsidR="00267176" w:rsidRPr="00267176">
          <w:rPr>
            <w:rStyle w:val="af0"/>
            <w:rFonts w:ascii="宋体" w:hAnsi="宋体" w:hint="eastAsia"/>
            <w:noProof/>
            <w:sz w:val="24"/>
          </w:rPr>
          <w:t>六、基金的募集</w:t>
        </w:r>
        <w:r w:rsidR="00267176" w:rsidRPr="00267176">
          <w:rPr>
            <w:rFonts w:ascii="宋体" w:hAnsi="宋体"/>
            <w:noProof/>
            <w:sz w:val="24"/>
          </w:rPr>
          <w:tab/>
        </w:r>
        <w:r w:rsidR="00267176" w:rsidRPr="00267176">
          <w:rPr>
            <w:rFonts w:ascii="宋体" w:hAnsi="宋体"/>
            <w:noProof/>
            <w:sz w:val="24"/>
          </w:rPr>
          <w:fldChar w:fldCharType="begin"/>
        </w:r>
        <w:r w:rsidR="00267176" w:rsidRPr="00267176">
          <w:rPr>
            <w:rFonts w:ascii="宋体" w:hAnsi="宋体"/>
            <w:noProof/>
            <w:sz w:val="24"/>
          </w:rPr>
          <w:instrText xml:space="preserve"> PAGEREF _Toc151542539 \h </w:instrText>
        </w:r>
        <w:r w:rsidR="00267176" w:rsidRPr="00267176">
          <w:rPr>
            <w:rFonts w:ascii="宋体" w:hAnsi="宋体"/>
            <w:noProof/>
            <w:sz w:val="24"/>
          </w:rPr>
        </w:r>
        <w:r w:rsidR="00267176" w:rsidRPr="00267176">
          <w:rPr>
            <w:rFonts w:ascii="宋体" w:hAnsi="宋体"/>
            <w:noProof/>
            <w:sz w:val="24"/>
          </w:rPr>
          <w:fldChar w:fldCharType="separate"/>
        </w:r>
        <w:r w:rsidR="00B57D2B">
          <w:rPr>
            <w:rFonts w:ascii="宋体" w:hAnsi="宋体"/>
            <w:noProof/>
            <w:sz w:val="24"/>
          </w:rPr>
          <w:t>33</w:t>
        </w:r>
        <w:r w:rsidR="00267176" w:rsidRPr="00267176">
          <w:rPr>
            <w:rFonts w:ascii="宋体" w:hAnsi="宋体"/>
            <w:noProof/>
            <w:sz w:val="24"/>
          </w:rPr>
          <w:fldChar w:fldCharType="end"/>
        </w:r>
      </w:hyperlink>
    </w:p>
    <w:p w14:paraId="4A04B9A1" w14:textId="1A8F0196" w:rsidR="00267176" w:rsidRPr="00C0019B" w:rsidRDefault="00DB4989" w:rsidP="00267176">
      <w:pPr>
        <w:pStyle w:val="11"/>
        <w:tabs>
          <w:tab w:val="right" w:leader="dot" w:pos="8550"/>
        </w:tabs>
        <w:spacing w:line="360" w:lineRule="auto"/>
        <w:rPr>
          <w:rFonts w:ascii="宋体" w:hAnsi="宋体"/>
          <w:noProof/>
          <w:sz w:val="24"/>
        </w:rPr>
      </w:pPr>
      <w:hyperlink w:anchor="_Toc151542540" w:history="1">
        <w:r w:rsidR="00267176" w:rsidRPr="00267176">
          <w:rPr>
            <w:rStyle w:val="af0"/>
            <w:rFonts w:ascii="宋体" w:hAnsi="宋体" w:hint="eastAsia"/>
            <w:noProof/>
            <w:sz w:val="24"/>
          </w:rPr>
          <w:t>七、基金合同的生效</w:t>
        </w:r>
        <w:r w:rsidR="00267176" w:rsidRPr="00267176">
          <w:rPr>
            <w:rFonts w:ascii="宋体" w:hAnsi="宋体"/>
            <w:noProof/>
            <w:sz w:val="24"/>
          </w:rPr>
          <w:tab/>
        </w:r>
        <w:r w:rsidR="00267176" w:rsidRPr="00267176">
          <w:rPr>
            <w:rFonts w:ascii="宋体" w:hAnsi="宋体"/>
            <w:noProof/>
            <w:sz w:val="24"/>
          </w:rPr>
          <w:fldChar w:fldCharType="begin"/>
        </w:r>
        <w:r w:rsidR="00267176" w:rsidRPr="00267176">
          <w:rPr>
            <w:rFonts w:ascii="宋体" w:hAnsi="宋体"/>
            <w:noProof/>
            <w:sz w:val="24"/>
          </w:rPr>
          <w:instrText xml:space="preserve"> PAGEREF _Toc151542540 \h </w:instrText>
        </w:r>
        <w:r w:rsidR="00267176" w:rsidRPr="00267176">
          <w:rPr>
            <w:rFonts w:ascii="宋体" w:hAnsi="宋体"/>
            <w:noProof/>
            <w:sz w:val="24"/>
          </w:rPr>
        </w:r>
        <w:r w:rsidR="00267176" w:rsidRPr="00267176">
          <w:rPr>
            <w:rFonts w:ascii="宋体" w:hAnsi="宋体"/>
            <w:noProof/>
            <w:sz w:val="24"/>
          </w:rPr>
          <w:fldChar w:fldCharType="separate"/>
        </w:r>
        <w:r w:rsidR="00B57D2B">
          <w:rPr>
            <w:rFonts w:ascii="宋体" w:hAnsi="宋体"/>
            <w:noProof/>
            <w:sz w:val="24"/>
          </w:rPr>
          <w:t>34</w:t>
        </w:r>
        <w:r w:rsidR="00267176" w:rsidRPr="00267176">
          <w:rPr>
            <w:rFonts w:ascii="宋体" w:hAnsi="宋体"/>
            <w:noProof/>
            <w:sz w:val="24"/>
          </w:rPr>
          <w:fldChar w:fldCharType="end"/>
        </w:r>
      </w:hyperlink>
    </w:p>
    <w:p w14:paraId="325231E0" w14:textId="0C82D8F2" w:rsidR="00267176" w:rsidRPr="00C0019B" w:rsidRDefault="00DB4989" w:rsidP="00267176">
      <w:pPr>
        <w:pStyle w:val="11"/>
        <w:tabs>
          <w:tab w:val="right" w:leader="dot" w:pos="8550"/>
        </w:tabs>
        <w:spacing w:line="360" w:lineRule="auto"/>
        <w:rPr>
          <w:rFonts w:ascii="宋体" w:hAnsi="宋体"/>
          <w:noProof/>
          <w:sz w:val="24"/>
        </w:rPr>
      </w:pPr>
      <w:hyperlink w:anchor="_Toc151542541" w:history="1">
        <w:r w:rsidR="00267176" w:rsidRPr="00267176">
          <w:rPr>
            <w:rStyle w:val="af0"/>
            <w:rFonts w:ascii="宋体" w:hAnsi="宋体" w:hint="eastAsia"/>
            <w:noProof/>
            <w:sz w:val="24"/>
          </w:rPr>
          <w:t>八、基金份额的申购与赎回</w:t>
        </w:r>
        <w:r w:rsidR="00267176" w:rsidRPr="00267176">
          <w:rPr>
            <w:rFonts w:ascii="宋体" w:hAnsi="宋体"/>
            <w:noProof/>
            <w:sz w:val="24"/>
          </w:rPr>
          <w:tab/>
        </w:r>
        <w:r w:rsidR="00267176" w:rsidRPr="00267176">
          <w:rPr>
            <w:rFonts w:ascii="宋体" w:hAnsi="宋体"/>
            <w:noProof/>
            <w:sz w:val="24"/>
          </w:rPr>
          <w:fldChar w:fldCharType="begin"/>
        </w:r>
        <w:r w:rsidR="00267176" w:rsidRPr="00267176">
          <w:rPr>
            <w:rFonts w:ascii="宋体" w:hAnsi="宋体"/>
            <w:noProof/>
            <w:sz w:val="24"/>
          </w:rPr>
          <w:instrText xml:space="preserve"> PAGEREF _Toc151542541 \h </w:instrText>
        </w:r>
        <w:r w:rsidR="00267176" w:rsidRPr="00267176">
          <w:rPr>
            <w:rFonts w:ascii="宋体" w:hAnsi="宋体"/>
            <w:noProof/>
            <w:sz w:val="24"/>
          </w:rPr>
        </w:r>
        <w:r w:rsidR="00267176" w:rsidRPr="00267176">
          <w:rPr>
            <w:rFonts w:ascii="宋体" w:hAnsi="宋体"/>
            <w:noProof/>
            <w:sz w:val="24"/>
          </w:rPr>
          <w:fldChar w:fldCharType="separate"/>
        </w:r>
        <w:r w:rsidR="00B57D2B">
          <w:rPr>
            <w:rFonts w:ascii="宋体" w:hAnsi="宋体"/>
            <w:noProof/>
            <w:sz w:val="24"/>
          </w:rPr>
          <w:t>35</w:t>
        </w:r>
        <w:r w:rsidR="00267176" w:rsidRPr="00267176">
          <w:rPr>
            <w:rFonts w:ascii="宋体" w:hAnsi="宋体"/>
            <w:noProof/>
            <w:sz w:val="24"/>
          </w:rPr>
          <w:fldChar w:fldCharType="end"/>
        </w:r>
      </w:hyperlink>
    </w:p>
    <w:p w14:paraId="165036CB" w14:textId="0085A5F2" w:rsidR="00267176" w:rsidRPr="00C0019B" w:rsidRDefault="006174EC" w:rsidP="00267176">
      <w:pPr>
        <w:pStyle w:val="11"/>
        <w:tabs>
          <w:tab w:val="right" w:leader="dot" w:pos="8550"/>
        </w:tabs>
        <w:spacing w:line="360" w:lineRule="auto"/>
        <w:rPr>
          <w:rFonts w:ascii="宋体" w:hAnsi="宋体"/>
          <w:noProof/>
          <w:sz w:val="24"/>
        </w:rPr>
      </w:pPr>
      <w:hyperlink w:anchor="_Toc151542542" w:history="1">
        <w:r w:rsidR="00267176" w:rsidRPr="00267176">
          <w:rPr>
            <w:rStyle w:val="af0"/>
            <w:rFonts w:ascii="宋体" w:hAnsi="宋体" w:hint="eastAsia"/>
            <w:noProof/>
            <w:sz w:val="24"/>
          </w:rPr>
          <w:t>九、基金的转换</w:t>
        </w:r>
        <w:r w:rsidR="00267176" w:rsidRPr="00267176">
          <w:rPr>
            <w:rFonts w:ascii="宋体" w:hAnsi="宋体"/>
            <w:noProof/>
            <w:sz w:val="24"/>
          </w:rPr>
          <w:tab/>
        </w:r>
        <w:r w:rsidR="00267176" w:rsidRPr="00267176">
          <w:rPr>
            <w:rFonts w:ascii="宋体" w:hAnsi="宋体"/>
            <w:noProof/>
            <w:sz w:val="24"/>
          </w:rPr>
          <w:fldChar w:fldCharType="begin"/>
        </w:r>
        <w:r w:rsidR="00267176" w:rsidRPr="00267176">
          <w:rPr>
            <w:rFonts w:ascii="宋体" w:hAnsi="宋体"/>
            <w:noProof/>
            <w:sz w:val="24"/>
          </w:rPr>
          <w:instrText xml:space="preserve"> PAGEREF _Toc151542542 \h </w:instrText>
        </w:r>
        <w:r w:rsidR="00267176" w:rsidRPr="00267176">
          <w:rPr>
            <w:rFonts w:ascii="宋体" w:hAnsi="宋体"/>
            <w:noProof/>
            <w:sz w:val="24"/>
          </w:rPr>
        </w:r>
        <w:r w:rsidR="00267176" w:rsidRPr="00267176">
          <w:rPr>
            <w:rFonts w:ascii="宋体" w:hAnsi="宋体"/>
            <w:noProof/>
            <w:sz w:val="24"/>
          </w:rPr>
          <w:fldChar w:fldCharType="separate"/>
        </w:r>
        <w:r w:rsidR="00B57D2B">
          <w:rPr>
            <w:rFonts w:ascii="宋体" w:hAnsi="宋体"/>
            <w:noProof/>
            <w:sz w:val="24"/>
          </w:rPr>
          <w:t>50</w:t>
        </w:r>
        <w:r w:rsidR="00267176" w:rsidRPr="00267176">
          <w:rPr>
            <w:rFonts w:ascii="宋体" w:hAnsi="宋体"/>
            <w:noProof/>
            <w:sz w:val="24"/>
          </w:rPr>
          <w:fldChar w:fldCharType="end"/>
        </w:r>
      </w:hyperlink>
    </w:p>
    <w:p w14:paraId="1E52CA1D" w14:textId="223BEEFC" w:rsidR="00267176" w:rsidRPr="00C0019B" w:rsidRDefault="006174EC" w:rsidP="00267176">
      <w:pPr>
        <w:pStyle w:val="11"/>
        <w:tabs>
          <w:tab w:val="right" w:leader="dot" w:pos="8550"/>
        </w:tabs>
        <w:spacing w:line="360" w:lineRule="auto"/>
        <w:rPr>
          <w:rFonts w:ascii="宋体" w:hAnsi="宋体"/>
          <w:noProof/>
          <w:sz w:val="24"/>
        </w:rPr>
      </w:pPr>
      <w:hyperlink w:anchor="_Toc151542543" w:history="1">
        <w:r w:rsidR="00267176" w:rsidRPr="00267176">
          <w:rPr>
            <w:rStyle w:val="af0"/>
            <w:rFonts w:ascii="宋体" w:hAnsi="宋体" w:hint="eastAsia"/>
            <w:noProof/>
            <w:sz w:val="24"/>
          </w:rPr>
          <w:t>十、基金的投资</w:t>
        </w:r>
        <w:r w:rsidR="00267176" w:rsidRPr="00267176">
          <w:rPr>
            <w:rFonts w:ascii="宋体" w:hAnsi="宋体"/>
            <w:noProof/>
            <w:sz w:val="24"/>
          </w:rPr>
          <w:tab/>
        </w:r>
        <w:r w:rsidR="00267176" w:rsidRPr="00267176">
          <w:rPr>
            <w:rFonts w:ascii="宋体" w:hAnsi="宋体"/>
            <w:noProof/>
            <w:sz w:val="24"/>
          </w:rPr>
          <w:fldChar w:fldCharType="begin"/>
        </w:r>
        <w:r w:rsidR="00267176" w:rsidRPr="00267176">
          <w:rPr>
            <w:rFonts w:ascii="宋体" w:hAnsi="宋体"/>
            <w:noProof/>
            <w:sz w:val="24"/>
          </w:rPr>
          <w:instrText xml:space="preserve"> PAGEREF _Toc151542543 \h </w:instrText>
        </w:r>
        <w:r w:rsidR="00267176" w:rsidRPr="00267176">
          <w:rPr>
            <w:rFonts w:ascii="宋体" w:hAnsi="宋体"/>
            <w:noProof/>
            <w:sz w:val="24"/>
          </w:rPr>
        </w:r>
        <w:r w:rsidR="00267176" w:rsidRPr="00267176">
          <w:rPr>
            <w:rFonts w:ascii="宋体" w:hAnsi="宋体"/>
            <w:noProof/>
            <w:sz w:val="24"/>
          </w:rPr>
          <w:fldChar w:fldCharType="separate"/>
        </w:r>
        <w:r w:rsidR="00B57D2B">
          <w:rPr>
            <w:rFonts w:ascii="宋体" w:hAnsi="宋体"/>
            <w:noProof/>
            <w:sz w:val="24"/>
          </w:rPr>
          <w:t>57</w:t>
        </w:r>
        <w:r w:rsidR="00267176" w:rsidRPr="00267176">
          <w:rPr>
            <w:rFonts w:ascii="宋体" w:hAnsi="宋体"/>
            <w:noProof/>
            <w:sz w:val="24"/>
          </w:rPr>
          <w:fldChar w:fldCharType="end"/>
        </w:r>
      </w:hyperlink>
    </w:p>
    <w:p w14:paraId="69206F22" w14:textId="704C0A9E" w:rsidR="00267176" w:rsidRPr="00C0019B" w:rsidRDefault="006174EC" w:rsidP="00267176">
      <w:pPr>
        <w:pStyle w:val="11"/>
        <w:tabs>
          <w:tab w:val="right" w:leader="dot" w:pos="8550"/>
        </w:tabs>
        <w:spacing w:line="360" w:lineRule="auto"/>
        <w:rPr>
          <w:rFonts w:ascii="宋体" w:hAnsi="宋体"/>
          <w:noProof/>
          <w:sz w:val="24"/>
        </w:rPr>
      </w:pPr>
      <w:hyperlink w:anchor="_Toc151542544" w:history="1">
        <w:r w:rsidR="00267176" w:rsidRPr="00267176">
          <w:rPr>
            <w:rStyle w:val="af0"/>
            <w:rFonts w:ascii="宋体" w:hAnsi="宋体" w:hint="eastAsia"/>
            <w:noProof/>
            <w:sz w:val="24"/>
          </w:rPr>
          <w:t>十一、基金的业绩</w:t>
        </w:r>
        <w:r w:rsidR="00267176" w:rsidRPr="00267176">
          <w:rPr>
            <w:rFonts w:ascii="宋体" w:hAnsi="宋体"/>
            <w:noProof/>
            <w:sz w:val="24"/>
          </w:rPr>
          <w:tab/>
        </w:r>
        <w:r w:rsidR="00267176" w:rsidRPr="00267176">
          <w:rPr>
            <w:rFonts w:ascii="宋体" w:hAnsi="宋体"/>
            <w:noProof/>
            <w:sz w:val="24"/>
          </w:rPr>
          <w:fldChar w:fldCharType="begin"/>
        </w:r>
        <w:r w:rsidR="00267176" w:rsidRPr="00267176">
          <w:rPr>
            <w:rFonts w:ascii="宋体" w:hAnsi="宋体"/>
            <w:noProof/>
            <w:sz w:val="24"/>
          </w:rPr>
          <w:instrText xml:space="preserve"> PAGEREF _Toc151542544 \h </w:instrText>
        </w:r>
        <w:r w:rsidR="00267176" w:rsidRPr="00267176">
          <w:rPr>
            <w:rFonts w:ascii="宋体" w:hAnsi="宋体"/>
            <w:noProof/>
            <w:sz w:val="24"/>
          </w:rPr>
        </w:r>
        <w:r w:rsidR="00267176" w:rsidRPr="00267176">
          <w:rPr>
            <w:rFonts w:ascii="宋体" w:hAnsi="宋体"/>
            <w:noProof/>
            <w:sz w:val="24"/>
          </w:rPr>
          <w:fldChar w:fldCharType="separate"/>
        </w:r>
        <w:r w:rsidR="00B57D2B">
          <w:rPr>
            <w:rFonts w:ascii="宋体" w:hAnsi="宋体"/>
            <w:noProof/>
            <w:sz w:val="24"/>
          </w:rPr>
          <w:t>67</w:t>
        </w:r>
        <w:r w:rsidR="00267176" w:rsidRPr="00267176">
          <w:rPr>
            <w:rFonts w:ascii="宋体" w:hAnsi="宋体"/>
            <w:noProof/>
            <w:sz w:val="24"/>
          </w:rPr>
          <w:fldChar w:fldCharType="end"/>
        </w:r>
      </w:hyperlink>
    </w:p>
    <w:p w14:paraId="1C5458D3" w14:textId="30404945" w:rsidR="00267176" w:rsidRPr="00C0019B" w:rsidRDefault="006174EC" w:rsidP="00267176">
      <w:pPr>
        <w:pStyle w:val="11"/>
        <w:tabs>
          <w:tab w:val="right" w:leader="dot" w:pos="8550"/>
        </w:tabs>
        <w:spacing w:line="360" w:lineRule="auto"/>
        <w:rPr>
          <w:rFonts w:ascii="宋体" w:hAnsi="宋体"/>
          <w:noProof/>
          <w:sz w:val="24"/>
        </w:rPr>
      </w:pPr>
      <w:hyperlink w:anchor="_Toc151542545" w:history="1">
        <w:r w:rsidR="00267176" w:rsidRPr="00267176">
          <w:rPr>
            <w:rStyle w:val="af0"/>
            <w:rFonts w:ascii="宋体" w:hAnsi="宋体" w:hint="eastAsia"/>
            <w:noProof/>
            <w:sz w:val="24"/>
          </w:rPr>
          <w:t>十二、基金的财产</w:t>
        </w:r>
        <w:r w:rsidR="00267176" w:rsidRPr="00267176">
          <w:rPr>
            <w:rFonts w:ascii="宋体" w:hAnsi="宋体"/>
            <w:noProof/>
            <w:sz w:val="24"/>
          </w:rPr>
          <w:tab/>
        </w:r>
        <w:r w:rsidR="00267176" w:rsidRPr="00267176">
          <w:rPr>
            <w:rFonts w:ascii="宋体" w:hAnsi="宋体"/>
            <w:noProof/>
            <w:sz w:val="24"/>
          </w:rPr>
          <w:fldChar w:fldCharType="begin"/>
        </w:r>
        <w:r w:rsidR="00267176" w:rsidRPr="00267176">
          <w:rPr>
            <w:rFonts w:ascii="宋体" w:hAnsi="宋体"/>
            <w:noProof/>
            <w:sz w:val="24"/>
          </w:rPr>
          <w:instrText xml:space="preserve"> PAGEREF _Toc151542545 \h </w:instrText>
        </w:r>
        <w:r w:rsidR="00267176" w:rsidRPr="00267176">
          <w:rPr>
            <w:rFonts w:ascii="宋体" w:hAnsi="宋体"/>
            <w:noProof/>
            <w:sz w:val="24"/>
          </w:rPr>
        </w:r>
        <w:r w:rsidR="00267176" w:rsidRPr="00267176">
          <w:rPr>
            <w:rFonts w:ascii="宋体" w:hAnsi="宋体"/>
            <w:noProof/>
            <w:sz w:val="24"/>
          </w:rPr>
          <w:fldChar w:fldCharType="separate"/>
        </w:r>
        <w:r w:rsidR="00B57D2B">
          <w:rPr>
            <w:rFonts w:ascii="宋体" w:hAnsi="宋体"/>
            <w:noProof/>
            <w:sz w:val="24"/>
          </w:rPr>
          <w:t>70</w:t>
        </w:r>
        <w:r w:rsidR="00267176" w:rsidRPr="00267176">
          <w:rPr>
            <w:rFonts w:ascii="宋体" w:hAnsi="宋体"/>
            <w:noProof/>
            <w:sz w:val="24"/>
          </w:rPr>
          <w:fldChar w:fldCharType="end"/>
        </w:r>
      </w:hyperlink>
    </w:p>
    <w:p w14:paraId="6AE05896" w14:textId="2D47B3A9" w:rsidR="00267176" w:rsidRPr="00C0019B" w:rsidRDefault="006174EC" w:rsidP="00267176">
      <w:pPr>
        <w:pStyle w:val="11"/>
        <w:tabs>
          <w:tab w:val="right" w:leader="dot" w:pos="8550"/>
        </w:tabs>
        <w:spacing w:line="360" w:lineRule="auto"/>
        <w:rPr>
          <w:rFonts w:ascii="宋体" w:hAnsi="宋体"/>
          <w:noProof/>
          <w:sz w:val="24"/>
        </w:rPr>
      </w:pPr>
      <w:hyperlink w:anchor="_Toc151542546" w:history="1">
        <w:r w:rsidR="00267176" w:rsidRPr="00267176">
          <w:rPr>
            <w:rStyle w:val="af0"/>
            <w:rFonts w:ascii="宋体" w:hAnsi="宋体" w:hint="eastAsia"/>
            <w:noProof/>
            <w:sz w:val="24"/>
          </w:rPr>
          <w:t>十三、基金资产的估值</w:t>
        </w:r>
        <w:r w:rsidR="00267176" w:rsidRPr="00267176">
          <w:rPr>
            <w:rFonts w:ascii="宋体" w:hAnsi="宋体"/>
            <w:noProof/>
            <w:sz w:val="24"/>
          </w:rPr>
          <w:tab/>
        </w:r>
        <w:r w:rsidR="00267176" w:rsidRPr="00267176">
          <w:rPr>
            <w:rFonts w:ascii="宋体" w:hAnsi="宋体"/>
            <w:noProof/>
            <w:sz w:val="24"/>
          </w:rPr>
          <w:fldChar w:fldCharType="begin"/>
        </w:r>
        <w:r w:rsidR="00267176" w:rsidRPr="00267176">
          <w:rPr>
            <w:rFonts w:ascii="宋体" w:hAnsi="宋体"/>
            <w:noProof/>
            <w:sz w:val="24"/>
          </w:rPr>
          <w:instrText xml:space="preserve"> PAGEREF _Toc151542546 \h </w:instrText>
        </w:r>
        <w:r w:rsidR="00267176" w:rsidRPr="00267176">
          <w:rPr>
            <w:rFonts w:ascii="宋体" w:hAnsi="宋体"/>
            <w:noProof/>
            <w:sz w:val="24"/>
          </w:rPr>
        </w:r>
        <w:r w:rsidR="00267176" w:rsidRPr="00267176">
          <w:rPr>
            <w:rFonts w:ascii="宋体" w:hAnsi="宋体"/>
            <w:noProof/>
            <w:sz w:val="24"/>
          </w:rPr>
          <w:fldChar w:fldCharType="separate"/>
        </w:r>
        <w:r w:rsidR="00B57D2B">
          <w:rPr>
            <w:rFonts w:ascii="宋体" w:hAnsi="宋体"/>
            <w:noProof/>
            <w:sz w:val="24"/>
          </w:rPr>
          <w:t>71</w:t>
        </w:r>
        <w:r w:rsidR="00267176" w:rsidRPr="00267176">
          <w:rPr>
            <w:rFonts w:ascii="宋体" w:hAnsi="宋体"/>
            <w:noProof/>
            <w:sz w:val="24"/>
          </w:rPr>
          <w:fldChar w:fldCharType="end"/>
        </w:r>
      </w:hyperlink>
    </w:p>
    <w:p w14:paraId="3BB36CB3" w14:textId="32C41AD6" w:rsidR="00267176" w:rsidRPr="00C0019B" w:rsidRDefault="006174EC" w:rsidP="00267176">
      <w:pPr>
        <w:pStyle w:val="11"/>
        <w:tabs>
          <w:tab w:val="right" w:leader="dot" w:pos="8550"/>
        </w:tabs>
        <w:spacing w:line="360" w:lineRule="auto"/>
        <w:rPr>
          <w:rFonts w:ascii="宋体" w:hAnsi="宋体"/>
          <w:noProof/>
          <w:sz w:val="24"/>
        </w:rPr>
      </w:pPr>
      <w:hyperlink w:anchor="_Toc151542547" w:history="1">
        <w:r w:rsidR="00267176" w:rsidRPr="00267176">
          <w:rPr>
            <w:rStyle w:val="af0"/>
            <w:rFonts w:ascii="宋体" w:hAnsi="宋体" w:hint="eastAsia"/>
            <w:noProof/>
            <w:sz w:val="24"/>
          </w:rPr>
          <w:t>十四、基金收益与分配</w:t>
        </w:r>
        <w:r w:rsidR="00267176" w:rsidRPr="00267176">
          <w:rPr>
            <w:rFonts w:ascii="宋体" w:hAnsi="宋体"/>
            <w:noProof/>
            <w:sz w:val="24"/>
          </w:rPr>
          <w:tab/>
        </w:r>
        <w:r w:rsidR="00267176" w:rsidRPr="00267176">
          <w:rPr>
            <w:rFonts w:ascii="宋体" w:hAnsi="宋体"/>
            <w:noProof/>
            <w:sz w:val="24"/>
          </w:rPr>
          <w:fldChar w:fldCharType="begin"/>
        </w:r>
        <w:r w:rsidR="00267176" w:rsidRPr="00267176">
          <w:rPr>
            <w:rFonts w:ascii="宋体" w:hAnsi="宋体"/>
            <w:noProof/>
            <w:sz w:val="24"/>
          </w:rPr>
          <w:instrText xml:space="preserve"> PAGEREF _Toc151542547 \h </w:instrText>
        </w:r>
        <w:r w:rsidR="00267176" w:rsidRPr="00267176">
          <w:rPr>
            <w:rFonts w:ascii="宋体" w:hAnsi="宋体"/>
            <w:noProof/>
            <w:sz w:val="24"/>
          </w:rPr>
        </w:r>
        <w:r w:rsidR="00267176" w:rsidRPr="00267176">
          <w:rPr>
            <w:rFonts w:ascii="宋体" w:hAnsi="宋体"/>
            <w:noProof/>
            <w:sz w:val="24"/>
          </w:rPr>
          <w:fldChar w:fldCharType="separate"/>
        </w:r>
        <w:r w:rsidR="00B57D2B">
          <w:rPr>
            <w:rFonts w:ascii="宋体" w:hAnsi="宋体"/>
            <w:noProof/>
            <w:sz w:val="24"/>
          </w:rPr>
          <w:t>76</w:t>
        </w:r>
        <w:r w:rsidR="00267176" w:rsidRPr="00267176">
          <w:rPr>
            <w:rFonts w:ascii="宋体" w:hAnsi="宋体"/>
            <w:noProof/>
            <w:sz w:val="24"/>
          </w:rPr>
          <w:fldChar w:fldCharType="end"/>
        </w:r>
      </w:hyperlink>
    </w:p>
    <w:p w14:paraId="6D5DF2C1" w14:textId="28463F50" w:rsidR="00267176" w:rsidRPr="00C0019B" w:rsidRDefault="006174EC" w:rsidP="00267176">
      <w:pPr>
        <w:pStyle w:val="11"/>
        <w:tabs>
          <w:tab w:val="right" w:leader="dot" w:pos="8550"/>
        </w:tabs>
        <w:spacing w:line="360" w:lineRule="auto"/>
        <w:rPr>
          <w:rFonts w:ascii="宋体" w:hAnsi="宋体"/>
          <w:noProof/>
          <w:sz w:val="24"/>
        </w:rPr>
      </w:pPr>
      <w:hyperlink w:anchor="_Toc151542548" w:history="1">
        <w:r w:rsidR="00267176" w:rsidRPr="00267176">
          <w:rPr>
            <w:rStyle w:val="af0"/>
            <w:rFonts w:ascii="宋体" w:hAnsi="宋体" w:hint="eastAsia"/>
            <w:noProof/>
            <w:sz w:val="24"/>
          </w:rPr>
          <w:t>十五、基金的费用与税收</w:t>
        </w:r>
        <w:r w:rsidR="00267176" w:rsidRPr="00267176">
          <w:rPr>
            <w:rFonts w:ascii="宋体" w:hAnsi="宋体"/>
            <w:noProof/>
            <w:sz w:val="24"/>
          </w:rPr>
          <w:tab/>
        </w:r>
        <w:r w:rsidR="00267176" w:rsidRPr="00267176">
          <w:rPr>
            <w:rFonts w:ascii="宋体" w:hAnsi="宋体"/>
            <w:noProof/>
            <w:sz w:val="24"/>
          </w:rPr>
          <w:fldChar w:fldCharType="begin"/>
        </w:r>
        <w:r w:rsidR="00267176" w:rsidRPr="00267176">
          <w:rPr>
            <w:rFonts w:ascii="宋体" w:hAnsi="宋体"/>
            <w:noProof/>
            <w:sz w:val="24"/>
          </w:rPr>
          <w:instrText xml:space="preserve"> PAGEREF _Toc151542548 \h </w:instrText>
        </w:r>
        <w:r w:rsidR="00267176" w:rsidRPr="00267176">
          <w:rPr>
            <w:rFonts w:ascii="宋体" w:hAnsi="宋体"/>
            <w:noProof/>
            <w:sz w:val="24"/>
          </w:rPr>
        </w:r>
        <w:r w:rsidR="00267176" w:rsidRPr="00267176">
          <w:rPr>
            <w:rFonts w:ascii="宋体" w:hAnsi="宋体"/>
            <w:noProof/>
            <w:sz w:val="24"/>
          </w:rPr>
          <w:fldChar w:fldCharType="separate"/>
        </w:r>
        <w:r w:rsidR="00B57D2B">
          <w:rPr>
            <w:rFonts w:ascii="宋体" w:hAnsi="宋体"/>
            <w:noProof/>
            <w:sz w:val="24"/>
          </w:rPr>
          <w:t>78</w:t>
        </w:r>
        <w:r w:rsidR="00267176" w:rsidRPr="00267176">
          <w:rPr>
            <w:rFonts w:ascii="宋体" w:hAnsi="宋体"/>
            <w:noProof/>
            <w:sz w:val="24"/>
          </w:rPr>
          <w:fldChar w:fldCharType="end"/>
        </w:r>
      </w:hyperlink>
    </w:p>
    <w:p w14:paraId="4836CD40" w14:textId="29F7A30D" w:rsidR="00267176" w:rsidRPr="00C0019B" w:rsidRDefault="006174EC" w:rsidP="00267176">
      <w:pPr>
        <w:pStyle w:val="11"/>
        <w:tabs>
          <w:tab w:val="right" w:leader="dot" w:pos="8550"/>
        </w:tabs>
        <w:spacing w:line="360" w:lineRule="auto"/>
        <w:rPr>
          <w:rFonts w:ascii="宋体" w:hAnsi="宋体"/>
          <w:noProof/>
          <w:sz w:val="24"/>
        </w:rPr>
      </w:pPr>
      <w:hyperlink w:anchor="_Toc151542549" w:history="1">
        <w:r w:rsidR="00267176" w:rsidRPr="00267176">
          <w:rPr>
            <w:rStyle w:val="af0"/>
            <w:rFonts w:ascii="宋体" w:hAnsi="宋体" w:hint="eastAsia"/>
            <w:noProof/>
            <w:sz w:val="24"/>
          </w:rPr>
          <w:t>十六、基金的会计与审计</w:t>
        </w:r>
        <w:r w:rsidR="00267176" w:rsidRPr="00267176">
          <w:rPr>
            <w:rFonts w:ascii="宋体" w:hAnsi="宋体"/>
            <w:noProof/>
            <w:sz w:val="24"/>
          </w:rPr>
          <w:tab/>
        </w:r>
        <w:r w:rsidR="00267176" w:rsidRPr="00267176">
          <w:rPr>
            <w:rFonts w:ascii="宋体" w:hAnsi="宋体"/>
            <w:noProof/>
            <w:sz w:val="24"/>
          </w:rPr>
          <w:fldChar w:fldCharType="begin"/>
        </w:r>
        <w:r w:rsidR="00267176" w:rsidRPr="00267176">
          <w:rPr>
            <w:rFonts w:ascii="宋体" w:hAnsi="宋体"/>
            <w:noProof/>
            <w:sz w:val="24"/>
          </w:rPr>
          <w:instrText xml:space="preserve"> PAGEREF _Toc151542549 \h </w:instrText>
        </w:r>
        <w:r w:rsidR="00267176" w:rsidRPr="00267176">
          <w:rPr>
            <w:rFonts w:ascii="宋体" w:hAnsi="宋体"/>
            <w:noProof/>
            <w:sz w:val="24"/>
          </w:rPr>
        </w:r>
        <w:r w:rsidR="00267176" w:rsidRPr="00267176">
          <w:rPr>
            <w:rFonts w:ascii="宋体" w:hAnsi="宋体"/>
            <w:noProof/>
            <w:sz w:val="24"/>
          </w:rPr>
          <w:fldChar w:fldCharType="separate"/>
        </w:r>
        <w:r w:rsidR="00B57D2B">
          <w:rPr>
            <w:rFonts w:ascii="宋体" w:hAnsi="宋体"/>
            <w:noProof/>
            <w:sz w:val="24"/>
          </w:rPr>
          <w:t>81</w:t>
        </w:r>
        <w:r w:rsidR="00267176" w:rsidRPr="00267176">
          <w:rPr>
            <w:rFonts w:ascii="宋体" w:hAnsi="宋体"/>
            <w:noProof/>
            <w:sz w:val="24"/>
          </w:rPr>
          <w:fldChar w:fldCharType="end"/>
        </w:r>
      </w:hyperlink>
    </w:p>
    <w:p w14:paraId="796CE2E5" w14:textId="1C36EC09" w:rsidR="00267176" w:rsidRPr="00C0019B" w:rsidRDefault="006174EC" w:rsidP="00267176">
      <w:pPr>
        <w:pStyle w:val="11"/>
        <w:tabs>
          <w:tab w:val="right" w:leader="dot" w:pos="8550"/>
        </w:tabs>
        <w:spacing w:line="360" w:lineRule="auto"/>
        <w:rPr>
          <w:rFonts w:ascii="宋体" w:hAnsi="宋体"/>
          <w:noProof/>
          <w:sz w:val="24"/>
        </w:rPr>
      </w:pPr>
      <w:hyperlink w:anchor="_Toc151542550" w:history="1">
        <w:r w:rsidR="00267176" w:rsidRPr="00267176">
          <w:rPr>
            <w:rStyle w:val="af0"/>
            <w:rFonts w:ascii="宋体" w:hAnsi="宋体" w:hint="eastAsia"/>
            <w:noProof/>
            <w:sz w:val="24"/>
          </w:rPr>
          <w:t>十七、基金的信息披露</w:t>
        </w:r>
        <w:r w:rsidR="00267176" w:rsidRPr="00267176">
          <w:rPr>
            <w:rFonts w:ascii="宋体" w:hAnsi="宋体"/>
            <w:noProof/>
            <w:sz w:val="24"/>
          </w:rPr>
          <w:tab/>
        </w:r>
        <w:r w:rsidR="00267176" w:rsidRPr="00267176">
          <w:rPr>
            <w:rFonts w:ascii="宋体" w:hAnsi="宋体"/>
            <w:noProof/>
            <w:sz w:val="24"/>
          </w:rPr>
          <w:fldChar w:fldCharType="begin"/>
        </w:r>
        <w:r w:rsidR="00267176" w:rsidRPr="00267176">
          <w:rPr>
            <w:rFonts w:ascii="宋体" w:hAnsi="宋体"/>
            <w:noProof/>
            <w:sz w:val="24"/>
          </w:rPr>
          <w:instrText xml:space="preserve"> PAGEREF _Toc151542550 \h </w:instrText>
        </w:r>
        <w:r w:rsidR="00267176" w:rsidRPr="00267176">
          <w:rPr>
            <w:rFonts w:ascii="宋体" w:hAnsi="宋体"/>
            <w:noProof/>
            <w:sz w:val="24"/>
          </w:rPr>
        </w:r>
        <w:r w:rsidR="00267176" w:rsidRPr="00267176">
          <w:rPr>
            <w:rFonts w:ascii="宋体" w:hAnsi="宋体"/>
            <w:noProof/>
            <w:sz w:val="24"/>
          </w:rPr>
          <w:fldChar w:fldCharType="separate"/>
        </w:r>
        <w:r w:rsidR="00B57D2B">
          <w:rPr>
            <w:rFonts w:ascii="宋体" w:hAnsi="宋体"/>
            <w:noProof/>
            <w:sz w:val="24"/>
          </w:rPr>
          <w:t>82</w:t>
        </w:r>
        <w:r w:rsidR="00267176" w:rsidRPr="00267176">
          <w:rPr>
            <w:rFonts w:ascii="宋体" w:hAnsi="宋体"/>
            <w:noProof/>
            <w:sz w:val="24"/>
          </w:rPr>
          <w:fldChar w:fldCharType="end"/>
        </w:r>
      </w:hyperlink>
    </w:p>
    <w:p w14:paraId="61495271" w14:textId="0209E599" w:rsidR="00267176" w:rsidRPr="00C0019B" w:rsidRDefault="006174EC" w:rsidP="00267176">
      <w:pPr>
        <w:pStyle w:val="11"/>
        <w:tabs>
          <w:tab w:val="right" w:leader="dot" w:pos="8550"/>
        </w:tabs>
        <w:spacing w:line="360" w:lineRule="auto"/>
        <w:rPr>
          <w:rFonts w:ascii="宋体" w:hAnsi="宋体"/>
          <w:noProof/>
          <w:sz w:val="24"/>
        </w:rPr>
      </w:pPr>
      <w:hyperlink w:anchor="_Toc151542551" w:history="1">
        <w:r w:rsidR="00267176" w:rsidRPr="00267176">
          <w:rPr>
            <w:rStyle w:val="af0"/>
            <w:rFonts w:ascii="宋体" w:hAnsi="宋体" w:hint="eastAsia"/>
            <w:noProof/>
            <w:sz w:val="24"/>
          </w:rPr>
          <w:t>十八、侧袋机制</w:t>
        </w:r>
        <w:r w:rsidR="00267176" w:rsidRPr="00267176">
          <w:rPr>
            <w:rFonts w:ascii="宋体" w:hAnsi="宋体"/>
            <w:noProof/>
            <w:sz w:val="24"/>
          </w:rPr>
          <w:tab/>
        </w:r>
        <w:r w:rsidR="00267176" w:rsidRPr="00267176">
          <w:rPr>
            <w:rFonts w:ascii="宋体" w:hAnsi="宋体"/>
            <w:noProof/>
            <w:sz w:val="24"/>
          </w:rPr>
          <w:fldChar w:fldCharType="begin"/>
        </w:r>
        <w:r w:rsidR="00267176" w:rsidRPr="00267176">
          <w:rPr>
            <w:rFonts w:ascii="宋体" w:hAnsi="宋体"/>
            <w:noProof/>
            <w:sz w:val="24"/>
          </w:rPr>
          <w:instrText xml:space="preserve"> PAGEREF _Toc151542551 \h </w:instrText>
        </w:r>
        <w:r w:rsidR="00267176" w:rsidRPr="00267176">
          <w:rPr>
            <w:rFonts w:ascii="宋体" w:hAnsi="宋体"/>
            <w:noProof/>
            <w:sz w:val="24"/>
          </w:rPr>
        </w:r>
        <w:r w:rsidR="00267176" w:rsidRPr="00267176">
          <w:rPr>
            <w:rFonts w:ascii="宋体" w:hAnsi="宋体"/>
            <w:noProof/>
            <w:sz w:val="24"/>
          </w:rPr>
          <w:fldChar w:fldCharType="separate"/>
        </w:r>
        <w:r w:rsidR="00B57D2B">
          <w:rPr>
            <w:rFonts w:ascii="宋体" w:hAnsi="宋体"/>
            <w:noProof/>
            <w:sz w:val="24"/>
          </w:rPr>
          <w:t>89</w:t>
        </w:r>
        <w:r w:rsidR="00267176" w:rsidRPr="00267176">
          <w:rPr>
            <w:rFonts w:ascii="宋体" w:hAnsi="宋体"/>
            <w:noProof/>
            <w:sz w:val="24"/>
          </w:rPr>
          <w:fldChar w:fldCharType="end"/>
        </w:r>
      </w:hyperlink>
    </w:p>
    <w:p w14:paraId="54EC9E94" w14:textId="50B9C744" w:rsidR="00267176" w:rsidRPr="00C0019B" w:rsidRDefault="006174EC" w:rsidP="00267176">
      <w:pPr>
        <w:pStyle w:val="11"/>
        <w:tabs>
          <w:tab w:val="right" w:leader="dot" w:pos="8550"/>
        </w:tabs>
        <w:spacing w:line="360" w:lineRule="auto"/>
        <w:rPr>
          <w:rFonts w:ascii="宋体" w:hAnsi="宋体"/>
          <w:noProof/>
          <w:sz w:val="24"/>
        </w:rPr>
      </w:pPr>
      <w:hyperlink w:anchor="_Toc151542552" w:history="1">
        <w:r w:rsidR="00267176" w:rsidRPr="00267176">
          <w:rPr>
            <w:rStyle w:val="af0"/>
            <w:rFonts w:ascii="宋体" w:hAnsi="宋体" w:hint="eastAsia"/>
            <w:noProof/>
            <w:sz w:val="24"/>
          </w:rPr>
          <w:t>十九、风险揭示</w:t>
        </w:r>
        <w:r w:rsidR="00267176" w:rsidRPr="00267176">
          <w:rPr>
            <w:rFonts w:ascii="宋体" w:hAnsi="宋体"/>
            <w:noProof/>
            <w:sz w:val="24"/>
          </w:rPr>
          <w:tab/>
        </w:r>
        <w:r w:rsidR="00267176" w:rsidRPr="00267176">
          <w:rPr>
            <w:rFonts w:ascii="宋体" w:hAnsi="宋体"/>
            <w:noProof/>
            <w:sz w:val="24"/>
          </w:rPr>
          <w:fldChar w:fldCharType="begin"/>
        </w:r>
        <w:r w:rsidR="00267176" w:rsidRPr="00267176">
          <w:rPr>
            <w:rFonts w:ascii="宋体" w:hAnsi="宋体"/>
            <w:noProof/>
            <w:sz w:val="24"/>
          </w:rPr>
          <w:instrText xml:space="preserve"> PAGEREF _Toc151542552 \h </w:instrText>
        </w:r>
        <w:r w:rsidR="00267176" w:rsidRPr="00267176">
          <w:rPr>
            <w:rFonts w:ascii="宋体" w:hAnsi="宋体"/>
            <w:noProof/>
            <w:sz w:val="24"/>
          </w:rPr>
        </w:r>
        <w:r w:rsidR="00267176" w:rsidRPr="00267176">
          <w:rPr>
            <w:rFonts w:ascii="宋体" w:hAnsi="宋体"/>
            <w:noProof/>
            <w:sz w:val="24"/>
          </w:rPr>
          <w:fldChar w:fldCharType="separate"/>
        </w:r>
        <w:r w:rsidR="00B57D2B">
          <w:rPr>
            <w:rFonts w:ascii="宋体" w:hAnsi="宋体"/>
            <w:noProof/>
            <w:sz w:val="24"/>
          </w:rPr>
          <w:t>92</w:t>
        </w:r>
        <w:r w:rsidR="00267176" w:rsidRPr="00267176">
          <w:rPr>
            <w:rFonts w:ascii="宋体" w:hAnsi="宋体"/>
            <w:noProof/>
            <w:sz w:val="24"/>
          </w:rPr>
          <w:fldChar w:fldCharType="end"/>
        </w:r>
      </w:hyperlink>
    </w:p>
    <w:p w14:paraId="148C7254" w14:textId="021E6DC0" w:rsidR="00267176" w:rsidRPr="00C0019B" w:rsidRDefault="006174EC" w:rsidP="00267176">
      <w:pPr>
        <w:pStyle w:val="11"/>
        <w:tabs>
          <w:tab w:val="right" w:leader="dot" w:pos="8550"/>
        </w:tabs>
        <w:spacing w:line="360" w:lineRule="auto"/>
        <w:rPr>
          <w:rFonts w:ascii="宋体" w:hAnsi="宋体"/>
          <w:noProof/>
          <w:sz w:val="24"/>
        </w:rPr>
      </w:pPr>
      <w:hyperlink w:anchor="_Toc151542553" w:history="1">
        <w:r w:rsidR="00267176" w:rsidRPr="00267176">
          <w:rPr>
            <w:rStyle w:val="af0"/>
            <w:rFonts w:ascii="宋体" w:hAnsi="宋体" w:hint="eastAsia"/>
            <w:noProof/>
            <w:sz w:val="24"/>
          </w:rPr>
          <w:t>二十、基金合同的变更、终止与基金财产的清算</w:t>
        </w:r>
        <w:r w:rsidR="00267176" w:rsidRPr="00267176">
          <w:rPr>
            <w:rFonts w:ascii="宋体" w:hAnsi="宋体"/>
            <w:noProof/>
            <w:sz w:val="24"/>
          </w:rPr>
          <w:tab/>
        </w:r>
        <w:r w:rsidR="00267176" w:rsidRPr="00267176">
          <w:rPr>
            <w:rFonts w:ascii="宋体" w:hAnsi="宋体"/>
            <w:noProof/>
            <w:sz w:val="24"/>
          </w:rPr>
          <w:fldChar w:fldCharType="begin"/>
        </w:r>
        <w:r w:rsidR="00267176" w:rsidRPr="00267176">
          <w:rPr>
            <w:rFonts w:ascii="宋体" w:hAnsi="宋体"/>
            <w:noProof/>
            <w:sz w:val="24"/>
          </w:rPr>
          <w:instrText xml:space="preserve"> PAGEREF _Toc151542553 \h </w:instrText>
        </w:r>
        <w:r w:rsidR="00267176" w:rsidRPr="00267176">
          <w:rPr>
            <w:rFonts w:ascii="宋体" w:hAnsi="宋体"/>
            <w:noProof/>
            <w:sz w:val="24"/>
          </w:rPr>
        </w:r>
        <w:r w:rsidR="00267176" w:rsidRPr="00267176">
          <w:rPr>
            <w:rFonts w:ascii="宋体" w:hAnsi="宋体"/>
            <w:noProof/>
            <w:sz w:val="24"/>
          </w:rPr>
          <w:fldChar w:fldCharType="separate"/>
        </w:r>
        <w:r w:rsidR="00B57D2B">
          <w:rPr>
            <w:rFonts w:ascii="宋体" w:hAnsi="宋体"/>
            <w:noProof/>
            <w:sz w:val="24"/>
          </w:rPr>
          <w:t>98</w:t>
        </w:r>
        <w:r w:rsidR="00267176" w:rsidRPr="00267176">
          <w:rPr>
            <w:rFonts w:ascii="宋体" w:hAnsi="宋体"/>
            <w:noProof/>
            <w:sz w:val="24"/>
          </w:rPr>
          <w:fldChar w:fldCharType="end"/>
        </w:r>
      </w:hyperlink>
    </w:p>
    <w:p w14:paraId="6B0ABCD5" w14:textId="64651466" w:rsidR="00267176" w:rsidRPr="00C0019B" w:rsidRDefault="006174EC" w:rsidP="00267176">
      <w:pPr>
        <w:pStyle w:val="11"/>
        <w:tabs>
          <w:tab w:val="right" w:leader="dot" w:pos="8550"/>
        </w:tabs>
        <w:spacing w:line="360" w:lineRule="auto"/>
        <w:rPr>
          <w:rFonts w:ascii="宋体" w:hAnsi="宋体"/>
          <w:noProof/>
          <w:sz w:val="24"/>
        </w:rPr>
      </w:pPr>
      <w:hyperlink w:anchor="_Toc151542554" w:history="1">
        <w:r w:rsidR="00267176" w:rsidRPr="00267176">
          <w:rPr>
            <w:rStyle w:val="af0"/>
            <w:rFonts w:ascii="宋体" w:hAnsi="宋体" w:hint="eastAsia"/>
            <w:noProof/>
            <w:sz w:val="24"/>
          </w:rPr>
          <w:t>二十一、基金合同内容摘要</w:t>
        </w:r>
        <w:r w:rsidR="00267176" w:rsidRPr="00267176">
          <w:rPr>
            <w:rFonts w:ascii="宋体" w:hAnsi="宋体"/>
            <w:noProof/>
            <w:sz w:val="24"/>
          </w:rPr>
          <w:tab/>
        </w:r>
        <w:r w:rsidR="00267176" w:rsidRPr="00267176">
          <w:rPr>
            <w:rFonts w:ascii="宋体" w:hAnsi="宋体"/>
            <w:noProof/>
            <w:sz w:val="24"/>
          </w:rPr>
          <w:fldChar w:fldCharType="begin"/>
        </w:r>
        <w:r w:rsidR="00267176" w:rsidRPr="00267176">
          <w:rPr>
            <w:rFonts w:ascii="宋体" w:hAnsi="宋体"/>
            <w:noProof/>
            <w:sz w:val="24"/>
          </w:rPr>
          <w:instrText xml:space="preserve"> PAGEREF _Toc151542554 \h </w:instrText>
        </w:r>
        <w:r w:rsidR="00267176" w:rsidRPr="00267176">
          <w:rPr>
            <w:rFonts w:ascii="宋体" w:hAnsi="宋体"/>
            <w:noProof/>
            <w:sz w:val="24"/>
          </w:rPr>
        </w:r>
        <w:r w:rsidR="00267176" w:rsidRPr="00267176">
          <w:rPr>
            <w:rFonts w:ascii="宋体" w:hAnsi="宋体"/>
            <w:noProof/>
            <w:sz w:val="24"/>
          </w:rPr>
          <w:fldChar w:fldCharType="separate"/>
        </w:r>
        <w:r w:rsidR="00B57D2B">
          <w:rPr>
            <w:rFonts w:ascii="宋体" w:hAnsi="宋体"/>
            <w:noProof/>
            <w:sz w:val="24"/>
          </w:rPr>
          <w:t>100</w:t>
        </w:r>
        <w:r w:rsidR="00267176" w:rsidRPr="00267176">
          <w:rPr>
            <w:rFonts w:ascii="宋体" w:hAnsi="宋体"/>
            <w:noProof/>
            <w:sz w:val="24"/>
          </w:rPr>
          <w:fldChar w:fldCharType="end"/>
        </w:r>
      </w:hyperlink>
    </w:p>
    <w:p w14:paraId="15FB19B0" w14:textId="14CC68FF" w:rsidR="00267176" w:rsidRPr="00C0019B" w:rsidRDefault="006174EC" w:rsidP="00267176">
      <w:pPr>
        <w:pStyle w:val="11"/>
        <w:tabs>
          <w:tab w:val="right" w:leader="dot" w:pos="8550"/>
        </w:tabs>
        <w:spacing w:line="360" w:lineRule="auto"/>
        <w:rPr>
          <w:rFonts w:ascii="宋体" w:hAnsi="宋体"/>
          <w:noProof/>
          <w:sz w:val="24"/>
        </w:rPr>
      </w:pPr>
      <w:hyperlink w:anchor="_Toc151542555" w:history="1">
        <w:r w:rsidR="00267176" w:rsidRPr="00267176">
          <w:rPr>
            <w:rStyle w:val="af0"/>
            <w:rFonts w:ascii="宋体" w:hAnsi="宋体" w:hint="eastAsia"/>
            <w:noProof/>
            <w:sz w:val="24"/>
          </w:rPr>
          <w:t>二十二、托管协议的内容摘要</w:t>
        </w:r>
        <w:r w:rsidR="00267176" w:rsidRPr="00267176">
          <w:rPr>
            <w:rFonts w:ascii="宋体" w:hAnsi="宋体"/>
            <w:noProof/>
            <w:sz w:val="24"/>
          </w:rPr>
          <w:tab/>
        </w:r>
        <w:r w:rsidR="00267176" w:rsidRPr="00267176">
          <w:rPr>
            <w:rFonts w:ascii="宋体" w:hAnsi="宋体"/>
            <w:noProof/>
            <w:sz w:val="24"/>
          </w:rPr>
          <w:fldChar w:fldCharType="begin"/>
        </w:r>
        <w:r w:rsidR="00267176" w:rsidRPr="00267176">
          <w:rPr>
            <w:rFonts w:ascii="宋体" w:hAnsi="宋体"/>
            <w:noProof/>
            <w:sz w:val="24"/>
          </w:rPr>
          <w:instrText xml:space="preserve"> PAGEREF _Toc151542555 \h </w:instrText>
        </w:r>
        <w:r w:rsidR="00267176" w:rsidRPr="00267176">
          <w:rPr>
            <w:rFonts w:ascii="宋体" w:hAnsi="宋体"/>
            <w:noProof/>
            <w:sz w:val="24"/>
          </w:rPr>
        </w:r>
        <w:r w:rsidR="00267176" w:rsidRPr="00267176">
          <w:rPr>
            <w:rFonts w:ascii="宋体" w:hAnsi="宋体"/>
            <w:noProof/>
            <w:sz w:val="24"/>
          </w:rPr>
          <w:fldChar w:fldCharType="separate"/>
        </w:r>
        <w:r w:rsidR="00B57D2B">
          <w:rPr>
            <w:rFonts w:ascii="宋体" w:hAnsi="宋体"/>
            <w:noProof/>
            <w:sz w:val="24"/>
          </w:rPr>
          <w:t>117</w:t>
        </w:r>
        <w:r w:rsidR="00267176" w:rsidRPr="00267176">
          <w:rPr>
            <w:rFonts w:ascii="宋体" w:hAnsi="宋体"/>
            <w:noProof/>
            <w:sz w:val="24"/>
          </w:rPr>
          <w:fldChar w:fldCharType="end"/>
        </w:r>
      </w:hyperlink>
    </w:p>
    <w:p w14:paraId="5D153466" w14:textId="00E4C440" w:rsidR="00267176" w:rsidRPr="00C0019B" w:rsidRDefault="006174EC" w:rsidP="00267176">
      <w:pPr>
        <w:pStyle w:val="11"/>
        <w:tabs>
          <w:tab w:val="right" w:leader="dot" w:pos="8550"/>
        </w:tabs>
        <w:spacing w:line="360" w:lineRule="auto"/>
        <w:rPr>
          <w:rFonts w:ascii="宋体" w:hAnsi="宋体"/>
          <w:noProof/>
          <w:sz w:val="24"/>
        </w:rPr>
      </w:pPr>
      <w:hyperlink w:anchor="_Toc151542556" w:history="1">
        <w:r w:rsidR="00267176" w:rsidRPr="00267176">
          <w:rPr>
            <w:rStyle w:val="af0"/>
            <w:rFonts w:ascii="宋体" w:hAnsi="宋体" w:hint="eastAsia"/>
            <w:noProof/>
            <w:sz w:val="24"/>
          </w:rPr>
          <w:t>二十三、对基金份额持有人的服务</w:t>
        </w:r>
        <w:r w:rsidR="00267176" w:rsidRPr="00267176">
          <w:rPr>
            <w:rFonts w:ascii="宋体" w:hAnsi="宋体"/>
            <w:noProof/>
            <w:sz w:val="24"/>
          </w:rPr>
          <w:tab/>
        </w:r>
        <w:r w:rsidR="00267176" w:rsidRPr="00267176">
          <w:rPr>
            <w:rFonts w:ascii="宋体" w:hAnsi="宋体"/>
            <w:noProof/>
            <w:sz w:val="24"/>
          </w:rPr>
          <w:fldChar w:fldCharType="begin"/>
        </w:r>
        <w:r w:rsidR="00267176" w:rsidRPr="00267176">
          <w:rPr>
            <w:rFonts w:ascii="宋体" w:hAnsi="宋体"/>
            <w:noProof/>
            <w:sz w:val="24"/>
          </w:rPr>
          <w:instrText xml:space="preserve"> PAGEREF _Toc151542556 \h </w:instrText>
        </w:r>
        <w:r w:rsidR="00267176" w:rsidRPr="00267176">
          <w:rPr>
            <w:rFonts w:ascii="宋体" w:hAnsi="宋体"/>
            <w:noProof/>
            <w:sz w:val="24"/>
          </w:rPr>
        </w:r>
        <w:r w:rsidR="00267176" w:rsidRPr="00267176">
          <w:rPr>
            <w:rFonts w:ascii="宋体" w:hAnsi="宋体"/>
            <w:noProof/>
            <w:sz w:val="24"/>
          </w:rPr>
          <w:fldChar w:fldCharType="separate"/>
        </w:r>
        <w:r w:rsidR="00B57D2B">
          <w:rPr>
            <w:rFonts w:ascii="宋体" w:hAnsi="宋体"/>
            <w:noProof/>
            <w:sz w:val="24"/>
          </w:rPr>
          <w:t>132</w:t>
        </w:r>
        <w:r w:rsidR="00267176" w:rsidRPr="00267176">
          <w:rPr>
            <w:rFonts w:ascii="宋体" w:hAnsi="宋体"/>
            <w:noProof/>
            <w:sz w:val="24"/>
          </w:rPr>
          <w:fldChar w:fldCharType="end"/>
        </w:r>
      </w:hyperlink>
    </w:p>
    <w:p w14:paraId="1188277E" w14:textId="634974E9" w:rsidR="00267176" w:rsidRPr="00C0019B" w:rsidRDefault="006174EC" w:rsidP="00267176">
      <w:pPr>
        <w:pStyle w:val="11"/>
        <w:tabs>
          <w:tab w:val="right" w:leader="dot" w:pos="8550"/>
        </w:tabs>
        <w:spacing w:line="360" w:lineRule="auto"/>
        <w:rPr>
          <w:rFonts w:ascii="宋体" w:hAnsi="宋体"/>
          <w:noProof/>
          <w:sz w:val="24"/>
        </w:rPr>
      </w:pPr>
      <w:hyperlink w:anchor="_Toc151542557" w:history="1">
        <w:r w:rsidR="00267176" w:rsidRPr="00267176">
          <w:rPr>
            <w:rStyle w:val="af0"/>
            <w:rFonts w:ascii="宋体" w:hAnsi="宋体" w:hint="eastAsia"/>
            <w:noProof/>
            <w:sz w:val="24"/>
          </w:rPr>
          <w:t>二十四、其他应披露事项</w:t>
        </w:r>
        <w:r w:rsidR="00267176" w:rsidRPr="00267176">
          <w:rPr>
            <w:rFonts w:ascii="宋体" w:hAnsi="宋体"/>
            <w:noProof/>
            <w:sz w:val="24"/>
          </w:rPr>
          <w:tab/>
        </w:r>
        <w:r w:rsidR="00267176" w:rsidRPr="00267176">
          <w:rPr>
            <w:rFonts w:ascii="宋体" w:hAnsi="宋体"/>
            <w:noProof/>
            <w:sz w:val="24"/>
          </w:rPr>
          <w:fldChar w:fldCharType="begin"/>
        </w:r>
        <w:r w:rsidR="00267176" w:rsidRPr="00267176">
          <w:rPr>
            <w:rFonts w:ascii="宋体" w:hAnsi="宋体"/>
            <w:noProof/>
            <w:sz w:val="24"/>
          </w:rPr>
          <w:instrText xml:space="preserve"> PAGEREF _Toc151542557 \h </w:instrText>
        </w:r>
        <w:r w:rsidR="00267176" w:rsidRPr="00267176">
          <w:rPr>
            <w:rFonts w:ascii="宋体" w:hAnsi="宋体"/>
            <w:noProof/>
            <w:sz w:val="24"/>
          </w:rPr>
        </w:r>
        <w:r w:rsidR="00267176" w:rsidRPr="00267176">
          <w:rPr>
            <w:rFonts w:ascii="宋体" w:hAnsi="宋体"/>
            <w:noProof/>
            <w:sz w:val="24"/>
          </w:rPr>
          <w:fldChar w:fldCharType="separate"/>
        </w:r>
        <w:r w:rsidR="00B57D2B">
          <w:rPr>
            <w:rFonts w:ascii="宋体" w:hAnsi="宋体"/>
            <w:noProof/>
            <w:sz w:val="24"/>
          </w:rPr>
          <w:t>134</w:t>
        </w:r>
        <w:r w:rsidR="00267176" w:rsidRPr="00267176">
          <w:rPr>
            <w:rFonts w:ascii="宋体" w:hAnsi="宋体"/>
            <w:noProof/>
            <w:sz w:val="24"/>
          </w:rPr>
          <w:fldChar w:fldCharType="end"/>
        </w:r>
      </w:hyperlink>
    </w:p>
    <w:p w14:paraId="2F5FB89C" w14:textId="1416E830" w:rsidR="00267176" w:rsidRPr="00C0019B" w:rsidRDefault="006174EC" w:rsidP="00267176">
      <w:pPr>
        <w:pStyle w:val="11"/>
        <w:tabs>
          <w:tab w:val="right" w:leader="dot" w:pos="8550"/>
        </w:tabs>
        <w:spacing w:line="360" w:lineRule="auto"/>
        <w:rPr>
          <w:rFonts w:ascii="宋体" w:hAnsi="宋体"/>
          <w:noProof/>
          <w:sz w:val="24"/>
        </w:rPr>
      </w:pPr>
      <w:hyperlink w:anchor="_Toc151542558" w:history="1">
        <w:r w:rsidR="00267176" w:rsidRPr="00267176">
          <w:rPr>
            <w:rStyle w:val="af0"/>
            <w:rFonts w:ascii="宋体" w:hAnsi="宋体" w:hint="eastAsia"/>
            <w:noProof/>
            <w:sz w:val="24"/>
          </w:rPr>
          <w:t>二十五、招募说明书的存放及查阅方式</w:t>
        </w:r>
        <w:r w:rsidR="00267176" w:rsidRPr="00267176">
          <w:rPr>
            <w:rFonts w:ascii="宋体" w:hAnsi="宋体"/>
            <w:noProof/>
            <w:sz w:val="24"/>
          </w:rPr>
          <w:tab/>
        </w:r>
        <w:r w:rsidR="00267176" w:rsidRPr="00267176">
          <w:rPr>
            <w:rFonts w:ascii="宋体" w:hAnsi="宋体"/>
            <w:noProof/>
            <w:sz w:val="24"/>
          </w:rPr>
          <w:fldChar w:fldCharType="begin"/>
        </w:r>
        <w:r w:rsidR="00267176" w:rsidRPr="00267176">
          <w:rPr>
            <w:rFonts w:ascii="宋体" w:hAnsi="宋体"/>
            <w:noProof/>
            <w:sz w:val="24"/>
          </w:rPr>
          <w:instrText xml:space="preserve"> PAGEREF _Toc151542558 \h </w:instrText>
        </w:r>
        <w:r w:rsidR="00267176" w:rsidRPr="00267176">
          <w:rPr>
            <w:rFonts w:ascii="宋体" w:hAnsi="宋体"/>
            <w:noProof/>
            <w:sz w:val="24"/>
          </w:rPr>
        </w:r>
        <w:r w:rsidR="00267176" w:rsidRPr="00267176">
          <w:rPr>
            <w:rFonts w:ascii="宋体" w:hAnsi="宋体"/>
            <w:noProof/>
            <w:sz w:val="24"/>
          </w:rPr>
          <w:fldChar w:fldCharType="separate"/>
        </w:r>
        <w:r w:rsidR="00B57D2B">
          <w:rPr>
            <w:rFonts w:ascii="宋体" w:hAnsi="宋体"/>
            <w:noProof/>
            <w:sz w:val="24"/>
          </w:rPr>
          <w:t>139</w:t>
        </w:r>
        <w:r w:rsidR="00267176" w:rsidRPr="00267176">
          <w:rPr>
            <w:rFonts w:ascii="宋体" w:hAnsi="宋体"/>
            <w:noProof/>
            <w:sz w:val="24"/>
          </w:rPr>
          <w:fldChar w:fldCharType="end"/>
        </w:r>
      </w:hyperlink>
    </w:p>
    <w:p w14:paraId="0639F61E" w14:textId="4DD63AB3" w:rsidR="00267176" w:rsidRPr="00C0019B" w:rsidRDefault="006174EC" w:rsidP="00267176">
      <w:pPr>
        <w:pStyle w:val="11"/>
        <w:tabs>
          <w:tab w:val="right" w:leader="dot" w:pos="8550"/>
        </w:tabs>
        <w:spacing w:line="360" w:lineRule="auto"/>
        <w:rPr>
          <w:rFonts w:ascii="宋体" w:hAnsi="宋体"/>
          <w:noProof/>
          <w:sz w:val="24"/>
        </w:rPr>
      </w:pPr>
      <w:hyperlink w:anchor="_Toc151542559" w:history="1">
        <w:r w:rsidR="00267176" w:rsidRPr="00267176">
          <w:rPr>
            <w:rStyle w:val="af0"/>
            <w:rFonts w:ascii="宋体" w:hAnsi="宋体" w:hint="eastAsia"/>
            <w:noProof/>
            <w:sz w:val="24"/>
          </w:rPr>
          <w:t>二十六、备查文件</w:t>
        </w:r>
        <w:r w:rsidR="00267176" w:rsidRPr="00267176">
          <w:rPr>
            <w:rFonts w:ascii="宋体" w:hAnsi="宋体"/>
            <w:noProof/>
            <w:sz w:val="24"/>
          </w:rPr>
          <w:tab/>
        </w:r>
        <w:r w:rsidR="00267176" w:rsidRPr="00267176">
          <w:rPr>
            <w:rFonts w:ascii="宋体" w:hAnsi="宋体"/>
            <w:noProof/>
            <w:sz w:val="24"/>
          </w:rPr>
          <w:fldChar w:fldCharType="begin"/>
        </w:r>
        <w:r w:rsidR="00267176" w:rsidRPr="00267176">
          <w:rPr>
            <w:rFonts w:ascii="宋体" w:hAnsi="宋体"/>
            <w:noProof/>
            <w:sz w:val="24"/>
          </w:rPr>
          <w:instrText xml:space="preserve"> PAGEREF _Toc151542559 \h </w:instrText>
        </w:r>
        <w:r w:rsidR="00267176" w:rsidRPr="00267176">
          <w:rPr>
            <w:rFonts w:ascii="宋体" w:hAnsi="宋体"/>
            <w:noProof/>
            <w:sz w:val="24"/>
          </w:rPr>
        </w:r>
        <w:r w:rsidR="00267176" w:rsidRPr="00267176">
          <w:rPr>
            <w:rFonts w:ascii="宋体" w:hAnsi="宋体"/>
            <w:noProof/>
            <w:sz w:val="24"/>
          </w:rPr>
          <w:fldChar w:fldCharType="separate"/>
        </w:r>
        <w:r w:rsidR="00B57D2B">
          <w:rPr>
            <w:rFonts w:ascii="宋体" w:hAnsi="宋体"/>
            <w:noProof/>
            <w:sz w:val="24"/>
          </w:rPr>
          <w:t>140</w:t>
        </w:r>
        <w:r w:rsidR="00267176" w:rsidRPr="00267176">
          <w:rPr>
            <w:rFonts w:ascii="宋体" w:hAnsi="宋体"/>
            <w:noProof/>
            <w:sz w:val="24"/>
          </w:rPr>
          <w:fldChar w:fldCharType="end"/>
        </w:r>
      </w:hyperlink>
    </w:p>
    <w:p w14:paraId="3596082B" w14:textId="68092D29" w:rsidR="00542AF7" w:rsidRDefault="00267176" w:rsidP="00B57D2B">
      <w:pPr>
        <w:pStyle w:val="af3"/>
        <w:snapToGrid w:val="0"/>
        <w:spacing w:after="240" w:line="360" w:lineRule="auto"/>
        <w:jc w:val="center"/>
        <w:sectPr w:rsidR="00542AF7">
          <w:pgSz w:w="11920" w:h="16840"/>
          <w:pgMar w:top="1480" w:right="1680" w:bottom="280" w:left="1680" w:header="0" w:footer="1073" w:gutter="0"/>
          <w:cols w:space="720"/>
        </w:sectPr>
      </w:pPr>
      <w:r w:rsidRPr="00267176">
        <w:rPr>
          <w:rFonts w:ascii="宋体" w:hAnsi="宋体"/>
          <w:color w:val="000000"/>
          <w:position w:val="-4"/>
          <w:sz w:val="24"/>
          <w:szCs w:val="30"/>
        </w:rPr>
        <w:fldChar w:fldCharType="end"/>
      </w:r>
    </w:p>
    <w:p w14:paraId="57C43376" w14:textId="77777777" w:rsidR="00542AF7" w:rsidRDefault="00D93D5A">
      <w:pPr>
        <w:pStyle w:val="1"/>
        <w:snapToGrid w:val="0"/>
        <w:spacing w:beforeLines="0" w:before="240" w:after="240"/>
        <w:rPr>
          <w:rFonts w:ascii="宋体" w:hAnsi="宋体"/>
          <w:szCs w:val="30"/>
        </w:rPr>
      </w:pPr>
      <w:bookmarkStart w:id="4" w:name="_Toc151542534"/>
      <w:r>
        <w:rPr>
          <w:rFonts w:ascii="Times New Roman" w:hAnsi="Times New Roman"/>
          <w:sz w:val="30"/>
        </w:rPr>
        <w:lastRenderedPageBreak/>
        <w:t>一、绪言</w:t>
      </w:r>
      <w:bookmarkEnd w:id="4"/>
    </w:p>
    <w:p w14:paraId="1CF7078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裕盈纯债债券型证券投资基金招募说明书》（以下简称“本招募说明书”）依据《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以下简称“《流动性规定》”）和其他相关法律法规的规定以及《交银施罗德裕盈纯债债券型证券投资基金基金合同》（以下简称“基金合同”）编写。</w:t>
      </w:r>
    </w:p>
    <w:p w14:paraId="4BE9128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47786CE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招募说明书根据本基金的基金合同编写，并经中国证监会注册。基金合同是约定基金合同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71F6CC08" w14:textId="77777777" w:rsidR="00C86C88" w:rsidRDefault="00D93D5A" w:rsidP="00C86C8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23FE4140" w14:textId="77777777" w:rsidR="00542AF7" w:rsidRDefault="00D93D5A">
      <w:pPr>
        <w:pStyle w:val="1"/>
        <w:snapToGrid w:val="0"/>
        <w:spacing w:beforeLines="0" w:before="240" w:after="240"/>
        <w:rPr>
          <w:rFonts w:ascii="宋体" w:hAnsi="宋体"/>
          <w:szCs w:val="30"/>
        </w:rPr>
      </w:pPr>
      <w:bookmarkStart w:id="5" w:name="_Toc151542535"/>
      <w:r>
        <w:rPr>
          <w:rFonts w:ascii="Times New Roman" w:hAnsi="Times New Roman"/>
          <w:sz w:val="30"/>
        </w:rPr>
        <w:lastRenderedPageBreak/>
        <w:t>二、释义</w:t>
      </w:r>
      <w:bookmarkEnd w:id="5"/>
    </w:p>
    <w:p w14:paraId="6C19EEE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在本招募说明书中，除非文意另有所指，下列词语或简称具有如下含义：</w:t>
      </w:r>
    </w:p>
    <w:p w14:paraId="39EF8FD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1、基金或本基金：指交银施罗德裕盈纯债债券型证券投资基金</w:t>
      </w:r>
    </w:p>
    <w:p w14:paraId="366D859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2、基金管理人或本基金管理人：指交银施罗德基金管理有限公司</w:t>
      </w:r>
    </w:p>
    <w:p w14:paraId="22A9E57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3、基金托管人或本基金托管人：指兴业银行股份有限公司</w:t>
      </w:r>
    </w:p>
    <w:p w14:paraId="6AD3EAC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4、基金合同或《基金合同》：指《交银施罗德裕盈纯债债券型证券投资基金基金合同》及对基金合同的任何有效修订和补充</w:t>
      </w:r>
    </w:p>
    <w:p w14:paraId="5EE1CB9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5、托管协议：指基金管理人与基金托管人就本基金签订之《交银施罗德裕盈纯债债券型证券投资基金托管协议》及对该托管协议的任何有效修订和补充</w:t>
      </w:r>
    </w:p>
    <w:p w14:paraId="174D86F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6、招募说明书、本招募说明书或《招募说明书》：指《交银施罗德裕盈纯债债券型证券投资基金招募说明书》及其更新</w:t>
      </w:r>
    </w:p>
    <w:p w14:paraId="143FF41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7、基金份额发售公告：指《交银施罗德裕盈纯债债券型证券投资基金基金份额发售公告》</w:t>
      </w:r>
    </w:p>
    <w:p w14:paraId="74841D4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8、基金产品资料概要：指《交银施罗德裕盈纯债债券型证券投资基金基金产品资料概要》及其更新</w:t>
      </w:r>
    </w:p>
    <w:p w14:paraId="0B64F1F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9、法律法规：指中国现行有效并公布实施的法律、行政法规、规范性文件、司法解释、行政规章以及其他对基金合同当事人有约束力的决定、决议、通知等</w:t>
      </w:r>
    </w:p>
    <w:p w14:paraId="3AA4105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10、《基金法》：指《中华人民共和国证券投资基金法》及颁布机关对其不时做出的修订</w:t>
      </w:r>
    </w:p>
    <w:p w14:paraId="431296A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11、《销售办法》：指《证券投资基金销售管理办法》及颁布机关对其不时做出的修订</w:t>
      </w:r>
    </w:p>
    <w:p w14:paraId="3B29F9A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12、《信息披露办法》：指《公开募集证券投资基金信息披露管理办法》及颁布机关对其不时做出的修订</w:t>
      </w:r>
    </w:p>
    <w:p w14:paraId="545B60F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13、《运作办法》：指《公开募集证券投资基金运作管理办法》及颁布机关对其不时做出的修订</w:t>
      </w:r>
    </w:p>
    <w:p w14:paraId="50A3FA1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14、《流动性规定》：指中国证监会2017年8月31日颁布、同年10月1日实施的《公开募集开放式证券投资基金流动性风险管理规定》及颁布机关对其不时做出的修订</w:t>
      </w:r>
    </w:p>
    <w:p w14:paraId="3DBEF33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15、中国证监会：指中国证券监督管理委员会</w:t>
      </w:r>
    </w:p>
    <w:p w14:paraId="6185662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16、银行业监督管理机构：指中国人民银行和/或中国银行业监督管理委员会</w:t>
      </w:r>
    </w:p>
    <w:p w14:paraId="55AD234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17、基金合同当事人：指受基金合同约束，根据基金合同享有权利并承担义务的法律主体，包括基金管理人、基金托管人和基金份额持有人</w:t>
      </w:r>
    </w:p>
    <w:p w14:paraId="6E2F930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18、个人投资者：指依据有关法律法规规定可投资于证券投资基金的自然人</w:t>
      </w:r>
    </w:p>
    <w:p w14:paraId="3228D99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19、机构投资者：指依法可以投资证券投资基金的、在中华人民共和国境内合法登记并存续或经有关政府部门批准设立并存续的企业法人、事业法人、社会团体或其他组织</w:t>
      </w:r>
    </w:p>
    <w:p w14:paraId="642FA87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20、合格境外机构投资者：指符合《合格境外机构投资者境内证券投资管理办法》及相关法律法规规定可以投资于在中国境内依法募集的证券投资基金的中国境外的机构投资者</w:t>
      </w:r>
    </w:p>
    <w:p w14:paraId="135E51F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21、人民币合格境外机构投资者：指按照《人民币合格境外机构投资者境内证券投资试点办法》及相关法律法规规定，运用来自境外的人民币资金进行中国境内证券投资的境外机构投资者</w:t>
      </w:r>
    </w:p>
    <w:p w14:paraId="247C4DA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22、投资人或投资者：指个人投资者、机构投资者、合格境外机构投资者和人民币合格境外机构投资者以及法律法规或中国证监会允许购买证券投资基金的其他投资人的合称</w:t>
      </w:r>
    </w:p>
    <w:p w14:paraId="4FBC958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23、基金份额持有人：指依基金合同和招募说明书合法取得基金份额的投资人</w:t>
      </w:r>
    </w:p>
    <w:p w14:paraId="10C03D6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24、基金销售业务：指基金管理人或销售机构宣传推介基金，发售基金份额，办理基金份额的申购、赎回、转换、转托管及定期定额投资等业务</w:t>
      </w:r>
    </w:p>
    <w:p w14:paraId="3A011D9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25、销售机构：指交银施罗德基金管理有限公司以及符合《销售办法》和中国证监会规定的其他条件，取得基金销售业务资格并与基金管理人签订了基金销售服务协议，办理基金销售业务的机构</w:t>
      </w:r>
    </w:p>
    <w:p w14:paraId="57DA17E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64D2F8A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27、登记机构：指办理登记业务的机构。基金的登记机构为交银施罗德基金管理有限公司或接受交银施罗德基金管理有限公司委托办理登记业务的机构</w:t>
      </w:r>
    </w:p>
    <w:p w14:paraId="0C99869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28、基金账户：指登记机构为投资人开立的、记录其持有的、基金管理人所管理的基金份额余额及其变动情况的账户</w:t>
      </w:r>
    </w:p>
    <w:p w14:paraId="78CE297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29、基金交易账户：指销售机构为投资人开立的、记录投资人通过该销售机构</w:t>
      </w:r>
      <w:r>
        <w:rPr>
          <w:rFonts w:ascii="宋体" w:hAnsi="宋体"/>
          <w:sz w:val="24"/>
        </w:rPr>
        <w:lastRenderedPageBreak/>
        <w:t>办理认购、申购、赎回、转换及转托管等业务而引起的基金份额变动及结余情况的账户</w:t>
      </w:r>
    </w:p>
    <w:p w14:paraId="1819EB2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30、基金合同生效日：指基金募集达到法律法规规定及基金合同规定的条件，基金管理人向中国证监会办理基金备案手续完毕，并获得中国证监会书面确认的日期</w:t>
      </w:r>
    </w:p>
    <w:p w14:paraId="355E720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31、基金合同终止日：指基金合同规定的基金合同终止事由出现后，基金财产清算完毕，清算结果报中国证监会备案并予以公告的日期</w:t>
      </w:r>
    </w:p>
    <w:p w14:paraId="03489DD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32、基金募集期：指自基金份额发售之日起至发售结束之日止的期间，最长不得超过3个月</w:t>
      </w:r>
    </w:p>
    <w:p w14:paraId="13DBA57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33、存续期：指基金合同生效至终止之间的不定期期限</w:t>
      </w:r>
    </w:p>
    <w:p w14:paraId="6C67525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34、工作日：指上海证券交易所、深圳证券交易所的正常交易日</w:t>
      </w:r>
    </w:p>
    <w:p w14:paraId="52CFE15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35、T日：指销售机构在规定时间受理投资人申购、赎回或其他业务申请的开放日</w:t>
      </w:r>
    </w:p>
    <w:p w14:paraId="0C040CB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36、T+n日：指自T日起第n个工作日(不包含T日)</w:t>
      </w:r>
    </w:p>
    <w:p w14:paraId="1267861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37、开放日：指为投资人办理基金份额申购、赎回或其他业务的工作日</w:t>
      </w:r>
    </w:p>
    <w:p w14:paraId="2890FFF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38、开放时间：指开放日基金接受申购、赎回或其他交易的时间段</w:t>
      </w:r>
    </w:p>
    <w:p w14:paraId="5DB99DF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39、《业务规则》：指《中国证券登记结算有限责任公司开放式证券投资基金及证券公司集合资产管理计划份额登记及资金结算业务指南》及其后修订，是规范基金管理人所管理的开放式证券投资基金登记方面的业务规则，由基金管理人和投资人共同遵守</w:t>
      </w:r>
    </w:p>
    <w:p w14:paraId="34EE261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40、认购：指在基金募集期内，投资人根据基金合同和招募说明书的规定申请购买基金份额的行为</w:t>
      </w:r>
    </w:p>
    <w:p w14:paraId="2F38D30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41、申购：指基金合同生效后，投资人根据基金合同和招募说明书的规定申请购买基金份额的行为</w:t>
      </w:r>
    </w:p>
    <w:p w14:paraId="320522C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42、赎回：指基金合同生效后，基金份额持有人按基金合同和招募说明书规定的条件要求将基金份额兑换为现金的行为</w:t>
      </w:r>
    </w:p>
    <w:p w14:paraId="0A14786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43、销售服务费：指从基金资产中计提的，用于本基金市场推广、销售以及基金份额持有人服务的费用</w:t>
      </w:r>
    </w:p>
    <w:p w14:paraId="4E5BB2C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44、基金份额类别：指本基金根据认购/申购费用、销售服务费</w:t>
      </w:r>
      <w:r w:rsidR="00BB4A60" w:rsidRPr="003118F1">
        <w:rPr>
          <w:rFonts w:hAnsi="宋体" w:hint="eastAsia"/>
          <w:bCs/>
          <w:sz w:val="24"/>
        </w:rPr>
        <w:t>收取标准和</w:t>
      </w:r>
      <w:r>
        <w:rPr>
          <w:rFonts w:ascii="宋体" w:hAnsi="宋体"/>
          <w:sz w:val="24"/>
        </w:rPr>
        <w:t>收取方式的不同，将基金份额分为不同的类别。在投资人认购/申购时收取认购/申购</w:t>
      </w:r>
      <w:r>
        <w:rPr>
          <w:rFonts w:ascii="宋体" w:hAnsi="宋体"/>
          <w:sz w:val="24"/>
        </w:rPr>
        <w:lastRenderedPageBreak/>
        <w:t>费用、赎回时收取赎回费用的，称为A类基金份额，在投资人认购/申购时不收取认购/申购费用、赎回时收取赎回费用，并从本类别基金资产中计提销售服务费的，称为C类基金份额；</w:t>
      </w:r>
      <w:r w:rsidR="00BB4A60" w:rsidRPr="00CF37AC">
        <w:rPr>
          <w:rFonts w:ascii="宋体" w:hAnsi="宋体" w:hint="eastAsia"/>
          <w:sz w:val="24"/>
        </w:rPr>
        <w:t>在投资人申购时收取申购费用、赎回时收取赎回费</w:t>
      </w:r>
      <w:r w:rsidR="00BB4A60">
        <w:rPr>
          <w:rFonts w:ascii="宋体" w:hAnsi="宋体" w:hint="eastAsia"/>
          <w:sz w:val="24"/>
        </w:rPr>
        <w:t>用</w:t>
      </w:r>
      <w:r w:rsidR="00BB4A60" w:rsidRPr="00CF37AC">
        <w:rPr>
          <w:rFonts w:ascii="宋体" w:hAnsi="宋体" w:hint="eastAsia"/>
          <w:sz w:val="24"/>
        </w:rPr>
        <w:t>的，称为D</w:t>
      </w:r>
      <w:r w:rsidR="00BB4A60">
        <w:rPr>
          <w:rFonts w:ascii="宋体" w:hAnsi="宋体" w:hint="eastAsia"/>
          <w:sz w:val="24"/>
        </w:rPr>
        <w:t>类基金份额</w:t>
      </w:r>
      <w:r w:rsidR="00BB4A60" w:rsidRPr="005D4911">
        <w:rPr>
          <w:rFonts w:ascii="宋体" w:hAnsi="宋体" w:hint="eastAsia"/>
          <w:sz w:val="24"/>
        </w:rPr>
        <w:t>，A类基金份额与D类基金份额设置不同的申购费</w:t>
      </w:r>
      <w:r w:rsidR="00BB4A60">
        <w:rPr>
          <w:rFonts w:hAnsi="宋体" w:hint="eastAsia"/>
          <w:bCs/>
          <w:sz w:val="24"/>
        </w:rPr>
        <w:t>、赎回费</w:t>
      </w:r>
      <w:r w:rsidR="00BB4A60" w:rsidRPr="005D4911">
        <w:rPr>
          <w:rFonts w:ascii="宋体" w:hAnsi="宋体" w:hint="eastAsia"/>
          <w:sz w:val="24"/>
        </w:rPr>
        <w:t>收取标准</w:t>
      </w:r>
    </w:p>
    <w:p w14:paraId="2EE742D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45、基金转换：指基金份额持有人按照基金合同和基金管理人届时有效公告规定的条件，申请将其持有基金管理人管理的、某一基金的基金份额转换为基金管理人管理的其他基金基金份额的行为</w:t>
      </w:r>
    </w:p>
    <w:p w14:paraId="78FBAF7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46、转托管：指基金份额持有人在本基金的不同销售机构之间实施的变更所持基金份额销售机构的操作</w:t>
      </w:r>
    </w:p>
    <w:p w14:paraId="6A87F42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47、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14:paraId="7CAF2AC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48、巨额赎回：指本基金单个开放日，基金净赎回申请（赎回申请份额总数加上基金转换中转出申请份额总数后扣除申购申请份额总数及基金转换中转入申请份额总数后的余额）超过上一开放日基金总份额的10%的情形</w:t>
      </w:r>
    </w:p>
    <w:p w14:paraId="6709ED1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49、元：指人民币元</w:t>
      </w:r>
    </w:p>
    <w:p w14:paraId="02DA481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50、基金收益：指基金投资所得债券利息、买卖证券价差、银行存款利息、已实现的其他合法收入及因运用基金财产带来的成本和费用的节约</w:t>
      </w:r>
    </w:p>
    <w:p w14:paraId="0B0BF93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51、基金资产总值：指基金拥有的各类有价证券、银行存款本息、基金应收申购款及其他资产的价值总和</w:t>
      </w:r>
    </w:p>
    <w:p w14:paraId="6565680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52、基金资产净值：指基金资产总值减去基金负债后的价值</w:t>
      </w:r>
    </w:p>
    <w:p w14:paraId="7E56028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53、基金份额净值：指计算日基金资产净值除以计算日基金份额总数</w:t>
      </w:r>
    </w:p>
    <w:p w14:paraId="44AC901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54、基金资产估值：指计算评估基金资产和负债的价值，以确定基金资产净值和基金份额净值的过程</w:t>
      </w:r>
    </w:p>
    <w:p w14:paraId="2B21D86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55、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p w14:paraId="4C775A1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56、指定媒介：指中国证监会指定的用以进行信息披露的全国性报刊及指定互联网网站（包括基金管理人网站、基金托管人网站、中国证监会基金电子披露网</w:t>
      </w:r>
      <w:r>
        <w:rPr>
          <w:rFonts w:ascii="宋体" w:hAnsi="宋体"/>
          <w:sz w:val="24"/>
        </w:rPr>
        <w:lastRenderedPageBreak/>
        <w:t>站）等媒介</w:t>
      </w:r>
    </w:p>
    <w:p w14:paraId="19C7A4B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57、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1B07704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58、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076A2AA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59、不可抗力：指基金合同当事人不能预见、不能避免且不能克服的客观事件</w:t>
      </w:r>
    </w:p>
    <w:p w14:paraId="0EF4307A" w14:textId="77777777" w:rsidR="00C86C88" w:rsidRDefault="00D93D5A" w:rsidP="00C86C8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48F474F0" w14:textId="77777777" w:rsidR="00542AF7" w:rsidRDefault="00D93D5A">
      <w:pPr>
        <w:pStyle w:val="1"/>
        <w:snapToGrid w:val="0"/>
        <w:spacing w:beforeLines="0" w:before="240" w:after="240"/>
        <w:rPr>
          <w:rFonts w:ascii="宋体" w:hAnsi="宋体"/>
          <w:szCs w:val="30"/>
        </w:rPr>
      </w:pPr>
      <w:bookmarkStart w:id="6" w:name="_Toc151542536"/>
      <w:r>
        <w:rPr>
          <w:rFonts w:ascii="Times New Roman" w:hAnsi="Times New Roman"/>
          <w:sz w:val="30"/>
        </w:rPr>
        <w:lastRenderedPageBreak/>
        <w:t>三、基金管理人</w:t>
      </w:r>
      <w:bookmarkEnd w:id="6"/>
    </w:p>
    <w:p w14:paraId="6536F30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（一）基金管理人概况</w:t>
      </w:r>
    </w:p>
    <w:p w14:paraId="081542B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14:paraId="32ACEF5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14:paraId="2F66074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14:paraId="7831737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邮政编码：200120</w:t>
      </w:r>
    </w:p>
    <w:p w14:paraId="1C26E20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法定代表人：阮红</w:t>
      </w:r>
    </w:p>
    <w:p w14:paraId="1AB961D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成立时间：2005年8月4日</w:t>
      </w:r>
    </w:p>
    <w:p w14:paraId="54EB12E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注册资本：2亿元人民币</w:t>
      </w:r>
    </w:p>
    <w:p w14:paraId="5941F32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14:paraId="521AE07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联系人：郭佳敏</w:t>
      </w:r>
    </w:p>
    <w:p w14:paraId="6C21E3E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电话：（021）61055050</w:t>
      </w:r>
    </w:p>
    <w:p w14:paraId="6B3141B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传真：（021）61055034</w:t>
      </w:r>
    </w:p>
    <w:p w14:paraId="5BB26B2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交银施罗德基金管理有限公司（以下简称“公司”）经中国证监会证监基金字[2005]128号文批准设立。公司股权结构如下：</w:t>
      </w:r>
    </w:p>
    <w:tbl>
      <w:tblPr>
        <w:tblW w:w="5000" w:type="pct"/>
        <w:tblCellMar>
          <w:left w:w="0" w:type="dxa"/>
          <w:right w:w="0" w:type="dxa"/>
        </w:tblCellMar>
        <w:tblLook w:val="0000" w:firstRow="0" w:lastRow="0" w:firstColumn="0" w:lastColumn="0" w:noHBand="0" w:noVBand="0"/>
      </w:tblPr>
      <w:tblGrid>
        <w:gridCol w:w="2162"/>
        <w:gridCol w:w="6488"/>
      </w:tblGrid>
      <w:tr w:rsidR="00542AF7" w14:paraId="5AF9A0D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6C4E1F9"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股东名称</w:t>
            </w:r>
          </w:p>
        </w:tc>
        <w:tc>
          <w:tcPr>
            <w:tcW w:w="750" w:type="pct"/>
            <w:tcBorders>
              <w:top w:val="single" w:sz="4" w:space="0" w:color="auto"/>
              <w:left w:val="single" w:sz="4" w:space="0" w:color="auto"/>
              <w:bottom w:val="single" w:sz="4" w:space="0" w:color="auto"/>
              <w:right w:val="single" w:sz="4" w:space="0" w:color="auto"/>
            </w:tcBorders>
            <w:vAlign w:val="center"/>
          </w:tcPr>
          <w:p w14:paraId="2A1DF981"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股权比例</w:t>
            </w:r>
          </w:p>
        </w:tc>
      </w:tr>
      <w:tr w:rsidR="00542AF7" w14:paraId="04FA266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59CC6FA"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交通银行股份有限公司（以下使用全称或其简称</w:t>
            </w:r>
            <w:r>
              <w:rPr>
                <w:rFonts w:ascii="Times New Roman" w:hAnsi="Times New Roman"/>
                <w:color w:val="000000"/>
                <w:kern w:val="0"/>
                <w:sz w:val="25"/>
                <w:szCs w:val="24"/>
              </w:rPr>
              <w:t>“</w:t>
            </w:r>
            <w:r>
              <w:rPr>
                <w:rFonts w:ascii="Times New Roman" w:hAnsi="Times New Roman"/>
                <w:color w:val="000000"/>
                <w:kern w:val="0"/>
                <w:sz w:val="25"/>
                <w:szCs w:val="24"/>
              </w:rPr>
              <w:t>交通银行</w:t>
            </w:r>
            <w:r>
              <w:rPr>
                <w:rFonts w:ascii="Times New Roman" w:hAnsi="Times New Roman"/>
                <w:color w:val="000000"/>
                <w:kern w:val="0"/>
                <w:sz w:val="25"/>
                <w:szCs w:val="24"/>
              </w:rPr>
              <w:t>”</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14:paraId="5A8A415B"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65%</w:t>
            </w:r>
          </w:p>
        </w:tc>
      </w:tr>
      <w:tr w:rsidR="00542AF7" w14:paraId="1AA5BEF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BA068A2"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施罗德投资管理有限公司</w:t>
            </w:r>
          </w:p>
        </w:tc>
        <w:tc>
          <w:tcPr>
            <w:tcW w:w="750" w:type="pct"/>
            <w:tcBorders>
              <w:top w:val="single" w:sz="4" w:space="0" w:color="auto"/>
              <w:left w:val="single" w:sz="4" w:space="0" w:color="auto"/>
              <w:bottom w:val="single" w:sz="4" w:space="0" w:color="auto"/>
              <w:right w:val="single" w:sz="4" w:space="0" w:color="auto"/>
            </w:tcBorders>
            <w:vAlign w:val="center"/>
          </w:tcPr>
          <w:p w14:paraId="23DAC434"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30%</w:t>
            </w:r>
          </w:p>
        </w:tc>
      </w:tr>
      <w:tr w:rsidR="00542AF7" w14:paraId="6451C98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39B7C17"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中国国际海运集装箱（集团）股份有限公司</w:t>
            </w:r>
          </w:p>
        </w:tc>
        <w:tc>
          <w:tcPr>
            <w:tcW w:w="750" w:type="pct"/>
            <w:tcBorders>
              <w:top w:val="single" w:sz="4" w:space="0" w:color="auto"/>
              <w:left w:val="single" w:sz="4" w:space="0" w:color="auto"/>
              <w:bottom w:val="single" w:sz="4" w:space="0" w:color="auto"/>
              <w:right w:val="single" w:sz="4" w:space="0" w:color="auto"/>
            </w:tcBorders>
            <w:vAlign w:val="center"/>
          </w:tcPr>
          <w:p w14:paraId="5EF47C4F"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r>
    </w:tbl>
    <w:p w14:paraId="30AC156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（二）主要成员情况</w:t>
      </w:r>
    </w:p>
    <w:p w14:paraId="40E2942F" w14:textId="77777777" w:rsidR="000C3F42" w:rsidRPr="00EB17D2" w:rsidRDefault="000C3F42" w:rsidP="000C3F42">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1、基金管理人董事会成员</w:t>
      </w:r>
    </w:p>
    <w:p w14:paraId="4F5BB294" w14:textId="77777777" w:rsidR="000C3F42" w:rsidRPr="00EB17D2" w:rsidRDefault="000C3F42" w:rsidP="000C3F42">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阮红女士，董事长，博士。历任交通银行办公室副处长、处长，交通银行海外机构管理部副总经理、总经理，交通银行上海分行副行长，交通银行资产托管部总经理，交通银行投资管理部总经理，交银施罗德基金管理有限公司总经理。</w:t>
      </w:r>
    </w:p>
    <w:p w14:paraId="0BDEBA00" w14:textId="77777777" w:rsidR="000C3F42" w:rsidRPr="00EB17D2" w:rsidRDefault="000C3F42" w:rsidP="000C3F42">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童洁萍女士，董事，硕士。现任交通银行总行个人金融业务部副总经理。历任交通银行南京分行个人金融业务部副高级经理、江苏省分行个人金融业务部副总经</w:t>
      </w:r>
      <w:r w:rsidRPr="00EB17D2">
        <w:rPr>
          <w:rFonts w:ascii="宋体" w:hAnsi="宋体" w:hint="eastAsia"/>
          <w:sz w:val="24"/>
        </w:rPr>
        <w:lastRenderedPageBreak/>
        <w:t>理、总经理、玄武支行行长。</w:t>
      </w:r>
    </w:p>
    <w:p w14:paraId="7A924A7E" w14:textId="77777777" w:rsidR="000C3F42" w:rsidRPr="00EB17D2" w:rsidRDefault="000C3F42" w:rsidP="000C3F42">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王贤家先生，董事，学士。现任交通银行总行风险管理部/内控案防办副总经理。历任交通银行总行国际业务部外汇资金处交易员、澳门分行资金部主管、总行金融市场部债券投资部副高级经理、外汇交易部高级经理。</w:t>
      </w:r>
    </w:p>
    <w:p w14:paraId="5940C253" w14:textId="77777777" w:rsidR="000C3F42" w:rsidRPr="00EB17D2" w:rsidRDefault="000C3F42" w:rsidP="000C3F42">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谢卫先生，董事，总经理，博士，高级经济师，第十、十一、十二届民盟中央委员、第十一、十二、十三届全国政协委员。现任交银施罗德基金管理有限公司总经理，兼任交银施罗德资产管理(香港)有限公司董事长、交银施罗德资产管理有限公司董事长。历任中央财经大学教师，中国社会科学院财贸所助理研究员，中国电力信托投资公司基金部副总经理，中国人保信托投资公司证券部副总经理、总经理，北京证券营业部总经理、证券总部副总经理兼北方部总经理，富国基金管理有限公司副总经理，交银施罗德基金管理有限公司副总经理。</w:t>
      </w:r>
    </w:p>
    <w:p w14:paraId="246BE26A" w14:textId="77777777" w:rsidR="000C3F42" w:rsidRPr="00EB17D2" w:rsidRDefault="000C3F42" w:rsidP="000C3F42">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杜伟麒（Chris Durack）先生，董事，硕士。现任施罗德投资亚太区行政总裁。历任施罗德投资澳大利亚董事兼产品及分销主管、香港行政总裁兼亚太区机构业务主管、澳大利亚行政总裁兼亚太区联席主管等职。</w:t>
      </w:r>
    </w:p>
    <w:p w14:paraId="59D9C470" w14:textId="77777777" w:rsidR="000C3F42" w:rsidRPr="00EB17D2" w:rsidRDefault="000C3F42" w:rsidP="000C3F42">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章骏翔先生，副董事长，硕士，美国特许金融分析师(CFA)持证人。现任施罗德投资管理(香港)有限公司亚洲投资风险主管。历任渣打银行（香港）交易风险监控，华宝兴业基金管理有限公司风险管理部总经理，法国安盛投资管理（香港）有限公司亚洲风险经理等职。</w:t>
      </w:r>
    </w:p>
    <w:p w14:paraId="1251E4EA" w14:textId="77777777" w:rsidR="000C3F42" w:rsidRPr="00EB17D2" w:rsidRDefault="000C3F42" w:rsidP="000C3F42">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郝爱群女士，独立董事，学士。历任人民银行稽核司副处长、处长，合作司调研员，非银司副巡视员、副司长，银监会非银部副主任，银行监管一部副主任、巡视员，汇金公司派出董事。</w:t>
      </w:r>
    </w:p>
    <w:p w14:paraId="6AC7B1E2" w14:textId="77777777" w:rsidR="000C3F42" w:rsidRPr="00EB17D2" w:rsidRDefault="000C3F42" w:rsidP="000C3F42">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张子学先生，独立董事，博士。现任中国政法大学民商经济法学院教授，兼任基金业协会自律监察委员会委员。历任证监会办公厅副处长、上市公司监管部处长、行政处罚委员会专职委员、副主任审理员，兼任证监会上市公司并购重组审核委员会委员、行政复议委员会委员。</w:t>
      </w:r>
    </w:p>
    <w:p w14:paraId="0A0012E2" w14:textId="77777777" w:rsidR="000C3F42" w:rsidRPr="00EB17D2" w:rsidRDefault="000C3F42" w:rsidP="000C3F42">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黎建强先生，独立董事，博士，教育部长江学者讲座教授。现任香港大学工业工程系荣誉教授，亚洲风险及危机管理协会主席，兼任深交所上市的中联重科集团独立非执行董事。历任香港城市大学管理科学讲座教授，湖南省政协委员并兼任湖南大学工商管理学院院长。</w:t>
      </w:r>
    </w:p>
    <w:p w14:paraId="3FE10B3E" w14:textId="77777777" w:rsidR="000C3F42" w:rsidRPr="00EB17D2" w:rsidRDefault="000C3F42" w:rsidP="000C3F42">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2、基金管理人监事会成员</w:t>
      </w:r>
    </w:p>
    <w:p w14:paraId="37792AA2" w14:textId="77777777" w:rsidR="000C3F42" w:rsidRPr="00EB17D2" w:rsidRDefault="000C3F42" w:rsidP="000C3F42">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lastRenderedPageBreak/>
        <w:t>梅津芝女士，监事长，学士。高级经济师、审计师。现任交通银行工会办公室主任。历任交通银行山西省分行个人金融业务部高级经理，交通银行山西省分行副行长，交通银行个人金融业务部副总经理、私人银行部总经理。</w:t>
      </w:r>
    </w:p>
    <w:p w14:paraId="3E654BEA" w14:textId="77777777" w:rsidR="000C3F42" w:rsidRPr="00EB17D2" w:rsidRDefault="000C3F42" w:rsidP="000C3F42">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林凯珊女士，监事，硕士。现任施罗德投资管理（香港）有限公司中国内地及中国香港法律部主管。历任香港证券及期货事务监察委员会发牌科经理、的近律师行律师。</w:t>
      </w:r>
    </w:p>
    <w:p w14:paraId="4F1E1949" w14:textId="77777777" w:rsidR="000C3F42" w:rsidRPr="00EB17D2" w:rsidRDefault="000C3F42" w:rsidP="000C3F42">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刘峥先生，监事，硕士。现任交银施罗德基金管理有限公司综合管理部总经理。历任交通银行上海市分行管理培训生，交通银行总行战略投资部高级投资并购经理，交银施罗德基金管理有限公司总裁办公室高级综合管理经理、副总经理。</w:t>
      </w:r>
    </w:p>
    <w:p w14:paraId="50BCF816" w14:textId="77777777" w:rsidR="000C3F42" w:rsidRPr="00EB17D2" w:rsidRDefault="000C3F42" w:rsidP="000C3F42">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黄伟峰先生，监事，硕士。现任交银施罗德基金管理有限公司高级专家、市场总监。历任平安人寿保险公司上海分公司行政督导、营销管理经理，交银施罗德基金管理有限公司行政部总经理助理、西部营销中心总经理、机构理财部（上海）总经理兼产品开发部总经理。</w:t>
      </w:r>
    </w:p>
    <w:p w14:paraId="7C86336A" w14:textId="77777777" w:rsidR="000C3F42" w:rsidRPr="00EB17D2" w:rsidRDefault="000C3F42" w:rsidP="000C3F42">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3、基金管理人高级管理人员</w:t>
      </w:r>
    </w:p>
    <w:p w14:paraId="436F5807" w14:textId="77777777" w:rsidR="000C3F42" w:rsidRPr="00EB17D2" w:rsidRDefault="000C3F42" w:rsidP="000C3F42">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谢卫先生，总经理。简历同上。</w:t>
      </w:r>
    </w:p>
    <w:p w14:paraId="2190DB63" w14:textId="77777777" w:rsidR="000C3F42" w:rsidRPr="00EB17D2" w:rsidRDefault="000C3F42" w:rsidP="000C3F42">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印皓女士，副总经理，硕士。历任交通银行研究开发部副主管体改规划员，交通银行市场营销部副主管市场规划员、主管市场规划员，交通银行公司业务部副高级经理、高级经理，交通银行机构业务部高级经理、总经理助理、副总经理，交银施罗德资产管理有限公司董事长。</w:t>
      </w:r>
    </w:p>
    <w:p w14:paraId="4D3D2C72" w14:textId="77777777" w:rsidR="000C3F42" w:rsidRPr="00EB17D2" w:rsidRDefault="000C3F42" w:rsidP="000C3F42">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14:paraId="3EDEF631" w14:textId="77777777" w:rsidR="000C3F42" w:rsidRDefault="000C3F42" w:rsidP="000C3F42">
      <w:pPr>
        <w:autoSpaceDE w:val="0"/>
        <w:autoSpaceDN w:val="0"/>
        <w:adjustRightInd w:val="0"/>
        <w:snapToGrid w:val="0"/>
        <w:spacing w:line="360" w:lineRule="auto"/>
        <w:ind w:firstLineChars="200" w:firstLine="480"/>
        <w:jc w:val="left"/>
        <w:rPr>
          <w:rFonts w:ascii="宋体" w:hAnsi="宋体"/>
          <w:sz w:val="24"/>
        </w:rPr>
      </w:pPr>
      <w:r w:rsidRPr="00EB17D2">
        <w:rPr>
          <w:rFonts w:ascii="宋体" w:hAnsi="宋体" w:hint="eastAsia"/>
          <w:sz w:val="24"/>
        </w:rPr>
        <w:t>马俊先生，副总经理，硕士。历任交通银行总行投资管理部高级投资分析、副高级经理，交银施罗德基金管理有限公司总裁办公室总经理、研究部副总经理、研究总监、综合管理部总经理。</w:t>
      </w:r>
    </w:p>
    <w:p w14:paraId="2399892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4、本基金基金经理</w:t>
      </w:r>
    </w:p>
    <w:p w14:paraId="34103AB1" w14:textId="77777777" w:rsidR="00B31484" w:rsidRDefault="00B31484">
      <w:pPr>
        <w:autoSpaceDE w:val="0"/>
        <w:autoSpaceDN w:val="0"/>
        <w:adjustRightInd w:val="0"/>
        <w:snapToGrid w:val="0"/>
        <w:spacing w:line="360" w:lineRule="auto"/>
        <w:ind w:firstLineChars="200" w:firstLine="480"/>
        <w:jc w:val="left"/>
        <w:rPr>
          <w:rFonts w:ascii="宋体" w:hAnsi="宋体"/>
          <w:sz w:val="24"/>
        </w:rPr>
      </w:pPr>
      <w:r w:rsidRPr="00B31484">
        <w:rPr>
          <w:rFonts w:ascii="宋体" w:hAnsi="宋体" w:hint="eastAsia"/>
          <w:sz w:val="24"/>
        </w:rPr>
        <w:t>于海颖女士:基金经理。天津大学数量经济学硕士、经济学学士，17年证券投资行业从业经验。2004年至2006年任北方国际信托投资股份有限公司固定收益研究员，2006年至2010年任光大保德信基金管理有限公司交易员、基金经理助理、基金</w:t>
      </w:r>
      <w:r w:rsidRPr="00B31484">
        <w:rPr>
          <w:rFonts w:ascii="宋体" w:hAnsi="宋体" w:hint="eastAsia"/>
          <w:sz w:val="24"/>
        </w:rPr>
        <w:lastRenderedPageBreak/>
        <w:t>经理，2010年至2014年任银华基金管理有限公司基金经理，2014年至2016年任五矿证券有限公司固定收益事业部投资管理部总经理。于2007年11月9日至2010年8月30日任光大保德信货币市场基金基金经理，2008年10月29日至2010年8月30日任光大保德信增利收益债券型证券投资基金基金经理，2011年6月28日至2013年6月16日任银华永祥保本混合型证券投资基金基金经理，2011年8月2日至2014年4月24日任银华货币市场证券投资基金基金经理,2012年8月9日至2014年10月7日任银华纯债信用主题债券型证券投资基金（LOF）基金经理，2013年4月1日至2014年4月24日任银华交易型货币市场基金基金经理，2013年8月7日至2014年10月7日任银华信用四季红债券型证券投资基金基金经理，2013年9月18日至2014年10月7日任银华信用季季红债券型证券投资基金基金经理，2014年5月8日至2014年10月7日任银华信用债券型证券投资基金(LOF)基金经理。2016年加入交银施罗德基金管理有限公司，任固定收益（公募）投资总监、基金经理。曾任交银施罗德丰盈收益债券型证券投资基金(2016年12月29日至2020年08月21日)、交银施罗德丰硕收益债券型证券投资基金（2017年6月10日至2018年7月18日）、交银施罗德增利债券证券投资基金(2017年06月10日至2020年08月21日)、交银施罗德定期支付月月丰债券型证券投资基金(2017年06月10日至2019年03月14日)、交银施罗德增利增强债券型证券投资基金(2017年06月10日至2019年03月15日)、交银施罗德稳固收益债券型证券投资基金(2017年06月10日至2019年03月15日)、交银施罗德强化回报债券型证券投资基金(2017年06月10日至2019年03月14日)、交银施罗德荣鑫灵活配置混合型证券投资基金(2017年06月10日至2019年03月15日)、交银施罗德增强收益债券型证券投资基金(2017年06月10日至2019年03月15日)、交银施罗德裕如纯债债券型证券投资基金(2018年05月25日至2021年01月15日)的基金经理。现任交银施罗德纯债债券型发起式证券投资基金(2017年06月10日至今)、交银施罗德丰晟收益债券型证券投资基金(2018年05月23日至今)、交银施罗德裕泰两年定期开放债券型证券投资基金(2019年12月10日至今)、交银施罗德裕坤纯债一年定期开放债券型发起式证券投资基金(2019年12月26日至今)、交银施罗德鸿光一年持有期混合型证券投资基金(2021年03月08日至今)、交银施罗德鸿福六个月持有期混合型证券投资基金(2021年03月30日至今)、交银施罗德鸿信一年持有期混合型证券投资基金(2021年08月06日至今)、交银施罗德鸿泰一年持有期混合型证券投资基金(2021年11月24日至今)、交银施罗德裕盈纯债债券型证券投资基金(2022年11月12日至今)、交银施罗德裕如纯债债券型证券投</w:t>
      </w:r>
      <w:r w:rsidRPr="00B31484">
        <w:rPr>
          <w:rFonts w:ascii="宋体" w:hAnsi="宋体" w:hint="eastAsia"/>
          <w:sz w:val="24"/>
        </w:rPr>
        <w:lastRenderedPageBreak/>
        <w:t>资基金(2023年09月07日至今)的基金经理。</w:t>
      </w:r>
    </w:p>
    <w:p w14:paraId="655E7C7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姬静女士:基金经理。北京大学经济学硕士、对外经济贸易大学经济学学士。</w:t>
      </w:r>
      <w:r w:rsidR="00C42279">
        <w:rPr>
          <w:rFonts w:ascii="宋体" w:hAnsi="宋体"/>
          <w:sz w:val="24"/>
        </w:rPr>
        <w:t>10</w:t>
      </w:r>
      <w:r>
        <w:rPr>
          <w:rFonts w:ascii="宋体" w:hAnsi="宋体"/>
          <w:sz w:val="24"/>
        </w:rPr>
        <w:t>年证券投资相关工作经验。2013年至2015年任中国工商银行总行资产管理部投资经理 ，2015年至2016年任法国巴黎银行（中国）有限公司全球市场部信用分析师。2016年加入交银施罗德基金管理有限公司，曾任固定收益部高级研究员、基金经理助理，现任固定收益部基金经理。现任交银施罗德境尚收益债券型证券投资基金(2022年08月20日至今)、交银施罗德稳鑫短债债券型证券投资基金(2022年08月20日至今)、交银施罗德裕盈纯债债券型证券投资基金(2022年11月12日至今)、交银施罗德稳安60天滚动持有债券型证券投资基金(2023年01月09日至今)、交银施罗德稳安90天持有期债券型证券投资基金(2023年04月25日至今)的基金经理。</w:t>
      </w:r>
    </w:p>
    <w:p w14:paraId="74D8F43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本基金历任基金经理：</w:t>
      </w:r>
    </w:p>
    <w:p w14:paraId="421D8A7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章妍女士(2016年11月04日至2017年03月30日)；</w:t>
      </w:r>
    </w:p>
    <w:p w14:paraId="0254EE3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连端清先生(2017年03月31日至2022年11月19日)。</w:t>
      </w:r>
    </w:p>
    <w:p w14:paraId="0F4278D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5、投资决策委员会成员</w:t>
      </w:r>
    </w:p>
    <w:p w14:paraId="0421811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委员：谢卫（总经理）</w:t>
      </w:r>
    </w:p>
    <w:p w14:paraId="1461D1FB" w14:textId="0AC79908"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马俊（副总经理）</w:t>
      </w:r>
    </w:p>
    <w:p w14:paraId="07C14B6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王少成（权益投资总监、基金经理）</w:t>
      </w:r>
    </w:p>
    <w:p w14:paraId="1D75566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于海颖（固定收益（公募）投资总监、基金经理）</w:t>
      </w:r>
    </w:p>
    <w:p w14:paraId="39806D8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王崇（权益投资副总监、权益部一级专家、基金经理）</w:t>
      </w:r>
    </w:p>
    <w:p w14:paraId="0EF7CD03" w14:textId="1156675C"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上述人员之间不存在近亲属关系，上述各项人员信息更新截止日为</w:t>
      </w:r>
      <w:r w:rsidR="00CE2573">
        <w:rPr>
          <w:rFonts w:ascii="宋体" w:hAnsi="宋体"/>
          <w:sz w:val="24"/>
        </w:rPr>
        <w:t>202</w:t>
      </w:r>
      <w:r w:rsidR="00816F9B">
        <w:rPr>
          <w:rFonts w:ascii="宋体" w:hAnsi="宋体"/>
          <w:sz w:val="24"/>
        </w:rPr>
        <w:t>3</w:t>
      </w:r>
      <w:r>
        <w:rPr>
          <w:rFonts w:ascii="宋体" w:hAnsi="宋体"/>
          <w:sz w:val="24"/>
        </w:rPr>
        <w:t>年</w:t>
      </w:r>
      <w:r w:rsidR="00816F9B">
        <w:rPr>
          <w:rFonts w:ascii="宋体" w:hAnsi="宋体"/>
          <w:sz w:val="24"/>
        </w:rPr>
        <w:t>12</w:t>
      </w:r>
      <w:r>
        <w:rPr>
          <w:rFonts w:ascii="宋体" w:hAnsi="宋体"/>
          <w:sz w:val="24"/>
        </w:rPr>
        <w:t>月</w:t>
      </w:r>
      <w:r w:rsidR="00816F9B">
        <w:rPr>
          <w:rFonts w:ascii="宋体" w:hAnsi="宋体"/>
          <w:sz w:val="24"/>
        </w:rPr>
        <w:t>21</w:t>
      </w:r>
      <w:r>
        <w:rPr>
          <w:rFonts w:ascii="宋体" w:hAnsi="宋体"/>
          <w:sz w:val="24"/>
        </w:rPr>
        <w:t>日，期后变动（如有）敬请关注基金管理人发布的相关公告。</w:t>
      </w:r>
    </w:p>
    <w:p w14:paraId="5380993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（三）基金管理人的职责</w:t>
      </w:r>
    </w:p>
    <w:p w14:paraId="0781FA5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1、依法募集资金，办理或者委托经中国证监会认定的其他机构办理基金份额的发售、申购、赎回和登记事宜；</w:t>
      </w:r>
    </w:p>
    <w:p w14:paraId="206DBA0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2、办理基金备案手续；</w:t>
      </w:r>
    </w:p>
    <w:p w14:paraId="2C86003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3、对所管理的不同基金财产分别管理、分别记账，进行证券投资；</w:t>
      </w:r>
    </w:p>
    <w:p w14:paraId="2BC268B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4、按照基金合同的约定确定基金收益分配方案，及时向基金份额持有人分配收益；</w:t>
      </w:r>
    </w:p>
    <w:p w14:paraId="5C37F33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5、进行基金会计核算并编制基金财务会计报告；</w:t>
      </w:r>
    </w:p>
    <w:p w14:paraId="6979A04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6、编制季度报告、中期报告和年度报告；</w:t>
      </w:r>
    </w:p>
    <w:p w14:paraId="7A0698D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7、计算并公告基金净值信息，确定基金份额申购、赎回价格；</w:t>
      </w:r>
    </w:p>
    <w:p w14:paraId="6A2229C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8、办理与基金财产管理业务活动有关的信息披露事项；</w:t>
      </w:r>
    </w:p>
    <w:p w14:paraId="3BAA723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9、按照规定召集基金份额持有人大会；</w:t>
      </w:r>
    </w:p>
    <w:p w14:paraId="14EC928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10、保存基金财产管理业务活动的记录、账册、报表和其他相关资料；</w:t>
      </w:r>
    </w:p>
    <w:p w14:paraId="52BE2A1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11、以基金管理人名义，代表基金份额持有人利益行使诉讼权利或者实施其他法律行为；</w:t>
      </w:r>
    </w:p>
    <w:p w14:paraId="6462C25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12、有关法律法规和中国证监会规定的其他职责。</w:t>
      </w:r>
    </w:p>
    <w:p w14:paraId="3BC7B1E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（四）基金管理人的承诺</w:t>
      </w:r>
    </w:p>
    <w:p w14:paraId="7701646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1、基金管理人承诺不从事违反《中华人民共和国证券法》的行为，并承诺建立健全内部控制制度，采取有效措施，防止违反《中华人民共和国证券法》行为的发生；</w:t>
      </w:r>
    </w:p>
    <w:p w14:paraId="0B76A48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2、基金管理人承诺不从事违反《基金法》的行为，并承诺建立健全内部风险控制制度，采取有效措施，防止下列行为的发生：</w:t>
      </w:r>
    </w:p>
    <w:p w14:paraId="6193B84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（1）将基金管理人固有财产或者他人财产混同于基金财产从事证券投资；</w:t>
      </w:r>
    </w:p>
    <w:p w14:paraId="7B11235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（2）不公平地对待管理的不同基金财产；</w:t>
      </w:r>
    </w:p>
    <w:p w14:paraId="5B86304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（3）利用基金财产为基金份额持有人以外的第三人牟取利益；</w:t>
      </w:r>
    </w:p>
    <w:p w14:paraId="45F7D68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（4）向基金份额持有人违规承诺收益或者承担损失；</w:t>
      </w:r>
    </w:p>
    <w:p w14:paraId="4FED1F9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（5）侵占、挪用基金财产；</w:t>
      </w:r>
    </w:p>
    <w:p w14:paraId="56E14F4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（6）泄露因职务便利获取的未公开信息、利用该信息从事或者明示、暗示他人从事相关的交易活动；</w:t>
      </w:r>
    </w:p>
    <w:p w14:paraId="1CAA25F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（7）玩忽职守，不按照规定履行职责；</w:t>
      </w:r>
    </w:p>
    <w:p w14:paraId="467F34C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（8）法律、行政法规和中国证监会禁止的其他行为。</w:t>
      </w:r>
    </w:p>
    <w:p w14:paraId="1919353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3、基金管理人承诺严格遵守基金合同，并承诺建立健全内部控制制度，采取有效措施，防止违反基金合同行为的发生；</w:t>
      </w:r>
    </w:p>
    <w:p w14:paraId="771ABD1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4、基金管理人承诺加强人员管理，强化职业操守，督促和约束员工遵守国家有关法律法规及行业规范，诚实信用、勤勉尽责；</w:t>
      </w:r>
    </w:p>
    <w:p w14:paraId="57D60EB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5、基金管理人承诺不从事其他法规规定禁止从事的行为。</w:t>
      </w:r>
    </w:p>
    <w:p w14:paraId="49FECAF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（五）基金经理承诺</w:t>
      </w:r>
    </w:p>
    <w:p w14:paraId="4EBD025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1、依照有关法律法规和基金合同的规定，本着谨慎的原则为基金份额持有人谋取最大利益；</w:t>
      </w:r>
    </w:p>
    <w:p w14:paraId="44101F5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2、不利用职务之便为自己、受雇人或任何第三者谋取利益；</w:t>
      </w:r>
    </w:p>
    <w:p w14:paraId="39904FD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3、不泄露在任职期间知悉的有关证券、基金的商业秘密，尚未依法公开的基金投资内容、基金投资计划等信息，或利用该信息从事或者明示、暗示他人从事相关的交易活动；</w:t>
      </w:r>
    </w:p>
    <w:p w14:paraId="705393C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4、不以任何形式为其他组织或个人进行证券交易。</w:t>
      </w:r>
    </w:p>
    <w:p w14:paraId="51599E6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（六）基金管理人的内部控制制度</w:t>
      </w:r>
    </w:p>
    <w:p w14:paraId="761F80C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1、风险管理的原则</w:t>
      </w:r>
    </w:p>
    <w:p w14:paraId="319B5F0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 全面性原则</w:t>
      </w:r>
    </w:p>
    <w:p w14:paraId="309A682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公司风险管理必须覆盖公司的所有部门和岗位，渗透各项业务过程和业务环节。</w:t>
      </w:r>
    </w:p>
    <w:p w14:paraId="2E99EE9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 独立性原则</w:t>
      </w:r>
    </w:p>
    <w:p w14:paraId="6262011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公司设立独立的风险管理部，风险管理部保持高度的独立性和权威性，负责对公司各部门风险控制工作进行监督和检查。</w:t>
      </w:r>
    </w:p>
    <w:p w14:paraId="64D00BE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 相互制约原则</w:t>
      </w:r>
    </w:p>
    <w:p w14:paraId="1C66244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公司及各部门在内部组织结构的设计上要形成一种相互制约的机制，建立不同岗位之间的制衡体系。</w:t>
      </w:r>
    </w:p>
    <w:p w14:paraId="158B16A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 定性和定量相结合原则</w:t>
      </w:r>
    </w:p>
    <w:p w14:paraId="13EFFFF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建立完备的风险管理指标体系，使风险管理更具客观性和操作性。</w:t>
      </w:r>
    </w:p>
    <w:p w14:paraId="793BB2F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2、风险管理和内部风险控制体系结构</w:t>
      </w:r>
    </w:p>
    <w:p w14:paraId="024EBBA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p>
    <w:p w14:paraId="2182AA0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（1）董事会</w:t>
      </w:r>
    </w:p>
    <w:p w14:paraId="2CC086C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负责制定公司的风险管理政策，对风险管理负完全的和最终的责任。</w:t>
      </w:r>
    </w:p>
    <w:p w14:paraId="70FFB41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（2）监事会</w:t>
      </w:r>
    </w:p>
    <w:p w14:paraId="1CADE0B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是公司常设的监事机构，对股东会负责。监事会对公司财务、公司董事、总经理及其他高级管理人员进行监督。</w:t>
      </w:r>
    </w:p>
    <w:p w14:paraId="5592325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（3）合规审核及风险管理委员会</w:t>
      </w:r>
    </w:p>
    <w:p w14:paraId="64A1B1A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作为董事会下的专业委员会之一，对公司内部控制制度、监察稽核制度进行检查评估；审查公司财务，对公司内部管理制度、投资决策程序和运作流程进行合规</w:t>
      </w:r>
      <w:r>
        <w:rPr>
          <w:rFonts w:ascii="宋体" w:hAnsi="宋体"/>
          <w:sz w:val="24"/>
        </w:rPr>
        <w:lastRenderedPageBreak/>
        <w:t>性审议；对公司资产与基金资产的经营进行评估。</w:t>
      </w:r>
    </w:p>
    <w:p w14:paraId="2A295E8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（4）风险控制委员会</w:t>
      </w:r>
    </w:p>
    <w:p w14:paraId="101B915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p>
    <w:p w14:paraId="0CA2C67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（5）督察长</w:t>
      </w:r>
    </w:p>
    <w:p w14:paraId="5BA393B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独立行使督察权利；直接对董事会负责；就内部控制制度和执行情况独立地履行检查、评价、报告、建议职能；定期和不定期地向董事会报告公司内部控制执行情况。</w:t>
      </w:r>
    </w:p>
    <w:p w14:paraId="2D67F72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（6）风险管理部</w:t>
      </w:r>
    </w:p>
    <w:p w14:paraId="08817B2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p>
    <w:p w14:paraId="6A5EFEF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（7）审计部</w:t>
      </w:r>
    </w:p>
    <w:p w14:paraId="5967CAC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14:paraId="7DDB22F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（8）法律合规部</w:t>
      </w:r>
    </w:p>
    <w:p w14:paraId="5AD91C1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法律合规部负责公司的法律、合规事务及协调实施信息披露事务，依法维护公司合法权益，评估并处理公司运营中发生的法律、合规及信息披露相关问题，及时向公司管理层及全体员工传达法规及监管要求。</w:t>
      </w:r>
    </w:p>
    <w:p w14:paraId="5616BD2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（9）业务部门</w:t>
      </w:r>
    </w:p>
    <w:p w14:paraId="41642AA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风险管理是每一个业务部门首要的责任。部门经理对本部门的风险负全部责任，负责履行公司的风险管理程序，负责本部门的风险管理系统的开发、执行和维护，用于识别、监控和降低风险。</w:t>
      </w:r>
    </w:p>
    <w:p w14:paraId="3AC4670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3、风险管理和内部风险控制的措施</w:t>
      </w:r>
    </w:p>
    <w:p w14:paraId="1BB1AA7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（1）建立内控体系，完善内控制度</w:t>
      </w:r>
    </w:p>
    <w:p w14:paraId="09E5B48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公司建立、健全了内控体系，通过高管人员关于内控的明确分工，确保各项业务活动有恰当的组织和授权，确保监察活动独立，并得到高管人员的支持，同时置</w:t>
      </w:r>
      <w:r>
        <w:rPr>
          <w:rFonts w:ascii="宋体" w:hAnsi="宋体"/>
          <w:sz w:val="24"/>
        </w:rPr>
        <w:lastRenderedPageBreak/>
        <w:t>备操作手册，并定期更新。</w:t>
      </w:r>
    </w:p>
    <w:p w14:paraId="4C4A9CD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（2）建立相互分离、相互制衡的内控机制</w:t>
      </w:r>
    </w:p>
    <w:p w14:paraId="656EE39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建立、健全了各项制度，做到基金经理分开，投资决策分开，基金交易集中，形成不同部门、不同岗位之间的制衡机制，从制度上减少和防范风险。</w:t>
      </w:r>
    </w:p>
    <w:p w14:paraId="6A1E777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（3）建立、健全岗位责任制</w:t>
      </w:r>
    </w:p>
    <w:p w14:paraId="2DD9047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建立、健全了岗位责任制，使每个员工都明确自己的任务、职责，并及时将各自工作领域中的风险隐患上报，以防范和减少风险。</w:t>
      </w:r>
    </w:p>
    <w:p w14:paraId="798E127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（4）建立风险分类、识别、评估、报告、提示程序</w:t>
      </w:r>
    </w:p>
    <w:p w14:paraId="5A673E0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14:paraId="45C2F0C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（5）建立有效的内部监控系统</w:t>
      </w:r>
    </w:p>
    <w:p w14:paraId="629AD2A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建立了足够、有效的内部监控系统，如电脑预警系统、投资监控系统，对可能出现的各种风险进行全面和实时的监控。</w:t>
      </w:r>
    </w:p>
    <w:p w14:paraId="6890803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（6）使用数量化的风险管理手段</w:t>
      </w:r>
    </w:p>
    <w:p w14:paraId="0A93FAF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采取数量化、技术化的风险控制手段，建立数量化的风险管理模型，用以提示指数趋势、行业及个券的风险，以便公司及时采取有效的措施，对风险进行分散、控制和规避，尽可能地减少损失。</w:t>
      </w:r>
    </w:p>
    <w:p w14:paraId="6A0F19D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（7）提供足够的培训</w:t>
      </w:r>
    </w:p>
    <w:p w14:paraId="6060081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制定了完整的培训计划，为所有员工提供足够和适当的培训，使员工明确其职责所在，控制风险。</w:t>
      </w:r>
    </w:p>
    <w:p w14:paraId="5F23BEF6" w14:textId="77777777" w:rsidR="00C86C88" w:rsidRDefault="00D93D5A" w:rsidP="00C86C8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7961C452" w14:textId="77777777" w:rsidR="00542AF7" w:rsidRDefault="00D93D5A">
      <w:pPr>
        <w:pStyle w:val="1"/>
        <w:snapToGrid w:val="0"/>
        <w:spacing w:beforeLines="0" w:before="240" w:after="240"/>
        <w:rPr>
          <w:rFonts w:ascii="宋体" w:hAnsi="宋体"/>
          <w:szCs w:val="30"/>
        </w:rPr>
      </w:pPr>
      <w:bookmarkStart w:id="7" w:name="_Toc151542537"/>
      <w:r>
        <w:rPr>
          <w:rFonts w:ascii="Times New Roman" w:hAnsi="Times New Roman"/>
          <w:sz w:val="30"/>
        </w:rPr>
        <w:lastRenderedPageBreak/>
        <w:t>四、基金托管人</w:t>
      </w:r>
      <w:bookmarkEnd w:id="7"/>
    </w:p>
    <w:p w14:paraId="36B57FA4" w14:textId="77777777" w:rsidR="00542AF7" w:rsidRDefault="00D93D5A">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（一）基金托管人情况</w:t>
      </w:r>
    </w:p>
    <w:p w14:paraId="6BEE882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1、基本情况</w:t>
      </w:r>
    </w:p>
    <w:p w14:paraId="38EAF8C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名称：兴业银行股份有限公司</w:t>
      </w:r>
    </w:p>
    <w:p w14:paraId="29566FE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注册地址：福建省福州市台江区江滨中大道398号兴业银行大厦</w:t>
      </w:r>
    </w:p>
    <w:p w14:paraId="74102F6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办公地址：上海市银城路167号</w:t>
      </w:r>
    </w:p>
    <w:p w14:paraId="2BF6B87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邮政编码：200120</w:t>
      </w:r>
    </w:p>
    <w:p w14:paraId="330F7C6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法定代表人：吕家进</w:t>
      </w:r>
    </w:p>
    <w:p w14:paraId="7425619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成立日期：1988年8月22日</w:t>
      </w:r>
    </w:p>
    <w:p w14:paraId="591D278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批准设立机关和批准设立文号：中国人民银行总行，银复[1988]347号</w:t>
      </w:r>
    </w:p>
    <w:p w14:paraId="4E82723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基金托管业务批准文号：中国证监会证监基金字[2005]74号</w:t>
      </w:r>
    </w:p>
    <w:p w14:paraId="7D653BD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组织形式：股份有限公司</w:t>
      </w:r>
    </w:p>
    <w:p w14:paraId="2FB685D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注册资本：207.74亿元人民币</w:t>
      </w:r>
    </w:p>
    <w:p w14:paraId="0839935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14:paraId="23D69C0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2、发展概况及财务状况</w:t>
      </w:r>
    </w:p>
    <w:p w14:paraId="7B2D1C3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兴业银行成立于1988年8月，是经国务院、中国人民银行批准成立的首批股份制商业银行之一，总行设在福建省福州市，2007年2月5日正式在上海证券交易所挂牌上市（股票代码：601166），注册资本207.74亿元。截至2023年6月30日，兴业银行资产总额达9.89万亿元，实现营业收入1110.47亿元，同比降低4.15%，全年实现归属于母公司股东的净利润426.80亿元。</w:t>
      </w:r>
    </w:p>
    <w:p w14:paraId="0CA19D5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开业三十多年来，兴业银行始终坚持“真诚服务，相伴成长”的经营理念，致力于为客户提供全面、优质、高效的金融服务。</w:t>
      </w:r>
    </w:p>
    <w:p w14:paraId="2F1CECCA" w14:textId="77777777" w:rsidR="00542AF7" w:rsidRDefault="00D93D5A">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（二）托管业务部部门设置及员工情况</w:t>
      </w:r>
    </w:p>
    <w:p w14:paraId="03B4DC5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兴业银行股份有限公司总行设资产托管部，下设综合管理处、基金证券业务处、信托保险业务处、理财私募业务处、产品管理处、稽核监察处、投资监督管理处、运行管理处等处室，共有员工100余人，业务岗位人员均具有基金从业资格。</w:t>
      </w:r>
    </w:p>
    <w:p w14:paraId="4C760970" w14:textId="77777777" w:rsidR="00542AF7" w:rsidRDefault="00D93D5A">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（三）基金托管业务经营情况</w:t>
      </w:r>
    </w:p>
    <w:p w14:paraId="6754F5F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兴业银行股份有限公司于2005年4月26日取得基金托管资格。基金托管业务批准文号：证监基金字[2005]74号。截至2023年9月30日，兴业银行共托管证券投资</w:t>
      </w:r>
      <w:r>
        <w:rPr>
          <w:rFonts w:ascii="宋体" w:hAnsi="宋体"/>
          <w:sz w:val="24"/>
        </w:rPr>
        <w:lastRenderedPageBreak/>
        <w:t>基金670只，托管基金的基金资产净值合计23386.83亿元，基金份额合计22572.13亿份。</w:t>
      </w:r>
    </w:p>
    <w:p w14:paraId="416DBEC1" w14:textId="77777777" w:rsidR="00542AF7" w:rsidRDefault="00D93D5A">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（四）基金托管人的内部控制制度</w:t>
      </w:r>
    </w:p>
    <w:p w14:paraId="2A3BD5C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1、内部控制目标</w:t>
      </w:r>
    </w:p>
    <w:p w14:paraId="5484B05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严格遵守国家有关托管业务的法律法规、行业监管规章和行内有关管理规定，守法经营、规范运作、严格监察，确保业务的稳健运行，保证基金资产的安全完整，确保有关信息的真实、准确、完整、及时，保护基金份额持有人的合法权益。</w:t>
      </w:r>
    </w:p>
    <w:p w14:paraId="016F032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2、内部控制组织结构</w:t>
      </w:r>
    </w:p>
    <w:p w14:paraId="1AD7E1E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兴业银行基金托管业务内部控制组织架构由总行内部控制委员会、总行风险管理部门、总行审计部、总行资产托管部、总行运营管理部及分行托管运营机构共同组成。各级内部控制组织依照本行相关制度对本行托管业务风险管理和内部控制实施管理。</w:t>
      </w:r>
    </w:p>
    <w:p w14:paraId="6703323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3、内部控制原则</w:t>
      </w:r>
    </w:p>
    <w:p w14:paraId="00AB3E2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（1）全面性原则：内部控制贯穿资产托管业务的全过程，覆盖各项业务和产品，以及从事资产托管业务的各机构和从业人员；</w:t>
      </w:r>
    </w:p>
    <w:p w14:paraId="447BC37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（2）重要性原则：内部控制应当在全面控制的基础上，关注重要业务事项和高风险领域；</w:t>
      </w:r>
    </w:p>
    <w:p w14:paraId="5B079F8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（3）独立性原则：开展托管业务的部门和岗位的设置应权责分明、相对独立、相互制衡；</w:t>
      </w:r>
    </w:p>
    <w:p w14:paraId="4E7ED7E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（4）审慎性原则：内控与风险管理必须以防范风险，保证托管资产的安全与完整为出发点，“内控优先”，“制度优先”，审慎发展资产托管业务；</w:t>
      </w:r>
    </w:p>
    <w:p w14:paraId="732E848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（5）制衡性原则：内部控制应当在治理结构、机构设置及权责分配、业务流程等方面形成相互制约、相互监督，同时兼顾运营效率；</w:t>
      </w:r>
    </w:p>
    <w:p w14:paraId="5A9FECD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适应性原则：内部控制体系应同所处的环境相适应，以合理的成本实现内控目标，内部制度的制订应当具有前瞻性，并应当根据国家政策、法律及经营管理的需要，适时进行相应修改和完善；内部控制存在的问题应当能够得到及时反馈和纠正；</w:t>
      </w:r>
    </w:p>
    <w:p w14:paraId="444CCE7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（7）成本效益原则：内部控制应当权衡实施成本与预期效益，以适当的成本实现有效控制。</w:t>
      </w:r>
    </w:p>
    <w:p w14:paraId="5198879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4、内部控制制度及措施</w:t>
      </w:r>
    </w:p>
    <w:p w14:paraId="63966AB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（1）制度建设：建立了明确的岗位职责、科学的业务流程、详细的操作手册、严格的人员行为规范等一系列规章制度。</w:t>
      </w:r>
    </w:p>
    <w:p w14:paraId="1C88FDE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（2）建立健全的组织管理结构：前后台分离，不同部门、岗位相互牵制。</w:t>
      </w:r>
    </w:p>
    <w:p w14:paraId="4E8106F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（3）风险识别与评估：稽核监察处指导业务处室进行风险识别、评估，制定并实施风险控制措施。</w:t>
      </w:r>
    </w:p>
    <w:p w14:paraId="46F61F1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（4）相对独立的业务操作空间：业务操作区相对独立，实施门禁管理和音像监控。</w:t>
      </w:r>
    </w:p>
    <w:p w14:paraId="6B13362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（5）人员管理：进行定期的业务与职业道德培训，使员工树立风险防范与控制理念，并签订承诺书。</w:t>
      </w:r>
    </w:p>
    <w:p w14:paraId="5B125C7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（6）应急预案：制定完备的《应急预案》，并组织员工定期演练；建立异地灾备中心，保证业务不中断。</w:t>
      </w:r>
    </w:p>
    <w:p w14:paraId="6A727F2C" w14:textId="77777777" w:rsidR="00542AF7" w:rsidRDefault="00D93D5A">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（五）基金托管人对基金管理人运作基金进行监督的方法和程序</w:t>
      </w:r>
    </w:p>
    <w:p w14:paraId="4585A66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负有对基金管理人的投资运作行使监督权的职责。根据《基金法》、《运作办法》、基金合同及其他有关规定，托管人对基金的投资对象和范围、投资组合比例、投资限制、费用的计提和支付方式、基金会计核算、基金资产估值和基金净值的计算、收益分配、申购赎回以及其他有关基金投资和运作的事项，对基金管理人进行业务监督、核查。</w:t>
      </w:r>
    </w:p>
    <w:p w14:paraId="334EB5E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发现基金管理人有违反《基金法》、《运作办法》、基金合同和有关法律法规规定的行为，应及时以书面形式通知基金管理人限期纠正，基金管理人收到通知后应及时核对并以书面形式对基金托管人发出回函。在限期内，基金托管人有权随时对通知事项进行复查，督促基金管理人改正。基金管理人对基金托管人通知的违规事项未能在限期内纠正的，基金托管人应报告中国证监会。基金托管人发现基金管理人有重大违规行为，立即报告中国证监会，同时，通知基金管理人限期纠正，并将纠正结果报告中国证监会。</w:t>
      </w:r>
    </w:p>
    <w:p w14:paraId="6DA661D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基金托管人发现基金管理人的指令违反法律、行政法规和其他有关规定，或者违反基金合同约定的，应当拒绝执行，立即通知基金管理人，并及时向中国证监会报告。</w:t>
      </w:r>
    </w:p>
    <w:p w14:paraId="23049B6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基金托管人发现基金管理人依据交易程序已经生效的投资指令违反法律、行政法规和其他有关规定，或者违反基金合同约定的，应当立即通知基金管理人，并及时向中国证监会报告。</w:t>
      </w:r>
    </w:p>
    <w:p w14:paraId="02C967C1" w14:textId="77777777" w:rsidR="00C86C88" w:rsidRDefault="00D93D5A" w:rsidP="00C86C88">
      <w:pPr>
        <w:autoSpaceDE w:val="0"/>
        <w:autoSpaceDN w:val="0"/>
        <w:adjustRightInd w:val="0"/>
        <w:spacing w:line="360" w:lineRule="auto"/>
        <w:ind w:firstLineChars="200" w:firstLine="480"/>
        <w:rPr>
          <w:rFonts w:ascii="宋体" w:hAnsi="宋体"/>
          <w:szCs w:val="24"/>
        </w:rPr>
      </w:pPr>
      <w:r>
        <w:rPr>
          <w:rFonts w:ascii="宋体" w:hAnsi="宋体"/>
          <w:sz w:val="24"/>
        </w:rPr>
        <w:lastRenderedPageBreak/>
        <w:br w:type="page"/>
      </w:r>
    </w:p>
    <w:p w14:paraId="039DFB3C" w14:textId="77777777" w:rsidR="00542AF7" w:rsidRDefault="00D93D5A">
      <w:pPr>
        <w:pStyle w:val="1"/>
        <w:snapToGrid w:val="0"/>
        <w:spacing w:beforeLines="0" w:before="240" w:after="240"/>
        <w:rPr>
          <w:rFonts w:ascii="宋体" w:hAnsi="宋体"/>
          <w:szCs w:val="30"/>
        </w:rPr>
      </w:pPr>
      <w:bookmarkStart w:id="8" w:name="_Toc151542538"/>
      <w:r>
        <w:rPr>
          <w:rFonts w:ascii="Times New Roman" w:hAnsi="Times New Roman"/>
          <w:sz w:val="30"/>
        </w:rPr>
        <w:lastRenderedPageBreak/>
        <w:t>五、相关服务机构</w:t>
      </w:r>
      <w:bookmarkEnd w:id="8"/>
    </w:p>
    <w:p w14:paraId="5EBBCF0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（一）基金份额销售机构</w:t>
      </w:r>
    </w:p>
    <w:p w14:paraId="6602A3D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1、直销机构</w:t>
      </w:r>
    </w:p>
    <w:p w14:paraId="0E544B4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本基金直销机构为本公司直销柜台以及本公司的网上直销交易平台（网站及APP，下同）。</w:t>
      </w:r>
    </w:p>
    <w:p w14:paraId="52D8599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机构名称：交银施罗德基金管理有限公司</w:t>
      </w:r>
    </w:p>
    <w:p w14:paraId="50F14F7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14:paraId="54836E9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14:paraId="51374EB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法定代表人：阮红</w:t>
      </w:r>
    </w:p>
    <w:p w14:paraId="51D34F2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成立时间：2005年8月4日</w:t>
      </w:r>
    </w:p>
    <w:p w14:paraId="32900CA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电话：（021）61055724</w:t>
      </w:r>
    </w:p>
    <w:p w14:paraId="5B42C7D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传真：（021）61055054</w:t>
      </w:r>
    </w:p>
    <w:p w14:paraId="2BFAA85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联系人：傅鲸</w:t>
      </w:r>
    </w:p>
    <w:p w14:paraId="4A19659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客户服务电话：400-700-5000（免长途话费），（021）61055000</w:t>
      </w:r>
    </w:p>
    <w:p w14:paraId="4B5AB34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14:paraId="719CCD2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个人投资者可以通过基金管理人网上直销交易平台办理开户、本基金的申购、赎回、定期定额投资、转换等业务，具体交易细则请参阅基金管理人网站。</w:t>
      </w:r>
    </w:p>
    <w:p w14:paraId="27778F5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网上直销交易平台网址：www. fund001.com。</w:t>
      </w:r>
    </w:p>
    <w:p w14:paraId="30C2B06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2、代销机构</w:t>
      </w:r>
    </w:p>
    <w:p w14:paraId="6BA6A1DB" w14:textId="77777777" w:rsidR="00BE6EDA" w:rsidRDefault="00BE6EDA">
      <w:pPr>
        <w:autoSpaceDE w:val="0"/>
        <w:autoSpaceDN w:val="0"/>
        <w:adjustRightInd w:val="0"/>
        <w:snapToGrid w:val="0"/>
        <w:spacing w:line="360" w:lineRule="auto"/>
        <w:ind w:firstLineChars="200" w:firstLine="480"/>
        <w:jc w:val="left"/>
        <w:rPr>
          <w:rFonts w:ascii="宋体" w:hAnsi="宋体"/>
          <w:sz w:val="24"/>
        </w:rPr>
      </w:pPr>
      <w:r w:rsidRPr="002D387B">
        <w:rPr>
          <w:rFonts w:ascii="宋体" w:hAnsi="宋体" w:hint="eastAsia"/>
          <w:sz w:val="24"/>
        </w:rPr>
        <w:t>本基金A类基金份额和C类基金份额除直销机构外的其他销售机构：</w:t>
      </w:r>
    </w:p>
    <w:p w14:paraId="37F566C9" w14:textId="198DB006"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（1）名称：交通银行股份有限公司</w:t>
      </w:r>
    </w:p>
    <w:p w14:paraId="5C74F5E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住所：上海市浦东新区银城中路188号</w:t>
      </w:r>
    </w:p>
    <w:p w14:paraId="0E0B54D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办公地址：上海市浦东新区银城中路188号</w:t>
      </w:r>
    </w:p>
    <w:p w14:paraId="63C1E05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法定代表人：任德奇</w:t>
      </w:r>
    </w:p>
    <w:p w14:paraId="1FC7701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电话：（021）58781234</w:t>
      </w:r>
    </w:p>
    <w:p w14:paraId="41234AE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传真：（021）58408483</w:t>
      </w:r>
    </w:p>
    <w:p w14:paraId="01FDCDD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联系人：范瑞波</w:t>
      </w:r>
    </w:p>
    <w:p w14:paraId="00CDD0D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客户服务电话：95559</w:t>
      </w:r>
    </w:p>
    <w:p w14:paraId="72D0F8D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网址：www.bankcomm.com</w:t>
      </w:r>
    </w:p>
    <w:p w14:paraId="55E6ED7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（2）名称：中国民生银行股份有限公司</w:t>
      </w:r>
    </w:p>
    <w:p w14:paraId="1731098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住所：北京市西城区复兴门内大街2号</w:t>
      </w:r>
    </w:p>
    <w:p w14:paraId="4F487B2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办公地址：北京市西城区复兴门内大街2号</w:t>
      </w:r>
    </w:p>
    <w:p w14:paraId="2AAA717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法定代表人：洪崎</w:t>
      </w:r>
    </w:p>
    <w:p w14:paraId="67CF052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电话：（010）58560666</w:t>
      </w:r>
    </w:p>
    <w:p w14:paraId="0C062BE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传真：（010）57092611</w:t>
      </w:r>
    </w:p>
    <w:p w14:paraId="63CED1E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联系人：许野</w:t>
      </w:r>
    </w:p>
    <w:p w14:paraId="1057390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 95568</w:t>
      </w:r>
    </w:p>
    <w:p w14:paraId="7D3283A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网址：www.cmbc.com.cn</w:t>
      </w:r>
    </w:p>
    <w:p w14:paraId="15F2530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（3）名称：招商银行股份有限公司</w:t>
      </w:r>
    </w:p>
    <w:p w14:paraId="0C68CD0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住所：深圳市福田区深南大道7088号</w:t>
      </w:r>
    </w:p>
    <w:p w14:paraId="2B8F2F7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办公地址：深圳市福田区深南大道7088号</w:t>
      </w:r>
    </w:p>
    <w:p w14:paraId="2F1C7D2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法定代表人：缪建民</w:t>
      </w:r>
    </w:p>
    <w:p w14:paraId="72F9753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电话：（0755）83198888</w:t>
      </w:r>
    </w:p>
    <w:p w14:paraId="6711AB9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传真：（0755）83195109</w:t>
      </w:r>
    </w:p>
    <w:p w14:paraId="2BF0DB7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联系人：季平伟</w:t>
      </w:r>
    </w:p>
    <w:p w14:paraId="5220E1C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客户服务电话：95555</w:t>
      </w:r>
    </w:p>
    <w:p w14:paraId="5282CFA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网址：www.cmbchina.com</w:t>
      </w:r>
    </w:p>
    <w:p w14:paraId="7F645E1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（4）名称：兴业银行股份有限公司</w:t>
      </w:r>
    </w:p>
    <w:p w14:paraId="487B0CF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注册地址：福建省福州市湖东路154号中山大厦</w:t>
      </w:r>
    </w:p>
    <w:p w14:paraId="33AE6EB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办公地址：上海市浦东新区银城路 167 号兴业银行大厦</w:t>
      </w:r>
    </w:p>
    <w:p w14:paraId="45DA921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法定代表人：吕家进</w:t>
      </w:r>
    </w:p>
    <w:p w14:paraId="6D24336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联系人：蔡宣铭</w:t>
      </w:r>
    </w:p>
    <w:p w14:paraId="20D4101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联系电话：021-52629999</w:t>
      </w:r>
    </w:p>
    <w:p w14:paraId="0279318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客服热线：95561</w:t>
      </w:r>
    </w:p>
    <w:p w14:paraId="7E6D90E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网址：www.cib.com.cn</w:t>
      </w:r>
    </w:p>
    <w:p w14:paraId="4C5C189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（5）名称：德邦证券有限责任公司</w:t>
      </w:r>
    </w:p>
    <w:p w14:paraId="0427B48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住所：上海市普陀区曹杨路510号南半幢9楼</w:t>
      </w:r>
    </w:p>
    <w:p w14:paraId="0245022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办公地址：上海市福山路500号城建大厦26楼</w:t>
      </w:r>
    </w:p>
    <w:p w14:paraId="2C6F34C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法定代表人：姚文平</w:t>
      </w:r>
    </w:p>
    <w:p w14:paraId="4147B39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电话：（021）68761616</w:t>
      </w:r>
    </w:p>
    <w:p w14:paraId="76C2ADA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传真：（021）68767981</w:t>
      </w:r>
    </w:p>
    <w:p w14:paraId="258BF5A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客户服务电话：4008-888-128</w:t>
      </w:r>
    </w:p>
    <w:p w14:paraId="055B940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网址：www.tebon.com.cn</w:t>
      </w:r>
    </w:p>
    <w:p w14:paraId="254ACFA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（6）名称：中信建投证券股份有限公司</w:t>
      </w:r>
    </w:p>
    <w:p w14:paraId="420BE30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住所：北京市朝阳区安立路66号4号楼</w:t>
      </w:r>
    </w:p>
    <w:p w14:paraId="5D10417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办公地址：北京市朝阳门内大街188号</w:t>
      </w:r>
    </w:p>
    <w:p w14:paraId="53ACD44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法定代表人：王常青</w:t>
      </w:r>
    </w:p>
    <w:p w14:paraId="2858F51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电话：（010）85130588</w:t>
      </w:r>
    </w:p>
    <w:p w14:paraId="77BF8E3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传真：（010）65182261</w:t>
      </w:r>
    </w:p>
    <w:p w14:paraId="0AC0589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联系人：魏明</w:t>
      </w:r>
    </w:p>
    <w:p w14:paraId="10131C6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客户服务电话：95587</w:t>
      </w:r>
    </w:p>
    <w:p w14:paraId="48347D5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网址：www.csc108.com</w:t>
      </w:r>
    </w:p>
    <w:p w14:paraId="20B8829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（7）名称：广发证券股份有限公司</w:t>
      </w:r>
    </w:p>
    <w:p w14:paraId="61769F7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住所：广州市黄埔区中新广州知识城腾飞一街2号618室</w:t>
      </w:r>
    </w:p>
    <w:p w14:paraId="1ED166F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办公地址：广州市天河区马场路26号广发证券大厦</w:t>
      </w:r>
    </w:p>
    <w:p w14:paraId="6266C79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法定代表人：孙树明</w:t>
      </w:r>
    </w:p>
    <w:p w14:paraId="1C0329B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电话：（020）66338888</w:t>
      </w:r>
    </w:p>
    <w:p w14:paraId="40635C9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传真：（020）87553600</w:t>
      </w:r>
    </w:p>
    <w:p w14:paraId="3EE3FF4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联系人：马梦洁</w:t>
      </w:r>
    </w:p>
    <w:p w14:paraId="4BC4E1E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客户服务电话：95575</w:t>
      </w:r>
    </w:p>
    <w:p w14:paraId="5B1BC4C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网址：www.gf.com.cn</w:t>
      </w:r>
    </w:p>
    <w:p w14:paraId="53588F9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（8）名称：华西证券股份有限公司</w:t>
      </w:r>
    </w:p>
    <w:p w14:paraId="0789350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住所：四川省成都市高新区天府二街198号华西证券大厦</w:t>
      </w:r>
    </w:p>
    <w:p w14:paraId="35C4F91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办公地址：四川省成都市高新区天府二街198号华西证券大厦</w:t>
      </w:r>
    </w:p>
    <w:p w14:paraId="6095624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法定代表人：杨炯洋</w:t>
      </w:r>
    </w:p>
    <w:p w14:paraId="5DE896C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电话：（028）86135991</w:t>
      </w:r>
    </w:p>
    <w:p w14:paraId="3EED780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传真：（028）86150400</w:t>
      </w:r>
    </w:p>
    <w:p w14:paraId="3723A58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联系人：周志茹</w:t>
      </w:r>
    </w:p>
    <w:p w14:paraId="6D91E9D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客户服务电话：95584</w:t>
      </w:r>
    </w:p>
    <w:p w14:paraId="11C5712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网址：www.hx168.com.cn</w:t>
      </w:r>
    </w:p>
    <w:p w14:paraId="5E92523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（9）名称：华泰证券股份有限公司</w:t>
      </w:r>
    </w:p>
    <w:p w14:paraId="2E68BD2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住所：江苏省南京市江东中路228号</w:t>
      </w:r>
    </w:p>
    <w:p w14:paraId="032E663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办公地址：江苏省南京市建邺区江东中路228号华泰证券广场</w:t>
      </w:r>
    </w:p>
    <w:p w14:paraId="2613A03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法定代表人：张伟</w:t>
      </w:r>
    </w:p>
    <w:p w14:paraId="59F6818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电话：（0755）82492193</w:t>
      </w:r>
    </w:p>
    <w:p w14:paraId="60D4DCB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传真：（0755）82492962</w:t>
      </w:r>
    </w:p>
    <w:p w14:paraId="6123E77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联系人：胡子豪</w:t>
      </w:r>
    </w:p>
    <w:p w14:paraId="3973A6A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客户服务电话：95597</w:t>
      </w:r>
    </w:p>
    <w:p w14:paraId="24CD607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网址：www.htsc.com.cn</w:t>
      </w:r>
    </w:p>
    <w:p w14:paraId="75FB4CA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（10）名称：兴业证券股份有限公司</w:t>
      </w:r>
    </w:p>
    <w:p w14:paraId="44B7F00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住所：福州市湖东路268号</w:t>
      </w:r>
    </w:p>
    <w:p w14:paraId="5F7FAB6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办公地址：上海市浦东新区长柳路36号</w:t>
      </w:r>
    </w:p>
    <w:p w14:paraId="3FDEB7F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法定代表人：杨华辉</w:t>
      </w:r>
    </w:p>
    <w:p w14:paraId="5E43CDF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 021-38565547</w:t>
      </w:r>
    </w:p>
    <w:p w14:paraId="6A40D9F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联系人：乔琳雪</w:t>
      </w:r>
    </w:p>
    <w:p w14:paraId="54F6A7C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www.xyzq.com.cn</w:t>
      </w:r>
    </w:p>
    <w:p w14:paraId="158F6F5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客户服务电话：95562</w:t>
      </w:r>
    </w:p>
    <w:p w14:paraId="3AAEFB4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（11）名称：上海天天基金销售有限公司</w:t>
      </w:r>
    </w:p>
    <w:p w14:paraId="65E9AB4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住所：上海市徐汇区龙田路190号2号楼2层</w:t>
      </w:r>
    </w:p>
    <w:p w14:paraId="505BB0C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办公地址：上海市徐汇区龙田路195号3C座10楼</w:t>
      </w:r>
    </w:p>
    <w:p w14:paraId="6898DBA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法定代表人：其实</w:t>
      </w:r>
    </w:p>
    <w:p w14:paraId="4B2F024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电话：（021）54509998</w:t>
      </w:r>
    </w:p>
    <w:p w14:paraId="65769C7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传真：（021）64385308</w:t>
      </w:r>
    </w:p>
    <w:p w14:paraId="125CFF5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联系人：潘世友</w:t>
      </w:r>
    </w:p>
    <w:p w14:paraId="14BD318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客户服务电话：400-1818-188</w:t>
      </w:r>
    </w:p>
    <w:p w14:paraId="39210DD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网址：www.1234567.com.cn</w:t>
      </w:r>
    </w:p>
    <w:p w14:paraId="441C9AC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（12）名称：珠海盈米财富管理有限公司</w:t>
      </w:r>
    </w:p>
    <w:p w14:paraId="186A2AB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住所：珠海市横琴新区宝华路6号105室-3491</w:t>
      </w:r>
    </w:p>
    <w:p w14:paraId="3BF6973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办公地址：广州市海珠区琶洲大道东1号保利国际广场南塔12楼B1201-1203</w:t>
      </w:r>
    </w:p>
    <w:p w14:paraId="7E12CFF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法定代表人：肖雯</w:t>
      </w:r>
    </w:p>
    <w:p w14:paraId="32C06A0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电话：（020）89629099</w:t>
      </w:r>
    </w:p>
    <w:p w14:paraId="1AAF823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传真：（020）89629011</w:t>
      </w:r>
    </w:p>
    <w:p w14:paraId="5A22D69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联系人：黄敏嫦</w:t>
      </w:r>
    </w:p>
    <w:p w14:paraId="058E2BB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客户服务电话：（020）89629066</w:t>
      </w:r>
    </w:p>
    <w:p w14:paraId="3A2F669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网址：www.yingmi.cn</w:t>
      </w:r>
    </w:p>
    <w:p w14:paraId="4780872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（13）名称：蚂蚁（杭州）基金销售有限公司</w:t>
      </w:r>
    </w:p>
    <w:p w14:paraId="28CDAF2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住所：浙江省杭州市余杭区五常街道文一西路969号3幢5层599室</w:t>
      </w:r>
    </w:p>
    <w:p w14:paraId="75C4FF5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办公地址：浙江省杭州市西湖区西溪路556号</w:t>
      </w:r>
    </w:p>
    <w:p w14:paraId="2183E7A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法定代表人：王珺</w:t>
      </w:r>
    </w:p>
    <w:p w14:paraId="5C5B872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联系人：韩爱彬</w:t>
      </w:r>
    </w:p>
    <w:p w14:paraId="3E5BC81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客户服务电话：95188-8</w:t>
      </w:r>
    </w:p>
    <w:p w14:paraId="62170E2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网址：www.fund123.cn</w:t>
      </w:r>
    </w:p>
    <w:p w14:paraId="298740D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（14）名称：北京创金启富基金销售有限公司</w:t>
      </w:r>
    </w:p>
    <w:p w14:paraId="44D055C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北京市西城区民丰胡同31号中水大厦215A</w:t>
      </w:r>
    </w:p>
    <w:p w14:paraId="0778421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办公地址：北京市西城区白纸坊东街2号经济日报社A综合楼712室</w:t>
      </w:r>
    </w:p>
    <w:p w14:paraId="2B8C0AB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法定代表人：梁蓉</w:t>
      </w:r>
    </w:p>
    <w:p w14:paraId="3683648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电话：（010）66154828</w:t>
      </w:r>
    </w:p>
    <w:p w14:paraId="69B426F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传真：（010）63583991</w:t>
      </w:r>
    </w:p>
    <w:p w14:paraId="3F46E99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联系人：李婷婷</w:t>
      </w:r>
    </w:p>
    <w:p w14:paraId="1E7BC08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客户服务电话：400-6262-818</w:t>
      </w:r>
    </w:p>
    <w:p w14:paraId="0C96259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www.5irich.com</w:t>
      </w:r>
    </w:p>
    <w:p w14:paraId="772C887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（15）名称：北京雪球基金销售有限公司</w:t>
      </w:r>
    </w:p>
    <w:p w14:paraId="027D089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住所：北京市朝阳区阜通东大街1号院6号楼2单元21层222507</w:t>
      </w:r>
    </w:p>
    <w:p w14:paraId="11BE5E8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办公地址：北京市朝阳区创远路 34 号院融新科技中心 C 座 17 层</w:t>
      </w:r>
    </w:p>
    <w:p w14:paraId="4F3DD95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法定代表人：钟斐斐</w:t>
      </w:r>
    </w:p>
    <w:p w14:paraId="12C8674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电话：（010）61840688</w:t>
      </w:r>
    </w:p>
    <w:p w14:paraId="2D2DF15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传真：（010）84997571</w:t>
      </w:r>
    </w:p>
    <w:p w14:paraId="56918B4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联系人：侯芳芳</w:t>
      </w:r>
    </w:p>
    <w:p w14:paraId="2899CEE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客户服务电话：400-1599-288</w:t>
      </w:r>
    </w:p>
    <w:p w14:paraId="2FA279A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网址：https://danjuanapp.com</w:t>
      </w:r>
    </w:p>
    <w:p w14:paraId="07212B4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（16）名称：上海联泰基金销售有限公司</w:t>
      </w:r>
    </w:p>
    <w:p w14:paraId="1E85D3B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住所：中国（上海）自由贸易试验区富特北路277号3层310室</w:t>
      </w:r>
    </w:p>
    <w:p w14:paraId="0F18625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办公地址：上海市长宁区福泉北路518号8座3楼</w:t>
      </w:r>
    </w:p>
    <w:p w14:paraId="35822A7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法定代表人：燕斌</w:t>
      </w:r>
    </w:p>
    <w:p w14:paraId="5DA3857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电话：021-52822063</w:t>
      </w:r>
    </w:p>
    <w:p w14:paraId="65444AE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传真：021-52975270</w:t>
      </w:r>
    </w:p>
    <w:p w14:paraId="07FB230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联系人：凌秋艳</w:t>
      </w:r>
    </w:p>
    <w:p w14:paraId="487B1DC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客户服务电话：4000-466-788</w:t>
      </w:r>
    </w:p>
    <w:p w14:paraId="3632468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网址：www.66zichan.com</w:t>
      </w:r>
    </w:p>
    <w:p w14:paraId="41C80D0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（17）名称：南京苏宁基金销售有限公司</w:t>
      </w:r>
    </w:p>
    <w:p w14:paraId="32A8553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住所：南京市玄武区苏宁大道1-5号</w:t>
      </w:r>
    </w:p>
    <w:p w14:paraId="7ED9844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办公地址：南京市玄武区苏宁大道1-5号</w:t>
      </w:r>
    </w:p>
    <w:p w14:paraId="79B58B0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法定代表人：王锋</w:t>
      </w:r>
    </w:p>
    <w:p w14:paraId="44A4BFD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电话：025-66996699</w:t>
      </w:r>
    </w:p>
    <w:p w14:paraId="7F60DC5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传真：025-66996699</w:t>
      </w:r>
    </w:p>
    <w:p w14:paraId="41F2071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冯鹏鹏</w:t>
      </w:r>
    </w:p>
    <w:p w14:paraId="7D07DA2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客户服务电话：95177</w:t>
      </w:r>
    </w:p>
    <w:p w14:paraId="3148ABE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www.snjijin.com</w:t>
      </w:r>
    </w:p>
    <w:p w14:paraId="4BF6F36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（18）名称：上海挖财金融信息服务有限公司</w:t>
      </w:r>
    </w:p>
    <w:p w14:paraId="5BE4FC1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住所：中国（上海）自由贸易试验区杨高南路799号5层01、02、03室</w:t>
      </w:r>
    </w:p>
    <w:p w14:paraId="7AA76B8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办公地址：中国（上海）自由贸易试验区杨高南路799号5层01、02、03室</w:t>
      </w:r>
    </w:p>
    <w:p w14:paraId="03D5C35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胡燕亮</w:t>
      </w:r>
    </w:p>
    <w:p w14:paraId="3AB470A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电话：（021）50810687</w:t>
      </w:r>
    </w:p>
    <w:p w14:paraId="37533E9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传真：（021）58300279</w:t>
      </w:r>
    </w:p>
    <w:p w14:paraId="0F94107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李娟</w:t>
      </w:r>
    </w:p>
    <w:p w14:paraId="3E48DCF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客户服务电话：（021）50810673</w:t>
      </w:r>
    </w:p>
    <w:p w14:paraId="0C51652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网址：www.wacaijijin.com</w:t>
      </w:r>
    </w:p>
    <w:p w14:paraId="29A2E50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（19）名称：北京肯特瑞基金销售有限公司</w:t>
      </w:r>
    </w:p>
    <w:p w14:paraId="6938550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北京市海淀区西三旗建材城中路12号17号平房157</w:t>
      </w:r>
    </w:p>
    <w:p w14:paraId="31226BB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办公地址：北京市通州区亦庄经济技术开发区科创十一街18号院京东集团总部A座15层</w:t>
      </w:r>
    </w:p>
    <w:p w14:paraId="108C4A7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法定代表人：王苏宁</w:t>
      </w:r>
    </w:p>
    <w:p w14:paraId="7110928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电话：95118</w:t>
      </w:r>
    </w:p>
    <w:p w14:paraId="23D2888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传真：010-89189566</w:t>
      </w:r>
    </w:p>
    <w:p w14:paraId="5ECC9F7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联系人：李丹</w:t>
      </w:r>
    </w:p>
    <w:p w14:paraId="6B0FC00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客服热线：95118</w:t>
      </w:r>
    </w:p>
    <w:p w14:paraId="56468DC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网址：kenterui.jd.com</w:t>
      </w:r>
    </w:p>
    <w:p w14:paraId="6BBAF9C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（20）名称：阳光人寿保险股份有限公司</w:t>
      </w:r>
    </w:p>
    <w:p w14:paraId="7F0CBD8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住所：海南省三亚市迎宾路360-1号三亚阳光金融广场16层</w:t>
      </w:r>
    </w:p>
    <w:p w14:paraId="26D0B30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办公地址：北京市朝阳区朝阳门外大街乙12号院1号昆泰国际大厦12层</w:t>
      </w:r>
    </w:p>
    <w:p w14:paraId="2F71B1B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法定代表人：李科</w:t>
      </w:r>
    </w:p>
    <w:p w14:paraId="37BAC77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电话：（010）85632771</w:t>
      </w:r>
    </w:p>
    <w:p w14:paraId="1382025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传真：（010）85632773</w:t>
      </w:r>
    </w:p>
    <w:p w14:paraId="7DA141C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联系人：王超</w:t>
      </w:r>
    </w:p>
    <w:p w14:paraId="2E64B47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客户服务电话：95510</w:t>
      </w:r>
    </w:p>
    <w:p w14:paraId="686C6FA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网址：http://fund.sinosig.com</w:t>
      </w:r>
    </w:p>
    <w:p w14:paraId="23054B5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（21）名称：大连网金基金销售有限公司</w:t>
      </w:r>
    </w:p>
    <w:p w14:paraId="1D2910D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辽宁省大连市沙河口区体坛路22号诺德大厦2层202室</w:t>
      </w:r>
    </w:p>
    <w:p w14:paraId="4B78E59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辽宁省大连市沙河口区体坛路22号诺德大厦2层202室</w:t>
      </w:r>
    </w:p>
    <w:p w14:paraId="780BF27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樊怀东</w:t>
      </w:r>
    </w:p>
    <w:p w14:paraId="7D61DD0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电话：（0411-39027810）</w:t>
      </w:r>
    </w:p>
    <w:p w14:paraId="2E69441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传真：（0411-39027835）</w:t>
      </w:r>
    </w:p>
    <w:p w14:paraId="1764F0A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于秀</w:t>
      </w:r>
    </w:p>
    <w:p w14:paraId="1671248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 4000-899-100</w:t>
      </w:r>
    </w:p>
    <w:p w14:paraId="0D929A5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网址：http://www.yibaijin.com</w:t>
      </w:r>
    </w:p>
    <w:p w14:paraId="4C38EDC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（22）名称：博时财富基金销售有限公司</w:t>
      </w:r>
    </w:p>
    <w:p w14:paraId="3F05C44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住所：深圳市福田区莲花街道福新社区益田路5999号基金大厦19层</w:t>
      </w:r>
    </w:p>
    <w:p w14:paraId="5B47B65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办公地址：深圳市福田区莲花街道福新社区益田路5999号基金大厦19层</w:t>
      </w:r>
    </w:p>
    <w:p w14:paraId="692B7D6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法定代表人：王德英</w:t>
      </w:r>
    </w:p>
    <w:p w14:paraId="4475AE2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电话：0755-83169999</w:t>
      </w:r>
    </w:p>
    <w:p w14:paraId="71A8008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传真：0755-83195220</w:t>
      </w:r>
    </w:p>
    <w:p w14:paraId="5529823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联系人：崔丹</w:t>
      </w:r>
    </w:p>
    <w:p w14:paraId="3474D73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客户服务电话：400-610-5568</w:t>
      </w:r>
    </w:p>
    <w:p w14:paraId="01720A8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网址：www.boserawealth.com</w:t>
      </w:r>
    </w:p>
    <w:p w14:paraId="0F0B1FA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（23）名称：腾安基金销售（深圳）有限公司</w:t>
      </w:r>
    </w:p>
    <w:p w14:paraId="38C958F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住所：深圳市前海深港合作区前湾一路1号A栋201室（入驻深圳市前海商务秘书有限公司）</w:t>
      </w:r>
    </w:p>
    <w:p w14:paraId="1F674CF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办公地址：深圳市南山区海天二路33号腾讯滨海大厦</w:t>
      </w:r>
    </w:p>
    <w:p w14:paraId="590095A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法定代表人：刘明军</w:t>
      </w:r>
    </w:p>
    <w:p w14:paraId="067A973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电话：95017（拨通后转1转8）</w:t>
      </w:r>
    </w:p>
    <w:p w14:paraId="2807E78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联系人：谭广峰</w:t>
      </w:r>
    </w:p>
    <w:p w14:paraId="5249277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客户服务电话：95017（拨通后转1转8）</w:t>
      </w:r>
    </w:p>
    <w:p w14:paraId="5B7CC84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网址：http://www.tenganxinxi.com/</w:t>
      </w:r>
    </w:p>
    <w:p w14:paraId="5D1BBB1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（24）名称：北京汇成基金销售有限公司</w:t>
      </w:r>
    </w:p>
    <w:p w14:paraId="0BE5016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住所：北京市西城区宣武门外大街甲1号4层401-2</w:t>
      </w:r>
    </w:p>
    <w:p w14:paraId="6B74828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办公地址：北京市西城区宣武门外大街甲1号环球财讯中心D座4层401-2</w:t>
      </w:r>
    </w:p>
    <w:p w14:paraId="6FC1076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法定代表人：王伟刚</w:t>
      </w:r>
    </w:p>
    <w:p w14:paraId="5B46E76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电话：（010）56282140</w:t>
      </w:r>
    </w:p>
    <w:p w14:paraId="4A27DED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传真：（010）62680827</w:t>
      </w:r>
    </w:p>
    <w:p w14:paraId="769CAD1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联系人：张林</w:t>
      </w:r>
    </w:p>
    <w:p w14:paraId="73A8C35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客户服务电话：400-619-9059</w:t>
      </w:r>
    </w:p>
    <w:p w14:paraId="2C5AA9D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网址：www.hcfunds.com</w:t>
      </w:r>
    </w:p>
    <w:p w14:paraId="2D3155D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（25）名称：诺亚正行(上海)基金销售投资顾问有限公司</w:t>
      </w:r>
    </w:p>
    <w:p w14:paraId="58B8268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住所：上海市虹口区飞虹路360弄9号3724室</w:t>
      </w:r>
    </w:p>
    <w:p w14:paraId="2BAACCB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办公地址：上海杨浦区秦皇岛路32号C栋 2楼</w:t>
      </w:r>
    </w:p>
    <w:p w14:paraId="527BF00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法定代表人：汪静波</w:t>
      </w:r>
    </w:p>
    <w:p w14:paraId="77B51AA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电话：（021）38600735</w:t>
      </w:r>
    </w:p>
    <w:p w14:paraId="79CD7DF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传真：（021）38509777</w:t>
      </w:r>
    </w:p>
    <w:p w14:paraId="5B6771F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联系人：方成</w:t>
      </w:r>
    </w:p>
    <w:p w14:paraId="2A8C9C0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客户服务电话：400-821-5399</w:t>
      </w:r>
    </w:p>
    <w:p w14:paraId="6F49827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网址：www.noah-fund.com</w:t>
      </w:r>
    </w:p>
    <w:p w14:paraId="721F009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（26）名称：上海利得基金销售有限公司</w:t>
      </w:r>
    </w:p>
    <w:p w14:paraId="2A66C0A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上海浦东新区峨山路91弄61号陆家嘴软件园10号楼12楼</w:t>
      </w:r>
    </w:p>
    <w:p w14:paraId="42FA979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办公地址：上海浦东新区峨山路91弄61号陆家嘴软件园10号楼12楼</w:t>
      </w:r>
    </w:p>
    <w:p w14:paraId="2297826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法定代表人：沈继伟</w:t>
      </w:r>
    </w:p>
    <w:p w14:paraId="2971B85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电话：021-50583533</w:t>
      </w:r>
    </w:p>
    <w:p w14:paraId="0ABA2AD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传真：021-50583633</w:t>
      </w:r>
    </w:p>
    <w:p w14:paraId="230B35C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徐鹏</w:t>
      </w:r>
    </w:p>
    <w:p w14:paraId="001AF6C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客服电话：400-005-6355</w:t>
      </w:r>
    </w:p>
    <w:p w14:paraId="257AD25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网址：a.leadfund.com.cn</w:t>
      </w:r>
    </w:p>
    <w:p w14:paraId="73E4327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（27）名称：泛华普益基金销售有限公司</w:t>
      </w:r>
    </w:p>
    <w:p w14:paraId="1470E5C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住所：成都市成华区建设路9号高地中心1101室</w:t>
      </w:r>
    </w:p>
    <w:p w14:paraId="4A2D034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办公地址：成都市金牛区花照壁西顺街399号1栋1单元龙湖西宸天街B座1201号</w:t>
      </w:r>
    </w:p>
    <w:p w14:paraId="3BE4774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法定代表人：于海锋</w:t>
      </w:r>
    </w:p>
    <w:p w14:paraId="46C1355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电话：028-8661-6229</w:t>
      </w:r>
    </w:p>
    <w:p w14:paraId="7D27195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传真：无</w:t>
      </w:r>
    </w:p>
    <w:p w14:paraId="6003682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联系人：隋亚方</w:t>
      </w:r>
    </w:p>
    <w:p w14:paraId="7DBEB83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客户服务电话：400-080-3388</w:t>
      </w:r>
    </w:p>
    <w:p w14:paraId="18AEFED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网址：https://www.puyifund.com/</w:t>
      </w:r>
    </w:p>
    <w:p w14:paraId="570BC381" w14:textId="77777777" w:rsidR="00BE6EDA" w:rsidRDefault="00BE6EDA" w:rsidP="00BE6EDA">
      <w:pPr>
        <w:autoSpaceDE w:val="0"/>
        <w:autoSpaceDN w:val="0"/>
        <w:adjustRightInd w:val="0"/>
        <w:snapToGrid w:val="0"/>
        <w:spacing w:line="360" w:lineRule="auto"/>
        <w:ind w:firstLineChars="200" w:firstLine="480"/>
        <w:jc w:val="left"/>
        <w:rPr>
          <w:rFonts w:ascii="宋体" w:hAnsi="宋体"/>
          <w:sz w:val="24"/>
        </w:rPr>
      </w:pPr>
      <w:r w:rsidRPr="001B36AC">
        <w:rPr>
          <w:rFonts w:ascii="宋体" w:hAnsi="宋体" w:hint="eastAsia"/>
          <w:sz w:val="24"/>
        </w:rPr>
        <w:t>本基金D</w:t>
      </w:r>
      <w:r>
        <w:rPr>
          <w:rFonts w:ascii="宋体" w:hAnsi="宋体" w:hint="eastAsia"/>
          <w:sz w:val="24"/>
        </w:rPr>
        <w:t>类基金份额暂仅</w:t>
      </w:r>
      <w:r w:rsidRPr="001B36AC">
        <w:rPr>
          <w:rFonts w:ascii="宋体" w:hAnsi="宋体" w:hint="eastAsia"/>
          <w:sz w:val="24"/>
        </w:rPr>
        <w:t>通过直销机构销售。</w:t>
      </w:r>
    </w:p>
    <w:p w14:paraId="0C73293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基金管理人可根据有关法律法规的要求，选择其它符合要求的机构销售本基金，并及时公告。</w:t>
      </w:r>
    </w:p>
    <w:p w14:paraId="3900014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（二）登记机构</w:t>
      </w:r>
    </w:p>
    <w:p w14:paraId="503E281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名称：中国证券登记结算有限责任公司</w:t>
      </w:r>
    </w:p>
    <w:p w14:paraId="7B9584C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住所：北京市西城区太平桥大街17号</w:t>
      </w:r>
    </w:p>
    <w:p w14:paraId="3214830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办公地址：北京市西城区太平桥大街17号</w:t>
      </w:r>
    </w:p>
    <w:p w14:paraId="57F3028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法定代表人：于文强</w:t>
      </w:r>
    </w:p>
    <w:p w14:paraId="20B3BE5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电话：（010）50938782</w:t>
      </w:r>
    </w:p>
    <w:p w14:paraId="2A9AFC2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传真：（010）50938907</w:t>
      </w:r>
    </w:p>
    <w:p w14:paraId="16C771F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联系人：赵亦清</w:t>
      </w:r>
    </w:p>
    <w:p w14:paraId="7C6C648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（三）出具法律意见书的律师事务所</w:t>
      </w:r>
    </w:p>
    <w:p w14:paraId="655A622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名称：上海市通力律师事务所</w:t>
      </w:r>
    </w:p>
    <w:p w14:paraId="5774E9A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住所：上海市银城中路68号时代金融中心19楼</w:t>
      </w:r>
    </w:p>
    <w:p w14:paraId="3B34AA4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办公地址：上海市银城中路68号时代金融中心19楼</w:t>
      </w:r>
    </w:p>
    <w:p w14:paraId="6E75FE6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负责人：韩炯</w:t>
      </w:r>
    </w:p>
    <w:p w14:paraId="3FAD724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电话：（021）31358666</w:t>
      </w:r>
    </w:p>
    <w:p w14:paraId="7C053AB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传真：（021）31358600</w:t>
      </w:r>
    </w:p>
    <w:p w14:paraId="6FA9AE0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联系人：丁媛</w:t>
      </w:r>
    </w:p>
    <w:p w14:paraId="5B85599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经办律师：黎明、丁媛</w:t>
      </w:r>
    </w:p>
    <w:p w14:paraId="25C9FD9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（四）审计基金财产的会计师事务所</w:t>
      </w:r>
    </w:p>
    <w:p w14:paraId="51129BF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名称：普华永道中天会计师事务所（特殊普通合伙）</w:t>
      </w:r>
    </w:p>
    <w:p w14:paraId="51F6343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注册地址：中国(上海)自由贸易试验区陆家嘴环路1318号星展银行大厦507单元01室</w:t>
      </w:r>
    </w:p>
    <w:p w14:paraId="6D3DE18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办公地址：中国上海市浦东新区东育路588号前滩中心42楼</w:t>
      </w:r>
    </w:p>
    <w:p w14:paraId="7A01865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执行事务合伙人：李丹</w:t>
      </w:r>
    </w:p>
    <w:p w14:paraId="278C1F3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电话：（021）23238888</w:t>
      </w:r>
    </w:p>
    <w:p w14:paraId="45961F7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传真：（021）23238800</w:t>
      </w:r>
    </w:p>
    <w:p w14:paraId="2B42626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联系人：金诗涛</w:t>
      </w:r>
    </w:p>
    <w:p w14:paraId="2CC54C5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经办注册会计师：沈兆杰、金诗涛</w:t>
      </w:r>
    </w:p>
    <w:p w14:paraId="280EF11D" w14:textId="77777777" w:rsidR="00C86C88" w:rsidRDefault="00D93D5A" w:rsidP="00C86C8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6044A5E6" w14:textId="77777777" w:rsidR="00542AF7" w:rsidRDefault="00D93D5A">
      <w:pPr>
        <w:pStyle w:val="1"/>
        <w:snapToGrid w:val="0"/>
        <w:spacing w:beforeLines="0" w:before="240" w:after="240"/>
        <w:rPr>
          <w:rFonts w:ascii="宋体" w:hAnsi="宋体"/>
          <w:szCs w:val="30"/>
        </w:rPr>
      </w:pPr>
      <w:bookmarkStart w:id="9" w:name="_Toc151542539"/>
      <w:r>
        <w:rPr>
          <w:rFonts w:ascii="Times New Roman" w:hAnsi="Times New Roman"/>
          <w:sz w:val="30"/>
        </w:rPr>
        <w:lastRenderedPageBreak/>
        <w:t>六、基金的募集</w:t>
      </w:r>
      <w:bookmarkEnd w:id="9"/>
    </w:p>
    <w:p w14:paraId="449D438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本基金由基金管理人依照《基金法》、《运作办法》、《销售办法》、基金合同及其他有关规定，并经中国证监会2016年6月3日证监许可[2016] 1209号文准予募集注册。</w:t>
      </w:r>
    </w:p>
    <w:p w14:paraId="60340C6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本基金为契约型开放式债券型基金。基金存续期间为不定期。</w:t>
      </w:r>
    </w:p>
    <w:p w14:paraId="47CD738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本基金募集期间基金份额净值为人民币1.00元，按初始面值发售。</w:t>
      </w:r>
    </w:p>
    <w:p w14:paraId="2FD6229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本基金自2016年10月26日至2016年10月27日进行发售，本基金设立募集期共募集200,226,253.73份基金份额，有效认购户数为285户。</w:t>
      </w:r>
    </w:p>
    <w:p w14:paraId="44FAC4B1" w14:textId="77777777" w:rsidR="00C86C88" w:rsidRDefault="00D93D5A" w:rsidP="00C86C8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6358841A" w14:textId="77777777" w:rsidR="00542AF7" w:rsidRDefault="00D93D5A">
      <w:pPr>
        <w:pStyle w:val="1"/>
        <w:snapToGrid w:val="0"/>
        <w:spacing w:beforeLines="0" w:before="240" w:after="240"/>
        <w:rPr>
          <w:rFonts w:ascii="宋体" w:hAnsi="宋体"/>
          <w:szCs w:val="30"/>
        </w:rPr>
      </w:pPr>
      <w:bookmarkStart w:id="10" w:name="_Toc151542540"/>
      <w:r>
        <w:rPr>
          <w:rFonts w:ascii="Times New Roman" w:hAnsi="Times New Roman"/>
          <w:sz w:val="30"/>
        </w:rPr>
        <w:lastRenderedPageBreak/>
        <w:t>七、基金合同的生效</w:t>
      </w:r>
      <w:bookmarkEnd w:id="10"/>
    </w:p>
    <w:p w14:paraId="55D0D66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根据有关规定，本基金满足基金合同生效条件，基金合同已于2016年11月4日正式生效。自基金合同生效之日起，本基金管理人正式开始管理本基金。</w:t>
      </w:r>
    </w:p>
    <w:p w14:paraId="47BEEC8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连续二十个工作日基金份额持有人数量不满200人或者基金资产净值低于5000万元的，基金管理人应当在定期报告中予以披露。连续六十个工作日出现基金份额持有人数量不满200人或者基金资产净值低于5000万元情形的，基金管理人应当向中国证监会报告并提前终止基金合同，不需召开基金份额持有人大会。</w:t>
      </w:r>
    </w:p>
    <w:p w14:paraId="028534E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法律法规另有规定时，从其规定。</w:t>
      </w:r>
    </w:p>
    <w:p w14:paraId="4B4BB31F" w14:textId="77777777" w:rsidR="00C86C88" w:rsidRDefault="00D93D5A" w:rsidP="00C86C8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32239C5C" w14:textId="77777777" w:rsidR="00542AF7" w:rsidRDefault="00D93D5A">
      <w:pPr>
        <w:pStyle w:val="1"/>
        <w:snapToGrid w:val="0"/>
        <w:spacing w:beforeLines="0" w:before="240" w:after="240"/>
        <w:rPr>
          <w:rFonts w:ascii="宋体" w:hAnsi="宋体"/>
          <w:szCs w:val="30"/>
        </w:rPr>
      </w:pPr>
      <w:bookmarkStart w:id="11" w:name="_Toc151542541"/>
      <w:r>
        <w:rPr>
          <w:rFonts w:ascii="Times New Roman" w:hAnsi="Times New Roman"/>
          <w:sz w:val="30"/>
        </w:rPr>
        <w:lastRenderedPageBreak/>
        <w:t>八、基金份额的申购与赎回</w:t>
      </w:r>
      <w:bookmarkEnd w:id="11"/>
    </w:p>
    <w:p w14:paraId="1B3235B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（一）申购和赎回的场所</w:t>
      </w:r>
    </w:p>
    <w:p w14:paraId="70435B1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投资人可通过下述场所按照规定的方式进行申购或赎回：</w:t>
      </w:r>
    </w:p>
    <w:p w14:paraId="630B32C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1、本基金管理人的直销机构</w:t>
      </w:r>
    </w:p>
    <w:p w14:paraId="3FA74AC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本基金直销机构为基金管理人以及基金管理人的网上直销交易平台。</w:t>
      </w:r>
    </w:p>
    <w:p w14:paraId="0FEC189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14:paraId="6F776AE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14:paraId="534E411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14:paraId="7C25041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电话：（021）61055724</w:t>
      </w:r>
    </w:p>
    <w:p w14:paraId="331C0C8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传真：（021）61055054</w:t>
      </w:r>
    </w:p>
    <w:p w14:paraId="5618726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联系人：傅鲸</w:t>
      </w:r>
    </w:p>
    <w:p w14:paraId="02EA96F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客户服务电话：400-700-5000（免长途话费），（021）61055000</w:t>
      </w:r>
    </w:p>
    <w:p w14:paraId="7CAE53A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14:paraId="46CB0F6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个人投资者可以通过基金管理人网上直销交易平台办理开户、本基金的申购、赎回、定期定额投资、转换等业务，具体交易细则请参阅基金管理人网站。网上直销交易平台网址：www.fund001.com</w:t>
      </w:r>
    </w:p>
    <w:p w14:paraId="771B7B2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2、除基金管理人之外的其他销售机构</w:t>
      </w:r>
    </w:p>
    <w:p w14:paraId="7451382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本基金除基金管理人之外的其他销售机构参见本招募说明书“五、相关服务机构”章节或拨打本公司客户服务电话进行咨询。</w:t>
      </w:r>
    </w:p>
    <w:p w14:paraId="6AE3084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投资人应当通过上述销售机构办理基金申购、赎回业务的营业场所或按上述销售机构提供的其他方式进行申购或赎回。本基金管理人可根据情况变更或增减基金销售机构，并在管理人网站公示。</w:t>
      </w:r>
    </w:p>
    <w:p w14:paraId="22C07D5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若基金管理人或其指定的销售机构开通电话、传真或网上等交易方式，投资人可以通过上述方式进行申购与赎回。</w:t>
      </w:r>
    </w:p>
    <w:p w14:paraId="4D95DA8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（二）申购和赎回的开放日及时间</w:t>
      </w:r>
    </w:p>
    <w:p w14:paraId="08EC8DE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1、开放日及开放时间</w:t>
      </w:r>
    </w:p>
    <w:p w14:paraId="760BFD1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44F8CA4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若出现新的证券交易市场、证券交易所交易时间变更或其他特殊情况，基金管理人将视情况对前述开放日及开放时间进行相应的调整，但应在实施日前依照《信息披露办法》的有关规定在指定媒介上公告。</w:t>
      </w:r>
    </w:p>
    <w:p w14:paraId="1774A96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2、申购、赎回开始日及业务办理时间</w:t>
      </w:r>
    </w:p>
    <w:p w14:paraId="3239609F" w14:textId="77777777" w:rsidR="00BE6EDA" w:rsidRDefault="00D93D5A" w:rsidP="00BE6EDA">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本基金</w:t>
      </w:r>
      <w:r w:rsidR="00BE6EDA" w:rsidRPr="00944F9C">
        <w:rPr>
          <w:rFonts w:ascii="宋体" w:hAnsi="宋体" w:hint="eastAsia"/>
          <w:sz w:val="24"/>
        </w:rPr>
        <w:t>A类基金份额</w:t>
      </w:r>
      <w:r w:rsidR="00BE6EDA">
        <w:rPr>
          <w:rFonts w:ascii="宋体" w:hAnsi="宋体" w:hint="eastAsia"/>
          <w:sz w:val="24"/>
        </w:rPr>
        <w:t>和</w:t>
      </w:r>
      <w:r w:rsidR="00BE6EDA">
        <w:rPr>
          <w:rFonts w:ascii="宋体" w:hAnsi="宋体"/>
          <w:sz w:val="24"/>
        </w:rPr>
        <w:t>C</w:t>
      </w:r>
      <w:r w:rsidR="00BE6EDA" w:rsidRPr="00A65A0C">
        <w:rPr>
          <w:rFonts w:ascii="宋体" w:hAnsi="宋体" w:hint="eastAsia"/>
          <w:sz w:val="24"/>
        </w:rPr>
        <w:t>类基金份额</w:t>
      </w:r>
      <w:r>
        <w:rPr>
          <w:rFonts w:ascii="宋体" w:hAnsi="宋体"/>
          <w:sz w:val="24"/>
        </w:rPr>
        <w:t>已于2017年1月25日起开放申购、赎回业务。</w:t>
      </w:r>
    </w:p>
    <w:p w14:paraId="7192F927" w14:textId="3CBBF161" w:rsidR="00542AF7" w:rsidRDefault="00BE6EDA" w:rsidP="00BE6EDA">
      <w:pPr>
        <w:autoSpaceDE w:val="0"/>
        <w:autoSpaceDN w:val="0"/>
        <w:adjustRightInd w:val="0"/>
        <w:snapToGrid w:val="0"/>
        <w:spacing w:line="360" w:lineRule="auto"/>
        <w:ind w:firstLineChars="200" w:firstLine="480"/>
        <w:jc w:val="left"/>
        <w:rPr>
          <w:rFonts w:ascii="宋体" w:hAnsi="宋体"/>
          <w:szCs w:val="24"/>
        </w:rPr>
      </w:pPr>
      <w:r w:rsidRPr="00A9408D">
        <w:rPr>
          <w:rFonts w:ascii="宋体" w:hAnsi="宋体" w:hint="eastAsia"/>
          <w:sz w:val="24"/>
        </w:rPr>
        <w:t>本基金</w:t>
      </w:r>
      <w:r>
        <w:rPr>
          <w:rFonts w:ascii="宋体" w:hAnsi="宋体"/>
          <w:sz w:val="24"/>
        </w:rPr>
        <w:t>D</w:t>
      </w:r>
      <w:r w:rsidRPr="00A9408D">
        <w:rPr>
          <w:rFonts w:ascii="宋体" w:hAnsi="宋体" w:hint="eastAsia"/>
          <w:sz w:val="24"/>
        </w:rPr>
        <w:t>类基金份额于</w:t>
      </w:r>
      <w:r>
        <w:rPr>
          <w:rFonts w:ascii="宋体" w:hAnsi="宋体"/>
          <w:sz w:val="24"/>
        </w:rPr>
        <w:t>202</w:t>
      </w:r>
      <w:r w:rsidR="003E11BD">
        <w:rPr>
          <w:rFonts w:ascii="宋体" w:hAnsi="宋体"/>
          <w:sz w:val="24"/>
        </w:rPr>
        <w:t>3</w:t>
      </w:r>
      <w:r w:rsidRPr="00A9408D">
        <w:rPr>
          <w:rFonts w:ascii="宋体" w:hAnsi="宋体"/>
          <w:sz w:val="24"/>
        </w:rPr>
        <w:t>年</w:t>
      </w:r>
      <w:r w:rsidR="003E11BD">
        <w:rPr>
          <w:rFonts w:ascii="宋体" w:hAnsi="宋体"/>
          <w:sz w:val="24"/>
        </w:rPr>
        <w:t>12</w:t>
      </w:r>
      <w:r w:rsidRPr="00A9408D">
        <w:rPr>
          <w:rFonts w:ascii="宋体" w:hAnsi="宋体" w:hint="eastAsia"/>
          <w:sz w:val="24"/>
        </w:rPr>
        <w:t>月</w:t>
      </w:r>
      <w:r w:rsidR="003E11BD">
        <w:rPr>
          <w:rFonts w:ascii="宋体" w:hAnsi="宋体"/>
          <w:sz w:val="24"/>
        </w:rPr>
        <w:t>22</w:t>
      </w:r>
      <w:r w:rsidRPr="00A9408D">
        <w:rPr>
          <w:rFonts w:ascii="宋体" w:hAnsi="宋体" w:hint="eastAsia"/>
          <w:sz w:val="24"/>
        </w:rPr>
        <w:t>日起开放申购、赎回业务。</w:t>
      </w:r>
    </w:p>
    <w:p w14:paraId="2E6D443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14:paraId="30DF570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（三）申购与赎回的原则</w:t>
      </w:r>
    </w:p>
    <w:p w14:paraId="031AD8A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1、“未知价”原则，即申购、赎回价格以申请当日收市后计算的基金份额净值为基准进行计算；</w:t>
      </w:r>
    </w:p>
    <w:p w14:paraId="37F7279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2、“金额申购、份额赎回”原则，即申购以金额申请，赎回以份额申请；</w:t>
      </w:r>
    </w:p>
    <w:p w14:paraId="1FB75F7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3、当日的申购与赎回申请可以在基金管理人规定的时间以内撤销，但申请经登记机构受理的不得撤销；</w:t>
      </w:r>
    </w:p>
    <w:p w14:paraId="58D565B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14:paraId="0DACEEE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基金管理人可在法律法规允许的情况下，对上述原则进行调整。基金管理人必须在新规则开始实施前依照《信息披露办法》的有关规定在指定媒介上公告。</w:t>
      </w:r>
    </w:p>
    <w:p w14:paraId="3E552B2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（四）申购和赎回的数额限定</w:t>
      </w:r>
    </w:p>
    <w:p w14:paraId="6465ED0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1、申购金额的限制</w:t>
      </w:r>
    </w:p>
    <w:p w14:paraId="35423E2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直销机构首次申购的最低金额为单笔100万元，追加申购的最低金额为单笔10万元；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1元。本基金直销机构单笔申购最低金额可由基金管理人酌情调整。其他销售机构接</w:t>
      </w:r>
      <w:r>
        <w:rPr>
          <w:rFonts w:ascii="宋体" w:hAnsi="宋体"/>
          <w:sz w:val="24"/>
        </w:rPr>
        <w:lastRenderedPageBreak/>
        <w:t>受申购申请的最低金额为单笔1元，如果销售机构业务规则规定的最低单笔申购金额高于1元，以该销售机构的规定为准。</w:t>
      </w:r>
    </w:p>
    <w:p w14:paraId="4956D1C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2、赎回份额的限制</w:t>
      </w:r>
    </w:p>
    <w:p w14:paraId="22BBA6C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赎回的最低份额为1 份基金份额，如果销售机构业务规则规定的最低单笔赎回份额高于1份，以该销售机构的规定为准。</w:t>
      </w:r>
    </w:p>
    <w:p w14:paraId="13FACD9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3、最低保留余额的限制</w:t>
      </w:r>
    </w:p>
    <w:p w14:paraId="17AD8F1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每个工作日投资人在单个交易账户保留的本基金份额余额少于1份时，若当日该账户同时有基金份额减少类业务（如赎回、转换出等）被确认，则基金管理人有权将投资人在该账户保留的本基金份额一次性全部赎回。</w:t>
      </w:r>
    </w:p>
    <w:p w14:paraId="7856530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22BBCA7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可根据市场情况，在法律法规允许的情况下，调整申购的金额和赎回的份额以及最低基金份额保留余额的数量限制，基金管理人必须在调整实施前依照《信息披露办法》的有关规定在指定媒介上刊登公告并报中国证监会备案。</w:t>
      </w:r>
    </w:p>
    <w:p w14:paraId="19534DE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（五）申购和赎回的程序</w:t>
      </w:r>
    </w:p>
    <w:p w14:paraId="2BE0C83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1、申购和赎回的申请方式</w:t>
      </w:r>
    </w:p>
    <w:p w14:paraId="696D1D3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14:paraId="1A07059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2、申购和赎回的款项支付</w:t>
      </w:r>
    </w:p>
    <w:p w14:paraId="1A6E9C0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投资人申购基金份额时，必须全额交付申购款项，若申购资金在规定时间内未全额到账则申购不成立。投资人全额交付申购款项，申购成立；登记机构确认基金份额时，申购生效。</w:t>
      </w:r>
    </w:p>
    <w:p w14:paraId="206432B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递交赎回申请，赎回成立；登记机构确认赎回时，赎回生效。投资人赎回申请成功后，基金管理人将在T＋7日（包括该日）内支付赎回款项。在发生巨额赎回时，款项的支付办法参照基金合同有关条款处理。</w:t>
      </w:r>
    </w:p>
    <w:p w14:paraId="3EF9D06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3、申购和赎回申请的确认</w:t>
      </w:r>
    </w:p>
    <w:p w14:paraId="10BD9F7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管理人或基金管理人委托的登记机构应以交易时间结束前受理有效申购和赎回申请的当天作为申购或赎回申请日（T日），在正常情况下，本基金登记机构在T+1日（包括该日）内对该交易的有效性进行确认。T日提交的有效申请，投资人应在T+2日后（包括该日）及时到销售网点柜台或以销售机构规定的其他方式查询申请的确认情况。若申购不成功，则申购款项退还给投资人。</w:t>
      </w:r>
    </w:p>
    <w:p w14:paraId="559A949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基金管理人可在法律法规允许的范围内，依法对上述申购和赎回申请的确认时间进行调整，并必须在调整实施日前按照《信息披露办法》的有关规定在指定媒介上公告并报中国证监会备案。</w:t>
      </w:r>
    </w:p>
    <w:p w14:paraId="2642EC8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销售机构对申购、赎回申请的受理并不代表该申请一定成功，而仅代表销售机构确实接收到申购、赎回申请。申购、赎回申请的确认以登记机构的确认结果为准。对于申请的确认情况，投资者应及时查询。</w:t>
      </w:r>
    </w:p>
    <w:p w14:paraId="7077B23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4、申购和赎回的登记</w:t>
      </w:r>
    </w:p>
    <w:p w14:paraId="3AFC6E9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（1）投资人T日申购基金成功后，正常情况下，登记机构在T＋1日为投资人增加权益并办理登记手续，投资人自T＋2日起（包括该日）有权赎回该部分基金份额。投资人应及时查询有关申请的确认情况。</w:t>
      </w:r>
    </w:p>
    <w:p w14:paraId="012AD6A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（2）投资人T日赎回基金成功后，正常情况下，登记机构在T＋1日为投资人扣除权益并办理相应的登记手续。</w:t>
      </w:r>
    </w:p>
    <w:p w14:paraId="6379383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（3）基金管理人可在法律法规允许的范围内，对上述登记办理时间进行调整，并于开始实施前按照《信息披露办法》的有关规定在指定媒介上公告并报中国证监会备案。</w:t>
      </w:r>
    </w:p>
    <w:p w14:paraId="3C6F036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（六）基金的申购费和赎回费</w:t>
      </w:r>
    </w:p>
    <w:p w14:paraId="09E369A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1、申购费用</w:t>
      </w:r>
    </w:p>
    <w:p w14:paraId="74590B93" w14:textId="3AC7F8AF"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本基金基金份额分为A类</w:t>
      </w:r>
      <w:r w:rsidR="00BE6EDA">
        <w:rPr>
          <w:rFonts w:ascii="宋体" w:hAnsi="宋体" w:hint="eastAsia"/>
          <w:sz w:val="24"/>
        </w:rPr>
        <w:t>基金份额、</w:t>
      </w:r>
      <w:r>
        <w:rPr>
          <w:rFonts w:ascii="宋体" w:hAnsi="宋体"/>
          <w:sz w:val="24"/>
        </w:rPr>
        <w:t>C类基金份额</w:t>
      </w:r>
      <w:r w:rsidR="00BE6EDA" w:rsidRPr="00770924">
        <w:rPr>
          <w:rFonts w:ascii="宋体" w:hAnsi="宋体" w:hint="eastAsia"/>
          <w:sz w:val="24"/>
        </w:rPr>
        <w:t>和D类基金份额</w:t>
      </w:r>
      <w:r>
        <w:rPr>
          <w:rFonts w:ascii="宋体" w:hAnsi="宋体"/>
          <w:sz w:val="24"/>
        </w:rPr>
        <w:t>。投资人申购A类基金份额</w:t>
      </w:r>
      <w:r w:rsidR="00BE6EDA">
        <w:rPr>
          <w:rFonts w:ascii="宋体" w:hAnsi="宋体" w:hint="eastAsia"/>
          <w:sz w:val="24"/>
        </w:rPr>
        <w:t>或</w:t>
      </w:r>
      <w:r w:rsidR="00BE6EDA" w:rsidRPr="00770924">
        <w:rPr>
          <w:rFonts w:ascii="宋体" w:hAnsi="宋体" w:hint="eastAsia"/>
          <w:sz w:val="24"/>
        </w:rPr>
        <w:t>D类基金份额</w:t>
      </w:r>
      <w:r>
        <w:rPr>
          <w:rFonts w:ascii="宋体" w:hAnsi="宋体"/>
          <w:sz w:val="24"/>
        </w:rPr>
        <w:t>在申购时支付申购费用、赎回时收取赎回费用，申购C类基金份额不支付申购费用、赎回时收取赎回费用，并从该类别基金资产中计提销售服务费。</w:t>
      </w:r>
    </w:p>
    <w:p w14:paraId="171DF36D" w14:textId="249C1742"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A类基金份额</w:t>
      </w:r>
      <w:r w:rsidR="00BE6EDA" w:rsidRPr="00770924">
        <w:rPr>
          <w:rFonts w:ascii="宋体" w:hAnsi="宋体" w:hint="eastAsia"/>
          <w:sz w:val="24"/>
        </w:rPr>
        <w:t>和D类基金份额</w:t>
      </w:r>
      <w:r>
        <w:rPr>
          <w:rFonts w:ascii="宋体" w:hAnsi="宋体"/>
          <w:sz w:val="24"/>
        </w:rPr>
        <w:t>的申购费用由</w:t>
      </w:r>
      <w:r w:rsidR="00BE6EDA">
        <w:rPr>
          <w:rFonts w:ascii="宋体" w:hAnsi="宋体" w:hint="eastAsia"/>
          <w:sz w:val="24"/>
        </w:rPr>
        <w:t>该</w:t>
      </w:r>
      <w:r>
        <w:rPr>
          <w:rFonts w:ascii="宋体" w:hAnsi="宋体"/>
          <w:sz w:val="24"/>
        </w:rPr>
        <w:t>类基金份额申购人承担，不列入基金财产，主要用于本基金的市场推广、销售、登记结算等各项费用。</w:t>
      </w:r>
    </w:p>
    <w:p w14:paraId="73105B29" w14:textId="6E46C399"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投资人可以多次申购本基金，</w:t>
      </w:r>
      <w:r w:rsidR="00F36A36" w:rsidRPr="00AD594D">
        <w:rPr>
          <w:rFonts w:ascii="宋体" w:hAnsi="宋体" w:hint="eastAsia"/>
          <w:sz w:val="24"/>
        </w:rPr>
        <w:t>A类基金份额和D类基金份额</w:t>
      </w:r>
      <w:r>
        <w:rPr>
          <w:rFonts w:ascii="宋体" w:hAnsi="宋体"/>
          <w:sz w:val="24"/>
        </w:rPr>
        <w:t>申购费用按每笔</w:t>
      </w:r>
      <w:r w:rsidR="00F36A36">
        <w:rPr>
          <w:rFonts w:ascii="宋体" w:hAnsi="宋体" w:hint="eastAsia"/>
          <w:sz w:val="24"/>
        </w:rPr>
        <w:t>该类基金份额</w:t>
      </w:r>
      <w:r>
        <w:rPr>
          <w:rFonts w:ascii="宋体" w:hAnsi="宋体"/>
          <w:sz w:val="24"/>
        </w:rPr>
        <w:t>申购申请单独计算。</w:t>
      </w:r>
    </w:p>
    <w:p w14:paraId="5586276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本基金A类基金份额（非养老金客户）的申购费率如下：</w:t>
      </w:r>
    </w:p>
    <w:tbl>
      <w:tblPr>
        <w:tblW w:w="5000" w:type="pct"/>
        <w:tblCellMar>
          <w:left w:w="0" w:type="dxa"/>
          <w:right w:w="0" w:type="dxa"/>
        </w:tblCellMar>
        <w:tblLook w:val="0000" w:firstRow="0" w:lastRow="0" w:firstColumn="0" w:lastColumn="0" w:noHBand="0" w:noVBand="0"/>
      </w:tblPr>
      <w:tblGrid>
        <w:gridCol w:w="1236"/>
        <w:gridCol w:w="3707"/>
        <w:gridCol w:w="3707"/>
      </w:tblGrid>
      <w:tr w:rsidR="00542AF7" w14:paraId="7FE55926" w14:textId="77777777" w:rsidTr="00F36A36">
        <w:trPr>
          <w:cantSplit/>
          <w:trHeight w:val="375"/>
        </w:trPr>
        <w:tc>
          <w:tcPr>
            <w:tcW w:w="714" w:type="pct"/>
            <w:vMerge w:val="restart"/>
            <w:tcBorders>
              <w:top w:val="single" w:sz="4" w:space="0" w:color="auto"/>
              <w:left w:val="single" w:sz="4" w:space="0" w:color="auto"/>
              <w:bottom w:val="single" w:sz="4" w:space="0" w:color="auto"/>
              <w:right w:val="single" w:sz="4" w:space="0" w:color="auto"/>
            </w:tcBorders>
            <w:vAlign w:val="center"/>
          </w:tcPr>
          <w:p w14:paraId="16A3AAC3"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申购费率</w:t>
            </w:r>
          </w:p>
        </w:tc>
        <w:tc>
          <w:tcPr>
            <w:tcW w:w="2143" w:type="pct"/>
            <w:tcBorders>
              <w:top w:val="single" w:sz="4" w:space="0" w:color="auto"/>
              <w:left w:val="single" w:sz="4" w:space="0" w:color="auto"/>
              <w:bottom w:val="single" w:sz="4" w:space="0" w:color="auto"/>
              <w:right w:val="single" w:sz="4" w:space="0" w:color="auto"/>
            </w:tcBorders>
            <w:vAlign w:val="center"/>
          </w:tcPr>
          <w:p w14:paraId="1FDAC1B9"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2143" w:type="pct"/>
            <w:tcBorders>
              <w:top w:val="single" w:sz="4" w:space="0" w:color="auto"/>
              <w:left w:val="single" w:sz="4" w:space="0" w:color="auto"/>
              <w:bottom w:val="single" w:sz="4" w:space="0" w:color="auto"/>
              <w:right w:val="single" w:sz="4" w:space="0" w:color="auto"/>
            </w:tcBorders>
            <w:vAlign w:val="center"/>
          </w:tcPr>
          <w:p w14:paraId="2646A99B"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类基金份额申购费率</w:t>
            </w:r>
          </w:p>
        </w:tc>
      </w:tr>
      <w:tr w:rsidR="00542AF7" w14:paraId="0629B00E" w14:textId="77777777" w:rsidTr="00F36A36">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1C9A0FB3" w14:textId="77777777" w:rsidR="00542AF7" w:rsidRDefault="00542AF7">
            <w:pPr>
              <w:widowControl/>
              <w:snapToGrid w:val="0"/>
              <w:jc w:val="left"/>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5D591A78"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r>
              <w:rPr>
                <w:rFonts w:ascii="Times New Roman" w:hAnsi="Times New Roman"/>
                <w:color w:val="000000"/>
                <w:kern w:val="0"/>
                <w:sz w:val="25"/>
                <w:szCs w:val="24"/>
              </w:rPr>
              <w:t>万元以下</w:t>
            </w:r>
          </w:p>
        </w:tc>
        <w:tc>
          <w:tcPr>
            <w:tcW w:w="2143" w:type="pct"/>
            <w:tcBorders>
              <w:top w:val="single" w:sz="4" w:space="0" w:color="auto"/>
              <w:left w:val="single" w:sz="4" w:space="0" w:color="auto"/>
              <w:bottom w:val="single" w:sz="4" w:space="0" w:color="auto"/>
              <w:right w:val="single" w:sz="4" w:space="0" w:color="auto"/>
            </w:tcBorders>
            <w:vAlign w:val="center"/>
          </w:tcPr>
          <w:p w14:paraId="3E5962A2"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0.8%</w:t>
            </w:r>
          </w:p>
        </w:tc>
      </w:tr>
      <w:tr w:rsidR="00542AF7" w14:paraId="0BEB79CF" w14:textId="77777777" w:rsidTr="00F36A36">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0853BC57" w14:textId="77777777" w:rsidR="00542AF7" w:rsidRDefault="00542AF7">
            <w:pPr>
              <w:widowControl/>
              <w:snapToGrid w:val="0"/>
              <w:jc w:val="left"/>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0F6D1260"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r>
              <w:rPr>
                <w:rFonts w:ascii="Times New Roman" w:hAnsi="Times New Roman"/>
                <w:color w:val="000000"/>
                <w:kern w:val="0"/>
                <w:sz w:val="25"/>
                <w:szCs w:val="24"/>
              </w:rPr>
              <w:t>万元（含）至</w:t>
            </w:r>
            <w:r>
              <w:rPr>
                <w:rFonts w:ascii="Times New Roman" w:hAnsi="Times New Roman"/>
                <w:color w:val="000000"/>
                <w:kern w:val="0"/>
                <w:sz w:val="25"/>
                <w:szCs w:val="24"/>
              </w:rPr>
              <w:t>100</w:t>
            </w:r>
            <w:r>
              <w:rPr>
                <w:rFonts w:ascii="Times New Roman" w:hAnsi="Times New Roman"/>
                <w:color w:val="000000"/>
                <w:kern w:val="0"/>
                <w:sz w:val="25"/>
                <w:szCs w:val="24"/>
              </w:rPr>
              <w:t>万元</w:t>
            </w:r>
          </w:p>
        </w:tc>
        <w:tc>
          <w:tcPr>
            <w:tcW w:w="2143" w:type="pct"/>
            <w:tcBorders>
              <w:top w:val="single" w:sz="4" w:space="0" w:color="auto"/>
              <w:left w:val="single" w:sz="4" w:space="0" w:color="auto"/>
              <w:bottom w:val="single" w:sz="4" w:space="0" w:color="auto"/>
              <w:right w:val="single" w:sz="4" w:space="0" w:color="auto"/>
            </w:tcBorders>
            <w:vAlign w:val="center"/>
          </w:tcPr>
          <w:p w14:paraId="6666AC43"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0.6%</w:t>
            </w:r>
          </w:p>
        </w:tc>
      </w:tr>
      <w:tr w:rsidR="00542AF7" w14:paraId="56D00E99" w14:textId="77777777" w:rsidTr="00F36A36">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63ACAA27" w14:textId="77777777" w:rsidR="00542AF7" w:rsidRDefault="00542AF7">
            <w:pPr>
              <w:widowControl/>
              <w:snapToGrid w:val="0"/>
              <w:jc w:val="left"/>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72087D98"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万元（含）至</w:t>
            </w:r>
            <w:r>
              <w:rPr>
                <w:rFonts w:ascii="Times New Roman" w:hAnsi="Times New Roman"/>
                <w:color w:val="000000"/>
                <w:kern w:val="0"/>
                <w:sz w:val="25"/>
                <w:szCs w:val="24"/>
              </w:rPr>
              <w:t>200</w:t>
            </w:r>
            <w:r>
              <w:rPr>
                <w:rFonts w:ascii="Times New Roman" w:hAnsi="Times New Roman"/>
                <w:color w:val="000000"/>
                <w:kern w:val="0"/>
                <w:sz w:val="25"/>
                <w:szCs w:val="24"/>
              </w:rPr>
              <w:t>万元</w:t>
            </w:r>
          </w:p>
        </w:tc>
        <w:tc>
          <w:tcPr>
            <w:tcW w:w="2143" w:type="pct"/>
            <w:tcBorders>
              <w:top w:val="single" w:sz="4" w:space="0" w:color="auto"/>
              <w:left w:val="single" w:sz="4" w:space="0" w:color="auto"/>
              <w:bottom w:val="single" w:sz="4" w:space="0" w:color="auto"/>
              <w:right w:val="single" w:sz="4" w:space="0" w:color="auto"/>
            </w:tcBorders>
            <w:vAlign w:val="center"/>
          </w:tcPr>
          <w:p w14:paraId="4AC731D8"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0.5%</w:t>
            </w:r>
          </w:p>
        </w:tc>
      </w:tr>
      <w:tr w:rsidR="00542AF7" w14:paraId="2193BEF4" w14:textId="77777777" w:rsidTr="00F36A36">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06CCE957" w14:textId="77777777" w:rsidR="00542AF7" w:rsidRDefault="00542AF7">
            <w:pPr>
              <w:widowControl/>
              <w:snapToGrid w:val="0"/>
              <w:jc w:val="left"/>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7E205557"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2143" w:type="pct"/>
            <w:tcBorders>
              <w:top w:val="single" w:sz="4" w:space="0" w:color="auto"/>
              <w:left w:val="single" w:sz="4" w:space="0" w:color="auto"/>
              <w:bottom w:val="single" w:sz="4" w:space="0" w:color="auto"/>
              <w:right w:val="single" w:sz="4" w:space="0" w:color="auto"/>
            </w:tcBorders>
            <w:vAlign w:val="center"/>
          </w:tcPr>
          <w:p w14:paraId="3976E749"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0.3%</w:t>
            </w:r>
          </w:p>
        </w:tc>
      </w:tr>
      <w:tr w:rsidR="00542AF7" w14:paraId="41CF120A" w14:textId="77777777" w:rsidTr="00F36A36">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3C114B8A" w14:textId="77777777" w:rsidR="00542AF7" w:rsidRDefault="00542AF7">
            <w:pPr>
              <w:widowControl/>
              <w:snapToGrid w:val="0"/>
              <w:jc w:val="left"/>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7E8BD01C"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w:t>
            </w:r>
          </w:p>
        </w:tc>
        <w:tc>
          <w:tcPr>
            <w:tcW w:w="2143" w:type="pct"/>
            <w:tcBorders>
              <w:top w:val="single" w:sz="4" w:space="0" w:color="auto"/>
              <w:left w:val="single" w:sz="4" w:space="0" w:color="auto"/>
              <w:bottom w:val="single" w:sz="4" w:space="0" w:color="auto"/>
              <w:right w:val="single" w:sz="4" w:space="0" w:color="auto"/>
            </w:tcBorders>
            <w:vAlign w:val="center"/>
          </w:tcPr>
          <w:p w14:paraId="54BBC05A"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500</w:t>
            </w:r>
            <w:r>
              <w:rPr>
                <w:rFonts w:ascii="Times New Roman" w:hAnsi="Times New Roman"/>
                <w:color w:val="000000"/>
                <w:kern w:val="0"/>
                <w:sz w:val="25"/>
                <w:szCs w:val="24"/>
              </w:rPr>
              <w:t>元</w:t>
            </w:r>
          </w:p>
        </w:tc>
      </w:tr>
    </w:tbl>
    <w:p w14:paraId="69952275" w14:textId="77777777" w:rsidR="00F36A36" w:rsidRDefault="00F36A36" w:rsidP="00F36A3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本基金D类基金份额（非养老金客户）的申购费率如下：</w:t>
      </w:r>
    </w:p>
    <w:tbl>
      <w:tblPr>
        <w:tblW w:w="5000" w:type="pct"/>
        <w:tblCellMar>
          <w:left w:w="0" w:type="dxa"/>
          <w:right w:w="0" w:type="dxa"/>
        </w:tblCellMar>
        <w:tblLook w:val="0000" w:firstRow="0" w:lastRow="0" w:firstColumn="0" w:lastColumn="0" w:noHBand="0" w:noVBand="0"/>
      </w:tblPr>
      <w:tblGrid>
        <w:gridCol w:w="1236"/>
        <w:gridCol w:w="3707"/>
        <w:gridCol w:w="3707"/>
      </w:tblGrid>
      <w:tr w:rsidR="00F36A36" w14:paraId="2A0737EB" w14:textId="77777777" w:rsidTr="00C86C88">
        <w:trPr>
          <w:cantSplit/>
          <w:trHeight w:val="375"/>
        </w:trPr>
        <w:tc>
          <w:tcPr>
            <w:tcW w:w="714" w:type="pct"/>
            <w:vMerge w:val="restart"/>
            <w:tcBorders>
              <w:top w:val="single" w:sz="4" w:space="0" w:color="auto"/>
              <w:left w:val="single" w:sz="4" w:space="0" w:color="auto"/>
              <w:bottom w:val="single" w:sz="4" w:space="0" w:color="auto"/>
              <w:right w:val="single" w:sz="4" w:space="0" w:color="auto"/>
            </w:tcBorders>
            <w:vAlign w:val="center"/>
          </w:tcPr>
          <w:p w14:paraId="1957C1BE" w14:textId="77777777" w:rsidR="00F36A36" w:rsidRDefault="00F36A36" w:rsidP="00C86C88">
            <w:pPr>
              <w:widowControl/>
              <w:snapToGrid w:val="0"/>
              <w:jc w:val="left"/>
              <w:rPr>
                <w:rFonts w:ascii="宋体" w:hAnsi="宋体"/>
                <w:color w:val="000000"/>
                <w:kern w:val="0"/>
                <w:sz w:val="25"/>
                <w:szCs w:val="24"/>
              </w:rPr>
            </w:pPr>
            <w:r>
              <w:rPr>
                <w:rFonts w:ascii="Times New Roman" w:hAnsi="Times New Roman"/>
                <w:color w:val="000000"/>
                <w:kern w:val="0"/>
                <w:sz w:val="25"/>
                <w:szCs w:val="24"/>
              </w:rPr>
              <w:t>申购费率</w:t>
            </w:r>
          </w:p>
        </w:tc>
        <w:tc>
          <w:tcPr>
            <w:tcW w:w="2143" w:type="pct"/>
            <w:tcBorders>
              <w:top w:val="single" w:sz="4" w:space="0" w:color="auto"/>
              <w:left w:val="single" w:sz="4" w:space="0" w:color="auto"/>
              <w:bottom w:val="single" w:sz="4" w:space="0" w:color="auto"/>
              <w:right w:val="single" w:sz="4" w:space="0" w:color="auto"/>
            </w:tcBorders>
            <w:vAlign w:val="center"/>
          </w:tcPr>
          <w:p w14:paraId="56B04454" w14:textId="77777777" w:rsidR="00F36A36" w:rsidRDefault="00F36A36" w:rsidP="00C86C88">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2143" w:type="pct"/>
            <w:tcBorders>
              <w:top w:val="single" w:sz="4" w:space="0" w:color="auto"/>
              <w:left w:val="single" w:sz="4" w:space="0" w:color="auto"/>
              <w:bottom w:val="single" w:sz="4" w:space="0" w:color="auto"/>
              <w:right w:val="single" w:sz="4" w:space="0" w:color="auto"/>
            </w:tcBorders>
            <w:vAlign w:val="center"/>
          </w:tcPr>
          <w:p w14:paraId="433A2E18" w14:textId="77777777" w:rsidR="00F36A36" w:rsidRDefault="00F36A36" w:rsidP="00C86C88">
            <w:pPr>
              <w:widowControl/>
              <w:snapToGrid w:val="0"/>
              <w:jc w:val="center"/>
              <w:rPr>
                <w:rFonts w:ascii="宋体" w:hAnsi="宋体"/>
                <w:color w:val="000000"/>
                <w:kern w:val="0"/>
                <w:sz w:val="25"/>
                <w:szCs w:val="24"/>
              </w:rPr>
            </w:pPr>
            <w:r>
              <w:rPr>
                <w:rFonts w:ascii="Times New Roman" w:hAnsi="Times New Roman"/>
                <w:color w:val="000000"/>
                <w:kern w:val="0"/>
                <w:sz w:val="25"/>
                <w:szCs w:val="24"/>
              </w:rPr>
              <w:t>D</w:t>
            </w:r>
            <w:r>
              <w:rPr>
                <w:rFonts w:ascii="Times New Roman" w:hAnsi="Times New Roman"/>
                <w:color w:val="000000"/>
                <w:kern w:val="0"/>
                <w:sz w:val="25"/>
                <w:szCs w:val="24"/>
              </w:rPr>
              <w:t>类基金份额申购费率</w:t>
            </w:r>
          </w:p>
        </w:tc>
      </w:tr>
      <w:tr w:rsidR="00F36A36" w14:paraId="61B02AE7" w14:textId="77777777" w:rsidTr="00C86C88">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71F90D1B" w14:textId="77777777" w:rsidR="00F36A36" w:rsidRDefault="00F36A36" w:rsidP="00C86C88">
            <w:pPr>
              <w:widowControl/>
              <w:snapToGrid w:val="0"/>
              <w:jc w:val="left"/>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7A78C3BC" w14:textId="77777777" w:rsidR="00F36A36" w:rsidRDefault="00F36A36" w:rsidP="00C86C88">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r>
              <w:rPr>
                <w:rFonts w:ascii="Times New Roman" w:hAnsi="Times New Roman"/>
                <w:color w:val="000000"/>
                <w:kern w:val="0"/>
                <w:sz w:val="25"/>
                <w:szCs w:val="24"/>
              </w:rPr>
              <w:t>万元以下</w:t>
            </w:r>
          </w:p>
        </w:tc>
        <w:tc>
          <w:tcPr>
            <w:tcW w:w="2143" w:type="pct"/>
            <w:tcBorders>
              <w:top w:val="single" w:sz="4" w:space="0" w:color="auto"/>
              <w:left w:val="single" w:sz="4" w:space="0" w:color="auto"/>
              <w:bottom w:val="single" w:sz="4" w:space="0" w:color="auto"/>
              <w:right w:val="single" w:sz="4" w:space="0" w:color="auto"/>
            </w:tcBorders>
            <w:vAlign w:val="center"/>
          </w:tcPr>
          <w:p w14:paraId="05F9F81D" w14:textId="77777777" w:rsidR="00F36A36" w:rsidRDefault="00F36A36" w:rsidP="00C86C88">
            <w:pPr>
              <w:widowControl/>
              <w:snapToGrid w:val="0"/>
              <w:jc w:val="center"/>
              <w:rPr>
                <w:rFonts w:ascii="宋体" w:hAnsi="宋体"/>
                <w:color w:val="000000"/>
                <w:kern w:val="0"/>
                <w:sz w:val="25"/>
                <w:szCs w:val="24"/>
              </w:rPr>
            </w:pPr>
            <w:r>
              <w:rPr>
                <w:rFonts w:ascii="Times New Roman" w:hAnsi="Times New Roman"/>
                <w:color w:val="000000"/>
                <w:kern w:val="0"/>
                <w:sz w:val="25"/>
                <w:szCs w:val="24"/>
              </w:rPr>
              <w:t>0.9%</w:t>
            </w:r>
          </w:p>
        </w:tc>
      </w:tr>
      <w:tr w:rsidR="00F36A36" w14:paraId="6B4C5018" w14:textId="77777777" w:rsidTr="00C86C88">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3E6ACCDD" w14:textId="77777777" w:rsidR="00F36A36" w:rsidRDefault="00F36A36" w:rsidP="00C86C88">
            <w:pPr>
              <w:widowControl/>
              <w:snapToGrid w:val="0"/>
              <w:jc w:val="left"/>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2242182C" w14:textId="77777777" w:rsidR="00F36A36" w:rsidRDefault="00F36A36" w:rsidP="00C86C88">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r>
              <w:rPr>
                <w:rFonts w:ascii="Times New Roman" w:hAnsi="Times New Roman"/>
                <w:color w:val="000000"/>
                <w:kern w:val="0"/>
                <w:sz w:val="25"/>
                <w:szCs w:val="24"/>
              </w:rPr>
              <w:t>万元（含）至</w:t>
            </w:r>
            <w:r>
              <w:rPr>
                <w:rFonts w:ascii="Times New Roman" w:hAnsi="Times New Roman"/>
                <w:color w:val="000000"/>
                <w:kern w:val="0"/>
                <w:sz w:val="25"/>
                <w:szCs w:val="24"/>
              </w:rPr>
              <w:t>100</w:t>
            </w:r>
            <w:r>
              <w:rPr>
                <w:rFonts w:ascii="Times New Roman" w:hAnsi="Times New Roman"/>
                <w:color w:val="000000"/>
                <w:kern w:val="0"/>
                <w:sz w:val="25"/>
                <w:szCs w:val="24"/>
              </w:rPr>
              <w:t>万元</w:t>
            </w:r>
          </w:p>
        </w:tc>
        <w:tc>
          <w:tcPr>
            <w:tcW w:w="2143" w:type="pct"/>
            <w:tcBorders>
              <w:top w:val="single" w:sz="4" w:space="0" w:color="auto"/>
              <w:left w:val="single" w:sz="4" w:space="0" w:color="auto"/>
              <w:bottom w:val="single" w:sz="4" w:space="0" w:color="auto"/>
              <w:right w:val="single" w:sz="4" w:space="0" w:color="auto"/>
            </w:tcBorders>
            <w:vAlign w:val="center"/>
          </w:tcPr>
          <w:p w14:paraId="5CA61A50" w14:textId="77777777" w:rsidR="00F36A36" w:rsidRDefault="00F36A36" w:rsidP="00C86C88">
            <w:pPr>
              <w:widowControl/>
              <w:snapToGrid w:val="0"/>
              <w:jc w:val="center"/>
              <w:rPr>
                <w:rFonts w:ascii="宋体" w:hAnsi="宋体"/>
                <w:color w:val="000000"/>
                <w:kern w:val="0"/>
                <w:sz w:val="25"/>
                <w:szCs w:val="24"/>
              </w:rPr>
            </w:pPr>
            <w:r>
              <w:rPr>
                <w:rFonts w:ascii="Times New Roman" w:hAnsi="Times New Roman"/>
                <w:color w:val="000000"/>
                <w:kern w:val="0"/>
                <w:sz w:val="25"/>
                <w:szCs w:val="24"/>
              </w:rPr>
              <w:t>0.7%</w:t>
            </w:r>
          </w:p>
        </w:tc>
      </w:tr>
      <w:tr w:rsidR="00F36A36" w14:paraId="7C2E5B7D" w14:textId="77777777" w:rsidTr="00C86C88">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69A98B2C" w14:textId="77777777" w:rsidR="00F36A36" w:rsidRDefault="00F36A36" w:rsidP="00C86C88">
            <w:pPr>
              <w:widowControl/>
              <w:snapToGrid w:val="0"/>
              <w:jc w:val="left"/>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284D0AE6" w14:textId="77777777" w:rsidR="00F36A36" w:rsidRDefault="00F36A36" w:rsidP="00C86C88">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万元（含）至</w:t>
            </w:r>
            <w:r>
              <w:rPr>
                <w:rFonts w:ascii="Times New Roman" w:hAnsi="Times New Roman"/>
                <w:color w:val="000000"/>
                <w:kern w:val="0"/>
                <w:sz w:val="25"/>
                <w:szCs w:val="24"/>
              </w:rPr>
              <w:t>200</w:t>
            </w:r>
            <w:r>
              <w:rPr>
                <w:rFonts w:ascii="Times New Roman" w:hAnsi="Times New Roman"/>
                <w:color w:val="000000"/>
                <w:kern w:val="0"/>
                <w:sz w:val="25"/>
                <w:szCs w:val="24"/>
              </w:rPr>
              <w:t>万元</w:t>
            </w:r>
          </w:p>
        </w:tc>
        <w:tc>
          <w:tcPr>
            <w:tcW w:w="2143" w:type="pct"/>
            <w:tcBorders>
              <w:top w:val="single" w:sz="4" w:space="0" w:color="auto"/>
              <w:left w:val="single" w:sz="4" w:space="0" w:color="auto"/>
              <w:bottom w:val="single" w:sz="4" w:space="0" w:color="auto"/>
              <w:right w:val="single" w:sz="4" w:space="0" w:color="auto"/>
            </w:tcBorders>
            <w:vAlign w:val="center"/>
          </w:tcPr>
          <w:p w14:paraId="2EA7F352" w14:textId="77777777" w:rsidR="00F36A36" w:rsidRDefault="00F36A36" w:rsidP="00C86C88">
            <w:pPr>
              <w:widowControl/>
              <w:snapToGrid w:val="0"/>
              <w:jc w:val="center"/>
              <w:rPr>
                <w:rFonts w:ascii="宋体" w:hAnsi="宋体"/>
                <w:color w:val="000000"/>
                <w:kern w:val="0"/>
                <w:sz w:val="25"/>
                <w:szCs w:val="24"/>
              </w:rPr>
            </w:pPr>
            <w:r>
              <w:rPr>
                <w:rFonts w:ascii="Times New Roman" w:hAnsi="Times New Roman"/>
                <w:color w:val="000000"/>
                <w:kern w:val="0"/>
                <w:sz w:val="25"/>
                <w:szCs w:val="24"/>
              </w:rPr>
              <w:t>0.6%</w:t>
            </w:r>
          </w:p>
        </w:tc>
      </w:tr>
      <w:tr w:rsidR="00F36A36" w14:paraId="30D6329A" w14:textId="77777777" w:rsidTr="00C86C88">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1978CE49" w14:textId="77777777" w:rsidR="00F36A36" w:rsidRDefault="00F36A36" w:rsidP="00C86C88">
            <w:pPr>
              <w:widowControl/>
              <w:snapToGrid w:val="0"/>
              <w:jc w:val="left"/>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4A8E945F" w14:textId="77777777" w:rsidR="00F36A36" w:rsidRDefault="00F36A36" w:rsidP="00C86C88">
            <w:pPr>
              <w:widowControl/>
              <w:snapToGrid w:val="0"/>
              <w:jc w:val="left"/>
              <w:rPr>
                <w:rFonts w:ascii="宋体" w:hAnsi="宋体"/>
                <w:color w:val="000000"/>
                <w:kern w:val="0"/>
                <w:sz w:val="25"/>
                <w:szCs w:val="24"/>
              </w:rPr>
            </w:pPr>
            <w:r>
              <w:rPr>
                <w:rFonts w:ascii="Times New Roman" w:hAnsi="Times New Roman"/>
                <w:color w:val="000000"/>
                <w:kern w:val="0"/>
                <w:sz w:val="25"/>
                <w:szCs w:val="24"/>
              </w:rPr>
              <w:t>200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2143" w:type="pct"/>
            <w:tcBorders>
              <w:top w:val="single" w:sz="4" w:space="0" w:color="auto"/>
              <w:left w:val="single" w:sz="4" w:space="0" w:color="auto"/>
              <w:bottom w:val="single" w:sz="4" w:space="0" w:color="auto"/>
              <w:right w:val="single" w:sz="4" w:space="0" w:color="auto"/>
            </w:tcBorders>
            <w:vAlign w:val="center"/>
          </w:tcPr>
          <w:p w14:paraId="5ADECFC9" w14:textId="77777777" w:rsidR="00F36A36" w:rsidRDefault="00F36A36" w:rsidP="00C86C88">
            <w:pPr>
              <w:widowControl/>
              <w:snapToGrid w:val="0"/>
              <w:jc w:val="center"/>
              <w:rPr>
                <w:rFonts w:ascii="宋体" w:hAnsi="宋体"/>
                <w:color w:val="000000"/>
                <w:kern w:val="0"/>
                <w:sz w:val="25"/>
                <w:szCs w:val="24"/>
              </w:rPr>
            </w:pPr>
            <w:r>
              <w:rPr>
                <w:rFonts w:ascii="Times New Roman" w:hAnsi="Times New Roman"/>
                <w:color w:val="000000"/>
                <w:kern w:val="0"/>
                <w:sz w:val="25"/>
                <w:szCs w:val="24"/>
              </w:rPr>
              <w:t>0.4%</w:t>
            </w:r>
          </w:p>
        </w:tc>
      </w:tr>
      <w:tr w:rsidR="00F36A36" w14:paraId="08DF5885" w14:textId="77777777" w:rsidTr="00C86C88">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24601CF5" w14:textId="77777777" w:rsidR="00F36A36" w:rsidRDefault="00F36A36" w:rsidP="00C86C88">
            <w:pPr>
              <w:widowControl/>
              <w:snapToGrid w:val="0"/>
              <w:jc w:val="left"/>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1643A2C5" w14:textId="77777777" w:rsidR="00F36A36" w:rsidRDefault="00F36A36" w:rsidP="00C86C88">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2143" w:type="pct"/>
            <w:tcBorders>
              <w:top w:val="single" w:sz="4" w:space="0" w:color="auto"/>
              <w:left w:val="single" w:sz="4" w:space="0" w:color="auto"/>
              <w:bottom w:val="single" w:sz="4" w:space="0" w:color="auto"/>
              <w:right w:val="single" w:sz="4" w:space="0" w:color="auto"/>
            </w:tcBorders>
            <w:vAlign w:val="center"/>
          </w:tcPr>
          <w:p w14:paraId="3BC82926" w14:textId="2030C05D" w:rsidR="00F36A36" w:rsidRDefault="00F36A36" w:rsidP="00F36A36">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700</w:t>
            </w:r>
            <w:r>
              <w:rPr>
                <w:rFonts w:ascii="Times New Roman" w:hAnsi="Times New Roman"/>
                <w:color w:val="000000"/>
                <w:kern w:val="0"/>
                <w:sz w:val="25"/>
                <w:szCs w:val="24"/>
              </w:rPr>
              <w:t>元</w:t>
            </w:r>
          </w:p>
        </w:tc>
      </w:tr>
    </w:tbl>
    <w:p w14:paraId="3FF3DF34" w14:textId="13B05DD5"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持有A类基金份额</w:t>
      </w:r>
      <w:r w:rsidR="00AF76DD">
        <w:rPr>
          <w:rFonts w:ascii="宋体" w:hAnsi="宋体" w:hint="eastAsia"/>
          <w:sz w:val="24"/>
        </w:rPr>
        <w:t>或D类基金份额</w:t>
      </w:r>
      <w:r>
        <w:rPr>
          <w:rFonts w:ascii="宋体" w:hAnsi="宋体"/>
          <w:sz w:val="24"/>
        </w:rPr>
        <w:t>的投资人因红利自动再投资而产生的A类基金份额</w:t>
      </w:r>
      <w:r w:rsidR="00AF76DD">
        <w:rPr>
          <w:rFonts w:ascii="宋体" w:hAnsi="宋体" w:hint="eastAsia"/>
          <w:sz w:val="24"/>
        </w:rPr>
        <w:t>或D类基金份额</w:t>
      </w:r>
      <w:r>
        <w:rPr>
          <w:rFonts w:ascii="宋体" w:hAnsi="宋体"/>
          <w:sz w:val="24"/>
        </w:rPr>
        <w:t>，不收取相应的申购费用。</w:t>
      </w:r>
    </w:p>
    <w:p w14:paraId="09C69201" w14:textId="61043E43"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本基金对通过基金管理人直销柜台申购A类基金份额</w:t>
      </w:r>
      <w:r w:rsidR="00AF76DD">
        <w:rPr>
          <w:rFonts w:ascii="宋体" w:hAnsi="宋体" w:hint="eastAsia"/>
          <w:sz w:val="24"/>
        </w:rPr>
        <w:t>或D类基金份额</w:t>
      </w:r>
      <w:r>
        <w:rPr>
          <w:rFonts w:ascii="宋体" w:hAnsi="宋体"/>
          <w:sz w:val="24"/>
        </w:rPr>
        <w:t>的养老金客户实施特定申购费率。</w:t>
      </w:r>
    </w:p>
    <w:p w14:paraId="21DBE81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养老金客户指基本养老基金与依法成立的养老计划筹集的资金及其投资运营收益形成的补充养老基金等，具体包括：</w:t>
      </w:r>
    </w:p>
    <w:p w14:paraId="0C64596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1）全国社会保障基金；</w:t>
      </w:r>
    </w:p>
    <w:p w14:paraId="00C6BF7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2）可以投资基金的地方社会保障基金；</w:t>
      </w:r>
    </w:p>
    <w:p w14:paraId="63AB825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3）企业年金单一计划以及集合计划；</w:t>
      </w:r>
    </w:p>
    <w:p w14:paraId="45B4C64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4）企业年金理事会委托的特定客户资产管理计划；</w:t>
      </w:r>
    </w:p>
    <w:p w14:paraId="4326B82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5）企业年金养老金产品。</w:t>
      </w:r>
    </w:p>
    <w:p w14:paraId="3F748D4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如将来出现经养老基金监管部门认可的新的养老基金类型，基金管理人可在招募说明书更新或发布临时公告将其纳入养老金客户范围，并按规定向中国证监会备案。</w:t>
      </w:r>
    </w:p>
    <w:p w14:paraId="755C00E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通过基金管理人直销柜台申购本基金A类基金份额的养老金客户特定申购费率如下表：</w:t>
      </w:r>
    </w:p>
    <w:tbl>
      <w:tblPr>
        <w:tblW w:w="5000" w:type="pct"/>
        <w:tblCellMar>
          <w:left w:w="0" w:type="dxa"/>
          <w:right w:w="0" w:type="dxa"/>
        </w:tblCellMar>
        <w:tblLook w:val="0000" w:firstRow="0" w:lastRow="0" w:firstColumn="0" w:lastColumn="0" w:noHBand="0" w:noVBand="0"/>
      </w:tblPr>
      <w:tblGrid>
        <w:gridCol w:w="1236"/>
        <w:gridCol w:w="3707"/>
        <w:gridCol w:w="3707"/>
      </w:tblGrid>
      <w:tr w:rsidR="00542AF7" w14:paraId="386EE308" w14:textId="77777777" w:rsidTr="00AF76DD">
        <w:trPr>
          <w:cantSplit/>
          <w:trHeight w:val="375"/>
        </w:trPr>
        <w:tc>
          <w:tcPr>
            <w:tcW w:w="714" w:type="pct"/>
            <w:vMerge w:val="restart"/>
            <w:tcBorders>
              <w:top w:val="single" w:sz="4" w:space="0" w:color="auto"/>
              <w:left w:val="single" w:sz="4" w:space="0" w:color="auto"/>
              <w:bottom w:val="single" w:sz="4" w:space="0" w:color="auto"/>
              <w:right w:val="single" w:sz="4" w:space="0" w:color="auto"/>
            </w:tcBorders>
            <w:vAlign w:val="center"/>
          </w:tcPr>
          <w:p w14:paraId="659C9023"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申购费率</w:t>
            </w:r>
          </w:p>
        </w:tc>
        <w:tc>
          <w:tcPr>
            <w:tcW w:w="2143" w:type="pct"/>
            <w:tcBorders>
              <w:top w:val="single" w:sz="4" w:space="0" w:color="auto"/>
              <w:left w:val="single" w:sz="4" w:space="0" w:color="auto"/>
              <w:bottom w:val="single" w:sz="4" w:space="0" w:color="auto"/>
              <w:right w:val="single" w:sz="4" w:space="0" w:color="auto"/>
            </w:tcBorders>
            <w:vAlign w:val="center"/>
          </w:tcPr>
          <w:p w14:paraId="42527B49"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2143" w:type="pct"/>
            <w:tcBorders>
              <w:top w:val="single" w:sz="4" w:space="0" w:color="auto"/>
              <w:left w:val="single" w:sz="4" w:space="0" w:color="auto"/>
              <w:bottom w:val="single" w:sz="4" w:space="0" w:color="auto"/>
              <w:right w:val="single" w:sz="4" w:space="0" w:color="auto"/>
            </w:tcBorders>
            <w:vAlign w:val="center"/>
          </w:tcPr>
          <w:p w14:paraId="715080EC"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类基金份额特定申购费率</w:t>
            </w:r>
          </w:p>
        </w:tc>
      </w:tr>
      <w:tr w:rsidR="00542AF7" w14:paraId="4A2894EE" w14:textId="77777777" w:rsidTr="00AF76DD">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11088925" w14:textId="77777777" w:rsidR="00542AF7" w:rsidRDefault="00542AF7">
            <w:pPr>
              <w:widowControl/>
              <w:snapToGrid w:val="0"/>
              <w:jc w:val="left"/>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0F81FEC0"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r>
              <w:rPr>
                <w:rFonts w:ascii="Times New Roman" w:hAnsi="Times New Roman"/>
                <w:color w:val="000000"/>
                <w:kern w:val="0"/>
                <w:sz w:val="25"/>
                <w:szCs w:val="24"/>
              </w:rPr>
              <w:t>万元以下</w:t>
            </w:r>
          </w:p>
        </w:tc>
        <w:tc>
          <w:tcPr>
            <w:tcW w:w="2143" w:type="pct"/>
            <w:tcBorders>
              <w:top w:val="single" w:sz="4" w:space="0" w:color="auto"/>
              <w:left w:val="single" w:sz="4" w:space="0" w:color="auto"/>
              <w:bottom w:val="single" w:sz="4" w:space="0" w:color="auto"/>
              <w:right w:val="single" w:sz="4" w:space="0" w:color="auto"/>
            </w:tcBorders>
            <w:vAlign w:val="center"/>
          </w:tcPr>
          <w:p w14:paraId="0916C8F8"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0.32%</w:t>
            </w:r>
          </w:p>
        </w:tc>
      </w:tr>
      <w:tr w:rsidR="00542AF7" w14:paraId="73338F89" w14:textId="77777777" w:rsidTr="00AF76DD">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11E64934" w14:textId="77777777" w:rsidR="00542AF7" w:rsidRDefault="00542AF7">
            <w:pPr>
              <w:widowControl/>
              <w:snapToGrid w:val="0"/>
              <w:jc w:val="left"/>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4A930218"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r>
              <w:rPr>
                <w:rFonts w:ascii="Times New Roman" w:hAnsi="Times New Roman"/>
                <w:color w:val="000000"/>
                <w:kern w:val="0"/>
                <w:sz w:val="25"/>
                <w:szCs w:val="24"/>
              </w:rPr>
              <w:t>万元（含）至</w:t>
            </w:r>
            <w:r>
              <w:rPr>
                <w:rFonts w:ascii="Times New Roman" w:hAnsi="Times New Roman"/>
                <w:color w:val="000000"/>
                <w:kern w:val="0"/>
                <w:sz w:val="25"/>
                <w:szCs w:val="24"/>
              </w:rPr>
              <w:t>100</w:t>
            </w:r>
            <w:r>
              <w:rPr>
                <w:rFonts w:ascii="Times New Roman" w:hAnsi="Times New Roman"/>
                <w:color w:val="000000"/>
                <w:kern w:val="0"/>
                <w:sz w:val="25"/>
                <w:szCs w:val="24"/>
              </w:rPr>
              <w:t>万元</w:t>
            </w:r>
          </w:p>
        </w:tc>
        <w:tc>
          <w:tcPr>
            <w:tcW w:w="2143" w:type="pct"/>
            <w:tcBorders>
              <w:top w:val="single" w:sz="4" w:space="0" w:color="auto"/>
              <w:left w:val="single" w:sz="4" w:space="0" w:color="auto"/>
              <w:bottom w:val="single" w:sz="4" w:space="0" w:color="auto"/>
              <w:right w:val="single" w:sz="4" w:space="0" w:color="auto"/>
            </w:tcBorders>
            <w:vAlign w:val="center"/>
          </w:tcPr>
          <w:p w14:paraId="04C42106"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0.18%</w:t>
            </w:r>
          </w:p>
        </w:tc>
      </w:tr>
      <w:tr w:rsidR="00542AF7" w14:paraId="50A663B0" w14:textId="77777777" w:rsidTr="00AF76DD">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1C1668FE" w14:textId="77777777" w:rsidR="00542AF7" w:rsidRDefault="00542AF7">
            <w:pPr>
              <w:widowControl/>
              <w:snapToGrid w:val="0"/>
              <w:jc w:val="left"/>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22C6933E"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万元（含）至</w:t>
            </w:r>
            <w:r>
              <w:rPr>
                <w:rFonts w:ascii="Times New Roman" w:hAnsi="Times New Roman"/>
                <w:color w:val="000000"/>
                <w:kern w:val="0"/>
                <w:sz w:val="25"/>
                <w:szCs w:val="24"/>
              </w:rPr>
              <w:t>200</w:t>
            </w:r>
            <w:r>
              <w:rPr>
                <w:rFonts w:ascii="Times New Roman" w:hAnsi="Times New Roman"/>
                <w:color w:val="000000"/>
                <w:kern w:val="0"/>
                <w:sz w:val="25"/>
                <w:szCs w:val="24"/>
              </w:rPr>
              <w:t>万元</w:t>
            </w:r>
          </w:p>
        </w:tc>
        <w:tc>
          <w:tcPr>
            <w:tcW w:w="2143" w:type="pct"/>
            <w:tcBorders>
              <w:top w:val="single" w:sz="4" w:space="0" w:color="auto"/>
              <w:left w:val="single" w:sz="4" w:space="0" w:color="auto"/>
              <w:bottom w:val="single" w:sz="4" w:space="0" w:color="auto"/>
              <w:right w:val="single" w:sz="4" w:space="0" w:color="auto"/>
            </w:tcBorders>
            <w:vAlign w:val="center"/>
          </w:tcPr>
          <w:p w14:paraId="370B897D"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0.10%</w:t>
            </w:r>
          </w:p>
        </w:tc>
      </w:tr>
      <w:tr w:rsidR="00542AF7" w14:paraId="119DBD72" w14:textId="77777777" w:rsidTr="00AF76DD">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1A4B4AA1" w14:textId="77777777" w:rsidR="00542AF7" w:rsidRDefault="00542AF7">
            <w:pPr>
              <w:widowControl/>
              <w:snapToGrid w:val="0"/>
              <w:jc w:val="left"/>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557AC759"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2143" w:type="pct"/>
            <w:tcBorders>
              <w:top w:val="single" w:sz="4" w:space="0" w:color="auto"/>
              <w:left w:val="single" w:sz="4" w:space="0" w:color="auto"/>
              <w:bottom w:val="single" w:sz="4" w:space="0" w:color="auto"/>
              <w:right w:val="single" w:sz="4" w:space="0" w:color="auto"/>
            </w:tcBorders>
            <w:vAlign w:val="center"/>
          </w:tcPr>
          <w:p w14:paraId="623E7866"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0.06%</w:t>
            </w:r>
          </w:p>
        </w:tc>
      </w:tr>
      <w:tr w:rsidR="00542AF7" w14:paraId="20CB8113" w14:textId="77777777" w:rsidTr="00AF76DD">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6B797077" w14:textId="77777777" w:rsidR="00542AF7" w:rsidRDefault="00542AF7">
            <w:pPr>
              <w:widowControl/>
              <w:snapToGrid w:val="0"/>
              <w:jc w:val="left"/>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2CDC6BF5"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w:t>
            </w:r>
          </w:p>
        </w:tc>
        <w:tc>
          <w:tcPr>
            <w:tcW w:w="2143" w:type="pct"/>
            <w:tcBorders>
              <w:top w:val="single" w:sz="4" w:space="0" w:color="auto"/>
              <w:left w:val="single" w:sz="4" w:space="0" w:color="auto"/>
              <w:bottom w:val="single" w:sz="4" w:space="0" w:color="auto"/>
              <w:right w:val="single" w:sz="4" w:space="0" w:color="auto"/>
            </w:tcBorders>
            <w:vAlign w:val="center"/>
          </w:tcPr>
          <w:p w14:paraId="1F26710B"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500</w:t>
            </w:r>
            <w:r>
              <w:rPr>
                <w:rFonts w:ascii="Times New Roman" w:hAnsi="Times New Roman"/>
                <w:color w:val="000000"/>
                <w:kern w:val="0"/>
                <w:sz w:val="25"/>
                <w:szCs w:val="24"/>
              </w:rPr>
              <w:t>元</w:t>
            </w:r>
          </w:p>
        </w:tc>
      </w:tr>
    </w:tbl>
    <w:p w14:paraId="4BA91DF8" w14:textId="77777777" w:rsidR="00AF76DD" w:rsidRDefault="00AF76DD" w:rsidP="00AF76DD">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通过基金管理人直销柜台申购本基金D类基金份额的养老金客户特定申购费率如下表：</w:t>
      </w:r>
    </w:p>
    <w:tbl>
      <w:tblPr>
        <w:tblW w:w="5000" w:type="pct"/>
        <w:tblCellMar>
          <w:left w:w="0" w:type="dxa"/>
          <w:right w:w="0" w:type="dxa"/>
        </w:tblCellMar>
        <w:tblLook w:val="0000" w:firstRow="0" w:lastRow="0" w:firstColumn="0" w:lastColumn="0" w:noHBand="0" w:noVBand="0"/>
      </w:tblPr>
      <w:tblGrid>
        <w:gridCol w:w="1236"/>
        <w:gridCol w:w="3707"/>
        <w:gridCol w:w="3707"/>
      </w:tblGrid>
      <w:tr w:rsidR="00AF76DD" w14:paraId="2385E19E" w14:textId="77777777" w:rsidTr="00C86C88">
        <w:trPr>
          <w:cantSplit/>
          <w:trHeight w:val="375"/>
        </w:trPr>
        <w:tc>
          <w:tcPr>
            <w:tcW w:w="714" w:type="pct"/>
            <w:vMerge w:val="restart"/>
            <w:tcBorders>
              <w:top w:val="single" w:sz="4" w:space="0" w:color="auto"/>
              <w:left w:val="single" w:sz="4" w:space="0" w:color="auto"/>
              <w:bottom w:val="single" w:sz="4" w:space="0" w:color="auto"/>
              <w:right w:val="single" w:sz="4" w:space="0" w:color="auto"/>
            </w:tcBorders>
            <w:vAlign w:val="center"/>
          </w:tcPr>
          <w:p w14:paraId="31EF860A" w14:textId="77777777" w:rsidR="00AF76DD" w:rsidRDefault="00AF76DD" w:rsidP="00C86C88">
            <w:pPr>
              <w:widowControl/>
              <w:snapToGrid w:val="0"/>
              <w:jc w:val="left"/>
              <w:rPr>
                <w:rFonts w:ascii="宋体" w:hAnsi="宋体"/>
                <w:color w:val="000000"/>
                <w:kern w:val="0"/>
                <w:sz w:val="25"/>
                <w:szCs w:val="24"/>
              </w:rPr>
            </w:pPr>
            <w:r>
              <w:rPr>
                <w:rFonts w:ascii="Times New Roman" w:hAnsi="Times New Roman"/>
                <w:color w:val="000000"/>
                <w:kern w:val="0"/>
                <w:sz w:val="25"/>
                <w:szCs w:val="24"/>
              </w:rPr>
              <w:t>申购费率</w:t>
            </w:r>
          </w:p>
        </w:tc>
        <w:tc>
          <w:tcPr>
            <w:tcW w:w="2143" w:type="pct"/>
            <w:tcBorders>
              <w:top w:val="single" w:sz="4" w:space="0" w:color="auto"/>
              <w:left w:val="single" w:sz="4" w:space="0" w:color="auto"/>
              <w:bottom w:val="single" w:sz="4" w:space="0" w:color="auto"/>
              <w:right w:val="single" w:sz="4" w:space="0" w:color="auto"/>
            </w:tcBorders>
            <w:vAlign w:val="center"/>
          </w:tcPr>
          <w:p w14:paraId="4CF60A65" w14:textId="77777777" w:rsidR="00AF76DD" w:rsidRDefault="00AF76DD" w:rsidP="00C86C88">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2143" w:type="pct"/>
            <w:tcBorders>
              <w:top w:val="single" w:sz="4" w:space="0" w:color="auto"/>
              <w:left w:val="single" w:sz="4" w:space="0" w:color="auto"/>
              <w:bottom w:val="single" w:sz="4" w:space="0" w:color="auto"/>
              <w:right w:val="single" w:sz="4" w:space="0" w:color="auto"/>
            </w:tcBorders>
            <w:vAlign w:val="center"/>
          </w:tcPr>
          <w:p w14:paraId="15F99997" w14:textId="77777777" w:rsidR="00AF76DD" w:rsidRDefault="00AF76DD" w:rsidP="00C86C88">
            <w:pPr>
              <w:widowControl/>
              <w:snapToGrid w:val="0"/>
              <w:jc w:val="center"/>
              <w:rPr>
                <w:rFonts w:ascii="宋体" w:hAnsi="宋体"/>
                <w:color w:val="000000"/>
                <w:kern w:val="0"/>
                <w:sz w:val="25"/>
                <w:szCs w:val="24"/>
              </w:rPr>
            </w:pPr>
            <w:r>
              <w:rPr>
                <w:rFonts w:ascii="Times New Roman" w:hAnsi="Times New Roman" w:hint="eastAsia"/>
                <w:color w:val="000000"/>
                <w:kern w:val="0"/>
                <w:sz w:val="25"/>
                <w:szCs w:val="24"/>
              </w:rPr>
              <w:t>D</w:t>
            </w:r>
            <w:r>
              <w:rPr>
                <w:rFonts w:ascii="Times New Roman" w:hAnsi="Times New Roman"/>
                <w:color w:val="000000"/>
                <w:kern w:val="0"/>
                <w:sz w:val="25"/>
                <w:szCs w:val="24"/>
              </w:rPr>
              <w:t>类基金份额特定申购费率</w:t>
            </w:r>
          </w:p>
        </w:tc>
      </w:tr>
      <w:tr w:rsidR="00AF76DD" w14:paraId="23F2592A" w14:textId="77777777" w:rsidTr="00C86C88">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622D20DF" w14:textId="77777777" w:rsidR="00AF76DD" w:rsidRDefault="00AF76DD" w:rsidP="00C86C88">
            <w:pPr>
              <w:widowControl/>
              <w:snapToGrid w:val="0"/>
              <w:jc w:val="left"/>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7852E6DF" w14:textId="77777777" w:rsidR="00AF76DD" w:rsidRDefault="00AF76DD" w:rsidP="00C86C88">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r>
              <w:rPr>
                <w:rFonts w:ascii="Times New Roman" w:hAnsi="Times New Roman"/>
                <w:color w:val="000000"/>
                <w:kern w:val="0"/>
                <w:sz w:val="25"/>
                <w:szCs w:val="24"/>
              </w:rPr>
              <w:t>万元以下</w:t>
            </w:r>
          </w:p>
        </w:tc>
        <w:tc>
          <w:tcPr>
            <w:tcW w:w="2143" w:type="pct"/>
            <w:tcBorders>
              <w:top w:val="single" w:sz="4" w:space="0" w:color="auto"/>
              <w:left w:val="single" w:sz="4" w:space="0" w:color="auto"/>
              <w:bottom w:val="single" w:sz="4" w:space="0" w:color="auto"/>
              <w:right w:val="single" w:sz="4" w:space="0" w:color="auto"/>
            </w:tcBorders>
            <w:vAlign w:val="center"/>
          </w:tcPr>
          <w:p w14:paraId="1F6FED61" w14:textId="77777777" w:rsidR="00AF76DD" w:rsidRDefault="00AF76DD" w:rsidP="00C86C88">
            <w:pPr>
              <w:widowControl/>
              <w:snapToGrid w:val="0"/>
              <w:jc w:val="center"/>
              <w:rPr>
                <w:rFonts w:ascii="宋体" w:hAnsi="宋体"/>
                <w:color w:val="000000"/>
                <w:kern w:val="0"/>
                <w:sz w:val="25"/>
                <w:szCs w:val="24"/>
              </w:rPr>
            </w:pPr>
            <w:r>
              <w:rPr>
                <w:rFonts w:ascii="Times New Roman" w:hAnsi="Times New Roman"/>
                <w:color w:val="000000"/>
                <w:kern w:val="0"/>
                <w:sz w:val="25"/>
                <w:szCs w:val="24"/>
              </w:rPr>
              <w:t>0.36%</w:t>
            </w:r>
          </w:p>
        </w:tc>
      </w:tr>
      <w:tr w:rsidR="00AF76DD" w14:paraId="64EF9D12" w14:textId="77777777" w:rsidTr="00C86C88">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23535935" w14:textId="77777777" w:rsidR="00AF76DD" w:rsidRDefault="00AF76DD" w:rsidP="00C86C88">
            <w:pPr>
              <w:widowControl/>
              <w:snapToGrid w:val="0"/>
              <w:jc w:val="left"/>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4F91FB87" w14:textId="77777777" w:rsidR="00AF76DD" w:rsidRDefault="00AF76DD" w:rsidP="00C86C88">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r>
              <w:rPr>
                <w:rFonts w:ascii="Times New Roman" w:hAnsi="Times New Roman"/>
                <w:color w:val="000000"/>
                <w:kern w:val="0"/>
                <w:sz w:val="25"/>
                <w:szCs w:val="24"/>
              </w:rPr>
              <w:t>万元（含）至</w:t>
            </w:r>
            <w:r>
              <w:rPr>
                <w:rFonts w:ascii="Times New Roman" w:hAnsi="Times New Roman"/>
                <w:color w:val="000000"/>
                <w:kern w:val="0"/>
                <w:sz w:val="25"/>
                <w:szCs w:val="24"/>
              </w:rPr>
              <w:t>100</w:t>
            </w:r>
            <w:r>
              <w:rPr>
                <w:rFonts w:ascii="Times New Roman" w:hAnsi="Times New Roman"/>
                <w:color w:val="000000"/>
                <w:kern w:val="0"/>
                <w:sz w:val="25"/>
                <w:szCs w:val="24"/>
              </w:rPr>
              <w:t>万元</w:t>
            </w:r>
          </w:p>
        </w:tc>
        <w:tc>
          <w:tcPr>
            <w:tcW w:w="2143" w:type="pct"/>
            <w:tcBorders>
              <w:top w:val="single" w:sz="4" w:space="0" w:color="auto"/>
              <w:left w:val="single" w:sz="4" w:space="0" w:color="auto"/>
              <w:bottom w:val="single" w:sz="4" w:space="0" w:color="auto"/>
              <w:right w:val="single" w:sz="4" w:space="0" w:color="auto"/>
            </w:tcBorders>
            <w:vAlign w:val="center"/>
          </w:tcPr>
          <w:p w14:paraId="2E6B4981" w14:textId="77777777" w:rsidR="00AF76DD" w:rsidRDefault="00AF76DD" w:rsidP="00C86C88">
            <w:pPr>
              <w:widowControl/>
              <w:snapToGrid w:val="0"/>
              <w:jc w:val="center"/>
              <w:rPr>
                <w:rFonts w:ascii="宋体" w:hAnsi="宋体"/>
                <w:color w:val="000000"/>
                <w:kern w:val="0"/>
                <w:sz w:val="25"/>
                <w:szCs w:val="24"/>
              </w:rPr>
            </w:pPr>
            <w:r>
              <w:rPr>
                <w:rFonts w:ascii="Times New Roman" w:hAnsi="Times New Roman"/>
                <w:color w:val="000000"/>
                <w:kern w:val="0"/>
                <w:sz w:val="25"/>
                <w:szCs w:val="24"/>
              </w:rPr>
              <w:t>0.21%</w:t>
            </w:r>
          </w:p>
        </w:tc>
      </w:tr>
      <w:tr w:rsidR="00AF76DD" w14:paraId="58155F37" w14:textId="77777777" w:rsidTr="00C86C88">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5769B91E" w14:textId="77777777" w:rsidR="00AF76DD" w:rsidRDefault="00AF76DD" w:rsidP="00C86C88">
            <w:pPr>
              <w:widowControl/>
              <w:snapToGrid w:val="0"/>
              <w:jc w:val="left"/>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0DEF9E3A" w14:textId="77777777" w:rsidR="00AF76DD" w:rsidRDefault="00AF76DD" w:rsidP="00C86C88">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万元（含）至</w:t>
            </w:r>
            <w:r>
              <w:rPr>
                <w:rFonts w:ascii="Times New Roman" w:hAnsi="Times New Roman"/>
                <w:color w:val="000000"/>
                <w:kern w:val="0"/>
                <w:sz w:val="25"/>
                <w:szCs w:val="24"/>
              </w:rPr>
              <w:t>200</w:t>
            </w:r>
            <w:r>
              <w:rPr>
                <w:rFonts w:ascii="Times New Roman" w:hAnsi="Times New Roman"/>
                <w:color w:val="000000"/>
                <w:kern w:val="0"/>
                <w:sz w:val="25"/>
                <w:szCs w:val="24"/>
              </w:rPr>
              <w:t>万元</w:t>
            </w:r>
          </w:p>
        </w:tc>
        <w:tc>
          <w:tcPr>
            <w:tcW w:w="2143" w:type="pct"/>
            <w:tcBorders>
              <w:top w:val="single" w:sz="4" w:space="0" w:color="auto"/>
              <w:left w:val="single" w:sz="4" w:space="0" w:color="auto"/>
              <w:bottom w:val="single" w:sz="4" w:space="0" w:color="auto"/>
              <w:right w:val="single" w:sz="4" w:space="0" w:color="auto"/>
            </w:tcBorders>
            <w:vAlign w:val="center"/>
          </w:tcPr>
          <w:p w14:paraId="3C95C0E1" w14:textId="77777777" w:rsidR="00AF76DD" w:rsidRDefault="00AF76DD" w:rsidP="00C86C88">
            <w:pPr>
              <w:widowControl/>
              <w:snapToGrid w:val="0"/>
              <w:jc w:val="center"/>
              <w:rPr>
                <w:rFonts w:ascii="宋体" w:hAnsi="宋体"/>
                <w:color w:val="000000"/>
                <w:kern w:val="0"/>
                <w:sz w:val="25"/>
                <w:szCs w:val="24"/>
              </w:rPr>
            </w:pPr>
            <w:r>
              <w:rPr>
                <w:rFonts w:ascii="Times New Roman" w:hAnsi="Times New Roman"/>
                <w:color w:val="000000"/>
                <w:kern w:val="0"/>
                <w:sz w:val="25"/>
                <w:szCs w:val="24"/>
              </w:rPr>
              <w:t>0.12%</w:t>
            </w:r>
          </w:p>
        </w:tc>
      </w:tr>
      <w:tr w:rsidR="00AF76DD" w14:paraId="306791AF" w14:textId="77777777" w:rsidTr="00C86C88">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46F294E6" w14:textId="77777777" w:rsidR="00AF76DD" w:rsidRDefault="00AF76DD" w:rsidP="00C86C88">
            <w:pPr>
              <w:widowControl/>
              <w:snapToGrid w:val="0"/>
              <w:jc w:val="left"/>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6347262D" w14:textId="77777777" w:rsidR="00AF76DD" w:rsidRDefault="00AF76DD" w:rsidP="00C86C88">
            <w:pPr>
              <w:widowControl/>
              <w:snapToGrid w:val="0"/>
              <w:jc w:val="left"/>
              <w:rPr>
                <w:rFonts w:ascii="宋体" w:hAnsi="宋体"/>
                <w:color w:val="000000"/>
                <w:kern w:val="0"/>
                <w:sz w:val="25"/>
                <w:szCs w:val="24"/>
              </w:rPr>
            </w:pPr>
            <w:r>
              <w:rPr>
                <w:rFonts w:ascii="Times New Roman" w:hAnsi="Times New Roman"/>
                <w:color w:val="000000"/>
                <w:kern w:val="0"/>
                <w:sz w:val="25"/>
                <w:szCs w:val="24"/>
              </w:rPr>
              <w:t>200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2143" w:type="pct"/>
            <w:tcBorders>
              <w:top w:val="single" w:sz="4" w:space="0" w:color="auto"/>
              <w:left w:val="single" w:sz="4" w:space="0" w:color="auto"/>
              <w:bottom w:val="single" w:sz="4" w:space="0" w:color="auto"/>
              <w:right w:val="single" w:sz="4" w:space="0" w:color="auto"/>
            </w:tcBorders>
            <w:vAlign w:val="center"/>
          </w:tcPr>
          <w:p w14:paraId="3B907865" w14:textId="77777777" w:rsidR="00AF76DD" w:rsidRDefault="00AF76DD" w:rsidP="00C86C88">
            <w:pPr>
              <w:widowControl/>
              <w:snapToGrid w:val="0"/>
              <w:jc w:val="center"/>
              <w:rPr>
                <w:rFonts w:ascii="宋体" w:hAnsi="宋体"/>
                <w:color w:val="000000"/>
                <w:kern w:val="0"/>
                <w:sz w:val="25"/>
                <w:szCs w:val="24"/>
              </w:rPr>
            </w:pPr>
            <w:r>
              <w:rPr>
                <w:rFonts w:ascii="Times New Roman" w:hAnsi="Times New Roman"/>
                <w:color w:val="000000"/>
                <w:kern w:val="0"/>
                <w:sz w:val="25"/>
                <w:szCs w:val="24"/>
              </w:rPr>
              <w:t>0.08%</w:t>
            </w:r>
          </w:p>
        </w:tc>
      </w:tr>
      <w:tr w:rsidR="00AF76DD" w14:paraId="6AC751DB" w14:textId="77777777" w:rsidTr="00C86C88">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104CBBFF" w14:textId="77777777" w:rsidR="00AF76DD" w:rsidRDefault="00AF76DD" w:rsidP="00C86C88">
            <w:pPr>
              <w:widowControl/>
              <w:snapToGrid w:val="0"/>
              <w:jc w:val="left"/>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6AD4DBCF" w14:textId="77777777" w:rsidR="00AF76DD" w:rsidRDefault="00AF76DD" w:rsidP="00C86C88">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2143" w:type="pct"/>
            <w:tcBorders>
              <w:top w:val="single" w:sz="4" w:space="0" w:color="auto"/>
              <w:left w:val="single" w:sz="4" w:space="0" w:color="auto"/>
              <w:bottom w:val="single" w:sz="4" w:space="0" w:color="auto"/>
              <w:right w:val="single" w:sz="4" w:space="0" w:color="auto"/>
            </w:tcBorders>
            <w:vAlign w:val="center"/>
          </w:tcPr>
          <w:p w14:paraId="03017A8E" w14:textId="4AC110E2" w:rsidR="00AF76DD" w:rsidRDefault="00AF76DD" w:rsidP="00AF76DD">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700</w:t>
            </w:r>
            <w:r>
              <w:rPr>
                <w:rFonts w:ascii="Times New Roman" w:hAnsi="Times New Roman"/>
                <w:color w:val="000000"/>
                <w:kern w:val="0"/>
                <w:sz w:val="25"/>
                <w:szCs w:val="24"/>
              </w:rPr>
              <w:t>元</w:t>
            </w:r>
          </w:p>
        </w:tc>
      </w:tr>
    </w:tbl>
    <w:p w14:paraId="196EC750" w14:textId="77777777" w:rsidR="003E11BD" w:rsidRDefault="003E11BD" w:rsidP="003E11B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有关养老金客户实施特定申购费率的具体规定以及活动时间如有变化，敬请投资人留意本公司发布的相关公告。</w:t>
      </w:r>
    </w:p>
    <w:p w14:paraId="49E113E4" w14:textId="77777777" w:rsidR="003E11BD" w:rsidRDefault="003E11BD" w:rsidP="003E11BD">
      <w:pPr>
        <w:autoSpaceDE w:val="0"/>
        <w:autoSpaceDN w:val="0"/>
        <w:snapToGrid w:val="0"/>
        <w:spacing w:line="360" w:lineRule="auto"/>
        <w:ind w:firstLine="480"/>
        <w:jc w:val="left"/>
        <w:rPr>
          <w:rFonts w:ascii="宋体" w:hAnsi="宋体"/>
          <w:kern w:val="0"/>
          <w:szCs w:val="21"/>
        </w:rPr>
      </w:pPr>
      <w:r>
        <w:rPr>
          <w:rFonts w:hint="eastAsia"/>
          <w:sz w:val="24"/>
          <w:szCs w:val="24"/>
        </w:rPr>
        <w:t>投资者通过直销机构交易享有的交易费率优惠情况请见本基金管理人的有关公告或本基金管理人网站。本基金管理人基金网上直销业务已开通的银行卡及各银行卡交易金额限额请参阅本基金管理人网站。</w:t>
      </w:r>
    </w:p>
    <w:p w14:paraId="67DC3AC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2、赎回费用</w:t>
      </w:r>
    </w:p>
    <w:p w14:paraId="06C8083D" w14:textId="0F8DF0C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投资者赎回A类基金份额</w:t>
      </w:r>
      <w:r w:rsidR="0093405C">
        <w:rPr>
          <w:rFonts w:ascii="宋体" w:hAnsi="宋体" w:hint="eastAsia"/>
          <w:sz w:val="24"/>
        </w:rPr>
        <w:t>、</w:t>
      </w:r>
      <w:r>
        <w:rPr>
          <w:rFonts w:ascii="宋体" w:hAnsi="宋体"/>
          <w:sz w:val="24"/>
        </w:rPr>
        <w:t>C类基金份额</w:t>
      </w:r>
      <w:r w:rsidR="0093405C" w:rsidRPr="00D258D9">
        <w:rPr>
          <w:rFonts w:ascii="宋体" w:hAnsi="宋体" w:hint="eastAsia"/>
          <w:sz w:val="24"/>
        </w:rPr>
        <w:t>或D类基金份额</w:t>
      </w:r>
      <w:r>
        <w:rPr>
          <w:rFonts w:ascii="宋体" w:hAnsi="宋体"/>
          <w:sz w:val="24"/>
        </w:rPr>
        <w:t>收取赎回费用，该费用随基金份额的持有时间递减。本基金A类基金份额</w:t>
      </w:r>
      <w:r w:rsidR="0093405C">
        <w:rPr>
          <w:rFonts w:ascii="宋体" w:hAnsi="宋体" w:hint="eastAsia"/>
          <w:sz w:val="24"/>
        </w:rPr>
        <w:t>、</w:t>
      </w:r>
      <w:r>
        <w:rPr>
          <w:rFonts w:ascii="宋体" w:hAnsi="宋体"/>
          <w:sz w:val="24"/>
        </w:rPr>
        <w:t>C类基金份额</w:t>
      </w:r>
      <w:r w:rsidR="0093405C">
        <w:rPr>
          <w:rFonts w:ascii="宋体" w:hAnsi="宋体" w:hint="eastAsia"/>
          <w:sz w:val="24"/>
        </w:rPr>
        <w:t>和D类基金份额</w:t>
      </w:r>
      <w:r>
        <w:rPr>
          <w:rFonts w:ascii="宋体" w:hAnsi="宋体"/>
          <w:sz w:val="24"/>
        </w:rPr>
        <w:t>的赎回费用由该类基金份额赎回人承担，赎回费总额的25%应归基金财产，其余用于支付登记费和其他必要的手续费。其中，对持续持有期少于7日的基金份额持有人收取不低于1.5%的赎回费并全额计入基金财产。</w:t>
      </w:r>
    </w:p>
    <w:p w14:paraId="42F0D01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本基金A类基金份额的赎回费率如下：</w:t>
      </w:r>
    </w:p>
    <w:tbl>
      <w:tblPr>
        <w:tblW w:w="5000" w:type="pct"/>
        <w:tblCellMar>
          <w:left w:w="0" w:type="dxa"/>
          <w:right w:w="0" w:type="dxa"/>
        </w:tblCellMar>
        <w:tblLook w:val="0000" w:firstRow="0" w:lastRow="0" w:firstColumn="0" w:lastColumn="0" w:noHBand="0" w:noVBand="0"/>
      </w:tblPr>
      <w:tblGrid>
        <w:gridCol w:w="1236"/>
        <w:gridCol w:w="3707"/>
        <w:gridCol w:w="3707"/>
      </w:tblGrid>
      <w:tr w:rsidR="00542AF7" w14:paraId="64146CF3" w14:textId="77777777">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14:paraId="2B6D0570"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类基金份额的赎回费率</w:t>
            </w:r>
          </w:p>
        </w:tc>
        <w:tc>
          <w:tcPr>
            <w:tcW w:w="750" w:type="pct"/>
            <w:tcBorders>
              <w:top w:val="single" w:sz="4" w:space="0" w:color="auto"/>
              <w:left w:val="single" w:sz="4" w:space="0" w:color="auto"/>
              <w:bottom w:val="single" w:sz="4" w:space="0" w:color="auto"/>
              <w:right w:val="single" w:sz="4" w:space="0" w:color="auto"/>
            </w:tcBorders>
            <w:vAlign w:val="center"/>
          </w:tcPr>
          <w:p w14:paraId="10765ACE"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持有期限</w:t>
            </w:r>
          </w:p>
        </w:tc>
        <w:tc>
          <w:tcPr>
            <w:tcW w:w="400" w:type="pct"/>
            <w:tcBorders>
              <w:top w:val="single" w:sz="4" w:space="0" w:color="auto"/>
              <w:left w:val="single" w:sz="4" w:space="0" w:color="auto"/>
              <w:bottom w:val="single" w:sz="4" w:space="0" w:color="auto"/>
              <w:right w:val="single" w:sz="4" w:space="0" w:color="auto"/>
            </w:tcBorders>
            <w:vAlign w:val="center"/>
          </w:tcPr>
          <w:p w14:paraId="27863E65"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赎回费率</w:t>
            </w:r>
          </w:p>
        </w:tc>
      </w:tr>
      <w:tr w:rsidR="00542AF7" w14:paraId="75A82D53"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7EA49252" w14:textId="77777777" w:rsidR="00542AF7" w:rsidRDefault="00542AF7">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0A8E5126"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日以内</w:t>
            </w:r>
          </w:p>
        </w:tc>
        <w:tc>
          <w:tcPr>
            <w:tcW w:w="750" w:type="pct"/>
            <w:tcBorders>
              <w:top w:val="single" w:sz="4" w:space="0" w:color="auto"/>
              <w:left w:val="single" w:sz="4" w:space="0" w:color="auto"/>
              <w:bottom w:val="single" w:sz="4" w:space="0" w:color="auto"/>
              <w:right w:val="single" w:sz="4" w:space="0" w:color="auto"/>
            </w:tcBorders>
            <w:vAlign w:val="center"/>
          </w:tcPr>
          <w:p w14:paraId="10CBCDF0"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rsidR="00542AF7" w14:paraId="5485C2FA"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4FDFD1BF" w14:textId="77777777" w:rsidR="00542AF7" w:rsidRDefault="00542AF7">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587E6B52"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日（含）</w:t>
            </w:r>
            <w:r>
              <w:rPr>
                <w:rFonts w:ascii="Times New Roman" w:hAnsi="Times New Roman"/>
                <w:color w:val="000000"/>
                <w:kern w:val="0"/>
                <w:sz w:val="25"/>
                <w:szCs w:val="24"/>
              </w:rPr>
              <w:t>—30</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14:paraId="04E807F4"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0.1%</w:t>
            </w:r>
          </w:p>
        </w:tc>
      </w:tr>
      <w:tr w:rsidR="00542AF7" w14:paraId="08DF2E6B"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2A95D886" w14:textId="77777777" w:rsidR="00542AF7" w:rsidRDefault="00542AF7">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51A04F24"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30</w:t>
            </w:r>
            <w:r>
              <w:rPr>
                <w:rFonts w:ascii="Times New Roman" w:hAnsi="Times New Roman"/>
                <w:color w:val="000000"/>
                <w:kern w:val="0"/>
                <w:sz w:val="25"/>
                <w:szCs w:val="24"/>
              </w:rPr>
              <w:t>日以上（含）</w:t>
            </w:r>
          </w:p>
        </w:tc>
        <w:tc>
          <w:tcPr>
            <w:tcW w:w="750" w:type="pct"/>
            <w:tcBorders>
              <w:top w:val="single" w:sz="4" w:space="0" w:color="auto"/>
              <w:left w:val="single" w:sz="4" w:space="0" w:color="auto"/>
              <w:bottom w:val="single" w:sz="4" w:space="0" w:color="auto"/>
              <w:right w:val="single" w:sz="4" w:space="0" w:color="auto"/>
            </w:tcBorders>
            <w:vAlign w:val="center"/>
          </w:tcPr>
          <w:p w14:paraId="0E08F657"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14:paraId="750464E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本基金C类基金份额的赎回费率如下：</w:t>
      </w:r>
    </w:p>
    <w:tbl>
      <w:tblPr>
        <w:tblW w:w="5000" w:type="pct"/>
        <w:tblCellMar>
          <w:left w:w="0" w:type="dxa"/>
          <w:right w:w="0" w:type="dxa"/>
        </w:tblCellMar>
        <w:tblLook w:val="0000" w:firstRow="0" w:lastRow="0" w:firstColumn="0" w:lastColumn="0" w:noHBand="0" w:noVBand="0"/>
      </w:tblPr>
      <w:tblGrid>
        <w:gridCol w:w="1236"/>
        <w:gridCol w:w="3707"/>
        <w:gridCol w:w="3707"/>
      </w:tblGrid>
      <w:tr w:rsidR="00542AF7" w14:paraId="0E674B5A" w14:textId="77777777" w:rsidTr="0093405C">
        <w:trPr>
          <w:cantSplit/>
          <w:trHeight w:val="375"/>
        </w:trPr>
        <w:tc>
          <w:tcPr>
            <w:tcW w:w="714" w:type="pct"/>
            <w:vMerge w:val="restart"/>
            <w:tcBorders>
              <w:top w:val="single" w:sz="4" w:space="0" w:color="auto"/>
              <w:left w:val="single" w:sz="4" w:space="0" w:color="auto"/>
              <w:bottom w:val="single" w:sz="4" w:space="0" w:color="auto"/>
              <w:right w:val="single" w:sz="4" w:space="0" w:color="auto"/>
            </w:tcBorders>
            <w:vAlign w:val="center"/>
          </w:tcPr>
          <w:p w14:paraId="44A10927"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C</w:t>
            </w:r>
            <w:r>
              <w:rPr>
                <w:rFonts w:ascii="Times New Roman" w:hAnsi="Times New Roman"/>
                <w:color w:val="000000"/>
                <w:kern w:val="0"/>
                <w:sz w:val="25"/>
                <w:szCs w:val="24"/>
              </w:rPr>
              <w:t>类基金份额的赎回费率</w:t>
            </w:r>
          </w:p>
        </w:tc>
        <w:tc>
          <w:tcPr>
            <w:tcW w:w="2143" w:type="pct"/>
            <w:tcBorders>
              <w:top w:val="single" w:sz="4" w:space="0" w:color="auto"/>
              <w:left w:val="single" w:sz="4" w:space="0" w:color="auto"/>
              <w:bottom w:val="single" w:sz="4" w:space="0" w:color="auto"/>
              <w:right w:val="single" w:sz="4" w:space="0" w:color="auto"/>
            </w:tcBorders>
            <w:vAlign w:val="center"/>
          </w:tcPr>
          <w:p w14:paraId="70E8FF65"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持有期限</w:t>
            </w:r>
          </w:p>
        </w:tc>
        <w:tc>
          <w:tcPr>
            <w:tcW w:w="2143" w:type="pct"/>
            <w:tcBorders>
              <w:top w:val="single" w:sz="4" w:space="0" w:color="auto"/>
              <w:left w:val="single" w:sz="4" w:space="0" w:color="auto"/>
              <w:bottom w:val="single" w:sz="4" w:space="0" w:color="auto"/>
              <w:right w:val="single" w:sz="4" w:space="0" w:color="auto"/>
            </w:tcBorders>
            <w:vAlign w:val="center"/>
          </w:tcPr>
          <w:p w14:paraId="359ACAEA"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赎回费率</w:t>
            </w:r>
          </w:p>
        </w:tc>
      </w:tr>
      <w:tr w:rsidR="00542AF7" w14:paraId="4DA4877A" w14:textId="77777777" w:rsidTr="0093405C">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2BC27518" w14:textId="77777777" w:rsidR="00542AF7" w:rsidRDefault="00542AF7">
            <w:pPr>
              <w:widowControl/>
              <w:snapToGrid w:val="0"/>
              <w:jc w:val="center"/>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5E12D270"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日以内</w:t>
            </w:r>
          </w:p>
        </w:tc>
        <w:tc>
          <w:tcPr>
            <w:tcW w:w="2143" w:type="pct"/>
            <w:tcBorders>
              <w:top w:val="single" w:sz="4" w:space="0" w:color="auto"/>
              <w:left w:val="single" w:sz="4" w:space="0" w:color="auto"/>
              <w:bottom w:val="single" w:sz="4" w:space="0" w:color="auto"/>
              <w:right w:val="single" w:sz="4" w:space="0" w:color="auto"/>
            </w:tcBorders>
            <w:vAlign w:val="center"/>
          </w:tcPr>
          <w:p w14:paraId="131FFFC9"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rsidR="00542AF7" w14:paraId="3D083CF1" w14:textId="77777777" w:rsidTr="0093405C">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3BEE3BC5" w14:textId="77777777" w:rsidR="00542AF7" w:rsidRDefault="00542AF7">
            <w:pPr>
              <w:widowControl/>
              <w:snapToGrid w:val="0"/>
              <w:jc w:val="center"/>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3D77D659"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日（含）</w:t>
            </w:r>
            <w:r>
              <w:rPr>
                <w:rFonts w:ascii="Times New Roman" w:hAnsi="Times New Roman"/>
                <w:color w:val="000000"/>
                <w:kern w:val="0"/>
                <w:sz w:val="25"/>
                <w:szCs w:val="24"/>
              </w:rPr>
              <w:t>—30</w:t>
            </w:r>
            <w:r>
              <w:rPr>
                <w:rFonts w:ascii="Times New Roman" w:hAnsi="Times New Roman"/>
                <w:color w:val="000000"/>
                <w:kern w:val="0"/>
                <w:sz w:val="25"/>
                <w:szCs w:val="24"/>
              </w:rPr>
              <w:t>日</w:t>
            </w:r>
          </w:p>
        </w:tc>
        <w:tc>
          <w:tcPr>
            <w:tcW w:w="2143" w:type="pct"/>
            <w:tcBorders>
              <w:top w:val="single" w:sz="4" w:space="0" w:color="auto"/>
              <w:left w:val="single" w:sz="4" w:space="0" w:color="auto"/>
              <w:bottom w:val="single" w:sz="4" w:space="0" w:color="auto"/>
              <w:right w:val="single" w:sz="4" w:space="0" w:color="auto"/>
            </w:tcBorders>
            <w:vAlign w:val="center"/>
          </w:tcPr>
          <w:p w14:paraId="3966EFBF"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0.1%</w:t>
            </w:r>
          </w:p>
        </w:tc>
      </w:tr>
      <w:tr w:rsidR="00542AF7" w14:paraId="16DA4E6F" w14:textId="77777777" w:rsidTr="0093405C">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0016B921" w14:textId="77777777" w:rsidR="00542AF7" w:rsidRDefault="00542AF7">
            <w:pPr>
              <w:widowControl/>
              <w:snapToGrid w:val="0"/>
              <w:jc w:val="center"/>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02C8D6B9"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30</w:t>
            </w:r>
            <w:r>
              <w:rPr>
                <w:rFonts w:ascii="Times New Roman" w:hAnsi="Times New Roman"/>
                <w:color w:val="000000"/>
                <w:kern w:val="0"/>
                <w:sz w:val="25"/>
                <w:szCs w:val="24"/>
              </w:rPr>
              <w:t>日以上（含）</w:t>
            </w:r>
          </w:p>
        </w:tc>
        <w:tc>
          <w:tcPr>
            <w:tcW w:w="2143" w:type="pct"/>
            <w:tcBorders>
              <w:top w:val="single" w:sz="4" w:space="0" w:color="auto"/>
              <w:left w:val="single" w:sz="4" w:space="0" w:color="auto"/>
              <w:bottom w:val="single" w:sz="4" w:space="0" w:color="auto"/>
              <w:right w:val="single" w:sz="4" w:space="0" w:color="auto"/>
            </w:tcBorders>
            <w:vAlign w:val="center"/>
          </w:tcPr>
          <w:p w14:paraId="6DE21F5E"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14:paraId="353C5FEE" w14:textId="77777777" w:rsidR="0093405C" w:rsidRDefault="0093405C" w:rsidP="009340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本基金D类基金份额的赎回费率如下：</w:t>
      </w:r>
    </w:p>
    <w:tbl>
      <w:tblPr>
        <w:tblW w:w="5000" w:type="pct"/>
        <w:tblCellMar>
          <w:left w:w="0" w:type="dxa"/>
          <w:right w:w="0" w:type="dxa"/>
        </w:tblCellMar>
        <w:tblLook w:val="0000" w:firstRow="0" w:lastRow="0" w:firstColumn="0" w:lastColumn="0" w:noHBand="0" w:noVBand="0"/>
      </w:tblPr>
      <w:tblGrid>
        <w:gridCol w:w="1236"/>
        <w:gridCol w:w="3707"/>
        <w:gridCol w:w="3707"/>
      </w:tblGrid>
      <w:tr w:rsidR="0093405C" w14:paraId="0DA0C0D8" w14:textId="77777777" w:rsidTr="00C86C88">
        <w:trPr>
          <w:cantSplit/>
          <w:trHeight w:val="375"/>
        </w:trPr>
        <w:tc>
          <w:tcPr>
            <w:tcW w:w="714" w:type="pct"/>
            <w:vMerge w:val="restart"/>
            <w:tcBorders>
              <w:top w:val="single" w:sz="4" w:space="0" w:color="auto"/>
              <w:left w:val="single" w:sz="4" w:space="0" w:color="auto"/>
              <w:bottom w:val="single" w:sz="4" w:space="0" w:color="auto"/>
              <w:right w:val="single" w:sz="4" w:space="0" w:color="auto"/>
            </w:tcBorders>
            <w:vAlign w:val="center"/>
          </w:tcPr>
          <w:p w14:paraId="6838F8C3" w14:textId="77777777" w:rsidR="0093405C" w:rsidRDefault="0093405C" w:rsidP="00C86C88">
            <w:pPr>
              <w:widowControl/>
              <w:snapToGrid w:val="0"/>
              <w:jc w:val="center"/>
              <w:rPr>
                <w:rFonts w:ascii="宋体" w:hAnsi="宋体"/>
                <w:color w:val="000000"/>
                <w:kern w:val="0"/>
                <w:sz w:val="25"/>
                <w:szCs w:val="24"/>
              </w:rPr>
            </w:pPr>
            <w:r>
              <w:rPr>
                <w:rFonts w:ascii="Times New Roman" w:hAnsi="Times New Roman"/>
                <w:color w:val="000000"/>
                <w:kern w:val="0"/>
                <w:sz w:val="25"/>
                <w:szCs w:val="24"/>
              </w:rPr>
              <w:t>D</w:t>
            </w:r>
            <w:r>
              <w:rPr>
                <w:rFonts w:ascii="Times New Roman" w:hAnsi="Times New Roman"/>
                <w:color w:val="000000"/>
                <w:kern w:val="0"/>
                <w:sz w:val="25"/>
                <w:szCs w:val="24"/>
              </w:rPr>
              <w:t>类基金份额的赎回费率</w:t>
            </w:r>
          </w:p>
        </w:tc>
        <w:tc>
          <w:tcPr>
            <w:tcW w:w="2143" w:type="pct"/>
            <w:tcBorders>
              <w:top w:val="single" w:sz="4" w:space="0" w:color="auto"/>
              <w:left w:val="single" w:sz="4" w:space="0" w:color="auto"/>
              <w:bottom w:val="single" w:sz="4" w:space="0" w:color="auto"/>
              <w:right w:val="single" w:sz="4" w:space="0" w:color="auto"/>
            </w:tcBorders>
            <w:vAlign w:val="center"/>
          </w:tcPr>
          <w:p w14:paraId="6CAC3FBB" w14:textId="77777777" w:rsidR="0093405C" w:rsidRDefault="0093405C" w:rsidP="00C86C88">
            <w:pPr>
              <w:widowControl/>
              <w:snapToGrid w:val="0"/>
              <w:jc w:val="center"/>
              <w:rPr>
                <w:rFonts w:ascii="宋体" w:hAnsi="宋体"/>
                <w:color w:val="000000"/>
                <w:kern w:val="0"/>
                <w:sz w:val="25"/>
                <w:szCs w:val="24"/>
              </w:rPr>
            </w:pPr>
            <w:r>
              <w:rPr>
                <w:rFonts w:ascii="Times New Roman" w:hAnsi="Times New Roman"/>
                <w:color w:val="000000"/>
                <w:kern w:val="0"/>
                <w:sz w:val="25"/>
                <w:szCs w:val="24"/>
              </w:rPr>
              <w:t>持有期限</w:t>
            </w:r>
          </w:p>
        </w:tc>
        <w:tc>
          <w:tcPr>
            <w:tcW w:w="2143" w:type="pct"/>
            <w:tcBorders>
              <w:top w:val="single" w:sz="4" w:space="0" w:color="auto"/>
              <w:left w:val="single" w:sz="4" w:space="0" w:color="auto"/>
              <w:bottom w:val="single" w:sz="4" w:space="0" w:color="auto"/>
              <w:right w:val="single" w:sz="4" w:space="0" w:color="auto"/>
            </w:tcBorders>
            <w:vAlign w:val="center"/>
          </w:tcPr>
          <w:p w14:paraId="2715E28B" w14:textId="77777777" w:rsidR="0093405C" w:rsidRDefault="0093405C" w:rsidP="00C86C88">
            <w:pPr>
              <w:widowControl/>
              <w:snapToGrid w:val="0"/>
              <w:jc w:val="center"/>
              <w:rPr>
                <w:rFonts w:ascii="宋体" w:hAnsi="宋体"/>
                <w:color w:val="000000"/>
                <w:kern w:val="0"/>
                <w:sz w:val="25"/>
                <w:szCs w:val="24"/>
              </w:rPr>
            </w:pPr>
            <w:r>
              <w:rPr>
                <w:rFonts w:ascii="Times New Roman" w:hAnsi="Times New Roman"/>
                <w:color w:val="000000"/>
                <w:kern w:val="0"/>
                <w:sz w:val="25"/>
                <w:szCs w:val="24"/>
              </w:rPr>
              <w:t>赎回费率</w:t>
            </w:r>
          </w:p>
        </w:tc>
      </w:tr>
      <w:tr w:rsidR="0093405C" w14:paraId="202135E2" w14:textId="77777777" w:rsidTr="00C86C88">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6B12E9D8" w14:textId="77777777" w:rsidR="0093405C" w:rsidRDefault="0093405C" w:rsidP="00C86C88">
            <w:pPr>
              <w:widowControl/>
              <w:snapToGrid w:val="0"/>
              <w:jc w:val="center"/>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4FA1F955" w14:textId="77777777" w:rsidR="0093405C" w:rsidRDefault="0093405C" w:rsidP="00C86C88">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日以内</w:t>
            </w:r>
          </w:p>
        </w:tc>
        <w:tc>
          <w:tcPr>
            <w:tcW w:w="2143" w:type="pct"/>
            <w:tcBorders>
              <w:top w:val="single" w:sz="4" w:space="0" w:color="auto"/>
              <w:left w:val="single" w:sz="4" w:space="0" w:color="auto"/>
              <w:bottom w:val="single" w:sz="4" w:space="0" w:color="auto"/>
              <w:right w:val="single" w:sz="4" w:space="0" w:color="auto"/>
            </w:tcBorders>
            <w:vAlign w:val="center"/>
          </w:tcPr>
          <w:p w14:paraId="13E70115" w14:textId="77777777" w:rsidR="0093405C" w:rsidRDefault="0093405C" w:rsidP="00C86C88">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rsidR="0093405C" w14:paraId="7D33D1A1" w14:textId="77777777" w:rsidTr="00C86C88">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351CDBDF" w14:textId="77777777" w:rsidR="0093405C" w:rsidRDefault="0093405C" w:rsidP="00C86C88">
            <w:pPr>
              <w:widowControl/>
              <w:snapToGrid w:val="0"/>
              <w:jc w:val="center"/>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2F2BB967" w14:textId="77777777" w:rsidR="0093405C" w:rsidRDefault="0093405C" w:rsidP="00C86C88">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日（含）以上</w:t>
            </w:r>
          </w:p>
        </w:tc>
        <w:tc>
          <w:tcPr>
            <w:tcW w:w="2143" w:type="pct"/>
            <w:tcBorders>
              <w:top w:val="single" w:sz="4" w:space="0" w:color="auto"/>
              <w:left w:val="single" w:sz="4" w:space="0" w:color="auto"/>
              <w:bottom w:val="single" w:sz="4" w:space="0" w:color="auto"/>
              <w:right w:val="single" w:sz="4" w:space="0" w:color="auto"/>
            </w:tcBorders>
            <w:vAlign w:val="center"/>
          </w:tcPr>
          <w:p w14:paraId="3B747185" w14:textId="77777777" w:rsidR="0093405C" w:rsidRDefault="0093405C" w:rsidP="00C86C88">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14:paraId="4FFFAE5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销售费用。</w:t>
      </w:r>
    </w:p>
    <w:p w14:paraId="1ED064C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（七）申购和赎回的数额和价格</w:t>
      </w:r>
    </w:p>
    <w:p w14:paraId="3BB5DA1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1、申购和赎回数额、余额的处理方式</w:t>
      </w:r>
    </w:p>
    <w:p w14:paraId="4A7D657F" w14:textId="584FCB82"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（1）申购A类基金份额</w:t>
      </w:r>
      <w:r w:rsidR="00C86C88">
        <w:rPr>
          <w:rFonts w:ascii="宋体" w:hAnsi="宋体" w:hint="eastAsia"/>
          <w:sz w:val="24"/>
        </w:rPr>
        <w:t>、</w:t>
      </w:r>
      <w:r>
        <w:rPr>
          <w:rFonts w:ascii="宋体" w:hAnsi="宋体"/>
          <w:sz w:val="24"/>
        </w:rPr>
        <w:t>C类基金份额</w:t>
      </w:r>
      <w:r w:rsidR="00C86C88">
        <w:rPr>
          <w:rFonts w:ascii="宋体" w:hAnsi="宋体" w:hint="eastAsia"/>
          <w:sz w:val="24"/>
        </w:rPr>
        <w:t>或D类基金份额</w:t>
      </w:r>
      <w:r>
        <w:rPr>
          <w:rFonts w:ascii="宋体" w:hAnsi="宋体"/>
          <w:sz w:val="24"/>
        </w:rPr>
        <w:t>的有效份额为净申购金额除以当日该类基金份额的基金份额净值，有效份额单位为份，申购份额计算结果按四舍五入方法，保留到小数点后2位，由此产生的收益或损失由基金财产承担。</w:t>
      </w:r>
    </w:p>
    <w:p w14:paraId="47ABA69B" w14:textId="76E9023C"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（2）A类基金份额</w:t>
      </w:r>
      <w:r w:rsidR="00C86C88">
        <w:rPr>
          <w:rFonts w:ascii="宋体" w:hAnsi="宋体" w:hint="eastAsia"/>
          <w:sz w:val="24"/>
        </w:rPr>
        <w:t>、</w:t>
      </w:r>
      <w:r>
        <w:rPr>
          <w:rFonts w:ascii="宋体" w:hAnsi="宋体"/>
          <w:sz w:val="24"/>
        </w:rPr>
        <w:t>C类基金份额</w:t>
      </w:r>
      <w:r w:rsidR="009F2A1E">
        <w:rPr>
          <w:rFonts w:ascii="宋体" w:hAnsi="宋体" w:hint="eastAsia"/>
          <w:sz w:val="24"/>
        </w:rPr>
        <w:t>或</w:t>
      </w:r>
      <w:r w:rsidR="00C86C88">
        <w:rPr>
          <w:rFonts w:ascii="宋体" w:hAnsi="宋体" w:hint="eastAsia"/>
          <w:sz w:val="24"/>
        </w:rPr>
        <w:t>D类基金份额</w:t>
      </w:r>
      <w:r w:rsidR="0090507A">
        <w:rPr>
          <w:rFonts w:ascii="宋体" w:hAnsi="宋体" w:hint="eastAsia"/>
          <w:sz w:val="24"/>
        </w:rPr>
        <w:t>的</w:t>
      </w:r>
      <w:r>
        <w:rPr>
          <w:rFonts w:ascii="宋体" w:hAnsi="宋体"/>
          <w:sz w:val="24"/>
        </w:rPr>
        <w:t>赎回金额为按实际确认的有效赎回份额乘以当日该类基金份额的基金份额净值并扣除相应的费用（如有），赎回金额单位为元。赎回金额计算结果按四舍五入方法，保留到小数点后2位，由此产生的收益或损失由基金财产承担。</w:t>
      </w:r>
    </w:p>
    <w:p w14:paraId="1F23709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2、申购份额的计算</w:t>
      </w:r>
    </w:p>
    <w:p w14:paraId="2DA3E48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（1）A类基金份额的申购</w:t>
      </w:r>
    </w:p>
    <w:p w14:paraId="03827F9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申购总金额=申请总金额</w:t>
      </w:r>
    </w:p>
    <w:p w14:paraId="40664D7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净申购金额=申购总金额/（1+申购费率）</w:t>
      </w:r>
    </w:p>
    <w:p w14:paraId="2FB717F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（注：对于适用固定金额申购费用的申购，净申购金额＝申购总金额－固定申购费用金额）</w:t>
      </w:r>
    </w:p>
    <w:p w14:paraId="1E1E2B2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申购费用=申购总金额-净申购金额</w:t>
      </w:r>
    </w:p>
    <w:p w14:paraId="06695BC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（注：对于适用固定金额申购费用的申购，申购费用＝固定申购费用金额）</w:t>
      </w:r>
    </w:p>
    <w:p w14:paraId="0230BBDE" w14:textId="17CF3C3C" w:rsidR="00540CA2" w:rsidRDefault="00540CA2">
      <w:pPr>
        <w:autoSpaceDE w:val="0"/>
        <w:autoSpaceDN w:val="0"/>
        <w:adjustRightInd w:val="0"/>
        <w:snapToGrid w:val="0"/>
        <w:spacing w:line="360" w:lineRule="auto"/>
        <w:ind w:firstLineChars="200" w:firstLine="480"/>
        <w:jc w:val="left"/>
        <w:rPr>
          <w:rFonts w:ascii="宋体" w:hAnsi="宋体"/>
          <w:sz w:val="24"/>
        </w:rPr>
      </w:pPr>
      <w:r w:rsidRPr="00540CA2">
        <w:rPr>
          <w:rFonts w:ascii="宋体" w:hAnsi="宋体" w:hint="eastAsia"/>
          <w:sz w:val="24"/>
        </w:rPr>
        <w:t>申购份额=净申购金额/T日</w:t>
      </w:r>
      <w:r>
        <w:rPr>
          <w:rFonts w:ascii="宋体" w:hAnsi="宋体"/>
          <w:sz w:val="24"/>
        </w:rPr>
        <w:t>A</w:t>
      </w:r>
      <w:r w:rsidRPr="00540CA2">
        <w:rPr>
          <w:rFonts w:ascii="宋体" w:hAnsi="宋体" w:hint="eastAsia"/>
          <w:sz w:val="24"/>
        </w:rPr>
        <w:t>类基金份额净值</w:t>
      </w:r>
    </w:p>
    <w:p w14:paraId="755ACD4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例一：某投资者（非养老金客户）投资100,000元申购本基金的A类基金份额，假设申购当日A类基金份额净值为1.0400元，申购费率为0.8%，则其可得到的申购份额为：</w:t>
      </w:r>
    </w:p>
    <w:p w14:paraId="3782F8F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申购总金额＝100,000元</w:t>
      </w:r>
    </w:p>
    <w:p w14:paraId="3696B8A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净申购金额=100,000/（1+0.8%）=99,206.35元</w:t>
      </w:r>
    </w:p>
    <w:p w14:paraId="4F37E2F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申购费用=100,000-99,206.35=793.65元</w:t>
      </w:r>
    </w:p>
    <w:p w14:paraId="2E0A41CB" w14:textId="49E36B1B"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w:t>
      </w:r>
      <w:r w:rsidR="00540CA2" w:rsidRPr="00540CA2">
        <w:rPr>
          <w:rFonts w:ascii="宋体" w:hAnsi="宋体"/>
          <w:sz w:val="24"/>
        </w:rPr>
        <w:t>99,206.35</w:t>
      </w:r>
      <w:r>
        <w:rPr>
          <w:rFonts w:ascii="宋体" w:hAnsi="宋体"/>
          <w:sz w:val="24"/>
        </w:rPr>
        <w:t>/1.0400=95,390.72份</w:t>
      </w:r>
    </w:p>
    <w:p w14:paraId="5A8AE77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即：某投资者（非养老金客户）投资100,000元申购本基金，假设申购当日A类基金份额净值为1.0400元，如果其选择申购A类基金份额，则其可得到95,390.72份A类基金份额。</w:t>
      </w:r>
    </w:p>
    <w:p w14:paraId="1DDE3DC3" w14:textId="3490C22D"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例二：某养老金客户投资1</w:t>
      </w:r>
      <w:r w:rsidR="005D0F3E">
        <w:rPr>
          <w:rFonts w:ascii="宋体" w:hAnsi="宋体"/>
          <w:sz w:val="24"/>
        </w:rPr>
        <w:t>,0</w:t>
      </w:r>
      <w:r>
        <w:rPr>
          <w:rFonts w:ascii="宋体" w:hAnsi="宋体"/>
          <w:sz w:val="24"/>
        </w:rPr>
        <w:t>00,000元通过基金管理人的直销柜台申购本基金的A类基金份额，假设申购当日A类基金份额净值为1.0400元，申购费率为0.</w:t>
      </w:r>
      <w:r w:rsidR="005D0F3E">
        <w:rPr>
          <w:rFonts w:ascii="宋体" w:hAnsi="宋体"/>
          <w:sz w:val="24"/>
        </w:rPr>
        <w:t>10</w:t>
      </w:r>
      <w:r>
        <w:rPr>
          <w:rFonts w:ascii="宋体" w:hAnsi="宋体"/>
          <w:sz w:val="24"/>
        </w:rPr>
        <w:t>%，则其可得到的申购份额为：</w:t>
      </w:r>
    </w:p>
    <w:p w14:paraId="09089EEE" w14:textId="77777777" w:rsidR="005D0F3E" w:rsidRDefault="005D0F3E" w:rsidP="005D0F3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申购总金额＝1</w:t>
      </w:r>
      <w:r>
        <w:rPr>
          <w:rFonts w:ascii="宋体" w:hAnsi="宋体" w:hint="eastAsia"/>
          <w:sz w:val="24"/>
        </w:rPr>
        <w:t>,</w:t>
      </w:r>
      <w:r>
        <w:rPr>
          <w:rFonts w:ascii="宋体" w:hAnsi="宋体"/>
          <w:sz w:val="24"/>
        </w:rPr>
        <w:t>000,000元</w:t>
      </w:r>
    </w:p>
    <w:p w14:paraId="2AC5D4B9" w14:textId="77777777" w:rsidR="005D0F3E" w:rsidRDefault="005D0F3E" w:rsidP="005D0F3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净申购金额=1,000,000/（1+0.10%）=</w:t>
      </w:r>
      <w:r w:rsidRPr="0019451E">
        <w:rPr>
          <w:rFonts w:ascii="宋体" w:hAnsi="宋体"/>
          <w:sz w:val="24"/>
        </w:rPr>
        <w:t xml:space="preserve">999,001.00 </w:t>
      </w:r>
      <w:r>
        <w:rPr>
          <w:rFonts w:ascii="宋体" w:hAnsi="宋体"/>
          <w:sz w:val="24"/>
        </w:rPr>
        <w:t>元</w:t>
      </w:r>
    </w:p>
    <w:p w14:paraId="027E82E5" w14:textId="77777777" w:rsidR="005D0F3E" w:rsidRDefault="005D0F3E" w:rsidP="005D0F3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申购费用=1,000,000-</w:t>
      </w:r>
      <w:r w:rsidRPr="0019451E">
        <w:rPr>
          <w:rFonts w:ascii="宋体" w:hAnsi="宋体"/>
          <w:sz w:val="24"/>
        </w:rPr>
        <w:t>999,001.00</w:t>
      </w:r>
      <w:r>
        <w:rPr>
          <w:rFonts w:ascii="宋体" w:hAnsi="宋体"/>
          <w:sz w:val="24"/>
        </w:rPr>
        <w:t>=999.00元</w:t>
      </w:r>
    </w:p>
    <w:p w14:paraId="4A703BD2" w14:textId="35E99253" w:rsidR="005D0F3E" w:rsidRDefault="005D0F3E" w:rsidP="005D0F3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w:t>
      </w:r>
      <w:r w:rsidR="00B0121D" w:rsidRPr="00B0121D">
        <w:rPr>
          <w:rFonts w:ascii="宋体" w:hAnsi="宋体"/>
          <w:sz w:val="24"/>
        </w:rPr>
        <w:t xml:space="preserve">999,001.00 </w:t>
      </w:r>
      <w:r>
        <w:rPr>
          <w:rFonts w:ascii="宋体" w:hAnsi="宋体"/>
          <w:sz w:val="24"/>
        </w:rPr>
        <w:t>/1.0400=960,577.88份</w:t>
      </w:r>
    </w:p>
    <w:p w14:paraId="49F63CD3" w14:textId="6A731E34"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即：该养老金客户投资1</w:t>
      </w:r>
      <w:r w:rsidR="005D0F3E">
        <w:rPr>
          <w:rFonts w:ascii="宋体" w:hAnsi="宋体"/>
          <w:sz w:val="24"/>
        </w:rPr>
        <w:t>,0</w:t>
      </w:r>
      <w:r>
        <w:rPr>
          <w:rFonts w:ascii="宋体" w:hAnsi="宋体"/>
          <w:sz w:val="24"/>
        </w:rPr>
        <w:t>00,000元通过基金管理人的直销柜台申购本基金的A类基金份额，假设申购当日A类基金份额净值为1.0400元，则其可得到</w:t>
      </w:r>
      <w:r w:rsidR="005D0F3E">
        <w:rPr>
          <w:rFonts w:ascii="宋体" w:hAnsi="宋体"/>
          <w:sz w:val="24"/>
        </w:rPr>
        <w:t>960,577.88</w:t>
      </w:r>
      <w:r>
        <w:rPr>
          <w:rFonts w:ascii="宋体" w:hAnsi="宋体"/>
          <w:sz w:val="24"/>
        </w:rPr>
        <w:t>份A类基金份额。</w:t>
      </w:r>
    </w:p>
    <w:p w14:paraId="068845E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（2）C类基金份额的申购</w:t>
      </w:r>
    </w:p>
    <w:p w14:paraId="34EF04F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如果投资者选择申购C类基金份额，则申购份额的计算方法如下：</w:t>
      </w:r>
    </w:p>
    <w:p w14:paraId="509F35B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申购总金额=申请总金额</w:t>
      </w:r>
    </w:p>
    <w:p w14:paraId="06DCF5E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申购份额=申购总金额/T日C类基金份额净值</w:t>
      </w:r>
    </w:p>
    <w:p w14:paraId="65D2E79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例三：某投资者投资100,000元申购本基金的C类基金份额，假设申购当日C类基金份额净值为1.0400元，则其可得到的申购份额为：</w:t>
      </w:r>
    </w:p>
    <w:p w14:paraId="670ADCE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申购份额＝100,000/1.0400＝96,153.85份</w:t>
      </w:r>
    </w:p>
    <w:p w14:paraId="26C85B7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即：投资者投资100,000元申购本基金的C类基金份额，假设申购当日C类基金份额净值为1.0400元，则其可得到96,153.85份C类基金份额。</w:t>
      </w:r>
    </w:p>
    <w:p w14:paraId="6FEEB105" w14:textId="77777777" w:rsidR="002C01CC" w:rsidRDefault="002C01CC" w:rsidP="002C01C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（3）D类基金份额的申购</w:t>
      </w:r>
    </w:p>
    <w:p w14:paraId="3309FF28" w14:textId="77777777" w:rsidR="002C01CC" w:rsidRDefault="002C01CC" w:rsidP="002C01C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如果投资者选择申购</w:t>
      </w:r>
      <w:r>
        <w:rPr>
          <w:rFonts w:ascii="宋体" w:hAnsi="宋体" w:hint="eastAsia"/>
          <w:sz w:val="24"/>
        </w:rPr>
        <w:t>D</w:t>
      </w:r>
      <w:r>
        <w:rPr>
          <w:rFonts w:ascii="宋体" w:hAnsi="宋体"/>
          <w:sz w:val="24"/>
        </w:rPr>
        <w:t>类基金份额，则申购份额的计算方法如下：</w:t>
      </w:r>
    </w:p>
    <w:p w14:paraId="218E8291" w14:textId="77777777" w:rsidR="002C01CC" w:rsidRDefault="002C01CC" w:rsidP="002C01C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申购总金额=申请总金额</w:t>
      </w:r>
    </w:p>
    <w:p w14:paraId="7333B0C4" w14:textId="77777777" w:rsidR="002C01CC" w:rsidRDefault="002C01CC" w:rsidP="002C01C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净申购金额=申购总金额/（1+申购费率）</w:t>
      </w:r>
    </w:p>
    <w:p w14:paraId="211142F8" w14:textId="77777777" w:rsidR="002C01CC" w:rsidRDefault="002C01CC" w:rsidP="002C01C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（注：对于适用固定金额申购费用的申购，净申购金额＝申购总金额－固定申购费用金额）</w:t>
      </w:r>
    </w:p>
    <w:p w14:paraId="2E42EFFF" w14:textId="77777777" w:rsidR="002C01CC" w:rsidRDefault="002C01CC" w:rsidP="002C01C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申购费用=申购总金额-净申购金额</w:t>
      </w:r>
    </w:p>
    <w:p w14:paraId="58FDE38D" w14:textId="77777777" w:rsidR="002C01CC" w:rsidRDefault="002C01CC" w:rsidP="002C01C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（注：对于适用固定金额申购费用的申购，申购费用＝固定申购费用金额）</w:t>
      </w:r>
    </w:p>
    <w:p w14:paraId="1F0F70DD" w14:textId="77777777" w:rsidR="002C01CC" w:rsidRDefault="002C01CC" w:rsidP="002C01C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w:t>
      </w:r>
      <w:r w:rsidRPr="001F3C2F">
        <w:rPr>
          <w:rFonts w:ascii="宋体" w:hAnsi="宋体" w:hint="eastAsia"/>
          <w:sz w:val="24"/>
        </w:rPr>
        <w:t>净申购金额</w:t>
      </w:r>
      <w:r>
        <w:rPr>
          <w:rFonts w:ascii="宋体" w:hAnsi="宋体"/>
          <w:sz w:val="24"/>
        </w:rPr>
        <w:t>/T日</w:t>
      </w:r>
      <w:r>
        <w:rPr>
          <w:rFonts w:ascii="宋体" w:hAnsi="宋体" w:hint="eastAsia"/>
          <w:sz w:val="24"/>
        </w:rPr>
        <w:t>D</w:t>
      </w:r>
      <w:r>
        <w:rPr>
          <w:rFonts w:ascii="宋体" w:hAnsi="宋体"/>
          <w:sz w:val="24"/>
        </w:rPr>
        <w:t>类基金份额净值</w:t>
      </w:r>
    </w:p>
    <w:p w14:paraId="2E69A38E" w14:textId="77777777" w:rsidR="002C01CC" w:rsidRDefault="002C01CC" w:rsidP="002C01C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w:t>
      </w:r>
      <w:r>
        <w:rPr>
          <w:rFonts w:ascii="宋体" w:hAnsi="宋体" w:hint="eastAsia"/>
          <w:sz w:val="24"/>
        </w:rPr>
        <w:t>四</w:t>
      </w:r>
      <w:r>
        <w:rPr>
          <w:rFonts w:ascii="宋体" w:hAnsi="宋体"/>
          <w:sz w:val="24"/>
        </w:rPr>
        <w:t>：某投资者（非养老金客户）投资100,000元申购本基金的D类基金份额，假设申购当日D类基金份额净值为1.0400元，申购费率为0.9%，则其可得到的申购份额为：</w:t>
      </w:r>
    </w:p>
    <w:p w14:paraId="25B44D30" w14:textId="77777777" w:rsidR="002C01CC" w:rsidRDefault="002C01CC" w:rsidP="002C01C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申购总金额＝100,000元</w:t>
      </w:r>
    </w:p>
    <w:p w14:paraId="1101F2AC" w14:textId="77777777" w:rsidR="002C01CC" w:rsidRDefault="002C01CC" w:rsidP="002C01C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净申购金额=100,000/（1+0.9%）=</w:t>
      </w:r>
      <w:r w:rsidRPr="00BE06B2">
        <w:rPr>
          <w:rFonts w:ascii="宋体" w:hAnsi="宋体"/>
          <w:sz w:val="24"/>
        </w:rPr>
        <w:t>99,108.03</w:t>
      </w:r>
      <w:r>
        <w:rPr>
          <w:rFonts w:ascii="宋体" w:hAnsi="宋体"/>
          <w:sz w:val="24"/>
        </w:rPr>
        <w:t>元</w:t>
      </w:r>
    </w:p>
    <w:p w14:paraId="12C767DC" w14:textId="77777777" w:rsidR="002C01CC" w:rsidRDefault="002C01CC" w:rsidP="002C01C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申购费用=100,000-</w:t>
      </w:r>
      <w:r w:rsidRPr="00BE06B2">
        <w:rPr>
          <w:rFonts w:ascii="宋体" w:hAnsi="宋体"/>
          <w:sz w:val="24"/>
        </w:rPr>
        <w:t>99,108.03</w:t>
      </w:r>
      <w:r>
        <w:rPr>
          <w:rFonts w:ascii="宋体" w:hAnsi="宋体"/>
          <w:sz w:val="24"/>
        </w:rPr>
        <w:t>=</w:t>
      </w:r>
      <w:r w:rsidRPr="00BE06B2">
        <w:rPr>
          <w:rFonts w:ascii="宋体" w:hAnsi="宋体"/>
          <w:sz w:val="24"/>
        </w:rPr>
        <w:t>891.97</w:t>
      </w:r>
      <w:r>
        <w:rPr>
          <w:rFonts w:ascii="宋体" w:hAnsi="宋体"/>
          <w:sz w:val="24"/>
        </w:rPr>
        <w:t>元</w:t>
      </w:r>
    </w:p>
    <w:p w14:paraId="06E81F51" w14:textId="77777777" w:rsidR="002C01CC" w:rsidRDefault="002C01CC" w:rsidP="002C01C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w:t>
      </w:r>
      <w:r w:rsidRPr="001F3C2F">
        <w:rPr>
          <w:rFonts w:ascii="宋体" w:hAnsi="宋体"/>
          <w:sz w:val="24"/>
        </w:rPr>
        <w:t>99,108.03</w:t>
      </w:r>
      <w:r>
        <w:rPr>
          <w:rFonts w:ascii="宋体" w:hAnsi="宋体"/>
          <w:sz w:val="24"/>
        </w:rPr>
        <w:t>/1.0400=</w:t>
      </w:r>
      <w:r w:rsidRPr="00BE06B2">
        <w:rPr>
          <w:rFonts w:ascii="宋体" w:hAnsi="宋体"/>
          <w:sz w:val="24"/>
        </w:rPr>
        <w:t>95,296.18</w:t>
      </w:r>
      <w:r>
        <w:rPr>
          <w:rFonts w:ascii="宋体" w:hAnsi="宋体"/>
          <w:sz w:val="24"/>
        </w:rPr>
        <w:t>份</w:t>
      </w:r>
    </w:p>
    <w:p w14:paraId="12062957" w14:textId="77777777" w:rsidR="002C01CC" w:rsidRDefault="002C01CC" w:rsidP="002C01C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即：某投资者（非养老金客户）投资100,000元申购本基金</w:t>
      </w:r>
      <w:r>
        <w:rPr>
          <w:rFonts w:ascii="宋体" w:hAnsi="宋体" w:hint="eastAsia"/>
          <w:sz w:val="24"/>
        </w:rPr>
        <w:t>D类基金份额</w:t>
      </w:r>
      <w:r>
        <w:rPr>
          <w:rFonts w:ascii="宋体" w:hAnsi="宋体"/>
          <w:sz w:val="24"/>
        </w:rPr>
        <w:t>，假设申购当日</w:t>
      </w:r>
      <w:r>
        <w:rPr>
          <w:rFonts w:ascii="宋体" w:hAnsi="宋体" w:hint="eastAsia"/>
          <w:sz w:val="24"/>
        </w:rPr>
        <w:t>D</w:t>
      </w:r>
      <w:r>
        <w:rPr>
          <w:rFonts w:ascii="宋体" w:hAnsi="宋体"/>
          <w:sz w:val="24"/>
        </w:rPr>
        <w:t>类基金份额净值为1.0400元，则其可得到</w:t>
      </w:r>
      <w:r w:rsidRPr="00BE06B2">
        <w:rPr>
          <w:rFonts w:ascii="宋体" w:hAnsi="宋体"/>
          <w:sz w:val="24"/>
        </w:rPr>
        <w:t>95,296.18</w:t>
      </w:r>
      <w:r>
        <w:rPr>
          <w:rFonts w:ascii="宋体" w:hAnsi="宋体"/>
          <w:sz w:val="24"/>
        </w:rPr>
        <w:t>份D类基金份额。</w:t>
      </w:r>
    </w:p>
    <w:p w14:paraId="116CA9F4" w14:textId="77777777" w:rsidR="002C01CC" w:rsidRDefault="002C01CC" w:rsidP="002C01C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w:t>
      </w:r>
      <w:r>
        <w:rPr>
          <w:rFonts w:ascii="宋体" w:hAnsi="宋体" w:hint="eastAsia"/>
          <w:sz w:val="24"/>
        </w:rPr>
        <w:t>五</w:t>
      </w:r>
      <w:r>
        <w:rPr>
          <w:rFonts w:ascii="宋体" w:hAnsi="宋体"/>
          <w:sz w:val="24"/>
        </w:rPr>
        <w:t>：某养老金客户投资1,000,000元通过基金管理人的直销柜台申购本基金的D类基金份额，假设申购当日D类基金份额净值为1.0400元，申购费率为0.12%，则其可得到的申购份额为：</w:t>
      </w:r>
    </w:p>
    <w:p w14:paraId="10C0A3BA" w14:textId="77777777" w:rsidR="002C01CC" w:rsidRDefault="002C01CC" w:rsidP="002C01C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申购总金额＝1,000,000元</w:t>
      </w:r>
    </w:p>
    <w:p w14:paraId="4955BEE2" w14:textId="77777777" w:rsidR="002C01CC" w:rsidRDefault="002C01CC" w:rsidP="002C01C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净申购金额=1,000,000/（1+0.12%）=</w:t>
      </w:r>
      <w:r w:rsidRPr="00002090">
        <w:rPr>
          <w:rFonts w:ascii="宋体" w:hAnsi="宋体"/>
          <w:sz w:val="24"/>
        </w:rPr>
        <w:t>998,801.44</w:t>
      </w:r>
      <w:r>
        <w:rPr>
          <w:rFonts w:ascii="宋体" w:hAnsi="宋体"/>
          <w:sz w:val="24"/>
        </w:rPr>
        <w:t>元</w:t>
      </w:r>
    </w:p>
    <w:p w14:paraId="7988B34C" w14:textId="77777777" w:rsidR="002C01CC" w:rsidRDefault="002C01CC" w:rsidP="002C01C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申购费用=1,000,000-</w:t>
      </w:r>
      <w:r w:rsidRPr="00002090">
        <w:rPr>
          <w:rFonts w:ascii="宋体" w:hAnsi="宋体"/>
          <w:sz w:val="24"/>
        </w:rPr>
        <w:t>998,801.44</w:t>
      </w:r>
      <w:r>
        <w:rPr>
          <w:rFonts w:ascii="宋体" w:hAnsi="宋体"/>
          <w:sz w:val="24"/>
        </w:rPr>
        <w:t>=</w:t>
      </w:r>
      <w:r w:rsidRPr="00002090">
        <w:rPr>
          <w:rFonts w:ascii="宋体" w:hAnsi="宋体"/>
          <w:sz w:val="24"/>
        </w:rPr>
        <w:t>1,198.56</w:t>
      </w:r>
      <w:r>
        <w:rPr>
          <w:rFonts w:ascii="宋体" w:hAnsi="宋体"/>
          <w:sz w:val="24"/>
        </w:rPr>
        <w:t>元</w:t>
      </w:r>
    </w:p>
    <w:p w14:paraId="0C536A97" w14:textId="3DE7E421" w:rsidR="002C01CC" w:rsidRDefault="002C01CC" w:rsidP="002C01C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w:t>
      </w:r>
      <w:r w:rsidR="00FA1EB5" w:rsidRPr="00002090">
        <w:rPr>
          <w:rFonts w:ascii="宋体" w:hAnsi="宋体"/>
          <w:sz w:val="24"/>
        </w:rPr>
        <w:t>998,801.44</w:t>
      </w:r>
      <w:r>
        <w:rPr>
          <w:rFonts w:ascii="宋体" w:hAnsi="宋体"/>
          <w:sz w:val="24"/>
        </w:rPr>
        <w:t>/1.0400=</w:t>
      </w:r>
      <w:r w:rsidRPr="00002090">
        <w:rPr>
          <w:rFonts w:ascii="宋体" w:hAnsi="宋体"/>
          <w:sz w:val="24"/>
        </w:rPr>
        <w:t>960,386.00</w:t>
      </w:r>
      <w:r>
        <w:rPr>
          <w:rFonts w:ascii="宋体" w:hAnsi="宋体"/>
          <w:sz w:val="24"/>
        </w:rPr>
        <w:t>份</w:t>
      </w:r>
    </w:p>
    <w:p w14:paraId="772CDF9F" w14:textId="77777777" w:rsidR="002C01CC" w:rsidRPr="00C5414D" w:rsidRDefault="002C01CC" w:rsidP="002C01C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即：该养老金客户投资1,000,000元通过基金管理人的直销柜台申购本基金的</w:t>
      </w:r>
      <w:r>
        <w:rPr>
          <w:rFonts w:ascii="宋体" w:hAnsi="宋体" w:hint="eastAsia"/>
          <w:sz w:val="24"/>
        </w:rPr>
        <w:t>D</w:t>
      </w:r>
      <w:r>
        <w:rPr>
          <w:rFonts w:ascii="宋体" w:hAnsi="宋体"/>
          <w:sz w:val="24"/>
        </w:rPr>
        <w:t>类基金份额，假设申购当日D类基金份额净值为1.0400元，则其可得到</w:t>
      </w:r>
      <w:r w:rsidRPr="00002090">
        <w:rPr>
          <w:rFonts w:ascii="宋体" w:hAnsi="宋体"/>
          <w:sz w:val="24"/>
        </w:rPr>
        <w:t>960,386.00</w:t>
      </w:r>
      <w:r>
        <w:rPr>
          <w:rFonts w:ascii="宋体" w:hAnsi="宋体"/>
          <w:sz w:val="24"/>
        </w:rPr>
        <w:t>份D类基金份额。</w:t>
      </w:r>
    </w:p>
    <w:p w14:paraId="6F6A834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3、赎回金额的计算</w:t>
      </w:r>
    </w:p>
    <w:p w14:paraId="643B35D3" w14:textId="0427A740"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A类基金份额</w:t>
      </w:r>
      <w:r w:rsidR="00FF2945">
        <w:rPr>
          <w:rFonts w:ascii="宋体" w:hAnsi="宋体" w:hint="eastAsia"/>
          <w:sz w:val="24"/>
        </w:rPr>
        <w:t>、</w:t>
      </w:r>
      <w:r>
        <w:rPr>
          <w:rFonts w:ascii="宋体" w:hAnsi="宋体"/>
          <w:sz w:val="24"/>
        </w:rPr>
        <w:t>C类基金份额</w:t>
      </w:r>
      <w:r w:rsidR="00FF2945">
        <w:rPr>
          <w:rFonts w:ascii="宋体" w:hAnsi="宋体" w:hint="eastAsia"/>
          <w:sz w:val="24"/>
        </w:rPr>
        <w:t>或D类基金份额</w:t>
      </w:r>
      <w:r>
        <w:rPr>
          <w:rFonts w:ascii="宋体" w:hAnsi="宋体"/>
          <w:sz w:val="24"/>
        </w:rPr>
        <w:t>的赎回金额为按实际确认的有效赎回份额乘以当日该类基金份额的基金份额净值并扣除相应的费用，赎回金额单位为元，计算结果保留到小数点后两位，第三位四舍五入，由此产生的收益或损失由基金财产承担。</w:t>
      </w:r>
    </w:p>
    <w:p w14:paraId="4E8CC36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（1）A类基金份额的赎回</w:t>
      </w:r>
    </w:p>
    <w:p w14:paraId="0930576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如果投资者赎回A类基金份额，则赎回金额的计算方法如下：</w:t>
      </w:r>
    </w:p>
    <w:p w14:paraId="1E94D06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赎回费用=赎回份额×T日A类基金份额净值×赎回费率</w:t>
      </w:r>
    </w:p>
    <w:p w14:paraId="4E0AA5D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赎回金额=赎回份额×T日A类基金份额净值-赎回费用</w:t>
      </w:r>
    </w:p>
    <w:p w14:paraId="09887D47" w14:textId="0047ECE3"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w:t>
      </w:r>
      <w:r w:rsidR="00FF2945">
        <w:rPr>
          <w:rFonts w:ascii="宋体" w:hAnsi="宋体" w:hint="eastAsia"/>
          <w:sz w:val="24"/>
        </w:rPr>
        <w:t>六</w:t>
      </w:r>
      <w:r>
        <w:rPr>
          <w:rFonts w:ascii="宋体" w:hAnsi="宋体"/>
          <w:sz w:val="24"/>
        </w:rPr>
        <w:t>：某投资者在持有期限超过7日、少于30日时赎回100,000份A类基金份额，对应的赎回费率为0.1%，假设赎回当日A类基金份额净值是1.0160元，则其可得到的赎回金额为：</w:t>
      </w:r>
    </w:p>
    <w:p w14:paraId="543AB64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赎回费用=100,000×1.0160×0.1%＝101.60元</w:t>
      </w:r>
    </w:p>
    <w:p w14:paraId="6B7099F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赎回金额=100,000×1.0160-101.60＝101,498.40元</w:t>
      </w:r>
    </w:p>
    <w:p w14:paraId="59CE709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即：投资者在持有期限超过7日、少于30日时赎回100,000份A类基金份额，对应的赎回费率为0.1%，假设赎回当日A类基金份额净值是1.0160元，则其可得到的赎回金额为101,498.40元。</w:t>
      </w:r>
    </w:p>
    <w:p w14:paraId="5FC239F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（2）C类基金份额的赎回</w:t>
      </w:r>
    </w:p>
    <w:p w14:paraId="393725F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投资者赎回C类基金份额，赎回金额的计算方法如下：</w:t>
      </w:r>
    </w:p>
    <w:p w14:paraId="13B7DE5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赎回费用=赎回份额×T日C类基金份额净值×赎回费率</w:t>
      </w:r>
    </w:p>
    <w:p w14:paraId="0FD90A7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赎回金额=赎回份额×T日C类基金份额净值-赎回费用</w:t>
      </w:r>
    </w:p>
    <w:p w14:paraId="1472674C" w14:textId="62578180"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w:t>
      </w:r>
      <w:r w:rsidR="00FF2945">
        <w:rPr>
          <w:rFonts w:ascii="宋体" w:hAnsi="宋体" w:hint="eastAsia"/>
          <w:sz w:val="24"/>
        </w:rPr>
        <w:t>七</w:t>
      </w:r>
      <w:r>
        <w:rPr>
          <w:rFonts w:ascii="宋体" w:hAnsi="宋体"/>
          <w:sz w:val="24"/>
        </w:rPr>
        <w:t>：某投资者在持有期限超过7日、少于30日时赎回100,000份C类基金份额，对应的赎回费率为0.1%，假设赎回当日C类基金份额净值是1.0160元，则其可得到的赎回金额为：</w:t>
      </w:r>
    </w:p>
    <w:p w14:paraId="03F184B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赎回费用=100,000×1.0160×0.1%＝101.60元</w:t>
      </w:r>
    </w:p>
    <w:p w14:paraId="637CF32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赎回金额=100,000×1.0160-101.60＝101,498.40元</w:t>
      </w:r>
    </w:p>
    <w:p w14:paraId="4B88685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即：投资者在持有期限超过7日、少于30日时赎回100,000份C类基金份额，对应的赎回费率为0.1%，假设赎回当日C类基金份额净值是1.0160元，则其可得到的赎回金额为101,498.40元。</w:t>
      </w:r>
    </w:p>
    <w:p w14:paraId="6ED2EED6" w14:textId="77777777" w:rsidR="00FF2945" w:rsidRDefault="00FF2945" w:rsidP="00FF2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（3）D类基金份额的赎回</w:t>
      </w:r>
    </w:p>
    <w:p w14:paraId="2D2170CB" w14:textId="77777777" w:rsidR="00FF2945" w:rsidRDefault="00FF2945" w:rsidP="00FF2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投资者赎回D类基金份额，赎回金额的计算方法如下：</w:t>
      </w:r>
    </w:p>
    <w:p w14:paraId="76F0E8B2" w14:textId="77777777" w:rsidR="00FF2945" w:rsidRDefault="00FF2945" w:rsidP="00FF2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赎回费用=赎回份额×T日D类基金份额净值×赎回费率</w:t>
      </w:r>
    </w:p>
    <w:p w14:paraId="131BE369" w14:textId="77777777" w:rsidR="00FF2945" w:rsidRDefault="00FF2945" w:rsidP="00FF2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赎回金额=赎回份额×T日D类基金份额净值-赎回费用</w:t>
      </w:r>
    </w:p>
    <w:p w14:paraId="2FEFF89B" w14:textId="77777777" w:rsidR="00FF2945" w:rsidRDefault="00FF2945" w:rsidP="00FF2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w:t>
      </w:r>
      <w:r>
        <w:rPr>
          <w:rFonts w:ascii="宋体" w:hAnsi="宋体" w:hint="eastAsia"/>
          <w:sz w:val="24"/>
        </w:rPr>
        <w:t>八</w:t>
      </w:r>
      <w:r>
        <w:rPr>
          <w:rFonts w:ascii="宋体" w:hAnsi="宋体"/>
          <w:sz w:val="24"/>
        </w:rPr>
        <w:t>：某投资者赎回100,000份D类基金份额，持有期限为10日，对应的赎回费率为0，假设赎回当日D类基金份额净值是1.0160元，则其可得到的赎回金额为：</w:t>
      </w:r>
    </w:p>
    <w:p w14:paraId="24211466" w14:textId="77777777" w:rsidR="00FF2945" w:rsidRDefault="00FF2945" w:rsidP="00FF2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赎回费用=100,000×1.0160×0＝0.00元</w:t>
      </w:r>
    </w:p>
    <w:p w14:paraId="2418487A" w14:textId="77777777" w:rsidR="00FF2945" w:rsidRDefault="00FF2945" w:rsidP="00FF2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赎回金额=100,000×1.0160-0.00＝101,600.00元</w:t>
      </w:r>
    </w:p>
    <w:p w14:paraId="52A1255E" w14:textId="77777777" w:rsidR="00FF2945" w:rsidRDefault="00FF2945" w:rsidP="00FF2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即：投资者赎回100,000份D类基金份额，持有期限为10日，对应的赎回费率为</w:t>
      </w:r>
      <w:r>
        <w:rPr>
          <w:rFonts w:ascii="宋体" w:hAnsi="宋体"/>
          <w:sz w:val="24"/>
        </w:rPr>
        <w:lastRenderedPageBreak/>
        <w:t>0，假设赎回当日D类基金份额净值是1.0160元，则其可得到的赎回金额为101,600.00元。</w:t>
      </w:r>
    </w:p>
    <w:p w14:paraId="4B16ED2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4、基金份额净值的计算公式</w:t>
      </w:r>
    </w:p>
    <w:p w14:paraId="4993CE9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A类基金份额净值＝A类基金份额的基金资产净值总额/发行在外的A类基金份额总数</w:t>
      </w:r>
    </w:p>
    <w:p w14:paraId="4668B11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C类基金份额净值＝C类基金份额的基金资产净值总额/发行在外的C类基金份额总数</w:t>
      </w:r>
    </w:p>
    <w:p w14:paraId="15BF4BF9" w14:textId="77777777" w:rsidR="00FF2945" w:rsidRPr="005331D9" w:rsidRDefault="00FF2945" w:rsidP="00FF2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D类基金份额净值＝D类基金份额的基金资产净值总额/发行在外的D类基金份额总数</w:t>
      </w:r>
    </w:p>
    <w:p w14:paraId="395EE1CD" w14:textId="520FFED1"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本基金T日的基金份额净值在当天收市后计算，并在T＋1日（包括该日）内公告。遇特殊情况，经中国证监会同意，可以适当延迟计算或公告。本基金A类基金份额</w:t>
      </w:r>
      <w:r w:rsidR="00FF2945">
        <w:rPr>
          <w:rFonts w:ascii="宋体" w:hAnsi="宋体" w:hint="eastAsia"/>
          <w:sz w:val="24"/>
        </w:rPr>
        <w:t>、</w:t>
      </w:r>
      <w:r>
        <w:rPr>
          <w:rFonts w:ascii="宋体" w:hAnsi="宋体"/>
          <w:sz w:val="24"/>
        </w:rPr>
        <w:t>C类基金份额</w:t>
      </w:r>
      <w:r w:rsidR="00FF2945">
        <w:rPr>
          <w:rFonts w:ascii="宋体" w:hAnsi="宋体" w:hint="eastAsia"/>
          <w:sz w:val="24"/>
        </w:rPr>
        <w:t>和D类基金份额</w:t>
      </w:r>
      <w:r>
        <w:rPr>
          <w:rFonts w:ascii="宋体" w:hAnsi="宋体"/>
          <w:sz w:val="24"/>
        </w:rPr>
        <w:t>的基金份额净值的计算，</w:t>
      </w:r>
      <w:r w:rsidR="00FF2945">
        <w:rPr>
          <w:rFonts w:ascii="宋体" w:hAnsi="宋体" w:hint="eastAsia"/>
          <w:sz w:val="24"/>
        </w:rPr>
        <w:t>均</w:t>
      </w:r>
      <w:r>
        <w:rPr>
          <w:rFonts w:ascii="宋体" w:hAnsi="宋体"/>
          <w:sz w:val="24"/>
        </w:rPr>
        <w:t>保留到小数点后4位，小数点后第5位四舍五入，由此误差产生的收益或损失由基金财产承担。</w:t>
      </w:r>
    </w:p>
    <w:p w14:paraId="0809478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（八）拒绝或暂停申购的情形</w:t>
      </w:r>
    </w:p>
    <w:p w14:paraId="67098F2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发生下列情况时，基金管理人可拒绝或暂停接受投资人的申购申请：</w:t>
      </w:r>
    </w:p>
    <w:p w14:paraId="74C6DE0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1、因不可抗力导致基金无法正常运作。</w:t>
      </w:r>
    </w:p>
    <w:p w14:paraId="0C41B31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2、发生基金合同规定的暂停基金资产估值情况时，基金管理人可暂停接受投资人的申购申请。</w:t>
      </w:r>
    </w:p>
    <w:p w14:paraId="4F7FC0A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3、证券交易所交易时间非正常停市，导致基金管理人无法计算当日基金资产净值。</w:t>
      </w:r>
    </w:p>
    <w:p w14:paraId="730DF3C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4、接受某笔或某些申购申请可能会影响或损害现有基金份额持有人利益时。</w:t>
      </w:r>
    </w:p>
    <w:p w14:paraId="794EB6F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5、基金资产规模过大，使基金管理人无法找到合适的投资品种，或其他可能对基金业绩产生负面影响，或发生其他损害现有基金份额持有人利益的情形。</w:t>
      </w:r>
    </w:p>
    <w:p w14:paraId="5BCF1F0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6、基金管理人、基金托管人、基金销售机构、基金销售支付结算机构或登记机构的异常情况导致基金销售系统、基金销售支付结算系统、基金注册登记系统或基金会计系统无法正常运行。</w:t>
      </w:r>
    </w:p>
    <w:p w14:paraId="33E6AAB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7、当前一估值日基金资产净值50%以上的资产出现无可参考的活跃市场价格且采用估值技术仍导致公允价值存在重大不确定性时，经与基金托管人协商确认后，基金管理人应当暂停接受基金申购申请。</w:t>
      </w:r>
    </w:p>
    <w:p w14:paraId="332FC70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8、基金管理人接受某笔或者某些申购申请有可能导致单一投资者持有基金份</w:t>
      </w:r>
      <w:r>
        <w:rPr>
          <w:rFonts w:ascii="宋体" w:hAnsi="宋体"/>
          <w:sz w:val="24"/>
        </w:rPr>
        <w:lastRenderedPageBreak/>
        <w:t>额的比例超过50%，或者变相规避50%集中度的情形。出现上述情形时，基金管理人有权将上述申购申请全部或部分确认失败。</w:t>
      </w:r>
    </w:p>
    <w:p w14:paraId="4AF4541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9、基金合同约定、法律法规规定或中国证监会认定的其他情形。</w:t>
      </w:r>
    </w:p>
    <w:p w14:paraId="1A4B587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上述第1、2、3、5、6、7、9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p w14:paraId="578E949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（九）暂停赎回或延缓支付赎回款项的情形</w:t>
      </w:r>
    </w:p>
    <w:p w14:paraId="13E7554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发生下列情形时，基金管理人可暂停接受投资人的赎回申请或延缓支付赎回款项：</w:t>
      </w:r>
    </w:p>
    <w:p w14:paraId="2CBE3D6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1、因不可抗力导致基金管理人不能支付赎回款项。</w:t>
      </w:r>
    </w:p>
    <w:p w14:paraId="1946B1B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2、发生基金合同规定的暂停基金资产估值情况时，基金管理人可暂停接受投资人的赎回申请或延缓支付赎回款项。</w:t>
      </w:r>
    </w:p>
    <w:p w14:paraId="481CD21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3、证券交易所交易时间非正常停市，导致基金管理人无法计算当日基金资产净值。</w:t>
      </w:r>
    </w:p>
    <w:p w14:paraId="14B5561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4、连续两个或两个以上开放日发生巨额赎回。</w:t>
      </w:r>
    </w:p>
    <w:p w14:paraId="0BB462A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5、继续接受赎回申请将损害现有基金份额持有人利益的情形时，可暂停接受投资人的赎回申请。</w:t>
      </w:r>
    </w:p>
    <w:p w14:paraId="2238B61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14:paraId="74AF91D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7、基金合同约定、法律法规规定或中国证监会认定的其他情形。</w:t>
      </w:r>
    </w:p>
    <w:p w14:paraId="0E7B938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上述情形之一且基金管理人决定暂停接受投资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确认并支付，并以后续开放日的基金份额净值为依据计算赎回金额。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35D70CB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（十）巨额赎回的情形及处理方式</w:t>
      </w:r>
    </w:p>
    <w:p w14:paraId="160E9EB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1、巨额赎回的认定</w:t>
      </w:r>
    </w:p>
    <w:p w14:paraId="49EAD59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51104A1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2、巨额赎回的处理方式</w:t>
      </w:r>
    </w:p>
    <w:p w14:paraId="78F7E89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当基金出现巨额赎回时，基金管理人可以根据基金当时的资产组合状况决定全额赎回或部分延期赎回。</w:t>
      </w:r>
    </w:p>
    <w:p w14:paraId="59A3C41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（1）全额赎回：当基金管理人认为有能力支付投资人的全部赎回申请时，按正常赎回程序执行。</w:t>
      </w:r>
    </w:p>
    <w:p w14:paraId="7AA5DC40" w14:textId="36D26C3E"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855BA2">
        <w:rPr>
          <w:rFonts w:ascii="宋体" w:hAnsi="宋体" w:hint="eastAsia"/>
          <w:sz w:val="24"/>
        </w:rPr>
        <w:t>该类</w:t>
      </w:r>
      <w:r>
        <w:rPr>
          <w:rFonts w:ascii="宋体" w:hAnsi="宋体"/>
          <w:sz w:val="24"/>
        </w:rPr>
        <w:t>基金份额净值为基础计算赎回金额，以此类推，直到全部赎回为止。如投资人在提交赎回申请时未作明确选择，投资人未能赎回部分作自动延期赎回处理。</w:t>
      </w:r>
    </w:p>
    <w:p w14:paraId="47FF6ACD" w14:textId="0C879E40"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发生巨额赎回且单个基金份额持有人的赎回申请超过上一日基金总份额20%的情形下，基金管理人有权采取如下措施：对于基金份额持有人当日超过20%的赎回申请，可以对其赎回申请延期办理；对于基金份额持有人未超过上述比例的部分，基金管理人可以根据前段“（1）全额赎回”或“（2）部分延期赎回”的约定方式与其他基金份额持有人的赎回申请一并办理。但是，如基金份额持有人在当日选择取消赎回，则其当日未获受理的部分赎回申请将被撤销。</w:t>
      </w:r>
    </w:p>
    <w:p w14:paraId="2CB1158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暂停赎回：连续2日以上（含本数）发生巨额赎回，如基金管理人认为有必要，可暂停接受基金的赎回申请；已经接受的赎回申请可以延缓支付赎回款项，但不得超过20个工作日，并应当在指定媒介上进行公告。</w:t>
      </w:r>
    </w:p>
    <w:p w14:paraId="209310A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3、巨额赎回的公告</w:t>
      </w:r>
    </w:p>
    <w:p w14:paraId="44F32DF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当发生上述延期赎回并延期办理时，基金管理人应当通过邮寄、传真、刊登公告或者通知销售机构代为告知等方式在3个交易日内通知基金份额持有人，说明有关处理方法，并在2日内在指定媒介上刊登公告。</w:t>
      </w:r>
    </w:p>
    <w:p w14:paraId="4036246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（十一）暂停申购或赎回的公告和重新开放申购或赎回的公告</w:t>
      </w:r>
    </w:p>
    <w:p w14:paraId="781F89E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1、发生上述暂停申购或赎回情况的，基金管理人应在规定期限内在指定媒介上刊登暂停公告。</w:t>
      </w:r>
    </w:p>
    <w:p w14:paraId="6CFAB191" w14:textId="4A81CBA5"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2、暂停结束，基金重新开放申购或赎回时，基金管理人应依照《信息披露办法》的有关规定，不迟于重新开放日，在指定媒介上刊登基金重新开放申购或赎回公告，并公布最近一个开放日</w:t>
      </w:r>
      <w:r w:rsidR="00B83DBC">
        <w:rPr>
          <w:rFonts w:ascii="宋体" w:hAnsi="宋体" w:hint="eastAsia"/>
          <w:sz w:val="24"/>
        </w:rPr>
        <w:t>各类基金份额</w:t>
      </w:r>
      <w:r>
        <w:rPr>
          <w:rFonts w:ascii="宋体" w:hAnsi="宋体"/>
          <w:sz w:val="24"/>
        </w:rPr>
        <w:t>的基金份额净值。</w:t>
      </w:r>
    </w:p>
    <w:p w14:paraId="687B06A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（十二）基金的非交易过户</w:t>
      </w:r>
    </w:p>
    <w:p w14:paraId="52BC168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14BA1B2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42B091A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（十三）基金的转托管</w:t>
      </w:r>
    </w:p>
    <w:p w14:paraId="0AD01EB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基金份额持有人可办理已持有基金份额在不同销售机构之间的转托管，基金销售机构可以按照规定的标准收取转托管费。</w:t>
      </w:r>
    </w:p>
    <w:p w14:paraId="6D36252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（十四）定期定额投资计划</w:t>
      </w:r>
    </w:p>
    <w:p w14:paraId="513CDDA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w:t>
      </w:r>
    </w:p>
    <w:p w14:paraId="27103366" w14:textId="4845B599"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本基金2017年1月23日刊登公告自2017年1月25日起开通</w:t>
      </w:r>
      <w:r w:rsidR="00705383" w:rsidRPr="00865528">
        <w:rPr>
          <w:rFonts w:ascii="宋体" w:hAnsi="宋体" w:hint="eastAsia"/>
          <w:sz w:val="24"/>
        </w:rPr>
        <w:t>A类基金份额</w:t>
      </w:r>
      <w:r w:rsidR="00705383">
        <w:rPr>
          <w:rFonts w:ascii="宋体" w:hAnsi="宋体" w:hint="eastAsia"/>
          <w:sz w:val="24"/>
        </w:rPr>
        <w:t>和C类基金份额的</w:t>
      </w:r>
      <w:r>
        <w:rPr>
          <w:rFonts w:ascii="宋体" w:hAnsi="宋体"/>
          <w:sz w:val="24"/>
        </w:rPr>
        <w:t>定期定额投资计划业务</w:t>
      </w:r>
      <w:r w:rsidR="00705383" w:rsidRPr="00705383">
        <w:rPr>
          <w:rFonts w:ascii="宋体" w:hAnsi="宋体" w:hint="eastAsia"/>
          <w:sz w:val="24"/>
        </w:rPr>
        <w:t>，本基金2023年</w:t>
      </w:r>
      <w:r w:rsidR="008E1618">
        <w:rPr>
          <w:rFonts w:ascii="宋体" w:hAnsi="宋体"/>
          <w:sz w:val="24"/>
        </w:rPr>
        <w:t>12</w:t>
      </w:r>
      <w:r w:rsidR="00705383" w:rsidRPr="00705383">
        <w:rPr>
          <w:rFonts w:ascii="宋体" w:hAnsi="宋体" w:hint="eastAsia"/>
          <w:sz w:val="24"/>
        </w:rPr>
        <w:t>月</w:t>
      </w:r>
      <w:r w:rsidR="008E1618">
        <w:rPr>
          <w:rFonts w:ascii="宋体" w:hAnsi="宋体"/>
          <w:sz w:val="24"/>
        </w:rPr>
        <w:t>21</w:t>
      </w:r>
      <w:r w:rsidR="00705383" w:rsidRPr="00705383">
        <w:rPr>
          <w:rFonts w:ascii="宋体" w:hAnsi="宋体" w:hint="eastAsia"/>
          <w:sz w:val="24"/>
        </w:rPr>
        <w:t>日刊登公告自2023年</w:t>
      </w:r>
      <w:r w:rsidR="008E1618">
        <w:rPr>
          <w:rFonts w:ascii="宋体" w:hAnsi="宋体" w:hint="eastAsia"/>
          <w:sz w:val="24"/>
        </w:rPr>
        <w:t>1</w:t>
      </w:r>
      <w:r w:rsidR="008E1618">
        <w:rPr>
          <w:rFonts w:ascii="宋体" w:hAnsi="宋体"/>
          <w:sz w:val="24"/>
        </w:rPr>
        <w:t>2</w:t>
      </w:r>
      <w:r w:rsidR="00705383" w:rsidRPr="00705383">
        <w:rPr>
          <w:rFonts w:ascii="宋体" w:hAnsi="宋体" w:hint="eastAsia"/>
          <w:sz w:val="24"/>
        </w:rPr>
        <w:t>月</w:t>
      </w:r>
      <w:r w:rsidR="008E1618">
        <w:rPr>
          <w:rFonts w:ascii="宋体" w:hAnsi="宋体"/>
          <w:sz w:val="24"/>
        </w:rPr>
        <w:t>22</w:t>
      </w:r>
      <w:r w:rsidR="00705383" w:rsidRPr="00705383">
        <w:rPr>
          <w:rFonts w:ascii="宋体" w:hAnsi="宋体" w:hint="eastAsia"/>
          <w:sz w:val="24"/>
        </w:rPr>
        <w:t>日</w:t>
      </w:r>
      <w:r w:rsidR="00705383" w:rsidRPr="00705383">
        <w:rPr>
          <w:rFonts w:ascii="宋体" w:hAnsi="宋体" w:hint="eastAsia"/>
          <w:sz w:val="24"/>
        </w:rPr>
        <w:lastRenderedPageBreak/>
        <w:t>起增设D类基金份额并开通D类基金份额的定期定额投资计划业务</w:t>
      </w:r>
      <w:r>
        <w:rPr>
          <w:rFonts w:ascii="宋体" w:hAnsi="宋体"/>
          <w:sz w:val="24"/>
        </w:rPr>
        <w:t>，具体开通销售机构名单和业务规则参见相关公告。</w:t>
      </w:r>
    </w:p>
    <w:p w14:paraId="3390A0D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（十五）基金份额的冻结和解冻</w:t>
      </w:r>
    </w:p>
    <w:p w14:paraId="4E76B78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登记机构只受理国家有权机关依法要求的基金份额的冻结与解冻，以及登记机构认可、符合法律法规的其他情况下的冻结与解冻。</w:t>
      </w:r>
    </w:p>
    <w:p w14:paraId="3B6AF5E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（十六）基金份额的转让</w:t>
      </w:r>
    </w:p>
    <w:p w14:paraId="11688C8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72E45A0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（十七）实施侧袋机制期间本基金的申购与赎回</w:t>
      </w:r>
    </w:p>
    <w:p w14:paraId="3D5DCA5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本基金实施侧袋机制的，本基金的申购和赎回安排详见本招募说明书“侧袋机制”部分的规定或相关公告。</w:t>
      </w:r>
    </w:p>
    <w:p w14:paraId="5227DCF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（十八）其他业务</w:t>
      </w:r>
    </w:p>
    <w:p w14:paraId="5E55EC5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2159A1CD" w14:textId="77777777" w:rsidR="00C86C88" w:rsidRDefault="00D93D5A" w:rsidP="00C86C8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06A0EC2D" w14:textId="77777777" w:rsidR="00542AF7" w:rsidRDefault="00D93D5A">
      <w:pPr>
        <w:pStyle w:val="1"/>
        <w:snapToGrid w:val="0"/>
        <w:spacing w:beforeLines="0" w:before="240" w:after="240"/>
        <w:rPr>
          <w:rFonts w:ascii="宋体" w:hAnsi="宋体"/>
          <w:szCs w:val="30"/>
        </w:rPr>
      </w:pPr>
      <w:bookmarkStart w:id="12" w:name="_Toc151542542"/>
      <w:r>
        <w:rPr>
          <w:rFonts w:ascii="Times New Roman" w:hAnsi="Times New Roman"/>
          <w:sz w:val="30"/>
        </w:rPr>
        <w:lastRenderedPageBreak/>
        <w:t>九、基金的转换</w:t>
      </w:r>
      <w:bookmarkEnd w:id="12"/>
    </w:p>
    <w:p w14:paraId="66911E63" w14:textId="77777777" w:rsidR="00542AF7" w:rsidRDefault="00D93D5A">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（一）基金转换</w:t>
      </w:r>
    </w:p>
    <w:p w14:paraId="6847A3F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是指开放式基金份额持有人将其持有某只基金的部分或全部份额转换为同一基金管理人管理的另一只开放式基金份额。基金转换只能在同一销售机构进行。转换的两只基金必须都是该销售机构代理的同一基金管理人管理的、在同一注册登记机构处注册登记的、同一收费模式的开放式基金。</w:t>
      </w:r>
    </w:p>
    <w:p w14:paraId="1F6A1911" w14:textId="77777777" w:rsidR="00542AF7" w:rsidRDefault="00D93D5A">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（二）转换业务办理时间</w:t>
      </w:r>
    </w:p>
    <w:p w14:paraId="44506EF4" w14:textId="58A33D30"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本基金2022年9月5日刊登公告自2022年9月8日起开放</w:t>
      </w:r>
      <w:r w:rsidR="002C6F46" w:rsidRPr="00F60062">
        <w:rPr>
          <w:rFonts w:ascii="宋体" w:hAnsi="宋体" w:hint="eastAsia"/>
          <w:sz w:val="24"/>
        </w:rPr>
        <w:t>A类基金份额</w:t>
      </w:r>
      <w:r w:rsidR="002C6F46">
        <w:rPr>
          <w:rFonts w:ascii="宋体" w:hAnsi="宋体" w:hint="eastAsia"/>
          <w:sz w:val="24"/>
        </w:rPr>
        <w:t>和</w:t>
      </w:r>
      <w:r w:rsidR="002C6F46">
        <w:rPr>
          <w:rFonts w:ascii="宋体" w:hAnsi="宋体"/>
          <w:sz w:val="24"/>
        </w:rPr>
        <w:t>C</w:t>
      </w:r>
      <w:r w:rsidR="002C6F46" w:rsidRPr="00FF0EDE">
        <w:rPr>
          <w:rFonts w:ascii="宋体" w:hAnsi="宋体" w:hint="eastAsia"/>
          <w:sz w:val="24"/>
        </w:rPr>
        <w:t>类基金份额</w:t>
      </w:r>
      <w:r w:rsidR="002C6F46">
        <w:rPr>
          <w:rFonts w:ascii="宋体" w:hAnsi="宋体" w:hint="eastAsia"/>
          <w:sz w:val="24"/>
        </w:rPr>
        <w:t>的</w:t>
      </w:r>
      <w:r>
        <w:rPr>
          <w:rFonts w:ascii="宋体" w:hAnsi="宋体"/>
          <w:sz w:val="24"/>
        </w:rPr>
        <w:t>日常转换业务</w:t>
      </w:r>
      <w:r w:rsidR="002C6F46" w:rsidRPr="00CA5D95">
        <w:rPr>
          <w:rFonts w:ascii="宋体" w:hAnsi="宋体" w:hint="eastAsia"/>
          <w:sz w:val="24"/>
        </w:rPr>
        <w:t>，本基金</w:t>
      </w:r>
      <w:r w:rsidR="002C6F46">
        <w:rPr>
          <w:rFonts w:ascii="宋体" w:hAnsi="宋体" w:hint="eastAsia"/>
          <w:sz w:val="24"/>
        </w:rPr>
        <w:t>202</w:t>
      </w:r>
      <w:r w:rsidR="003F2D7F">
        <w:rPr>
          <w:rFonts w:ascii="宋体" w:hAnsi="宋体"/>
          <w:sz w:val="24"/>
        </w:rPr>
        <w:t>3</w:t>
      </w:r>
      <w:r w:rsidR="002C6F46" w:rsidRPr="00CA5D95">
        <w:rPr>
          <w:rFonts w:ascii="宋体" w:hAnsi="宋体" w:hint="eastAsia"/>
          <w:sz w:val="24"/>
        </w:rPr>
        <w:t>年</w:t>
      </w:r>
      <w:r w:rsidR="003F2D7F">
        <w:rPr>
          <w:rFonts w:ascii="宋体" w:hAnsi="宋体"/>
          <w:sz w:val="24"/>
        </w:rPr>
        <w:t>12</w:t>
      </w:r>
      <w:r w:rsidR="002C6F46" w:rsidRPr="00CA5D95">
        <w:rPr>
          <w:rFonts w:ascii="宋体" w:hAnsi="宋体" w:hint="eastAsia"/>
          <w:sz w:val="24"/>
        </w:rPr>
        <w:t>月</w:t>
      </w:r>
      <w:r w:rsidR="003F2D7F">
        <w:rPr>
          <w:rFonts w:ascii="宋体" w:hAnsi="宋体" w:hint="eastAsia"/>
          <w:sz w:val="24"/>
        </w:rPr>
        <w:t>2</w:t>
      </w:r>
      <w:r w:rsidR="003F2D7F">
        <w:rPr>
          <w:rFonts w:ascii="宋体" w:hAnsi="宋体"/>
          <w:sz w:val="24"/>
        </w:rPr>
        <w:t>1</w:t>
      </w:r>
      <w:r w:rsidR="002C6F46" w:rsidRPr="00CA5D95">
        <w:rPr>
          <w:rFonts w:ascii="宋体" w:hAnsi="宋体" w:hint="eastAsia"/>
          <w:sz w:val="24"/>
        </w:rPr>
        <w:t>日刊登公告自</w:t>
      </w:r>
      <w:r w:rsidR="002C6F46">
        <w:rPr>
          <w:rFonts w:ascii="宋体" w:hAnsi="宋体" w:hint="eastAsia"/>
          <w:sz w:val="24"/>
        </w:rPr>
        <w:t>202</w:t>
      </w:r>
      <w:r w:rsidR="003F2D7F">
        <w:rPr>
          <w:rFonts w:ascii="宋体" w:hAnsi="宋体"/>
          <w:sz w:val="24"/>
        </w:rPr>
        <w:t>3</w:t>
      </w:r>
      <w:r w:rsidR="002C6F46" w:rsidRPr="00CA5D95">
        <w:rPr>
          <w:rFonts w:ascii="宋体" w:hAnsi="宋体" w:hint="eastAsia"/>
          <w:sz w:val="24"/>
        </w:rPr>
        <w:t>年</w:t>
      </w:r>
      <w:r w:rsidR="003F2D7F">
        <w:rPr>
          <w:rFonts w:ascii="宋体" w:hAnsi="宋体"/>
          <w:sz w:val="24"/>
        </w:rPr>
        <w:t>12</w:t>
      </w:r>
      <w:r w:rsidR="002C6F46" w:rsidRPr="00CA5D95">
        <w:rPr>
          <w:rFonts w:ascii="宋体" w:hAnsi="宋体" w:hint="eastAsia"/>
          <w:sz w:val="24"/>
        </w:rPr>
        <w:t>月</w:t>
      </w:r>
      <w:r w:rsidR="003F2D7F">
        <w:rPr>
          <w:rFonts w:ascii="宋体" w:hAnsi="宋体" w:hint="eastAsia"/>
          <w:sz w:val="24"/>
        </w:rPr>
        <w:t>2</w:t>
      </w:r>
      <w:r w:rsidR="003F2D7F">
        <w:rPr>
          <w:rFonts w:ascii="宋体" w:hAnsi="宋体"/>
          <w:sz w:val="24"/>
        </w:rPr>
        <w:t>2</w:t>
      </w:r>
      <w:r w:rsidR="002C6F46" w:rsidRPr="00CA5D95">
        <w:rPr>
          <w:rFonts w:ascii="宋体" w:hAnsi="宋体" w:hint="eastAsia"/>
          <w:sz w:val="24"/>
        </w:rPr>
        <w:t>日起增设D类基金份额并开通D类基金份额的日常转换业务</w:t>
      </w:r>
      <w:r>
        <w:rPr>
          <w:rFonts w:ascii="宋体" w:hAnsi="宋体"/>
          <w:sz w:val="24"/>
        </w:rPr>
        <w:t>。</w:t>
      </w:r>
    </w:p>
    <w:p w14:paraId="5CBD4EF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办理基金间转换的时间为上海证券交易所、深圳证券交易所交易日。若出现新的证券交易市场或交易所交易时间更改或其它原因，基金管理人将视情况进行相应的调整并公告。</w:t>
      </w:r>
    </w:p>
    <w:p w14:paraId="658A7E9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14:paraId="0D28520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本基金转换业务具体开通销售机构名单参见相关公告。</w:t>
      </w:r>
    </w:p>
    <w:p w14:paraId="5EDFE68E" w14:textId="77777777" w:rsidR="00542AF7" w:rsidRDefault="00D93D5A">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（三）基金转换的程序</w:t>
      </w:r>
    </w:p>
    <w:p w14:paraId="4E9CB3C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1、申请方式：书面申请或销售机构公布的其他方式。</w:t>
      </w:r>
    </w:p>
    <w:p w14:paraId="6CA972C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2、基金转换申请的确认</w:t>
      </w:r>
    </w:p>
    <w:p w14:paraId="3BA4C01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正常情况下，T日规定时间受理的申请，注册登记机构在T＋1日内为投资人对该交易的有效性进行确认，在T＋2日后(包括该日)投资人可向销售机构查询转换的确认情况。</w:t>
      </w:r>
    </w:p>
    <w:p w14:paraId="3A6AFC9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3、基金转换的注册登记</w:t>
      </w:r>
    </w:p>
    <w:p w14:paraId="35680CF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登记机构以收到有效转换申请的当天作为转换申请日（T日）。投资人转换基金成功的，注册登记机构将在T＋1日对投资人T日的基金转换业务申请进行有效性确认，办理转出基金的权益扣除以及转入基金的权益登记，在T＋2日后（包括该日）投资人可向销售机构查询基金转换的成交情况，并有权转换或赎回该部分基金份额。</w:t>
      </w:r>
    </w:p>
    <w:p w14:paraId="73C5FB60" w14:textId="77777777" w:rsidR="00542AF7" w:rsidRDefault="00D93D5A">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lastRenderedPageBreak/>
        <w:t>（四）基金转换的数额限制</w:t>
      </w:r>
    </w:p>
    <w:p w14:paraId="0D49930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基金转换以份额为单位进行申请，申请转换份额精确到小数点后两位，小数点后两位以后的部分四舍五入，误差部分归基金财产。</w:t>
      </w:r>
    </w:p>
    <w:p w14:paraId="5A9B394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本基金遵循“份额转换”的原则，单笔转换份额不得低于1份。基金持有人可将其全部或部分基金份额转换成其它基金，单笔转换申请不受转入基金最低申购限额限制。</w:t>
      </w:r>
    </w:p>
    <w:p w14:paraId="0FF0632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于各基金关于投资人在单个交易账户最低保留余额的规定，每个工作日投资人在单个交易账户保留的某基金基金份额余额少于该基金的最低保留余额时，若当日该账户同时有该基金的基金份额减少类业务（如赎回、转换出等）被确认，基金管理人有权将投资人在该账户保留的该基金基金份额一次性全部赎回。因此，如果某笔转换申请确认后转出基金的单个交易账户的基金份额余额少于转出基金的最低保留余额，则转出基金在该账户剩余的基金份额将被全部赎回。如果某笔转换申请确认后转入基金的单个交易账户的基金份额余额少于转入基金的最低保留余额且该账户当日有转入基金的基金份额减少类业务被确认，则转入基金在该账户剩余的基金份额（包括该部分转换入确认份额）将随即被强制赎回。</w:t>
      </w:r>
    </w:p>
    <w:p w14:paraId="1418C8A1" w14:textId="77777777" w:rsidR="00542AF7" w:rsidRDefault="00D93D5A">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（五）基金转换费用</w:t>
      </w:r>
    </w:p>
    <w:p w14:paraId="15D58CD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1、每笔基金转换视为一笔赎回和一笔申购，基金转换费用相应由转出基金的赎回费用及转出、转入基金的申购补差费用构成。</w:t>
      </w:r>
    </w:p>
    <w:p w14:paraId="3C88474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2、转出基金的赎回费用</w:t>
      </w:r>
    </w:p>
    <w:p w14:paraId="53244E3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用按照各基金最新的更新招募说明书及相关公告规定的赎回费率和计费方式收取，赎回费用按一定比例归入基金财产（收取标准遵循各基金最新的更新招募说明书相关规定），其余部分用于支付注册登记费等相关手续费。</w:t>
      </w:r>
    </w:p>
    <w:p w14:paraId="32D91D0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3、前端收费模式下转出与转入基金的申购补差费用</w:t>
      </w:r>
    </w:p>
    <w:p w14:paraId="4E3C2E6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的转入基金前端申购费率减去转出基金前端申购费率差额进行计算补差，若遇固定费用，则按实际产生补差费用收取。</w:t>
      </w:r>
    </w:p>
    <w:p w14:paraId="75CBEA9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4、后端收费模式下转出与转入基金的申购补差费用</w:t>
      </w:r>
    </w:p>
    <w:p w14:paraId="2AF4B61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从不收取申购费用的基金或后端申购费用低的基金向后端申购费用高的基金转</w:t>
      </w:r>
      <w:r>
        <w:rPr>
          <w:rFonts w:ascii="宋体" w:hAnsi="宋体"/>
          <w:sz w:val="24"/>
        </w:rPr>
        <w:lastRenderedPageBreak/>
        <w:t>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14:paraId="08FB8D8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5、网上直销的申购补差费率优惠</w:t>
      </w:r>
    </w:p>
    <w:p w14:paraId="3570DB0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更好服务投资者，本基金管理人已开通基金网上直销业务，个人投资者可以通过“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14:paraId="458F0F0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6、本基金管理人可以根据法律法规及基金合同的规定对上述转换费用收费方式和费率进行调整，并应于调整后的收费方式和费率实施前依照《信息披露办法》的有关规定在中国证监会规定媒介上公告。</w:t>
      </w:r>
    </w:p>
    <w:p w14:paraId="1C4072EF" w14:textId="77777777" w:rsidR="00542AF7" w:rsidRDefault="00D93D5A">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（六）基金转换份额的计算公式</w:t>
      </w:r>
    </w:p>
    <w:p w14:paraId="6F860A2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1、前端收费模式下基金转换份额的计算公式及举例</w:t>
      </w:r>
    </w:p>
    <w:p w14:paraId="0441218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转出确认金额=转出的基金份额×转换申请当日转出基金的基金份额净值</w:t>
      </w:r>
    </w:p>
    <w:p w14:paraId="51B05FC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转出基金的赎回费=转出确认金额×对应的转出基金的赎回费率</w:t>
      </w:r>
    </w:p>
    <w:p w14:paraId="7658564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转入确认金额=转出确认金额-转出基金的赎回费</w:t>
      </w:r>
    </w:p>
    <w:p w14:paraId="35F29F9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转出与转入基金的申购补差费=转入确认金额×对应的转出与转入基金的申购补差费率/（1+对应的转出与转入基金的申购补差费率）</w:t>
      </w:r>
    </w:p>
    <w:p w14:paraId="37E1F7F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（注：若转出基金申购费率不低于转入基金申购费率，转出与转入基金的申购补差费为零）</w:t>
      </w:r>
    </w:p>
    <w:p w14:paraId="72F2A5D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对于涉及固定费用的，转出与转入基金的申购补差费＝MAX（0，转出基金和转入基金申购费用之差）</w:t>
      </w:r>
    </w:p>
    <w:p w14:paraId="61D0B3D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转入基金确认份额=（转入确认金额-转出与转入基金的申购补差费+A）/转换申请当日转入基金的基金份额净值</w:t>
      </w:r>
    </w:p>
    <w:p w14:paraId="1E8F583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其中：</w:t>
      </w:r>
    </w:p>
    <w:p w14:paraId="7C389A3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A为货币市场基金转出的基金份额按比例结转的账户当前累计待支付收益（仅限转出基金为货币市场基金的情形，否则A为0）。</w:t>
      </w:r>
    </w:p>
    <w:p w14:paraId="2280EE1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转入基金确认份额的计算精确到小数点后两位，小数点后两位以后的部分四舍五入，误差部分归基金财产。</w:t>
      </w:r>
    </w:p>
    <w:p w14:paraId="473AFEE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一：某投资者持有交银趋势前端收费模式的A类基金份额100,000份，持有期半年，转换申请当日交银趋势的A类基金份额净值为1.0100元，交银成长的基金份额净值为2.2700元。若该投资者将100,000份交银趋势前端A类基金份额转换为交银成长前端基金份额，则转入交银成长确认的基金份额为：</w:t>
      </w:r>
    </w:p>
    <w:p w14:paraId="3D51211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转出确认金额=100,000×1.0100=101,000元</w:t>
      </w:r>
    </w:p>
    <w:p w14:paraId="6C6EFB9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转出基金的赎回费=101,000×0.5%=505元</w:t>
      </w:r>
    </w:p>
    <w:p w14:paraId="78B5DAD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转入确认金额=101,000-505=100,495元</w:t>
      </w:r>
    </w:p>
    <w:p w14:paraId="7398688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转出与转入基金的申购补差费=100,495×0/（1+0）=0元</w:t>
      </w:r>
    </w:p>
    <w:p w14:paraId="38EFE75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转入基金确认份额=（100,495-0）/2.2700=44,270.93份</w:t>
      </w:r>
    </w:p>
    <w:p w14:paraId="668A4FF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二：某投资者持有交银增利A类基金份额1,000,000份，持有期一年半，转换申请当日交银增利A类基金份额的基金份额净值为1.0200元，交银趋势的A类基金份额净值为1.0100元。若该投资者将1,000,000份交银增利A类基金份额转换为交银趋势前端A类基金份额，则转入交银趋势确认的A类基金份额为：</w:t>
      </w:r>
    </w:p>
    <w:p w14:paraId="632A976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转出确认金额=1,000,000×1.0200=1,020,000元</w:t>
      </w:r>
    </w:p>
    <w:p w14:paraId="73FE96F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转出基金的赎回费=1,020,000×0.05%=510元</w:t>
      </w:r>
    </w:p>
    <w:p w14:paraId="08F17D9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转入确认金额=1,020,000-510=1,019,490元</w:t>
      </w:r>
    </w:p>
    <w:p w14:paraId="336AA0E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转出与转入基金的申购补差费=1,019,490×0.5%/（1+0.5%）=5,072.09元</w:t>
      </w:r>
    </w:p>
    <w:p w14:paraId="1CABA27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转入基金确认份额=（1,019,490-5,072.09）/1.0100=1,004,374.17份</w:t>
      </w:r>
    </w:p>
    <w:p w14:paraId="7F84CCA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三：某投资者持有交银增利C类基金份额100,000份，持有期一年半，转换申请当日交银增利C类基金份额净值为1.2500元，交银精选的基金份额净值为2.2700元。若该投资者将100,000份交银增利C类基金份额转换为交银精选前端基金份额，则转入交银精选确认的基金份额为：</w:t>
      </w:r>
    </w:p>
    <w:p w14:paraId="24AC149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转出确认金额=100,000×1.2500=125,000元</w:t>
      </w:r>
    </w:p>
    <w:p w14:paraId="789D8F6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转出基金的赎回费=0元</w:t>
      </w:r>
    </w:p>
    <w:p w14:paraId="4F928FD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转入确认金额=125,000-0=125,000元</w:t>
      </w:r>
    </w:p>
    <w:p w14:paraId="44A54B6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转出与转入基金的申购补差费=125,000×1.5%/（1+1.5%）=1,847.29元</w:t>
      </w:r>
    </w:p>
    <w:p w14:paraId="1449900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转入基金确认份额=（125,000-1,847.29）/2.2700=54,252.30份</w:t>
      </w:r>
    </w:p>
    <w:p w14:paraId="6526EA1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例四：某投资者持有交银货币A级基金份额100,000份，该100,000份基金份额</w:t>
      </w:r>
      <w:r>
        <w:rPr>
          <w:rFonts w:ascii="宋体" w:hAnsi="宋体"/>
          <w:sz w:val="24"/>
        </w:rPr>
        <w:lastRenderedPageBreak/>
        <w:t>未结转的待支付收益为61.52元，转换申请当日交银增利A类基金份额净值为1.2700元，交银货币的基金份额净值为1.00元。若该投资者将100,000份交银货币A级基金份额转换为交银增利A类基金份额，则转入确认的交银增利A类基金份额为：</w:t>
      </w:r>
    </w:p>
    <w:p w14:paraId="20EFE2E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转出确认金额=100,000×1.00=100,000元</w:t>
      </w:r>
    </w:p>
    <w:p w14:paraId="2DE1852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转出基金的赎回费=0元</w:t>
      </w:r>
    </w:p>
    <w:p w14:paraId="3FBCED1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转入确认金额=100,000-0=100,000元</w:t>
      </w:r>
    </w:p>
    <w:p w14:paraId="4DE0B51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转出与转入基金的申购补差费=100,000×0.8%/（1+0.8%）=793.65元</w:t>
      </w:r>
    </w:p>
    <w:p w14:paraId="408F36F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转入基金确认份额=（100,000-793.65+61.52）/1.2700=78,163.68份</w:t>
      </w:r>
    </w:p>
    <w:p w14:paraId="513CDA9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2、后端收费模式下基金转换份额的计算公式及举例</w:t>
      </w:r>
    </w:p>
    <w:p w14:paraId="269A3DB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转出确认金额=转出的基金份额×转换申请当日转出基金的基金份额净值</w:t>
      </w:r>
    </w:p>
    <w:p w14:paraId="063ED9D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转出基金的赎回费=转出确认金额×对应的转出基金的赎回费率</w:t>
      </w:r>
    </w:p>
    <w:p w14:paraId="3438F69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转入确认金额=转出确认金额-转出基金的赎回费</w:t>
      </w:r>
    </w:p>
    <w:p w14:paraId="0857AEC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转出与转入基金的申购补差费=转入确认金额×对应的转出与转入基金的申购补差费率</w:t>
      </w:r>
    </w:p>
    <w:p w14:paraId="26D8F88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转入基金确认份额=（转入确认金额-转出与转入基金的申购补差费+A）/转换申请当日转入基金的基金份额净值</w:t>
      </w:r>
    </w:p>
    <w:p w14:paraId="6CC37D5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其中：</w:t>
      </w:r>
    </w:p>
    <w:p w14:paraId="22ACE0E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A为货币市场基金转出的基金份额按比例结转的账户当前累计待支付收益（仅限转出基金为货币市场基金的情形，否则A为0）。</w:t>
      </w:r>
    </w:p>
    <w:p w14:paraId="5D3BE2E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转入基金确认份额的计算精确到小数点后两位，小数点后两位以后的部分四舍五入，误差部分归基金财产。</w:t>
      </w:r>
    </w:p>
    <w:p w14:paraId="5D7C25C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五：某投资者持有交银主题后端收费模式的A类基金份额100,000份，持有期一年半，转换申请当日交银主题的A类基金份额净值为1.2500元，交银稳健的基金份额净值为2.2700元。若该投资者将100,000份交银主题后端A类基金份额转换为交银稳健后端基金份额，则转入交银稳健确认的基金份额为：</w:t>
      </w:r>
    </w:p>
    <w:p w14:paraId="7EC26B8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转出确认金额=100,000×1.2500=125,000元</w:t>
      </w:r>
    </w:p>
    <w:p w14:paraId="03A32BC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转出基金的赎回费=125,000×0.2%=250元</w:t>
      </w:r>
    </w:p>
    <w:p w14:paraId="25D2303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转入确认金额=125,000-250=124,750元</w:t>
      </w:r>
    </w:p>
    <w:p w14:paraId="0B90115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转出与转入基金的申购补差费=124,750×0=0元</w:t>
      </w:r>
    </w:p>
    <w:p w14:paraId="30F6C16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转入基金确认份额=（124,750-0）/2.2700=54,955.95份</w:t>
      </w:r>
    </w:p>
    <w:p w14:paraId="0567459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例六：某投资者持有交银先锋后端收费模式的A类基金份额100,000份，持有期一年半，转换申请当日交银先锋的A类基金份额净值为1.2500元，交银货币的基金份额净值为1.00元。若该投资者将100,000份交银先锋后端A类基金份额转换为交银货币，则转入交银货币的基金份额为：</w:t>
      </w:r>
    </w:p>
    <w:p w14:paraId="65E6A22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转出确认金额=100,000×1.2500=125,000元</w:t>
      </w:r>
    </w:p>
    <w:p w14:paraId="5BE69CC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转出基金的赎回费=125,000×0.2%=250元</w:t>
      </w:r>
    </w:p>
    <w:p w14:paraId="3918B75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转入确认金额=125,000-250=124,750元</w:t>
      </w:r>
    </w:p>
    <w:p w14:paraId="043E379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转出与转入基金的申购补差费=124,750×1.2%=1497元</w:t>
      </w:r>
    </w:p>
    <w:p w14:paraId="61E6303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转入基金确认份额=（124,750-1497）/1.00=123,253.00份</w:t>
      </w:r>
    </w:p>
    <w:p w14:paraId="56D4312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七：某投资者持有交银蓝筹后端收费模式的基金份额100,000份，持有期三年半，转换申请当日交银蓝筹的基金份额净值为0.8500元，交银增利B类基金份额的基金份额净值为1.0500。若该投资者将100,000份交银蓝筹后端基金份额转换为交银增利B类基金份额，则转入交银增利B类基金份额的基金份额为：</w:t>
      </w:r>
    </w:p>
    <w:p w14:paraId="256D8A9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转出确认金额=100,000×0.8500=85,000元</w:t>
      </w:r>
    </w:p>
    <w:p w14:paraId="766AA74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转出基金的赎回费=85,000×0=0元</w:t>
      </w:r>
    </w:p>
    <w:p w14:paraId="749F781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转入确认金额=85,000-0=85,000元</w:t>
      </w:r>
    </w:p>
    <w:p w14:paraId="24CF514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转出与转入基金的申购补差费=85,000×0.2%=170元</w:t>
      </w:r>
    </w:p>
    <w:p w14:paraId="406E679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转入基金确认份额=（85,000-170）/1.0500=80,790.48份</w:t>
      </w:r>
    </w:p>
    <w:p w14:paraId="6689C2C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八：某投资者持有交银货币A级基金份额100,000份，该100,000份基金份额未结转的待支付收益为61.52元，转换申请当日交银增利B类基金份额净值为1.2700元，交银货币的基金份额净值为1.00元。若该投资者将100,000份交银货币A级基金份额转换为交银增利B类基金份额，则转入确认的交银增利B类基金份额为：</w:t>
      </w:r>
    </w:p>
    <w:p w14:paraId="4E0351B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转出确认金额=100,000×1.00=100,000元</w:t>
      </w:r>
    </w:p>
    <w:p w14:paraId="7061F2F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转出基金的赎回费=0元</w:t>
      </w:r>
    </w:p>
    <w:p w14:paraId="78B34E7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转入确认金额=100,000-0=100,000元</w:t>
      </w:r>
    </w:p>
    <w:p w14:paraId="11D5150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转出与转入基金的申购补差费=100,000×0=0元</w:t>
      </w:r>
    </w:p>
    <w:p w14:paraId="369373A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转入基金确认份额=（100,000-0+61.52）/1.2700=78,788.60份</w:t>
      </w:r>
    </w:p>
    <w:p w14:paraId="51C86831" w14:textId="77777777" w:rsidR="00542AF7" w:rsidRDefault="00D93D5A">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（七）业务规则</w:t>
      </w:r>
    </w:p>
    <w:p w14:paraId="1052052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1、基金转换只能在同一销售机构进行。转换的两只基金必须都是该销售机构销售的同一基金管理人管理的、在同一注册登记机构处注册登记的基金。投资人办</w:t>
      </w:r>
      <w:r>
        <w:rPr>
          <w:rFonts w:ascii="宋体" w:hAnsi="宋体"/>
          <w:sz w:val="24"/>
        </w:rPr>
        <w:lastRenderedPageBreak/>
        <w:t>理基金转换业务时，转出方的基金必须处于可赎回状态，转入方的基金必须处于可申购状态。</w:t>
      </w:r>
    </w:p>
    <w:p w14:paraId="359D865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人只能在相同收费模式下进行基金转换。前端收费模式的开放式基金只能转换到前端收费模式的其他基金，后端收费模式的基金只能转换到后端收费模式的其他基金。交银货币、债券基金C类基金份额与其他基金之间的转换不受上述收费模式的限制。</w:t>
      </w:r>
    </w:p>
    <w:p w14:paraId="773755C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3、基金转换采取未知价法，即基金的转换价格以申请受理当日各转出、转入基金的基金份额净值为基础进行计算。（货币市场基金的基金份额净值为固定价1.00元）。</w:t>
      </w:r>
    </w:p>
    <w:p w14:paraId="20E37B0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4、投资人申请转出其账户内货币市场基金的基金份额时，注册登记机构将自动结转该转出份额对应的待支付收益，该收益将一并计入转出金额并折算为转入基金的基金份额，但收益部分不收取转换费用。</w:t>
      </w:r>
    </w:p>
    <w:p w14:paraId="51F3A89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5、转换后，转入基金份额的持有时间将重新计算，即转入基金份额的持有期将自转入基金份额被确认日起重新开始计算。</w:t>
      </w:r>
    </w:p>
    <w:p w14:paraId="0B96812B" w14:textId="77777777" w:rsidR="00542AF7" w:rsidRDefault="00D93D5A">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（八）暂停基金转换</w:t>
      </w:r>
    </w:p>
    <w:p w14:paraId="27E614D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视同为转出基金的赎回和转入基金的申购，因此有关转出基金和转入基金关于暂停或拒绝申购、暂停赎回的有关规定也一般适用于暂停基金转换。具体暂停或恢复基金转换的相关业务请详见届时本基金管理人发布的相关公告。</w:t>
      </w:r>
    </w:p>
    <w:p w14:paraId="40B9EA6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单个开放日，基金净赎回申请份额（该基金赎回申请总份额加上基金转换中转出申请总份额扣除申购申请总份额及基金转换中转入申请总份额后的余额）超过上一日基金总份额的10%时，为巨额赎回。发生巨额赎回时，基金转出与基金赎回具有相同的优先级，本基金管理人可根据基金资产组合情况，决定全额转出或部分转出，并且对于基金转出和基金赎回，将采取相同的比例确认。在转出申请得到部分确认的情况下，未确认的转出申请将自动予以撤销，不再视为下一开放日的基金转换申请。</w:t>
      </w:r>
    </w:p>
    <w:p w14:paraId="3763102B" w14:textId="77777777" w:rsidR="00C86C88" w:rsidRDefault="00D93D5A" w:rsidP="00C86C8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6E7020C7" w14:textId="77777777" w:rsidR="00542AF7" w:rsidRDefault="00D93D5A">
      <w:pPr>
        <w:pStyle w:val="1"/>
        <w:snapToGrid w:val="0"/>
        <w:spacing w:beforeLines="0" w:before="240" w:after="240"/>
        <w:rPr>
          <w:rFonts w:ascii="宋体" w:hAnsi="宋体"/>
          <w:szCs w:val="30"/>
        </w:rPr>
      </w:pPr>
      <w:bookmarkStart w:id="13" w:name="_Toc151542543"/>
      <w:r>
        <w:rPr>
          <w:rFonts w:ascii="Times New Roman" w:hAnsi="Times New Roman"/>
          <w:sz w:val="30"/>
        </w:rPr>
        <w:lastRenderedPageBreak/>
        <w:t>十、基金的投资</w:t>
      </w:r>
      <w:bookmarkEnd w:id="13"/>
    </w:p>
    <w:p w14:paraId="5EA6665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（一）投资目标</w:t>
      </w:r>
    </w:p>
    <w:p w14:paraId="30B198D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本基金在严格控制风险和保持资产流动性的基础上，通过积极主动的投资管理，追求基金资产的长期稳健增值，力争实现超越业绩比较基准的投资回报。</w:t>
      </w:r>
    </w:p>
    <w:p w14:paraId="2841132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（二）投资范围</w:t>
      </w:r>
    </w:p>
    <w:p w14:paraId="6389591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范围为具有良好流动性的金融工具，包括国内依法发行上市的国债、金融债、央行票据、地方政府债、企业债、公司债、中小企业私募债、中期票据、短期融资券、超级短期融资券、资产支持证券、次级债、可分离交易可转债的纯债部分、债券回购、银行存款、货币市场工具以及法律法规或中国证监会允许基金投资的其他金融工具（但须符合中国证监会相关规定）。本基金不投资于股票、权证等权益类资产，也不投资于可转换债券（可分离交易可转债的纯债部分除外）、可交换债券。</w:t>
      </w:r>
    </w:p>
    <w:p w14:paraId="272CE7C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如法律法规或监管机构以后允许基金投资其他品种，基金管理人在履行适当程序后，可以将其纳入投资范围。</w:t>
      </w:r>
    </w:p>
    <w:p w14:paraId="00C5B91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比例为：本基金投资于债券资产的比例不低于基金资产的80%，现金或到期日在一年以内的政府债券的投资比例合计不低于基金资产净值的5%，其中现金不包括结算备付金、存出保证金和应收申购款等。</w:t>
      </w:r>
    </w:p>
    <w:p w14:paraId="3C5B108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如果法律法规或中国证监会变更投资品种的投资比例限制，基金管理人在履行适当程序后，可以调整上述投资品种的投资比例。</w:t>
      </w:r>
    </w:p>
    <w:p w14:paraId="0C96157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（三）投资策略</w:t>
      </w:r>
    </w:p>
    <w:p w14:paraId="74C13B6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充分发挥基金管理人的研究优势，对宏观经济运行趋势、财政以及货币政策变化趋势作出分析和判断，对未来市场利率趋势及市场信用环境变化作出预测，动态调整大类金融资产比例，自上而下决定债券组合久期、期限结构、债券类别配置策略，在严谨深入的分析基础上，综合考虑不同债券品种的收益率水平、供求关系、信用风险的大小和流动性的好坏等影响因素，深入挖掘价值被低估的标的券种。</w:t>
      </w:r>
    </w:p>
    <w:p w14:paraId="3411F1A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1、大类资产配置</w:t>
      </w:r>
    </w:p>
    <w:p w14:paraId="2F7190D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本基金在分析和判断国内外宏观经济形势的基础上，通过“自上而下”的定性</w:t>
      </w:r>
    </w:p>
    <w:p w14:paraId="32CDEF1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分析和定量分析相结合，形成对大类资产的预测和判断，在基金合同约定的范</w:t>
      </w:r>
      <w:r>
        <w:rPr>
          <w:rFonts w:ascii="宋体" w:hAnsi="宋体"/>
          <w:sz w:val="24"/>
        </w:rPr>
        <w:lastRenderedPageBreak/>
        <w:t>围内确定债券类资产和现金类资产的配置比例，并随着各类证券风险收益特征的相对变化，动态调整大类资产的投资比例，以规避市场风险，提高基金收益率。</w:t>
      </w:r>
    </w:p>
    <w:p w14:paraId="2159B8D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2、债券投资策略</w:t>
      </w:r>
    </w:p>
    <w:p w14:paraId="0A15038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（1）久期管理策略</w:t>
      </w:r>
    </w:p>
    <w:p w14:paraId="6333EE7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债券基金最基本的投资策略，久期管理策略本质上是一种自上而下管理利率风险的策略。在全球经济的框架下，本基金管理人根据对市场利率变化趋势的预期，密切跟踪CPI、PPI、汇率、M2等利率敏感指标和宏观经济运行关键指标，运用数量化工具对宏观经济运行及货币财政政策变化跟踪与分析，对未来市场利率趋势进行分析预测，据此确定合理的债券组合目标久期。基金管理人通过以下方面的分析来确定债券组合的目标久期：</w:t>
      </w:r>
    </w:p>
    <w:p w14:paraId="5A50F29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宏观经济环境分析。通过跟踪分析货币信贷、采购经理人指数等宏观经济先行性经济指标，拉动经济增长的三大引擎进出口、消费以及投资等指标，判断当前经济运行在经济周期中所处的阶段，预期中央政府的货币与财政政策取向。</w:t>
      </w:r>
    </w:p>
    <w:p w14:paraId="6E77B27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2）利率变动趋势分析。在宏观经济环境分析的基础上，密切关注月度CPI、PPI等物价指数，货币信贷、汇率等金融运行数据，预测未来利率的变动趋势。</w:t>
      </w:r>
    </w:p>
    <w:p w14:paraId="01068C1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目标久期分析。根据宏观经济环境分析与市场利率变动趋势分析，结合当期债券收益率估值水平，确定投资组合的目标久期。原则上，在利率上行通道中，通过缩短目标久期规避利率风险；在利率下行通道中，通过延长目标久期分享债券价格上涨的收益。在利率持平阶段，采用骑乘策略与持有策略，获得稳定的当前回报。</w:t>
      </w:r>
    </w:p>
    <w:p w14:paraId="7339612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4）动态调整目标久期。通过对国内外宏观经济数据、金融市场运行、货币政策以及国内债券市场运行跟踪分析，评估未来利率水平变化趋势，结合债券市场收益率变动与基金投资目标，动态调整组合目标久期。</w:t>
      </w:r>
    </w:p>
    <w:p w14:paraId="7B50758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（2）期限结构配置策略</w:t>
      </w:r>
    </w:p>
    <w:p w14:paraId="58BA6E9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险收益，形成具体的期限结构配置策略。</w:t>
      </w:r>
    </w:p>
    <w:p w14:paraId="0330DAD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（3）债券的类别配置策略</w:t>
      </w:r>
    </w:p>
    <w:p w14:paraId="044830F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对不同类别债券的信用风险、税赋水平、市场流动性、市场风险等因素进行分</w:t>
      </w:r>
      <w:r>
        <w:rPr>
          <w:rFonts w:ascii="宋体" w:hAnsi="宋体"/>
          <w:sz w:val="24"/>
        </w:rPr>
        <w:lastRenderedPageBreak/>
        <w:t>析，综合评估相同期限的国债、金融债、企业债、交易所和银行间市场投资品种的利差和变化趋势，通过不同类别资产的风险调整后收益比较，确定组合的类别资产配置。</w:t>
      </w:r>
    </w:p>
    <w:p w14:paraId="608C2D4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（4）骑乘策略</w:t>
      </w:r>
    </w:p>
    <w:p w14:paraId="7CB3008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骑乘策略，通过对债券收益曲线形状变动的预期为依据来建立和调整组合。当债券收益率曲线比较陡峭时，买入位于收益率曲线陡峭处的债券，持有一段时间后，伴随债券剩余期限的缩短与收益率水平的下降，获得一定的资本利得收益。</w:t>
      </w:r>
    </w:p>
    <w:p w14:paraId="7A28784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（5）杠杆放大策略</w:t>
      </w:r>
    </w:p>
    <w:p w14:paraId="7D9C684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当回购利率低于债券收益率时，本基金将实施正回购融入资金并投资于信用债券等可投资标的，从而获取收益率超出回购资金成本（即回购利率）的套利价值。</w:t>
      </w:r>
    </w:p>
    <w:p w14:paraId="745A710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（6）信用债券投资策略</w:t>
      </w:r>
    </w:p>
    <w:p w14:paraId="4CAFA4D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本基金信用债券的投资遵循以下流程：</w:t>
      </w:r>
    </w:p>
    <w:p w14:paraId="0952961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1）信用债券研究</w:t>
      </w:r>
    </w:p>
    <w:p w14:paraId="40555BC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券信用评级指标体系，对信用债券进行信用评级，并在信用评级的基础上，建立本基金的信用债券池。</w:t>
      </w:r>
    </w:p>
    <w:p w14:paraId="25AED68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2）信用债券投资</w:t>
      </w:r>
    </w:p>
    <w:p w14:paraId="3F69E9B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基金经理从信用债券池中精选债券构建信用债券投资组合。</w:t>
      </w:r>
    </w:p>
    <w:p w14:paraId="5D36F88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本基金构建和管理信用债券投资组合时主要考虑以下因素：</w:t>
      </w:r>
    </w:p>
    <w:p w14:paraId="20EA1D7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①信用债券信用评级的变化。</w:t>
      </w:r>
    </w:p>
    <w:p w14:paraId="5079AC8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②不同信用等级的信用债券，以及同一信用等级不同标的债券之间的信用利差变化。</w:t>
      </w:r>
    </w:p>
    <w:p w14:paraId="66DBD33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原则上，购买信用（拟）增级的信用债券，减持信用（拟）降级的信用债券；购买信用利差扩大后存在收窄趋势的信用债券，减持信用利差缩小后存在放宽趋势的信用债券。</w:t>
      </w:r>
    </w:p>
    <w:p w14:paraId="1A43A71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（7）资产支持证券投资策略</w:t>
      </w:r>
    </w:p>
    <w:p w14:paraId="306E3F0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本基金投资资产支持证券将综合运用久期管理、收益率曲线、个券选择和把握市场交易机会等积极策略，在严格控制风险的情况下，通过信用研究和流动性管</w:t>
      </w:r>
      <w:r>
        <w:rPr>
          <w:rFonts w:ascii="宋体" w:hAnsi="宋体"/>
          <w:sz w:val="24"/>
        </w:rPr>
        <w:lastRenderedPageBreak/>
        <w:t>理，选择风险调整后的收益高的品种进行投资，以期获得长期稳定收益。</w:t>
      </w:r>
    </w:p>
    <w:p w14:paraId="1075AED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（8）中小企业私募债券投资策略</w:t>
      </w:r>
    </w:p>
    <w:p w14:paraId="0DC03A4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中小企业私募债将重点关注其信用风险和流动性风险，综合考虑信用基本面、债券收益率和流动性等要素，在信用风险可控的前提下，追求合理回报。本基金采取自下而上的方法建立适合中小企业私募债的信用评级体系，对个券进行信用分析，根据内部的信用分析方法对可选的中小企业私募债券个券进行严格筛选过滤：重点分析发行主体的公司背景、竞争地位、治理结构、盈利能力、偿债能力、现金流水平等诸多因素，对主体所发行债券进行打分和投资价值评估，分数高于内部投资级要求才能入库投资。中小企业私募债券投资是综合考虑信用基本面、债券收益率和流动性，选择发行主体资质优良，估值合理且流通相对充分的品种进行适度投资。</w:t>
      </w:r>
    </w:p>
    <w:p w14:paraId="2288920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（四）投资限制</w:t>
      </w:r>
    </w:p>
    <w:p w14:paraId="6C57076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1、组合限制</w:t>
      </w:r>
    </w:p>
    <w:p w14:paraId="61C3299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基金的投资组合应遵循以下限制：</w:t>
      </w:r>
    </w:p>
    <w:p w14:paraId="171EA05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（1）本基金投资于债券资产的比例不低于基金资产的80%；</w:t>
      </w:r>
    </w:p>
    <w:p w14:paraId="0CF98BA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（2）保持不低于基金资产净值5%的现金或者到期日在一年以内的政府债券，其中现金不包括结算备付金、存出保证金和应收申购款等；</w:t>
      </w:r>
    </w:p>
    <w:p w14:paraId="5C6EACE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（3）本基金持有一家公司发行的证券，其市值不超过基金资产净值的10%；</w:t>
      </w:r>
    </w:p>
    <w:p w14:paraId="1CEB043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（4）本基金管理人管理的全部基金持有一家公司发行的证券，不超过该证券的10%；</w:t>
      </w:r>
    </w:p>
    <w:p w14:paraId="7F0D689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（5）本基金投资于同一原始权益人的各类资产支持证券的比例，不得超过基金资产净值的10%；</w:t>
      </w:r>
    </w:p>
    <w:p w14:paraId="4072C5B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（6）本基金持有的全部资产支持证券，其市值不得超过基金资产净值的20%；</w:t>
      </w:r>
    </w:p>
    <w:p w14:paraId="0E18F62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（7）本基金持有的同一(指同一信用级别)资产支持证券的比例，不得超过该资产支持证券规模的10%；</w:t>
      </w:r>
    </w:p>
    <w:p w14:paraId="6EA7C76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（8）本基金管理人管理的全部基金投资于同一原始权益人的各类资产支持证券，不得超过其各类资产支持证券合计规模的10%；</w:t>
      </w:r>
    </w:p>
    <w:p w14:paraId="35998BB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（9）本基金应投资于信用级别评级为BBB以上(含BBB)的资产支持证券。基金持有资产支持证券期间，如果其信用等级下降、不再符合投资标准，应在评级报告发布之日起3个月内予以全部卖出；</w:t>
      </w:r>
    </w:p>
    <w:p w14:paraId="5E91C87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（10）本基金进入全国银行间同业市场进行债券回购的资金余额不得超过基金资产净值的40%；本基金在全国银行间同业市场中的债券回购最长期限为1年，债券回购到期后不得展期；</w:t>
      </w:r>
    </w:p>
    <w:p w14:paraId="19C4670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（11）本基金持有单只中小企业私募债券，其市值不得超过基金资产净值的10%；</w:t>
      </w:r>
    </w:p>
    <w:p w14:paraId="1EB163A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（12）本基金的基金资产总值不得超过基金资产净值的140%；</w:t>
      </w:r>
    </w:p>
    <w:p w14:paraId="16494EB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（13）本基金与私募类证券资管产品及中国证监会认定的其他主体为交易对手开展逆回购交易的，可接受质押品的资质要求应当与基金合同约定的投资范围保持一致；</w:t>
      </w:r>
    </w:p>
    <w:p w14:paraId="155DBA2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本基金主动投资于流动性受限资产的市值合计不得超过基金资产净值的15%；因证券市场波动、基金规模变动等基金管理人之外的因素致使基金不符合该比例限制的，基金管理人不得主动新增流动性受限资产的投资；</w:t>
      </w:r>
    </w:p>
    <w:p w14:paraId="47BAD3F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（15）法律法规及中国证监会规定的和《基金合同》约定的其他投资限制。</w:t>
      </w:r>
    </w:p>
    <w:p w14:paraId="656373B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35C09E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上述第（2）、（9）、（13）、（14）项以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6CF4C08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自基金合同生效之日起6个月内使基金的投资组合比例符合基金合同的有关约定，基金合同另有约定的除外。在上述期间内，本基金的投资范围、投资策略应当符合基金合同的约定。基金托管人对基金的投资的监督与检查自基金合同生效之日起开始。</w:t>
      </w:r>
    </w:p>
    <w:p w14:paraId="0489E9B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法律法规对上述投资组合比例限制进行变更的，以变更后的规定为准。法律法规或监管部门取消上述限制，如适用于本基金，基金管理人在履行适当程序后，则</w:t>
      </w:r>
      <w:r>
        <w:rPr>
          <w:rFonts w:ascii="宋体" w:hAnsi="宋体"/>
          <w:sz w:val="24"/>
        </w:rPr>
        <w:lastRenderedPageBreak/>
        <w:t>本基金投资不再受相关限制。</w:t>
      </w:r>
    </w:p>
    <w:p w14:paraId="39D6A9B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2、禁止行为</w:t>
      </w:r>
    </w:p>
    <w:p w14:paraId="7B3A258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为维护基金份额持有人的合法权益，基金财产不得用于下列投资或者活动：</w:t>
      </w:r>
    </w:p>
    <w:p w14:paraId="00BE878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（1）承销证券；</w:t>
      </w:r>
    </w:p>
    <w:p w14:paraId="28623E0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（2）违反规定向他人贷款或者提供担保；</w:t>
      </w:r>
    </w:p>
    <w:p w14:paraId="5BF17EC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（3）从事承担无限责任的投资；</w:t>
      </w:r>
    </w:p>
    <w:p w14:paraId="5A99C2D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（4）买卖其他基金份额，但是中国证监会另有规定的除外；</w:t>
      </w:r>
    </w:p>
    <w:p w14:paraId="57D598B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（5）向其基金管理人、基金托管人出资；</w:t>
      </w:r>
    </w:p>
    <w:p w14:paraId="385064B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（6）从事内幕交易、操纵证券交易价格及其他不正当的证券交易活动；</w:t>
      </w:r>
    </w:p>
    <w:p w14:paraId="7F33CDB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（7）法律、行政法规和中国证监会规定禁止的其他活动。</w:t>
      </w:r>
    </w:p>
    <w:p w14:paraId="0166CEA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如法律、行政法规或监管部门取消上述禁止性规定，如适用于本基金，基金管理人在履行适当程序后，本基金可不受上述规定的限制。</w:t>
      </w:r>
    </w:p>
    <w:p w14:paraId="60129DE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（五）业绩比较基准</w:t>
      </w:r>
    </w:p>
    <w:p w14:paraId="4541955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中债综合全价指数</w:t>
      </w:r>
    </w:p>
    <w:p w14:paraId="000A324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债综合全价指数由中央国债登记结算有限责任公司编制并发布，其指数样本涵盖国债、政策性银行债、商业银行债、地方企业债、中期票据以及证券公司短期融资券等各类券种，综合反映了债券市场整体价格和回报情况，是目前市场上较为权威的反映债券市场整体走势的基准指数之一。该指数合理、透明、公开，具有较好的市场接受度，作为衡量本基金比较基准较为合适。</w:t>
      </w:r>
    </w:p>
    <w:p w14:paraId="223765D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14:paraId="424AF51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（六）风险收益特征</w:t>
      </w:r>
    </w:p>
    <w:p w14:paraId="50A8A6B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是一只债券型基金，其风险与预期收益高于货币市场基金，低于混合型基金和股票型基金，属于证券投资基金中中等风险的品种。根据2017年7月1日施行的《证券期货投资者适当性管理办法》，基金管理人和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p w14:paraId="7110283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（七）基金管理人代表基金行使债权人权利的处理原则及方法</w:t>
      </w:r>
    </w:p>
    <w:p w14:paraId="13E2FA1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1、基金管理人按照国家有关规定代表基金独立行使债权人权利，保护基金份额持有人的利益；</w:t>
      </w:r>
    </w:p>
    <w:p w14:paraId="05A0AB1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2、不谋求对上市公司的控股，不参与所投资上市公司的经营管理；</w:t>
      </w:r>
    </w:p>
    <w:p w14:paraId="7FD0FC7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3、有利于基金财产的安全与增值；</w:t>
      </w:r>
    </w:p>
    <w:p w14:paraId="0F72D41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4、不通过关联交易为自身、雇员、授权代理人或任何存在利害关系的第三人牟取任何不当利益。</w:t>
      </w:r>
    </w:p>
    <w:p w14:paraId="433EAB34" w14:textId="77777777" w:rsidR="00542AF7" w:rsidRDefault="00D93D5A">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（八）侧袋机制的实施和投资运作安排</w:t>
      </w:r>
    </w:p>
    <w:p w14:paraId="563ABC9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26629AE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侧袋机制实施期间，本部分约定的投资组合比例、投资策略、组合限制、业绩比较基准、风险收益特征等约定仅适用于主袋账户。</w:t>
      </w:r>
    </w:p>
    <w:p w14:paraId="2FDCFE1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侧袋账户的实施条件、实施程序、运作安排、投资安排、特定资产的处置变现和支付等对投资者权益有重大影响的事项详见本招募说明书“侧袋机制”部分的规定。</w:t>
      </w:r>
    </w:p>
    <w:p w14:paraId="4C0C62F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（九）基金投资组合报告</w:t>
      </w:r>
    </w:p>
    <w:p w14:paraId="123E6B5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本基金管理人的董事会及董事保证本报告所载资料不存在虚假记载、误导性陈述或重大遗漏，并对其内容的真实性、准确性和完整性承担个别及连带责任。</w:t>
      </w:r>
    </w:p>
    <w:p w14:paraId="7FA7A90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本基金托管人兴业银行股份有限公司根据本基金合同规定，于2023年10月23日复核了本报告中的财务指标、净值表现和投资组合报告等内容，保证复核内容不存在虚假记载、误导性陈述或者重大遗漏。</w:t>
      </w:r>
    </w:p>
    <w:p w14:paraId="5E0BC6D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本报告期为2023年07月01日日至09月30日。本报告财务资料未经审计师审计。</w:t>
      </w:r>
    </w:p>
    <w:p w14:paraId="04D7C53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1、报告期末基金资产组合情况</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542AF7" w14:paraId="2898B96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64B51DFA"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134BE19B"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项目</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611AAC5B"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14:paraId="57530FF9"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占基金总资产的比例（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542AF7" w14:paraId="499D664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60D2DCA"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42A2468B"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权益投资</w:t>
            </w:r>
          </w:p>
        </w:tc>
        <w:tc>
          <w:tcPr>
            <w:tcW w:w="750" w:type="pct"/>
            <w:tcBorders>
              <w:top w:val="single" w:sz="4" w:space="0" w:color="auto"/>
              <w:left w:val="single" w:sz="4" w:space="0" w:color="auto"/>
              <w:bottom w:val="single" w:sz="4" w:space="0" w:color="auto"/>
              <w:right w:val="single" w:sz="4" w:space="0" w:color="auto"/>
            </w:tcBorders>
            <w:vAlign w:val="center"/>
          </w:tcPr>
          <w:p w14:paraId="66792A1F"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5151C91E"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42AF7" w14:paraId="05E2545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6699E97"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0CF5D6CF"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其中：股票</w:t>
            </w:r>
          </w:p>
        </w:tc>
        <w:tc>
          <w:tcPr>
            <w:tcW w:w="750" w:type="pct"/>
            <w:tcBorders>
              <w:top w:val="single" w:sz="4" w:space="0" w:color="auto"/>
              <w:left w:val="single" w:sz="4" w:space="0" w:color="auto"/>
              <w:bottom w:val="single" w:sz="4" w:space="0" w:color="auto"/>
              <w:right w:val="single" w:sz="4" w:space="0" w:color="auto"/>
            </w:tcBorders>
            <w:vAlign w:val="center"/>
          </w:tcPr>
          <w:p w14:paraId="4E3E6F68"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4C44C910"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42AF7" w14:paraId="263EC70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6C9514F"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04413226"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基金投资</w:t>
            </w:r>
          </w:p>
        </w:tc>
        <w:tc>
          <w:tcPr>
            <w:tcW w:w="750" w:type="pct"/>
            <w:tcBorders>
              <w:top w:val="single" w:sz="4" w:space="0" w:color="auto"/>
              <w:left w:val="single" w:sz="4" w:space="0" w:color="auto"/>
              <w:bottom w:val="single" w:sz="4" w:space="0" w:color="auto"/>
              <w:right w:val="single" w:sz="4" w:space="0" w:color="auto"/>
            </w:tcBorders>
            <w:vAlign w:val="center"/>
          </w:tcPr>
          <w:p w14:paraId="542D853D"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715D6028"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42AF7" w14:paraId="3950911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1674CE9"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02FE64E9"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固定收益投资</w:t>
            </w:r>
          </w:p>
        </w:tc>
        <w:tc>
          <w:tcPr>
            <w:tcW w:w="750" w:type="pct"/>
            <w:tcBorders>
              <w:top w:val="single" w:sz="4" w:space="0" w:color="auto"/>
              <w:left w:val="single" w:sz="4" w:space="0" w:color="auto"/>
              <w:bottom w:val="single" w:sz="4" w:space="0" w:color="auto"/>
              <w:right w:val="single" w:sz="4" w:space="0" w:color="auto"/>
            </w:tcBorders>
            <w:vAlign w:val="center"/>
          </w:tcPr>
          <w:p w14:paraId="7471DF16"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11,211,249,850.78</w:t>
            </w:r>
          </w:p>
        </w:tc>
        <w:tc>
          <w:tcPr>
            <w:tcW w:w="400" w:type="pct"/>
            <w:tcBorders>
              <w:top w:val="single" w:sz="4" w:space="0" w:color="auto"/>
              <w:left w:val="single" w:sz="4" w:space="0" w:color="auto"/>
              <w:bottom w:val="single" w:sz="4" w:space="0" w:color="auto"/>
              <w:right w:val="single" w:sz="4" w:space="0" w:color="auto"/>
            </w:tcBorders>
            <w:vAlign w:val="center"/>
          </w:tcPr>
          <w:p w14:paraId="4F8841C9"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99.91</w:t>
            </w:r>
          </w:p>
        </w:tc>
      </w:tr>
      <w:tr w:rsidR="00542AF7" w14:paraId="38FB87B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2D9F2DE"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5E47299B"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其中：债券</w:t>
            </w:r>
          </w:p>
        </w:tc>
        <w:tc>
          <w:tcPr>
            <w:tcW w:w="750" w:type="pct"/>
            <w:tcBorders>
              <w:top w:val="single" w:sz="4" w:space="0" w:color="auto"/>
              <w:left w:val="single" w:sz="4" w:space="0" w:color="auto"/>
              <w:bottom w:val="single" w:sz="4" w:space="0" w:color="auto"/>
              <w:right w:val="single" w:sz="4" w:space="0" w:color="auto"/>
            </w:tcBorders>
            <w:vAlign w:val="center"/>
          </w:tcPr>
          <w:p w14:paraId="6B13FBEB"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11,211,249,850.78</w:t>
            </w:r>
          </w:p>
        </w:tc>
        <w:tc>
          <w:tcPr>
            <w:tcW w:w="400" w:type="pct"/>
            <w:tcBorders>
              <w:top w:val="single" w:sz="4" w:space="0" w:color="auto"/>
              <w:left w:val="single" w:sz="4" w:space="0" w:color="auto"/>
              <w:bottom w:val="single" w:sz="4" w:space="0" w:color="auto"/>
              <w:right w:val="single" w:sz="4" w:space="0" w:color="auto"/>
            </w:tcBorders>
            <w:vAlign w:val="center"/>
          </w:tcPr>
          <w:p w14:paraId="78B453B0"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99.91</w:t>
            </w:r>
          </w:p>
        </w:tc>
      </w:tr>
      <w:tr w:rsidR="00542AF7" w14:paraId="1DC16FF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49340CB"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lastRenderedPageBreak/>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40296B23"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资产支持证券</w:t>
            </w:r>
          </w:p>
        </w:tc>
        <w:tc>
          <w:tcPr>
            <w:tcW w:w="750" w:type="pct"/>
            <w:tcBorders>
              <w:top w:val="single" w:sz="4" w:space="0" w:color="auto"/>
              <w:left w:val="single" w:sz="4" w:space="0" w:color="auto"/>
              <w:bottom w:val="single" w:sz="4" w:space="0" w:color="auto"/>
              <w:right w:val="single" w:sz="4" w:space="0" w:color="auto"/>
            </w:tcBorders>
            <w:vAlign w:val="center"/>
          </w:tcPr>
          <w:p w14:paraId="0FFFEAD2"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67E02A3E"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42AF7" w14:paraId="53EB792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0F0BEE8"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4ED886E6"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贵金属投资</w:t>
            </w:r>
          </w:p>
        </w:tc>
        <w:tc>
          <w:tcPr>
            <w:tcW w:w="750" w:type="pct"/>
            <w:tcBorders>
              <w:top w:val="single" w:sz="4" w:space="0" w:color="auto"/>
              <w:left w:val="single" w:sz="4" w:space="0" w:color="auto"/>
              <w:bottom w:val="single" w:sz="4" w:space="0" w:color="auto"/>
              <w:right w:val="single" w:sz="4" w:space="0" w:color="auto"/>
            </w:tcBorders>
            <w:vAlign w:val="center"/>
          </w:tcPr>
          <w:p w14:paraId="63BBFD5E"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3DF3FADB"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42AF7" w14:paraId="01050EC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B92AB1A"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14BABC32"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金融衍生品投资</w:t>
            </w:r>
          </w:p>
        </w:tc>
        <w:tc>
          <w:tcPr>
            <w:tcW w:w="750" w:type="pct"/>
            <w:tcBorders>
              <w:top w:val="single" w:sz="4" w:space="0" w:color="auto"/>
              <w:left w:val="single" w:sz="4" w:space="0" w:color="auto"/>
              <w:bottom w:val="single" w:sz="4" w:space="0" w:color="auto"/>
              <w:right w:val="single" w:sz="4" w:space="0" w:color="auto"/>
            </w:tcBorders>
            <w:vAlign w:val="center"/>
          </w:tcPr>
          <w:p w14:paraId="5AD28309"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58F9C4F0"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42AF7" w14:paraId="5C7803B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A145E67"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14:paraId="3A767028"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买入返售金融资产</w:t>
            </w:r>
          </w:p>
        </w:tc>
        <w:tc>
          <w:tcPr>
            <w:tcW w:w="750" w:type="pct"/>
            <w:tcBorders>
              <w:top w:val="single" w:sz="4" w:space="0" w:color="auto"/>
              <w:left w:val="single" w:sz="4" w:space="0" w:color="auto"/>
              <w:bottom w:val="single" w:sz="4" w:space="0" w:color="auto"/>
              <w:right w:val="single" w:sz="4" w:space="0" w:color="auto"/>
            </w:tcBorders>
            <w:vAlign w:val="center"/>
          </w:tcPr>
          <w:p w14:paraId="6CB9928F"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26386499"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42AF7" w14:paraId="615089D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33478C7"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0F0A1B39"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其中：买断式回购的买入返售金融资产</w:t>
            </w:r>
          </w:p>
        </w:tc>
        <w:tc>
          <w:tcPr>
            <w:tcW w:w="750" w:type="pct"/>
            <w:tcBorders>
              <w:top w:val="single" w:sz="4" w:space="0" w:color="auto"/>
              <w:left w:val="single" w:sz="4" w:space="0" w:color="auto"/>
              <w:bottom w:val="single" w:sz="4" w:space="0" w:color="auto"/>
              <w:right w:val="single" w:sz="4" w:space="0" w:color="auto"/>
            </w:tcBorders>
            <w:vAlign w:val="center"/>
          </w:tcPr>
          <w:p w14:paraId="11C324A4"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06616446"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42AF7" w14:paraId="7E8E9F9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9C5416A"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14:paraId="4F6B7BD0"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银行存款和结算备付金合计</w:t>
            </w:r>
          </w:p>
        </w:tc>
        <w:tc>
          <w:tcPr>
            <w:tcW w:w="750" w:type="pct"/>
            <w:tcBorders>
              <w:top w:val="single" w:sz="4" w:space="0" w:color="auto"/>
              <w:left w:val="single" w:sz="4" w:space="0" w:color="auto"/>
              <w:bottom w:val="single" w:sz="4" w:space="0" w:color="auto"/>
              <w:right w:val="single" w:sz="4" w:space="0" w:color="auto"/>
            </w:tcBorders>
            <w:vAlign w:val="center"/>
          </w:tcPr>
          <w:p w14:paraId="6979C183"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7,900,538.41</w:t>
            </w:r>
          </w:p>
        </w:tc>
        <w:tc>
          <w:tcPr>
            <w:tcW w:w="400" w:type="pct"/>
            <w:tcBorders>
              <w:top w:val="single" w:sz="4" w:space="0" w:color="auto"/>
              <w:left w:val="single" w:sz="4" w:space="0" w:color="auto"/>
              <w:bottom w:val="single" w:sz="4" w:space="0" w:color="auto"/>
              <w:right w:val="single" w:sz="4" w:space="0" w:color="auto"/>
            </w:tcBorders>
            <w:vAlign w:val="center"/>
          </w:tcPr>
          <w:p w14:paraId="7F01AE74"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0.07</w:t>
            </w:r>
          </w:p>
        </w:tc>
      </w:tr>
      <w:tr w:rsidR="00542AF7" w14:paraId="151B489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08E0D19"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14:paraId="24994170"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其他资产</w:t>
            </w:r>
          </w:p>
        </w:tc>
        <w:tc>
          <w:tcPr>
            <w:tcW w:w="750" w:type="pct"/>
            <w:tcBorders>
              <w:top w:val="single" w:sz="4" w:space="0" w:color="auto"/>
              <w:left w:val="single" w:sz="4" w:space="0" w:color="auto"/>
              <w:bottom w:val="single" w:sz="4" w:space="0" w:color="auto"/>
              <w:right w:val="single" w:sz="4" w:space="0" w:color="auto"/>
            </w:tcBorders>
            <w:vAlign w:val="center"/>
          </w:tcPr>
          <w:p w14:paraId="267038DC"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1,802,255.93</w:t>
            </w:r>
          </w:p>
        </w:tc>
        <w:tc>
          <w:tcPr>
            <w:tcW w:w="400" w:type="pct"/>
            <w:tcBorders>
              <w:top w:val="single" w:sz="4" w:space="0" w:color="auto"/>
              <w:left w:val="single" w:sz="4" w:space="0" w:color="auto"/>
              <w:bottom w:val="single" w:sz="4" w:space="0" w:color="auto"/>
              <w:right w:val="single" w:sz="4" w:space="0" w:color="auto"/>
            </w:tcBorders>
            <w:vAlign w:val="center"/>
          </w:tcPr>
          <w:p w14:paraId="3A421B3A"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0.02</w:t>
            </w:r>
          </w:p>
        </w:tc>
      </w:tr>
      <w:tr w:rsidR="00542AF7" w14:paraId="6ECCEE5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2BD0F31"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14:paraId="39FC9D13"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14:paraId="2B22A650"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11,220,952,645.12</w:t>
            </w:r>
          </w:p>
        </w:tc>
        <w:tc>
          <w:tcPr>
            <w:tcW w:w="400" w:type="pct"/>
            <w:tcBorders>
              <w:top w:val="single" w:sz="4" w:space="0" w:color="auto"/>
              <w:left w:val="single" w:sz="4" w:space="0" w:color="auto"/>
              <w:bottom w:val="single" w:sz="4" w:space="0" w:color="auto"/>
              <w:right w:val="single" w:sz="4" w:space="0" w:color="auto"/>
            </w:tcBorders>
            <w:vAlign w:val="center"/>
          </w:tcPr>
          <w:p w14:paraId="6B531EAE"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100.00</w:t>
            </w:r>
          </w:p>
        </w:tc>
      </w:tr>
    </w:tbl>
    <w:p w14:paraId="46DFBC6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2、报告期末按行业分类的股票投资组合</w:t>
      </w:r>
    </w:p>
    <w:p w14:paraId="104B4B3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 报告期末按行业分类的境内股票投资组合</w:t>
      </w:r>
    </w:p>
    <w:p w14:paraId="3391D66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7CDBCBB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 报告期末按行业分类的港股通投资股票投资组合</w:t>
      </w:r>
    </w:p>
    <w:p w14:paraId="17232D8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3B97870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3、期末按公允价值占基金资产净值比例大小排序的股票投资明细</w:t>
      </w:r>
    </w:p>
    <w:p w14:paraId="3F23638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 报告期末按公允价值占基金资产净值比例大小排序的前十名股票投资明细</w:t>
      </w:r>
    </w:p>
    <w:p w14:paraId="4BAEA31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05B369C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4、报告期末按债券品种分类的债券投资组合</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542AF7" w14:paraId="7776890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4EEE72AD"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2CB24033"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债券品种</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4D55A6D7"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14:paraId="69EE566D"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542AF7" w14:paraId="5A1C136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97303C5"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6C6461B9"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国家债券</w:t>
            </w:r>
          </w:p>
        </w:tc>
        <w:tc>
          <w:tcPr>
            <w:tcW w:w="750" w:type="pct"/>
            <w:tcBorders>
              <w:top w:val="single" w:sz="4" w:space="0" w:color="auto"/>
              <w:left w:val="single" w:sz="4" w:space="0" w:color="auto"/>
              <w:bottom w:val="single" w:sz="4" w:space="0" w:color="auto"/>
              <w:right w:val="single" w:sz="4" w:space="0" w:color="auto"/>
            </w:tcBorders>
            <w:vAlign w:val="center"/>
          </w:tcPr>
          <w:p w14:paraId="6205E925"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283,834,383.17</w:t>
            </w:r>
          </w:p>
        </w:tc>
        <w:tc>
          <w:tcPr>
            <w:tcW w:w="400" w:type="pct"/>
            <w:tcBorders>
              <w:top w:val="single" w:sz="4" w:space="0" w:color="auto"/>
              <w:left w:val="single" w:sz="4" w:space="0" w:color="auto"/>
              <w:bottom w:val="single" w:sz="4" w:space="0" w:color="auto"/>
              <w:right w:val="single" w:sz="4" w:space="0" w:color="auto"/>
            </w:tcBorders>
            <w:vAlign w:val="center"/>
          </w:tcPr>
          <w:p w14:paraId="17CE22DC"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2.53</w:t>
            </w:r>
          </w:p>
        </w:tc>
      </w:tr>
      <w:tr w:rsidR="00542AF7" w14:paraId="54BD343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221738C"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585A7183"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央行票据</w:t>
            </w:r>
          </w:p>
        </w:tc>
        <w:tc>
          <w:tcPr>
            <w:tcW w:w="750" w:type="pct"/>
            <w:tcBorders>
              <w:top w:val="single" w:sz="4" w:space="0" w:color="auto"/>
              <w:left w:val="single" w:sz="4" w:space="0" w:color="auto"/>
              <w:bottom w:val="single" w:sz="4" w:space="0" w:color="auto"/>
              <w:right w:val="single" w:sz="4" w:space="0" w:color="auto"/>
            </w:tcBorders>
            <w:vAlign w:val="center"/>
          </w:tcPr>
          <w:p w14:paraId="20C19C84"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3E9E29FA"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42AF7" w14:paraId="22C29B0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989C885"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35DE97A5"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金融债券</w:t>
            </w:r>
          </w:p>
        </w:tc>
        <w:tc>
          <w:tcPr>
            <w:tcW w:w="750" w:type="pct"/>
            <w:tcBorders>
              <w:top w:val="single" w:sz="4" w:space="0" w:color="auto"/>
              <w:left w:val="single" w:sz="4" w:space="0" w:color="auto"/>
              <w:bottom w:val="single" w:sz="4" w:space="0" w:color="auto"/>
              <w:right w:val="single" w:sz="4" w:space="0" w:color="auto"/>
            </w:tcBorders>
            <w:vAlign w:val="center"/>
          </w:tcPr>
          <w:p w14:paraId="376C5C33"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10,927,415,467.61</w:t>
            </w:r>
          </w:p>
        </w:tc>
        <w:tc>
          <w:tcPr>
            <w:tcW w:w="400" w:type="pct"/>
            <w:tcBorders>
              <w:top w:val="single" w:sz="4" w:space="0" w:color="auto"/>
              <w:left w:val="single" w:sz="4" w:space="0" w:color="auto"/>
              <w:bottom w:val="single" w:sz="4" w:space="0" w:color="auto"/>
              <w:right w:val="single" w:sz="4" w:space="0" w:color="auto"/>
            </w:tcBorders>
            <w:vAlign w:val="center"/>
          </w:tcPr>
          <w:p w14:paraId="5319E066"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97.42</w:t>
            </w:r>
          </w:p>
        </w:tc>
      </w:tr>
      <w:tr w:rsidR="00542AF7" w14:paraId="10D576E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EC1F339"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119C9479"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其中：政策性金融债</w:t>
            </w:r>
          </w:p>
        </w:tc>
        <w:tc>
          <w:tcPr>
            <w:tcW w:w="750" w:type="pct"/>
            <w:tcBorders>
              <w:top w:val="single" w:sz="4" w:space="0" w:color="auto"/>
              <w:left w:val="single" w:sz="4" w:space="0" w:color="auto"/>
              <w:bottom w:val="single" w:sz="4" w:space="0" w:color="auto"/>
              <w:right w:val="single" w:sz="4" w:space="0" w:color="auto"/>
            </w:tcBorders>
            <w:vAlign w:val="center"/>
          </w:tcPr>
          <w:p w14:paraId="3EF8935D"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5,323,400,667.07</w:t>
            </w:r>
          </w:p>
        </w:tc>
        <w:tc>
          <w:tcPr>
            <w:tcW w:w="400" w:type="pct"/>
            <w:tcBorders>
              <w:top w:val="single" w:sz="4" w:space="0" w:color="auto"/>
              <w:left w:val="single" w:sz="4" w:space="0" w:color="auto"/>
              <w:bottom w:val="single" w:sz="4" w:space="0" w:color="auto"/>
              <w:right w:val="single" w:sz="4" w:space="0" w:color="auto"/>
            </w:tcBorders>
            <w:vAlign w:val="center"/>
          </w:tcPr>
          <w:p w14:paraId="613A3378"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47.46</w:t>
            </w:r>
          </w:p>
        </w:tc>
      </w:tr>
      <w:tr w:rsidR="00542AF7" w14:paraId="7A384DB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83E9258"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4381166E"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企业债券</w:t>
            </w:r>
          </w:p>
        </w:tc>
        <w:tc>
          <w:tcPr>
            <w:tcW w:w="750" w:type="pct"/>
            <w:tcBorders>
              <w:top w:val="single" w:sz="4" w:space="0" w:color="auto"/>
              <w:left w:val="single" w:sz="4" w:space="0" w:color="auto"/>
              <w:bottom w:val="single" w:sz="4" w:space="0" w:color="auto"/>
              <w:right w:val="single" w:sz="4" w:space="0" w:color="auto"/>
            </w:tcBorders>
            <w:vAlign w:val="center"/>
          </w:tcPr>
          <w:p w14:paraId="4A465958"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07DE6794"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42AF7" w14:paraId="1A31ECF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D0B359B"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12147585"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企业短期融资券</w:t>
            </w:r>
          </w:p>
        </w:tc>
        <w:tc>
          <w:tcPr>
            <w:tcW w:w="750" w:type="pct"/>
            <w:tcBorders>
              <w:top w:val="single" w:sz="4" w:space="0" w:color="auto"/>
              <w:left w:val="single" w:sz="4" w:space="0" w:color="auto"/>
              <w:bottom w:val="single" w:sz="4" w:space="0" w:color="auto"/>
              <w:right w:val="single" w:sz="4" w:space="0" w:color="auto"/>
            </w:tcBorders>
            <w:vAlign w:val="center"/>
          </w:tcPr>
          <w:p w14:paraId="35ED2C9C"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66D52679"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42AF7" w14:paraId="45A629F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85B8C22"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14:paraId="3B1B98C4"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中期票据</w:t>
            </w:r>
          </w:p>
        </w:tc>
        <w:tc>
          <w:tcPr>
            <w:tcW w:w="750" w:type="pct"/>
            <w:tcBorders>
              <w:top w:val="single" w:sz="4" w:space="0" w:color="auto"/>
              <w:left w:val="single" w:sz="4" w:space="0" w:color="auto"/>
              <w:bottom w:val="single" w:sz="4" w:space="0" w:color="auto"/>
              <w:right w:val="single" w:sz="4" w:space="0" w:color="auto"/>
            </w:tcBorders>
            <w:vAlign w:val="center"/>
          </w:tcPr>
          <w:p w14:paraId="2CC07BAF"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6F55B24D"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42AF7" w14:paraId="5A717AA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2A585B0"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14:paraId="73065BF2"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可转债（可交换债）</w:t>
            </w:r>
          </w:p>
        </w:tc>
        <w:tc>
          <w:tcPr>
            <w:tcW w:w="750" w:type="pct"/>
            <w:tcBorders>
              <w:top w:val="single" w:sz="4" w:space="0" w:color="auto"/>
              <w:left w:val="single" w:sz="4" w:space="0" w:color="auto"/>
              <w:bottom w:val="single" w:sz="4" w:space="0" w:color="auto"/>
              <w:right w:val="single" w:sz="4" w:space="0" w:color="auto"/>
            </w:tcBorders>
            <w:vAlign w:val="center"/>
          </w:tcPr>
          <w:p w14:paraId="560236CB"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2DFCE888"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42AF7" w14:paraId="22B6AC1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E7A486E"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14:paraId="44398AEA"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同业存单</w:t>
            </w:r>
          </w:p>
        </w:tc>
        <w:tc>
          <w:tcPr>
            <w:tcW w:w="750" w:type="pct"/>
            <w:tcBorders>
              <w:top w:val="single" w:sz="4" w:space="0" w:color="auto"/>
              <w:left w:val="single" w:sz="4" w:space="0" w:color="auto"/>
              <w:bottom w:val="single" w:sz="4" w:space="0" w:color="auto"/>
              <w:right w:val="single" w:sz="4" w:space="0" w:color="auto"/>
            </w:tcBorders>
            <w:vAlign w:val="center"/>
          </w:tcPr>
          <w:p w14:paraId="6E92FC83"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17EE0EB3"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42AF7" w14:paraId="0F1DF0F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4F4B7A2"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14:paraId="4B35B46B"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750" w:type="pct"/>
            <w:tcBorders>
              <w:top w:val="single" w:sz="4" w:space="0" w:color="auto"/>
              <w:left w:val="single" w:sz="4" w:space="0" w:color="auto"/>
              <w:bottom w:val="single" w:sz="4" w:space="0" w:color="auto"/>
              <w:right w:val="single" w:sz="4" w:space="0" w:color="auto"/>
            </w:tcBorders>
            <w:vAlign w:val="center"/>
          </w:tcPr>
          <w:p w14:paraId="66573C4B"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3BB0F7C4"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42AF7" w14:paraId="6D6B1FE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AB240F9"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14:paraId="737352FE"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14:paraId="2A43BF81"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11,211,249,850.78</w:t>
            </w:r>
          </w:p>
        </w:tc>
        <w:tc>
          <w:tcPr>
            <w:tcW w:w="400" w:type="pct"/>
            <w:tcBorders>
              <w:top w:val="single" w:sz="4" w:space="0" w:color="auto"/>
              <w:left w:val="single" w:sz="4" w:space="0" w:color="auto"/>
              <w:bottom w:val="single" w:sz="4" w:space="0" w:color="auto"/>
              <w:right w:val="single" w:sz="4" w:space="0" w:color="auto"/>
            </w:tcBorders>
            <w:vAlign w:val="center"/>
          </w:tcPr>
          <w:p w14:paraId="04167AA1"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99.95</w:t>
            </w:r>
          </w:p>
        </w:tc>
      </w:tr>
    </w:tbl>
    <w:p w14:paraId="41B370E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5、报告期末按公允价值占基金资产净值比例大小排序的前五名债券投资明细</w:t>
      </w:r>
    </w:p>
    <w:tbl>
      <w:tblPr>
        <w:tblW w:w="5000" w:type="pct"/>
        <w:tblCellMar>
          <w:left w:w="0" w:type="dxa"/>
          <w:right w:w="0" w:type="dxa"/>
        </w:tblCellMar>
        <w:tblLook w:val="0000" w:firstRow="0" w:lastRow="0" w:firstColumn="0" w:lastColumn="0" w:noHBand="0" w:noVBand="0"/>
      </w:tblPr>
      <w:tblGrid>
        <w:gridCol w:w="540"/>
        <w:gridCol w:w="1622"/>
        <w:gridCol w:w="1622"/>
        <w:gridCol w:w="1622"/>
        <w:gridCol w:w="1622"/>
        <w:gridCol w:w="1622"/>
      </w:tblGrid>
      <w:tr w:rsidR="00542AF7" w14:paraId="467613B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1BFE35BE"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026070E0"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48D6F35A"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债券名称</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7942A374"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数量（张）</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0C858F3B"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7AD48819"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542AF7" w14:paraId="5C6F20C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ADFAF19"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324D1478"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220202</w:t>
            </w:r>
          </w:p>
        </w:tc>
        <w:tc>
          <w:tcPr>
            <w:tcW w:w="750" w:type="pct"/>
            <w:tcBorders>
              <w:top w:val="single" w:sz="4" w:space="0" w:color="auto"/>
              <w:left w:val="single" w:sz="4" w:space="0" w:color="auto"/>
              <w:bottom w:val="single" w:sz="4" w:space="0" w:color="auto"/>
              <w:right w:val="single" w:sz="4" w:space="0" w:color="auto"/>
            </w:tcBorders>
            <w:vAlign w:val="center"/>
          </w:tcPr>
          <w:p w14:paraId="521716E2"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22</w:t>
            </w:r>
            <w:r>
              <w:rPr>
                <w:rFonts w:ascii="Times New Roman" w:hAnsi="Times New Roman"/>
                <w:color w:val="000000"/>
                <w:kern w:val="0"/>
                <w:sz w:val="25"/>
                <w:szCs w:val="24"/>
              </w:rPr>
              <w:t>国开</w:t>
            </w:r>
            <w:r>
              <w:rPr>
                <w:rFonts w:ascii="Times New Roman" w:hAnsi="Times New Roman"/>
                <w:color w:val="000000"/>
                <w:kern w:val="0"/>
                <w:sz w:val="25"/>
                <w:szCs w:val="24"/>
              </w:rPr>
              <w:t>02</w:t>
            </w:r>
          </w:p>
        </w:tc>
        <w:tc>
          <w:tcPr>
            <w:tcW w:w="750" w:type="pct"/>
            <w:tcBorders>
              <w:top w:val="single" w:sz="4" w:space="0" w:color="auto"/>
              <w:left w:val="single" w:sz="4" w:space="0" w:color="auto"/>
              <w:bottom w:val="single" w:sz="4" w:space="0" w:color="auto"/>
              <w:right w:val="single" w:sz="4" w:space="0" w:color="auto"/>
            </w:tcBorders>
            <w:vAlign w:val="center"/>
          </w:tcPr>
          <w:p w14:paraId="5AD5CD64"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5,000,000</w:t>
            </w:r>
          </w:p>
        </w:tc>
        <w:tc>
          <w:tcPr>
            <w:tcW w:w="750" w:type="pct"/>
            <w:tcBorders>
              <w:top w:val="single" w:sz="4" w:space="0" w:color="auto"/>
              <w:left w:val="single" w:sz="4" w:space="0" w:color="auto"/>
              <w:bottom w:val="single" w:sz="4" w:space="0" w:color="auto"/>
              <w:right w:val="single" w:sz="4" w:space="0" w:color="auto"/>
            </w:tcBorders>
            <w:vAlign w:val="center"/>
          </w:tcPr>
          <w:p w14:paraId="573567BE"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508,755,737.70</w:t>
            </w:r>
          </w:p>
        </w:tc>
        <w:tc>
          <w:tcPr>
            <w:tcW w:w="750" w:type="pct"/>
            <w:tcBorders>
              <w:top w:val="single" w:sz="4" w:space="0" w:color="auto"/>
              <w:left w:val="single" w:sz="4" w:space="0" w:color="auto"/>
              <w:bottom w:val="single" w:sz="4" w:space="0" w:color="auto"/>
              <w:right w:val="single" w:sz="4" w:space="0" w:color="auto"/>
            </w:tcBorders>
            <w:vAlign w:val="center"/>
          </w:tcPr>
          <w:p w14:paraId="36D9CBE0"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4.54</w:t>
            </w:r>
          </w:p>
        </w:tc>
      </w:tr>
      <w:tr w:rsidR="00542AF7" w14:paraId="35DE809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E4921F3"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lastRenderedPageBreak/>
              <w:t>2</w:t>
            </w:r>
          </w:p>
        </w:tc>
        <w:tc>
          <w:tcPr>
            <w:tcW w:w="750" w:type="pct"/>
            <w:tcBorders>
              <w:top w:val="single" w:sz="4" w:space="0" w:color="auto"/>
              <w:left w:val="single" w:sz="4" w:space="0" w:color="auto"/>
              <w:bottom w:val="single" w:sz="4" w:space="0" w:color="auto"/>
              <w:right w:val="single" w:sz="4" w:space="0" w:color="auto"/>
            </w:tcBorders>
            <w:vAlign w:val="center"/>
          </w:tcPr>
          <w:p w14:paraId="46A82ED5"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200203</w:t>
            </w:r>
          </w:p>
        </w:tc>
        <w:tc>
          <w:tcPr>
            <w:tcW w:w="750" w:type="pct"/>
            <w:tcBorders>
              <w:top w:val="single" w:sz="4" w:space="0" w:color="auto"/>
              <w:left w:val="single" w:sz="4" w:space="0" w:color="auto"/>
              <w:bottom w:val="single" w:sz="4" w:space="0" w:color="auto"/>
              <w:right w:val="single" w:sz="4" w:space="0" w:color="auto"/>
            </w:tcBorders>
            <w:vAlign w:val="center"/>
          </w:tcPr>
          <w:p w14:paraId="3D198D20"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w:t>
            </w:r>
            <w:r>
              <w:rPr>
                <w:rFonts w:ascii="Times New Roman" w:hAnsi="Times New Roman"/>
                <w:color w:val="000000"/>
                <w:kern w:val="0"/>
                <w:sz w:val="25"/>
                <w:szCs w:val="24"/>
              </w:rPr>
              <w:t>国开</w:t>
            </w:r>
            <w:r>
              <w:rPr>
                <w:rFonts w:ascii="Times New Roman" w:hAnsi="Times New Roman"/>
                <w:color w:val="000000"/>
                <w:kern w:val="0"/>
                <w:sz w:val="25"/>
                <w:szCs w:val="24"/>
              </w:rPr>
              <w:t>03</w:t>
            </w:r>
          </w:p>
        </w:tc>
        <w:tc>
          <w:tcPr>
            <w:tcW w:w="750" w:type="pct"/>
            <w:tcBorders>
              <w:top w:val="single" w:sz="4" w:space="0" w:color="auto"/>
              <w:left w:val="single" w:sz="4" w:space="0" w:color="auto"/>
              <w:bottom w:val="single" w:sz="4" w:space="0" w:color="auto"/>
              <w:right w:val="single" w:sz="4" w:space="0" w:color="auto"/>
            </w:tcBorders>
            <w:vAlign w:val="center"/>
          </w:tcPr>
          <w:p w14:paraId="1847E61C"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4,850,000</w:t>
            </w:r>
          </w:p>
        </w:tc>
        <w:tc>
          <w:tcPr>
            <w:tcW w:w="750" w:type="pct"/>
            <w:tcBorders>
              <w:top w:val="single" w:sz="4" w:space="0" w:color="auto"/>
              <w:left w:val="single" w:sz="4" w:space="0" w:color="auto"/>
              <w:bottom w:val="single" w:sz="4" w:space="0" w:color="auto"/>
              <w:right w:val="single" w:sz="4" w:space="0" w:color="auto"/>
            </w:tcBorders>
            <w:vAlign w:val="center"/>
          </w:tcPr>
          <w:p w14:paraId="19537FB7"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501,762,663.01</w:t>
            </w:r>
          </w:p>
        </w:tc>
        <w:tc>
          <w:tcPr>
            <w:tcW w:w="750" w:type="pct"/>
            <w:tcBorders>
              <w:top w:val="single" w:sz="4" w:space="0" w:color="auto"/>
              <w:left w:val="single" w:sz="4" w:space="0" w:color="auto"/>
              <w:bottom w:val="single" w:sz="4" w:space="0" w:color="auto"/>
              <w:right w:val="single" w:sz="4" w:space="0" w:color="auto"/>
            </w:tcBorders>
            <w:vAlign w:val="center"/>
          </w:tcPr>
          <w:p w14:paraId="33574428"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4.47</w:t>
            </w:r>
          </w:p>
        </w:tc>
      </w:tr>
      <w:tr w:rsidR="00542AF7" w14:paraId="5065F54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3F89E7D"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63E4F5A1"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2220079</w:t>
            </w:r>
          </w:p>
        </w:tc>
        <w:tc>
          <w:tcPr>
            <w:tcW w:w="750" w:type="pct"/>
            <w:tcBorders>
              <w:top w:val="single" w:sz="4" w:space="0" w:color="auto"/>
              <w:left w:val="single" w:sz="4" w:space="0" w:color="auto"/>
              <w:bottom w:val="single" w:sz="4" w:space="0" w:color="auto"/>
              <w:right w:val="single" w:sz="4" w:space="0" w:color="auto"/>
            </w:tcBorders>
            <w:vAlign w:val="center"/>
          </w:tcPr>
          <w:p w14:paraId="61B0019F"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22</w:t>
            </w:r>
            <w:r>
              <w:rPr>
                <w:rFonts w:ascii="Times New Roman" w:hAnsi="Times New Roman"/>
                <w:color w:val="000000"/>
                <w:kern w:val="0"/>
                <w:sz w:val="25"/>
                <w:szCs w:val="24"/>
              </w:rPr>
              <w:t>江苏银行</w:t>
            </w:r>
          </w:p>
        </w:tc>
        <w:tc>
          <w:tcPr>
            <w:tcW w:w="750" w:type="pct"/>
            <w:tcBorders>
              <w:top w:val="single" w:sz="4" w:space="0" w:color="auto"/>
              <w:left w:val="single" w:sz="4" w:space="0" w:color="auto"/>
              <w:bottom w:val="single" w:sz="4" w:space="0" w:color="auto"/>
              <w:right w:val="single" w:sz="4" w:space="0" w:color="auto"/>
            </w:tcBorders>
            <w:vAlign w:val="center"/>
          </w:tcPr>
          <w:p w14:paraId="383B0C53"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4,100,000</w:t>
            </w:r>
          </w:p>
        </w:tc>
        <w:tc>
          <w:tcPr>
            <w:tcW w:w="750" w:type="pct"/>
            <w:tcBorders>
              <w:top w:val="single" w:sz="4" w:space="0" w:color="auto"/>
              <w:left w:val="single" w:sz="4" w:space="0" w:color="auto"/>
              <w:bottom w:val="single" w:sz="4" w:space="0" w:color="auto"/>
              <w:right w:val="single" w:sz="4" w:space="0" w:color="auto"/>
            </w:tcBorders>
            <w:vAlign w:val="center"/>
          </w:tcPr>
          <w:p w14:paraId="4C54A4A4"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420,682,241.10</w:t>
            </w:r>
          </w:p>
        </w:tc>
        <w:tc>
          <w:tcPr>
            <w:tcW w:w="750" w:type="pct"/>
            <w:tcBorders>
              <w:top w:val="single" w:sz="4" w:space="0" w:color="auto"/>
              <w:left w:val="single" w:sz="4" w:space="0" w:color="auto"/>
              <w:bottom w:val="single" w:sz="4" w:space="0" w:color="auto"/>
              <w:right w:val="single" w:sz="4" w:space="0" w:color="auto"/>
            </w:tcBorders>
            <w:vAlign w:val="center"/>
          </w:tcPr>
          <w:p w14:paraId="663D1545"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3.75</w:t>
            </w:r>
          </w:p>
        </w:tc>
      </w:tr>
      <w:tr w:rsidR="00542AF7" w14:paraId="6598A88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27F45E9"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17A9E06D"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220303</w:t>
            </w:r>
          </w:p>
        </w:tc>
        <w:tc>
          <w:tcPr>
            <w:tcW w:w="750" w:type="pct"/>
            <w:tcBorders>
              <w:top w:val="single" w:sz="4" w:space="0" w:color="auto"/>
              <w:left w:val="single" w:sz="4" w:space="0" w:color="auto"/>
              <w:bottom w:val="single" w:sz="4" w:space="0" w:color="auto"/>
              <w:right w:val="single" w:sz="4" w:space="0" w:color="auto"/>
            </w:tcBorders>
            <w:vAlign w:val="center"/>
          </w:tcPr>
          <w:p w14:paraId="6B1374E9"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22</w:t>
            </w:r>
            <w:r>
              <w:rPr>
                <w:rFonts w:ascii="Times New Roman" w:hAnsi="Times New Roman"/>
                <w:color w:val="000000"/>
                <w:kern w:val="0"/>
                <w:sz w:val="25"/>
                <w:szCs w:val="24"/>
              </w:rPr>
              <w:t>进出</w:t>
            </w:r>
            <w:r>
              <w:rPr>
                <w:rFonts w:ascii="Times New Roman" w:hAnsi="Times New Roman"/>
                <w:color w:val="000000"/>
                <w:kern w:val="0"/>
                <w:sz w:val="25"/>
                <w:szCs w:val="24"/>
              </w:rPr>
              <w:t>03</w:t>
            </w:r>
          </w:p>
        </w:tc>
        <w:tc>
          <w:tcPr>
            <w:tcW w:w="750" w:type="pct"/>
            <w:tcBorders>
              <w:top w:val="single" w:sz="4" w:space="0" w:color="auto"/>
              <w:left w:val="single" w:sz="4" w:space="0" w:color="auto"/>
              <w:bottom w:val="single" w:sz="4" w:space="0" w:color="auto"/>
              <w:right w:val="single" w:sz="4" w:space="0" w:color="auto"/>
            </w:tcBorders>
            <w:vAlign w:val="center"/>
          </w:tcPr>
          <w:p w14:paraId="6478FB24"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4,100,000</w:t>
            </w:r>
          </w:p>
        </w:tc>
        <w:tc>
          <w:tcPr>
            <w:tcW w:w="750" w:type="pct"/>
            <w:tcBorders>
              <w:top w:val="single" w:sz="4" w:space="0" w:color="auto"/>
              <w:left w:val="single" w:sz="4" w:space="0" w:color="auto"/>
              <w:bottom w:val="single" w:sz="4" w:space="0" w:color="auto"/>
              <w:right w:val="single" w:sz="4" w:space="0" w:color="auto"/>
            </w:tcBorders>
            <w:vAlign w:val="center"/>
          </w:tcPr>
          <w:p w14:paraId="10476E85"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414,524,226.78</w:t>
            </w:r>
          </w:p>
        </w:tc>
        <w:tc>
          <w:tcPr>
            <w:tcW w:w="750" w:type="pct"/>
            <w:tcBorders>
              <w:top w:val="single" w:sz="4" w:space="0" w:color="auto"/>
              <w:left w:val="single" w:sz="4" w:space="0" w:color="auto"/>
              <w:bottom w:val="single" w:sz="4" w:space="0" w:color="auto"/>
              <w:right w:val="single" w:sz="4" w:space="0" w:color="auto"/>
            </w:tcBorders>
            <w:vAlign w:val="center"/>
          </w:tcPr>
          <w:p w14:paraId="1F67A103"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3.70</w:t>
            </w:r>
          </w:p>
        </w:tc>
      </w:tr>
      <w:tr w:rsidR="00542AF7" w14:paraId="2579EC3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C857AD0"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17C55382"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230208</w:t>
            </w:r>
          </w:p>
        </w:tc>
        <w:tc>
          <w:tcPr>
            <w:tcW w:w="750" w:type="pct"/>
            <w:tcBorders>
              <w:top w:val="single" w:sz="4" w:space="0" w:color="auto"/>
              <w:left w:val="single" w:sz="4" w:space="0" w:color="auto"/>
              <w:bottom w:val="single" w:sz="4" w:space="0" w:color="auto"/>
              <w:right w:val="single" w:sz="4" w:space="0" w:color="auto"/>
            </w:tcBorders>
            <w:vAlign w:val="center"/>
          </w:tcPr>
          <w:p w14:paraId="082162D2"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23</w:t>
            </w:r>
            <w:r>
              <w:rPr>
                <w:rFonts w:ascii="Times New Roman" w:hAnsi="Times New Roman"/>
                <w:color w:val="000000"/>
                <w:kern w:val="0"/>
                <w:sz w:val="25"/>
                <w:szCs w:val="24"/>
              </w:rPr>
              <w:t>国开</w:t>
            </w:r>
            <w:r>
              <w:rPr>
                <w:rFonts w:ascii="Times New Roman" w:hAnsi="Times New Roman"/>
                <w:color w:val="000000"/>
                <w:kern w:val="0"/>
                <w:sz w:val="25"/>
                <w:szCs w:val="24"/>
              </w:rPr>
              <w:t>08</w:t>
            </w:r>
          </w:p>
        </w:tc>
        <w:tc>
          <w:tcPr>
            <w:tcW w:w="750" w:type="pct"/>
            <w:tcBorders>
              <w:top w:val="single" w:sz="4" w:space="0" w:color="auto"/>
              <w:left w:val="single" w:sz="4" w:space="0" w:color="auto"/>
              <w:bottom w:val="single" w:sz="4" w:space="0" w:color="auto"/>
              <w:right w:val="single" w:sz="4" w:space="0" w:color="auto"/>
            </w:tcBorders>
            <w:vAlign w:val="center"/>
          </w:tcPr>
          <w:p w14:paraId="03D8B56F"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3,400,000</w:t>
            </w:r>
          </w:p>
        </w:tc>
        <w:tc>
          <w:tcPr>
            <w:tcW w:w="750" w:type="pct"/>
            <w:tcBorders>
              <w:top w:val="single" w:sz="4" w:space="0" w:color="auto"/>
              <w:left w:val="single" w:sz="4" w:space="0" w:color="auto"/>
              <w:bottom w:val="single" w:sz="4" w:space="0" w:color="auto"/>
              <w:right w:val="single" w:sz="4" w:space="0" w:color="auto"/>
            </w:tcBorders>
            <w:vAlign w:val="center"/>
          </w:tcPr>
          <w:p w14:paraId="2BB51E12"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342,407,868.85</w:t>
            </w:r>
          </w:p>
        </w:tc>
        <w:tc>
          <w:tcPr>
            <w:tcW w:w="750" w:type="pct"/>
            <w:tcBorders>
              <w:top w:val="single" w:sz="4" w:space="0" w:color="auto"/>
              <w:left w:val="single" w:sz="4" w:space="0" w:color="auto"/>
              <w:bottom w:val="single" w:sz="4" w:space="0" w:color="auto"/>
              <w:right w:val="single" w:sz="4" w:space="0" w:color="auto"/>
            </w:tcBorders>
            <w:vAlign w:val="center"/>
          </w:tcPr>
          <w:p w14:paraId="5E4F5B99"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3.05</w:t>
            </w:r>
          </w:p>
        </w:tc>
      </w:tr>
    </w:tbl>
    <w:p w14:paraId="5168394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6、报告期末按公允价值占基金资产净值比例大小排序的前十名资产支持证券投资明细</w:t>
      </w:r>
    </w:p>
    <w:p w14:paraId="266A01D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4BD5F6B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7、报告期末按公允价值占基金资产净值比例大小排序的前五名贵金属投资明细</w:t>
      </w:r>
    </w:p>
    <w:p w14:paraId="6A66A13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7E44D4C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8、报告期末按公允价值占基金资产净值比例大小排序的前五名权证投资明细</w:t>
      </w:r>
    </w:p>
    <w:p w14:paraId="31A325B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5AEBA8E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9、报告期末本基金投资的国债期货交易情况说明</w:t>
      </w:r>
    </w:p>
    <w:p w14:paraId="1DBAF58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9.1 本期国债期货投资政策</w:t>
      </w:r>
    </w:p>
    <w:p w14:paraId="286995C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75A2EDE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9.2 报告期末本基金投资的国债期货持仓和损益明细</w:t>
      </w:r>
    </w:p>
    <w:p w14:paraId="068E444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1ADE7E5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9.3 本期国债期货投资评价</w:t>
      </w:r>
    </w:p>
    <w:p w14:paraId="64A2611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4473AF1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10、投资组合报告附注</w:t>
      </w:r>
    </w:p>
    <w:p w14:paraId="2511936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10.1 本基金投资的前十名证券的发行主体本期是否出现被监管部门立案调查，或在报告编制日前一年内受到公开谴责、处罚的情形</w:t>
      </w:r>
    </w:p>
    <w:p w14:paraId="2E507BC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报告期内本基金投资的前十名证券的发行主体出现被监管部门立案调查，或在报告编制日前一年内受到公开谴责、处罚的情形披露如下：</w:t>
      </w:r>
    </w:p>
    <w:p w14:paraId="60AA802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2023年4月21日，国家外汇管理局上海市分局公示上海汇管罚字〔2023〕3111221101号行政处罚决定书，给予上海银行股份有限公司9834.50万元人民币罚款，没收违法所得19.90万元的行政处罚。　</w:t>
      </w:r>
    </w:p>
    <w:p w14:paraId="08041F3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2023年8月18日，国家金融监督管理总局江苏监管局公示苏金罚决字20232号行政处罚决定书，给予江苏银行股份有限公司罚款16万元人民币罚款的行政处罚。</w:t>
      </w:r>
    </w:p>
    <w:p w14:paraId="212EEEF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2023年2月10日，中国人民银行公示银罚决字〔2023〕1号行政处罚决定</w:t>
      </w:r>
      <w:r>
        <w:rPr>
          <w:rFonts w:ascii="宋体" w:hAnsi="宋体"/>
          <w:sz w:val="24"/>
        </w:rPr>
        <w:lastRenderedPageBreak/>
        <w:t>书，给予江苏银行股份有限公司罚款773.60万元人民币罚款的行政处罚。</w:t>
      </w:r>
    </w:p>
    <w:p w14:paraId="2091DC4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2022年12月15日，江苏证监局公示江苏证监局2022114号行政监管措施决定书，给予江苏银行股份有限公司采取责令改正的行政监管措施。</w:t>
      </w:r>
    </w:p>
    <w:p w14:paraId="16BCA79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本基金管理人对证券投资决策程序的说明如下：本基金管理人对证券投资特别是重仓证券的投资有严格的投资决策流程控制，对上述主体发行证券的投资决策程序符合公司投资制度的规定。</w:t>
      </w:r>
    </w:p>
    <w:p w14:paraId="5E76729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除上述主体外，本基金投资的前十名证券的其他发行主体本期没有出现被监管部门立案调查，或在报告编制日前一年内受到公开谴责、处罚的情形。</w:t>
      </w:r>
    </w:p>
    <w:p w14:paraId="01162AA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10.2 基金投资的前十名股票是否超出基金合同规定的备选股票库</w:t>
      </w:r>
    </w:p>
    <w:p w14:paraId="4A6EF37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基金投资的前十名股票中，没有超出基金合同规定的备选股票库之外的股票。</w:t>
      </w:r>
    </w:p>
    <w:p w14:paraId="1D7E781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10.3 其他资产构成</w:t>
      </w:r>
    </w:p>
    <w:tbl>
      <w:tblPr>
        <w:tblW w:w="5000" w:type="pct"/>
        <w:tblCellMar>
          <w:left w:w="0" w:type="dxa"/>
          <w:right w:w="0" w:type="dxa"/>
        </w:tblCellMar>
        <w:tblLook w:val="0000" w:firstRow="0" w:lastRow="0" w:firstColumn="0" w:lastColumn="0" w:noHBand="0" w:noVBand="0"/>
      </w:tblPr>
      <w:tblGrid>
        <w:gridCol w:w="1544"/>
        <w:gridCol w:w="4634"/>
        <w:gridCol w:w="2472"/>
      </w:tblGrid>
      <w:tr w:rsidR="00542AF7" w14:paraId="37B22D2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17D2E713"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10F78505"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名称</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14:paraId="02B6BE60"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r>
      <w:tr w:rsidR="00542AF7" w14:paraId="7593195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97A5D66"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765E000C"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存出保证金</w:t>
            </w:r>
          </w:p>
        </w:tc>
        <w:tc>
          <w:tcPr>
            <w:tcW w:w="400" w:type="pct"/>
            <w:tcBorders>
              <w:top w:val="single" w:sz="4" w:space="0" w:color="auto"/>
              <w:left w:val="single" w:sz="4" w:space="0" w:color="auto"/>
              <w:bottom w:val="single" w:sz="4" w:space="0" w:color="auto"/>
              <w:right w:val="single" w:sz="4" w:space="0" w:color="auto"/>
            </w:tcBorders>
            <w:vAlign w:val="center"/>
          </w:tcPr>
          <w:p w14:paraId="0F34BF14"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1,291.10</w:t>
            </w:r>
          </w:p>
        </w:tc>
      </w:tr>
      <w:tr w:rsidR="00542AF7" w14:paraId="4C9DB64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73FE57D"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5953BFF4"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应收证券清算款</w:t>
            </w:r>
          </w:p>
        </w:tc>
        <w:tc>
          <w:tcPr>
            <w:tcW w:w="400" w:type="pct"/>
            <w:tcBorders>
              <w:top w:val="single" w:sz="4" w:space="0" w:color="auto"/>
              <w:left w:val="single" w:sz="4" w:space="0" w:color="auto"/>
              <w:bottom w:val="single" w:sz="4" w:space="0" w:color="auto"/>
              <w:right w:val="single" w:sz="4" w:space="0" w:color="auto"/>
            </w:tcBorders>
            <w:vAlign w:val="center"/>
          </w:tcPr>
          <w:p w14:paraId="7CF7E1C8"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1,800,000.00</w:t>
            </w:r>
          </w:p>
        </w:tc>
      </w:tr>
      <w:tr w:rsidR="00542AF7" w14:paraId="15D2A7C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967C9E4"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7DB91DD2"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应收股利</w:t>
            </w:r>
          </w:p>
        </w:tc>
        <w:tc>
          <w:tcPr>
            <w:tcW w:w="400" w:type="pct"/>
            <w:tcBorders>
              <w:top w:val="single" w:sz="4" w:space="0" w:color="auto"/>
              <w:left w:val="single" w:sz="4" w:space="0" w:color="auto"/>
              <w:bottom w:val="single" w:sz="4" w:space="0" w:color="auto"/>
              <w:right w:val="single" w:sz="4" w:space="0" w:color="auto"/>
            </w:tcBorders>
            <w:vAlign w:val="center"/>
          </w:tcPr>
          <w:p w14:paraId="41B9F401"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42AF7" w14:paraId="7005AAD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D7C2A5B"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2F71B875"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应收利息</w:t>
            </w:r>
          </w:p>
        </w:tc>
        <w:tc>
          <w:tcPr>
            <w:tcW w:w="400" w:type="pct"/>
            <w:tcBorders>
              <w:top w:val="single" w:sz="4" w:space="0" w:color="auto"/>
              <w:left w:val="single" w:sz="4" w:space="0" w:color="auto"/>
              <w:bottom w:val="single" w:sz="4" w:space="0" w:color="auto"/>
              <w:right w:val="single" w:sz="4" w:space="0" w:color="auto"/>
            </w:tcBorders>
            <w:vAlign w:val="center"/>
          </w:tcPr>
          <w:p w14:paraId="38BE1A59"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42AF7" w14:paraId="321BD33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478B4A8"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45B758E3"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应收申购款</w:t>
            </w:r>
          </w:p>
        </w:tc>
        <w:tc>
          <w:tcPr>
            <w:tcW w:w="400" w:type="pct"/>
            <w:tcBorders>
              <w:top w:val="single" w:sz="4" w:space="0" w:color="auto"/>
              <w:left w:val="single" w:sz="4" w:space="0" w:color="auto"/>
              <w:bottom w:val="single" w:sz="4" w:space="0" w:color="auto"/>
              <w:right w:val="single" w:sz="4" w:space="0" w:color="auto"/>
            </w:tcBorders>
            <w:vAlign w:val="center"/>
          </w:tcPr>
          <w:p w14:paraId="25D9DDB9"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964.83</w:t>
            </w:r>
          </w:p>
        </w:tc>
      </w:tr>
      <w:tr w:rsidR="00542AF7" w14:paraId="57FB62D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082594A"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14:paraId="53A85F32"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其他应收款</w:t>
            </w:r>
          </w:p>
        </w:tc>
        <w:tc>
          <w:tcPr>
            <w:tcW w:w="400" w:type="pct"/>
            <w:tcBorders>
              <w:top w:val="single" w:sz="4" w:space="0" w:color="auto"/>
              <w:left w:val="single" w:sz="4" w:space="0" w:color="auto"/>
              <w:bottom w:val="single" w:sz="4" w:space="0" w:color="auto"/>
              <w:right w:val="single" w:sz="4" w:space="0" w:color="auto"/>
            </w:tcBorders>
            <w:vAlign w:val="center"/>
          </w:tcPr>
          <w:p w14:paraId="7D58EFFB"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42AF7" w14:paraId="7B933F2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20B0F31"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14:paraId="5D52C322"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400" w:type="pct"/>
            <w:tcBorders>
              <w:top w:val="single" w:sz="4" w:space="0" w:color="auto"/>
              <w:left w:val="single" w:sz="4" w:space="0" w:color="auto"/>
              <w:bottom w:val="single" w:sz="4" w:space="0" w:color="auto"/>
              <w:right w:val="single" w:sz="4" w:space="0" w:color="auto"/>
            </w:tcBorders>
            <w:vAlign w:val="center"/>
          </w:tcPr>
          <w:p w14:paraId="4B14E49D"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42AF7" w14:paraId="4422450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AEA1554"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14:paraId="61411BD8"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400" w:type="pct"/>
            <w:tcBorders>
              <w:top w:val="single" w:sz="4" w:space="0" w:color="auto"/>
              <w:left w:val="single" w:sz="4" w:space="0" w:color="auto"/>
              <w:bottom w:val="single" w:sz="4" w:space="0" w:color="auto"/>
              <w:right w:val="single" w:sz="4" w:space="0" w:color="auto"/>
            </w:tcBorders>
            <w:vAlign w:val="center"/>
          </w:tcPr>
          <w:p w14:paraId="19D60FA1" w14:textId="77777777" w:rsidR="00542AF7" w:rsidRDefault="00D93D5A">
            <w:pPr>
              <w:widowControl/>
              <w:snapToGrid w:val="0"/>
              <w:jc w:val="right"/>
              <w:rPr>
                <w:rFonts w:ascii="宋体" w:hAnsi="宋体"/>
                <w:color w:val="000000"/>
                <w:kern w:val="0"/>
                <w:sz w:val="25"/>
                <w:szCs w:val="24"/>
              </w:rPr>
            </w:pPr>
            <w:r>
              <w:rPr>
                <w:rFonts w:ascii="Times New Roman" w:hAnsi="Times New Roman"/>
                <w:color w:val="000000"/>
                <w:kern w:val="0"/>
                <w:sz w:val="25"/>
                <w:szCs w:val="24"/>
              </w:rPr>
              <w:t>1,802,255.93</w:t>
            </w:r>
          </w:p>
        </w:tc>
      </w:tr>
    </w:tbl>
    <w:p w14:paraId="71BE86C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10.4 报告期末持有的处于转股期的可转换债券明细</w:t>
      </w:r>
    </w:p>
    <w:p w14:paraId="3544DEA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2E1E713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10.5 报告期末前十名股票中存在流通受限情况的说明</w:t>
      </w:r>
    </w:p>
    <w:p w14:paraId="60EA9FA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23FAA9F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10.6 投资组合报告附注的其他文字描述部分</w:t>
      </w:r>
    </w:p>
    <w:p w14:paraId="6258728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由于四舍五入的原因，分项之和与合计项之间可能存在尾差。</w:t>
      </w:r>
    </w:p>
    <w:p w14:paraId="762F8008" w14:textId="77777777" w:rsidR="00C86C88" w:rsidRDefault="00D93D5A" w:rsidP="00C86C8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174FB9EE" w14:textId="77777777" w:rsidR="00542AF7" w:rsidRDefault="00D93D5A">
      <w:pPr>
        <w:pStyle w:val="1"/>
        <w:snapToGrid w:val="0"/>
        <w:spacing w:beforeLines="0" w:before="240" w:after="240"/>
        <w:rPr>
          <w:rFonts w:ascii="宋体" w:hAnsi="宋体"/>
          <w:szCs w:val="30"/>
        </w:rPr>
      </w:pPr>
      <w:bookmarkStart w:id="14" w:name="_Toc151542544"/>
      <w:r>
        <w:rPr>
          <w:rFonts w:ascii="Times New Roman" w:hAnsi="Times New Roman"/>
          <w:sz w:val="30"/>
        </w:rPr>
        <w:lastRenderedPageBreak/>
        <w:t>十一、基金的业绩</w:t>
      </w:r>
      <w:bookmarkEnd w:id="14"/>
    </w:p>
    <w:p w14:paraId="689C9F3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基金业绩截止日为2023年09月30日，所载财务数据未经审计师审计。</w:t>
      </w:r>
    </w:p>
    <w:p w14:paraId="5B953DA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076AF16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下述基金业绩指标不包括持有人认购或交易基金的各项费用，计入费用后实际收益水平要低于所列数字。</w:t>
      </w:r>
    </w:p>
    <w:p w14:paraId="2CBAFB8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1、基金份额净值增长率及其与同期业绩比较基准收益率的比较</w:t>
      </w:r>
    </w:p>
    <w:tbl>
      <w:tblPr>
        <w:tblW w:w="5000" w:type="pct"/>
        <w:tblCellMar>
          <w:left w:w="0" w:type="dxa"/>
          <w:right w:w="0" w:type="dxa"/>
        </w:tblCellMar>
        <w:tblLook w:val="0000" w:firstRow="0" w:lastRow="0" w:firstColumn="0" w:lastColumn="0" w:noHBand="0" w:noVBand="0"/>
      </w:tblPr>
      <w:tblGrid>
        <w:gridCol w:w="1203"/>
        <w:gridCol w:w="1204"/>
        <w:gridCol w:w="1204"/>
        <w:gridCol w:w="1204"/>
        <w:gridCol w:w="1204"/>
        <w:gridCol w:w="1204"/>
        <w:gridCol w:w="771"/>
        <w:gridCol w:w="656"/>
      </w:tblGrid>
      <w:tr w:rsidR="00542AF7" w14:paraId="3CA5F812" w14:textId="77777777">
        <w:trPr>
          <w:cantSplit/>
          <w:trHeight w:val="375"/>
        </w:trPr>
        <w:tc>
          <w:tcPr>
            <w:tcW w:w="750" w:type="pct"/>
            <w:gridSpan w:val="2"/>
            <w:tcBorders>
              <w:top w:val="single" w:sz="4" w:space="0" w:color="auto"/>
              <w:left w:val="single" w:sz="4" w:space="0" w:color="auto"/>
              <w:bottom w:val="single" w:sz="4" w:space="0" w:color="auto"/>
              <w:right w:val="single" w:sz="4" w:space="0" w:color="auto"/>
            </w:tcBorders>
            <w:vAlign w:val="center"/>
          </w:tcPr>
          <w:p w14:paraId="1C50CD27"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阶段</w:t>
            </w:r>
          </w:p>
        </w:tc>
        <w:tc>
          <w:tcPr>
            <w:tcW w:w="750" w:type="pct"/>
            <w:tcBorders>
              <w:top w:val="single" w:sz="4" w:space="0" w:color="auto"/>
              <w:left w:val="single" w:sz="4" w:space="0" w:color="auto"/>
              <w:bottom w:val="single" w:sz="4" w:space="0" w:color="auto"/>
              <w:right w:val="single" w:sz="4" w:space="0" w:color="auto"/>
            </w:tcBorders>
            <w:vAlign w:val="center"/>
          </w:tcPr>
          <w:p w14:paraId="62DB19D9"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w:t>
            </w:r>
            <w:r>
              <w:rPr>
                <w:rFonts w:ascii="Times New Roman" w:hAnsi="Times New Roman"/>
                <w:color w:val="000000"/>
                <w:kern w:val="0"/>
                <w:sz w:val="25"/>
                <w:szCs w:val="24"/>
              </w:rPr>
              <w:t>①</w:t>
            </w:r>
          </w:p>
        </w:tc>
        <w:tc>
          <w:tcPr>
            <w:tcW w:w="750" w:type="pct"/>
            <w:tcBorders>
              <w:top w:val="single" w:sz="4" w:space="0" w:color="auto"/>
              <w:left w:val="single" w:sz="4" w:space="0" w:color="auto"/>
              <w:bottom w:val="single" w:sz="4" w:space="0" w:color="auto"/>
              <w:right w:val="single" w:sz="4" w:space="0" w:color="auto"/>
            </w:tcBorders>
            <w:vAlign w:val="center"/>
          </w:tcPr>
          <w:p w14:paraId="0A7B7B05"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净值增长率标准差</w:t>
            </w:r>
            <w:r>
              <w:rPr>
                <w:rFonts w:ascii="Times New Roman" w:hAnsi="Times New Roman"/>
                <w:color w:val="000000"/>
                <w:kern w:val="0"/>
                <w:sz w:val="25"/>
                <w:szCs w:val="24"/>
              </w:rPr>
              <w:t>②</w:t>
            </w:r>
          </w:p>
        </w:tc>
        <w:tc>
          <w:tcPr>
            <w:tcW w:w="750" w:type="pct"/>
            <w:tcBorders>
              <w:top w:val="single" w:sz="4" w:space="0" w:color="auto"/>
              <w:left w:val="single" w:sz="4" w:space="0" w:color="auto"/>
              <w:bottom w:val="single" w:sz="4" w:space="0" w:color="auto"/>
              <w:right w:val="single" w:sz="4" w:space="0" w:color="auto"/>
            </w:tcBorders>
            <w:vAlign w:val="center"/>
          </w:tcPr>
          <w:p w14:paraId="3E2B127C"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w:t>
            </w:r>
            <w:r>
              <w:rPr>
                <w:rFonts w:ascii="Times New Roman" w:hAnsi="Times New Roman"/>
                <w:color w:val="000000"/>
                <w:kern w:val="0"/>
                <w:sz w:val="25"/>
                <w:szCs w:val="24"/>
              </w:rPr>
              <w:t>③</w:t>
            </w:r>
          </w:p>
        </w:tc>
        <w:tc>
          <w:tcPr>
            <w:tcW w:w="750" w:type="pct"/>
            <w:tcBorders>
              <w:top w:val="single" w:sz="4" w:space="0" w:color="auto"/>
              <w:left w:val="single" w:sz="4" w:space="0" w:color="auto"/>
              <w:bottom w:val="single" w:sz="4" w:space="0" w:color="auto"/>
              <w:right w:val="single" w:sz="4" w:space="0" w:color="auto"/>
            </w:tcBorders>
            <w:vAlign w:val="center"/>
          </w:tcPr>
          <w:p w14:paraId="1570E435"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业绩比较基准收益率标准差</w:t>
            </w:r>
            <w:r>
              <w:rPr>
                <w:rFonts w:ascii="Times New Roman" w:hAnsi="Times New Roman"/>
                <w:color w:val="000000"/>
                <w:kern w:val="0"/>
                <w:sz w:val="25"/>
                <w:szCs w:val="24"/>
              </w:rPr>
              <w:t>④</w:t>
            </w:r>
          </w:p>
        </w:tc>
        <w:tc>
          <w:tcPr>
            <w:tcW w:w="750" w:type="pct"/>
            <w:tcBorders>
              <w:top w:val="single" w:sz="4" w:space="0" w:color="auto"/>
              <w:left w:val="single" w:sz="4" w:space="0" w:color="auto"/>
              <w:bottom w:val="single" w:sz="4" w:space="0" w:color="auto"/>
              <w:right w:val="single" w:sz="4" w:space="0" w:color="auto"/>
            </w:tcBorders>
            <w:vAlign w:val="center"/>
          </w:tcPr>
          <w:p w14:paraId="26EF91D5"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①</w:t>
            </w:r>
            <w:r>
              <w:rPr>
                <w:rFonts w:ascii="Times New Roman" w:hAnsi="Times New Roman"/>
                <w:color w:val="000000"/>
                <w:kern w:val="0"/>
                <w:sz w:val="25"/>
                <w:szCs w:val="24"/>
              </w:rPr>
              <w:t>－</w:t>
            </w:r>
            <w:r>
              <w:rPr>
                <w:rFonts w:ascii="Times New Roman" w:hAnsi="Times New Roman"/>
                <w:color w:val="000000"/>
                <w:kern w:val="0"/>
                <w:sz w:val="25"/>
                <w:szCs w:val="24"/>
              </w:rPr>
              <w:t>③</w:t>
            </w:r>
          </w:p>
        </w:tc>
        <w:tc>
          <w:tcPr>
            <w:tcW w:w="750" w:type="pct"/>
            <w:tcBorders>
              <w:top w:val="single" w:sz="4" w:space="0" w:color="auto"/>
              <w:left w:val="single" w:sz="4" w:space="0" w:color="auto"/>
              <w:bottom w:val="single" w:sz="4" w:space="0" w:color="auto"/>
              <w:right w:val="single" w:sz="4" w:space="0" w:color="auto"/>
            </w:tcBorders>
            <w:vAlign w:val="center"/>
          </w:tcPr>
          <w:p w14:paraId="4FBA6448"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②</w:t>
            </w:r>
            <w:r>
              <w:rPr>
                <w:rFonts w:ascii="Times New Roman" w:hAnsi="Times New Roman"/>
                <w:color w:val="000000"/>
                <w:kern w:val="0"/>
                <w:sz w:val="25"/>
                <w:szCs w:val="24"/>
              </w:rPr>
              <w:t>－</w:t>
            </w:r>
            <w:r>
              <w:rPr>
                <w:rFonts w:ascii="Times New Roman" w:hAnsi="Times New Roman"/>
                <w:color w:val="000000"/>
                <w:kern w:val="0"/>
                <w:sz w:val="25"/>
                <w:szCs w:val="24"/>
              </w:rPr>
              <w:t>④</w:t>
            </w:r>
          </w:p>
        </w:tc>
      </w:tr>
      <w:tr w:rsidR="00542AF7" w14:paraId="1F254D76" w14:textId="77777777">
        <w:trPr>
          <w:cantSplit/>
          <w:trHeight w:val="375"/>
        </w:trPr>
        <w:tc>
          <w:tcPr>
            <w:tcW w:w="750" w:type="pct"/>
            <w:vMerge w:val="restart"/>
            <w:tcBorders>
              <w:top w:val="single" w:sz="4" w:space="0" w:color="auto"/>
              <w:left w:val="single" w:sz="4" w:space="0" w:color="auto"/>
              <w:bottom w:val="single" w:sz="4" w:space="0" w:color="auto"/>
              <w:right w:val="single" w:sz="4" w:space="0" w:color="auto"/>
            </w:tcBorders>
            <w:vAlign w:val="center"/>
          </w:tcPr>
          <w:p w14:paraId="462AA32E"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w:t>
            </w:r>
          </w:p>
        </w:tc>
        <w:tc>
          <w:tcPr>
            <w:tcW w:w="750" w:type="pct"/>
            <w:tcBorders>
              <w:top w:val="single" w:sz="4" w:space="0" w:color="auto"/>
              <w:left w:val="single" w:sz="4" w:space="0" w:color="auto"/>
              <w:bottom w:val="single" w:sz="4" w:space="0" w:color="auto"/>
              <w:right w:val="single" w:sz="4" w:space="0" w:color="auto"/>
            </w:tcBorders>
            <w:vAlign w:val="center"/>
          </w:tcPr>
          <w:p w14:paraId="6CC2F0FA"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过去三个月</w:t>
            </w:r>
          </w:p>
        </w:tc>
        <w:tc>
          <w:tcPr>
            <w:tcW w:w="750" w:type="pct"/>
            <w:tcBorders>
              <w:top w:val="single" w:sz="4" w:space="0" w:color="auto"/>
              <w:left w:val="single" w:sz="4" w:space="0" w:color="auto"/>
              <w:bottom w:val="single" w:sz="4" w:space="0" w:color="auto"/>
              <w:right w:val="single" w:sz="4" w:space="0" w:color="auto"/>
            </w:tcBorders>
            <w:vAlign w:val="center"/>
          </w:tcPr>
          <w:p w14:paraId="0DA39BC9"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0.42%</w:t>
            </w:r>
          </w:p>
        </w:tc>
        <w:tc>
          <w:tcPr>
            <w:tcW w:w="750" w:type="pct"/>
            <w:tcBorders>
              <w:top w:val="single" w:sz="4" w:space="0" w:color="auto"/>
              <w:left w:val="single" w:sz="4" w:space="0" w:color="auto"/>
              <w:bottom w:val="single" w:sz="4" w:space="0" w:color="auto"/>
              <w:right w:val="single" w:sz="4" w:space="0" w:color="auto"/>
            </w:tcBorders>
            <w:vAlign w:val="center"/>
          </w:tcPr>
          <w:p w14:paraId="589C3653"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sz="4" w:space="0" w:color="auto"/>
              <w:left w:val="single" w:sz="4" w:space="0" w:color="auto"/>
              <w:bottom w:val="single" w:sz="4" w:space="0" w:color="auto"/>
              <w:right w:val="single" w:sz="4" w:space="0" w:color="auto"/>
            </w:tcBorders>
            <w:vAlign w:val="center"/>
          </w:tcPr>
          <w:p w14:paraId="7BDCF2DA"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c>
          <w:tcPr>
            <w:tcW w:w="750" w:type="pct"/>
            <w:tcBorders>
              <w:top w:val="single" w:sz="4" w:space="0" w:color="auto"/>
              <w:left w:val="single" w:sz="4" w:space="0" w:color="auto"/>
              <w:bottom w:val="single" w:sz="4" w:space="0" w:color="auto"/>
              <w:right w:val="single" w:sz="4" w:space="0" w:color="auto"/>
            </w:tcBorders>
            <w:vAlign w:val="center"/>
          </w:tcPr>
          <w:p w14:paraId="665D9A31"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sz="4" w:space="0" w:color="auto"/>
              <w:left w:val="single" w:sz="4" w:space="0" w:color="auto"/>
              <w:bottom w:val="single" w:sz="4" w:space="0" w:color="auto"/>
              <w:right w:val="single" w:sz="4" w:space="0" w:color="auto"/>
            </w:tcBorders>
            <w:vAlign w:val="center"/>
          </w:tcPr>
          <w:p w14:paraId="2FF13387"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0.41%</w:t>
            </w:r>
          </w:p>
        </w:tc>
        <w:tc>
          <w:tcPr>
            <w:tcW w:w="750" w:type="pct"/>
            <w:tcBorders>
              <w:top w:val="single" w:sz="4" w:space="0" w:color="auto"/>
              <w:left w:val="single" w:sz="4" w:space="0" w:color="auto"/>
              <w:bottom w:val="single" w:sz="4" w:space="0" w:color="auto"/>
              <w:right w:val="single" w:sz="4" w:space="0" w:color="auto"/>
            </w:tcBorders>
            <w:vAlign w:val="center"/>
          </w:tcPr>
          <w:p w14:paraId="535280D5"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0.00%</w:t>
            </w:r>
          </w:p>
        </w:tc>
      </w:tr>
      <w:tr w:rsidR="00542AF7" w14:paraId="0BBF4061"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751978C9" w14:textId="77777777" w:rsidR="00542AF7" w:rsidRDefault="00542AF7">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14:paraId="6D3BBDD0"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2023</w:t>
            </w:r>
            <w:r>
              <w:rPr>
                <w:rFonts w:ascii="Times New Roman" w:hAnsi="Times New Roman"/>
                <w:color w:val="000000"/>
                <w:kern w:val="0"/>
                <w:sz w:val="25"/>
                <w:szCs w:val="24"/>
              </w:rPr>
              <w:t>上半年</w:t>
            </w:r>
          </w:p>
        </w:tc>
        <w:tc>
          <w:tcPr>
            <w:tcW w:w="750" w:type="pct"/>
            <w:tcBorders>
              <w:top w:val="single" w:sz="4" w:space="0" w:color="auto"/>
              <w:left w:val="single" w:sz="4" w:space="0" w:color="auto"/>
              <w:bottom w:val="single" w:sz="4" w:space="0" w:color="auto"/>
              <w:right w:val="single" w:sz="4" w:space="0" w:color="auto"/>
            </w:tcBorders>
            <w:vAlign w:val="center"/>
          </w:tcPr>
          <w:p w14:paraId="27EDCC13"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1.57%</w:t>
            </w:r>
          </w:p>
        </w:tc>
        <w:tc>
          <w:tcPr>
            <w:tcW w:w="750" w:type="pct"/>
            <w:tcBorders>
              <w:top w:val="single" w:sz="4" w:space="0" w:color="auto"/>
              <w:left w:val="single" w:sz="4" w:space="0" w:color="auto"/>
              <w:bottom w:val="single" w:sz="4" w:space="0" w:color="auto"/>
              <w:right w:val="single" w:sz="4" w:space="0" w:color="auto"/>
            </w:tcBorders>
            <w:vAlign w:val="center"/>
          </w:tcPr>
          <w:p w14:paraId="68BAC3F3"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c>
          <w:tcPr>
            <w:tcW w:w="750" w:type="pct"/>
            <w:tcBorders>
              <w:top w:val="single" w:sz="4" w:space="0" w:color="auto"/>
              <w:left w:val="single" w:sz="4" w:space="0" w:color="auto"/>
              <w:bottom w:val="single" w:sz="4" w:space="0" w:color="auto"/>
              <w:right w:val="single" w:sz="4" w:space="0" w:color="auto"/>
            </w:tcBorders>
            <w:vAlign w:val="center"/>
          </w:tcPr>
          <w:p w14:paraId="5FFC3351"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1.22%</w:t>
            </w:r>
          </w:p>
        </w:tc>
        <w:tc>
          <w:tcPr>
            <w:tcW w:w="750" w:type="pct"/>
            <w:tcBorders>
              <w:top w:val="single" w:sz="4" w:space="0" w:color="auto"/>
              <w:left w:val="single" w:sz="4" w:space="0" w:color="auto"/>
              <w:bottom w:val="single" w:sz="4" w:space="0" w:color="auto"/>
              <w:right w:val="single" w:sz="4" w:space="0" w:color="auto"/>
            </w:tcBorders>
            <w:vAlign w:val="center"/>
          </w:tcPr>
          <w:p w14:paraId="694995CC"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c>
          <w:tcPr>
            <w:tcW w:w="750" w:type="pct"/>
            <w:tcBorders>
              <w:top w:val="single" w:sz="4" w:space="0" w:color="auto"/>
              <w:left w:val="single" w:sz="4" w:space="0" w:color="auto"/>
              <w:bottom w:val="single" w:sz="4" w:space="0" w:color="auto"/>
              <w:right w:val="single" w:sz="4" w:space="0" w:color="auto"/>
            </w:tcBorders>
            <w:vAlign w:val="center"/>
          </w:tcPr>
          <w:p w14:paraId="4704981D"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0.35%</w:t>
            </w:r>
          </w:p>
        </w:tc>
        <w:tc>
          <w:tcPr>
            <w:tcW w:w="750" w:type="pct"/>
            <w:tcBorders>
              <w:top w:val="single" w:sz="4" w:space="0" w:color="auto"/>
              <w:left w:val="single" w:sz="4" w:space="0" w:color="auto"/>
              <w:bottom w:val="single" w:sz="4" w:space="0" w:color="auto"/>
              <w:right w:val="single" w:sz="4" w:space="0" w:color="auto"/>
            </w:tcBorders>
            <w:vAlign w:val="center"/>
          </w:tcPr>
          <w:p w14:paraId="164C64AF"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r>
      <w:tr w:rsidR="00542AF7" w14:paraId="30B59FBF"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4315828F" w14:textId="77777777" w:rsidR="00542AF7" w:rsidRDefault="00542AF7">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14:paraId="2B3E8011"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2022</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14:paraId="17C3D708"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1.92%</w:t>
            </w:r>
          </w:p>
        </w:tc>
        <w:tc>
          <w:tcPr>
            <w:tcW w:w="750" w:type="pct"/>
            <w:tcBorders>
              <w:top w:val="single" w:sz="4" w:space="0" w:color="auto"/>
              <w:left w:val="single" w:sz="4" w:space="0" w:color="auto"/>
              <w:bottom w:val="single" w:sz="4" w:space="0" w:color="auto"/>
              <w:right w:val="single" w:sz="4" w:space="0" w:color="auto"/>
            </w:tcBorders>
            <w:vAlign w:val="center"/>
          </w:tcPr>
          <w:p w14:paraId="4F1D12FD"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c>
          <w:tcPr>
            <w:tcW w:w="750" w:type="pct"/>
            <w:tcBorders>
              <w:top w:val="single" w:sz="4" w:space="0" w:color="auto"/>
              <w:left w:val="single" w:sz="4" w:space="0" w:color="auto"/>
              <w:bottom w:val="single" w:sz="4" w:space="0" w:color="auto"/>
              <w:right w:val="single" w:sz="4" w:space="0" w:color="auto"/>
            </w:tcBorders>
            <w:vAlign w:val="center"/>
          </w:tcPr>
          <w:p w14:paraId="296E5FE2"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0.51%</w:t>
            </w:r>
          </w:p>
        </w:tc>
        <w:tc>
          <w:tcPr>
            <w:tcW w:w="750" w:type="pct"/>
            <w:tcBorders>
              <w:top w:val="single" w:sz="4" w:space="0" w:color="auto"/>
              <w:left w:val="single" w:sz="4" w:space="0" w:color="auto"/>
              <w:bottom w:val="single" w:sz="4" w:space="0" w:color="auto"/>
              <w:right w:val="single" w:sz="4" w:space="0" w:color="auto"/>
            </w:tcBorders>
            <w:vAlign w:val="center"/>
          </w:tcPr>
          <w:p w14:paraId="0A613121"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sz="4" w:space="0" w:color="auto"/>
              <w:left w:val="single" w:sz="4" w:space="0" w:color="auto"/>
              <w:bottom w:val="single" w:sz="4" w:space="0" w:color="auto"/>
              <w:right w:val="single" w:sz="4" w:space="0" w:color="auto"/>
            </w:tcBorders>
            <w:vAlign w:val="center"/>
          </w:tcPr>
          <w:p w14:paraId="4DA6722A"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1.41%</w:t>
            </w:r>
          </w:p>
        </w:tc>
        <w:tc>
          <w:tcPr>
            <w:tcW w:w="750" w:type="pct"/>
            <w:tcBorders>
              <w:top w:val="single" w:sz="4" w:space="0" w:color="auto"/>
              <w:left w:val="single" w:sz="4" w:space="0" w:color="auto"/>
              <w:bottom w:val="single" w:sz="4" w:space="0" w:color="auto"/>
              <w:right w:val="single" w:sz="4" w:space="0" w:color="auto"/>
            </w:tcBorders>
            <w:vAlign w:val="center"/>
          </w:tcPr>
          <w:p w14:paraId="0576916C"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-0.02%</w:t>
            </w:r>
          </w:p>
        </w:tc>
      </w:tr>
      <w:tr w:rsidR="00542AF7" w14:paraId="39287E48"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42BE2F1D" w14:textId="77777777" w:rsidR="00542AF7" w:rsidRDefault="00542AF7">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14:paraId="15224561"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2021</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14:paraId="5ECC458C"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3.15%</w:t>
            </w:r>
          </w:p>
        </w:tc>
        <w:tc>
          <w:tcPr>
            <w:tcW w:w="750" w:type="pct"/>
            <w:tcBorders>
              <w:top w:val="single" w:sz="4" w:space="0" w:color="auto"/>
              <w:left w:val="single" w:sz="4" w:space="0" w:color="auto"/>
              <w:bottom w:val="single" w:sz="4" w:space="0" w:color="auto"/>
              <w:right w:val="single" w:sz="4" w:space="0" w:color="auto"/>
            </w:tcBorders>
            <w:vAlign w:val="center"/>
          </w:tcPr>
          <w:p w14:paraId="5D94E53F"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c>
          <w:tcPr>
            <w:tcW w:w="750" w:type="pct"/>
            <w:tcBorders>
              <w:top w:val="single" w:sz="4" w:space="0" w:color="auto"/>
              <w:left w:val="single" w:sz="4" w:space="0" w:color="auto"/>
              <w:bottom w:val="single" w:sz="4" w:space="0" w:color="auto"/>
              <w:right w:val="single" w:sz="4" w:space="0" w:color="auto"/>
            </w:tcBorders>
            <w:vAlign w:val="center"/>
          </w:tcPr>
          <w:p w14:paraId="342B967A"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2.10%</w:t>
            </w:r>
          </w:p>
        </w:tc>
        <w:tc>
          <w:tcPr>
            <w:tcW w:w="750" w:type="pct"/>
            <w:tcBorders>
              <w:top w:val="single" w:sz="4" w:space="0" w:color="auto"/>
              <w:left w:val="single" w:sz="4" w:space="0" w:color="auto"/>
              <w:bottom w:val="single" w:sz="4" w:space="0" w:color="auto"/>
              <w:right w:val="single" w:sz="4" w:space="0" w:color="auto"/>
            </w:tcBorders>
            <w:vAlign w:val="center"/>
          </w:tcPr>
          <w:p w14:paraId="07389214"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sz="4" w:space="0" w:color="auto"/>
              <w:left w:val="single" w:sz="4" w:space="0" w:color="auto"/>
              <w:bottom w:val="single" w:sz="4" w:space="0" w:color="auto"/>
              <w:right w:val="single" w:sz="4" w:space="0" w:color="auto"/>
            </w:tcBorders>
            <w:vAlign w:val="center"/>
          </w:tcPr>
          <w:p w14:paraId="2048AEE2"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1.05%</w:t>
            </w:r>
          </w:p>
        </w:tc>
        <w:tc>
          <w:tcPr>
            <w:tcW w:w="750" w:type="pct"/>
            <w:tcBorders>
              <w:top w:val="single" w:sz="4" w:space="0" w:color="auto"/>
              <w:left w:val="single" w:sz="4" w:space="0" w:color="auto"/>
              <w:bottom w:val="single" w:sz="4" w:space="0" w:color="auto"/>
              <w:right w:val="single" w:sz="4" w:space="0" w:color="auto"/>
            </w:tcBorders>
            <w:vAlign w:val="center"/>
          </w:tcPr>
          <w:p w14:paraId="1F69CE9F"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-0.02%</w:t>
            </w:r>
          </w:p>
        </w:tc>
      </w:tr>
      <w:tr w:rsidR="00542AF7" w14:paraId="5D37DD77"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618165CC" w14:textId="77777777" w:rsidR="00542AF7" w:rsidRDefault="00542AF7">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14:paraId="3C2B348D"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2020</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14:paraId="608BDF36"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2.61%</w:t>
            </w:r>
          </w:p>
        </w:tc>
        <w:tc>
          <w:tcPr>
            <w:tcW w:w="750" w:type="pct"/>
            <w:tcBorders>
              <w:top w:val="single" w:sz="4" w:space="0" w:color="auto"/>
              <w:left w:val="single" w:sz="4" w:space="0" w:color="auto"/>
              <w:bottom w:val="single" w:sz="4" w:space="0" w:color="auto"/>
              <w:right w:val="single" w:sz="4" w:space="0" w:color="auto"/>
            </w:tcBorders>
            <w:vAlign w:val="center"/>
          </w:tcPr>
          <w:p w14:paraId="70FEFA39"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0.09%</w:t>
            </w:r>
          </w:p>
        </w:tc>
        <w:tc>
          <w:tcPr>
            <w:tcW w:w="750" w:type="pct"/>
            <w:tcBorders>
              <w:top w:val="single" w:sz="4" w:space="0" w:color="auto"/>
              <w:left w:val="single" w:sz="4" w:space="0" w:color="auto"/>
              <w:bottom w:val="single" w:sz="4" w:space="0" w:color="auto"/>
              <w:right w:val="single" w:sz="4" w:space="0" w:color="auto"/>
            </w:tcBorders>
            <w:vAlign w:val="center"/>
          </w:tcPr>
          <w:p w14:paraId="00D25439"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-0.07%</w:t>
            </w:r>
          </w:p>
        </w:tc>
        <w:tc>
          <w:tcPr>
            <w:tcW w:w="750" w:type="pct"/>
            <w:tcBorders>
              <w:top w:val="single" w:sz="4" w:space="0" w:color="auto"/>
              <w:left w:val="single" w:sz="4" w:space="0" w:color="auto"/>
              <w:bottom w:val="single" w:sz="4" w:space="0" w:color="auto"/>
              <w:right w:val="single" w:sz="4" w:space="0" w:color="auto"/>
            </w:tcBorders>
            <w:vAlign w:val="center"/>
          </w:tcPr>
          <w:p w14:paraId="1FF5B765"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0.09%</w:t>
            </w:r>
          </w:p>
        </w:tc>
        <w:tc>
          <w:tcPr>
            <w:tcW w:w="750" w:type="pct"/>
            <w:tcBorders>
              <w:top w:val="single" w:sz="4" w:space="0" w:color="auto"/>
              <w:left w:val="single" w:sz="4" w:space="0" w:color="auto"/>
              <w:bottom w:val="single" w:sz="4" w:space="0" w:color="auto"/>
              <w:right w:val="single" w:sz="4" w:space="0" w:color="auto"/>
            </w:tcBorders>
            <w:vAlign w:val="center"/>
          </w:tcPr>
          <w:p w14:paraId="3089695F"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2.68%</w:t>
            </w:r>
          </w:p>
        </w:tc>
        <w:tc>
          <w:tcPr>
            <w:tcW w:w="750" w:type="pct"/>
            <w:tcBorders>
              <w:top w:val="single" w:sz="4" w:space="0" w:color="auto"/>
              <w:left w:val="single" w:sz="4" w:space="0" w:color="auto"/>
              <w:bottom w:val="single" w:sz="4" w:space="0" w:color="auto"/>
              <w:right w:val="single" w:sz="4" w:space="0" w:color="auto"/>
            </w:tcBorders>
            <w:vAlign w:val="center"/>
          </w:tcPr>
          <w:p w14:paraId="229C3206"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0.00%</w:t>
            </w:r>
          </w:p>
        </w:tc>
      </w:tr>
      <w:tr w:rsidR="00542AF7" w14:paraId="2019F1BB"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43381927" w14:textId="77777777" w:rsidR="00542AF7" w:rsidRDefault="00542AF7">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14:paraId="5A29B326"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2019</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14:paraId="0CCAABAC"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3.60%</w:t>
            </w:r>
          </w:p>
        </w:tc>
        <w:tc>
          <w:tcPr>
            <w:tcW w:w="750" w:type="pct"/>
            <w:tcBorders>
              <w:top w:val="single" w:sz="4" w:space="0" w:color="auto"/>
              <w:left w:val="single" w:sz="4" w:space="0" w:color="auto"/>
              <w:bottom w:val="single" w:sz="4" w:space="0" w:color="auto"/>
              <w:right w:val="single" w:sz="4" w:space="0" w:color="auto"/>
            </w:tcBorders>
            <w:vAlign w:val="center"/>
          </w:tcPr>
          <w:p w14:paraId="5628AA6B"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c>
          <w:tcPr>
            <w:tcW w:w="750" w:type="pct"/>
            <w:tcBorders>
              <w:top w:val="single" w:sz="4" w:space="0" w:color="auto"/>
              <w:left w:val="single" w:sz="4" w:space="0" w:color="auto"/>
              <w:bottom w:val="single" w:sz="4" w:space="0" w:color="auto"/>
              <w:right w:val="single" w:sz="4" w:space="0" w:color="auto"/>
            </w:tcBorders>
            <w:vAlign w:val="center"/>
          </w:tcPr>
          <w:p w14:paraId="711EA8E7"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1.31%</w:t>
            </w:r>
          </w:p>
        </w:tc>
        <w:tc>
          <w:tcPr>
            <w:tcW w:w="750" w:type="pct"/>
            <w:tcBorders>
              <w:top w:val="single" w:sz="4" w:space="0" w:color="auto"/>
              <w:left w:val="single" w:sz="4" w:space="0" w:color="auto"/>
              <w:bottom w:val="single" w:sz="4" w:space="0" w:color="auto"/>
              <w:right w:val="single" w:sz="4" w:space="0" w:color="auto"/>
            </w:tcBorders>
            <w:vAlign w:val="center"/>
          </w:tcPr>
          <w:p w14:paraId="4042A48C"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sz="4" w:space="0" w:color="auto"/>
              <w:left w:val="single" w:sz="4" w:space="0" w:color="auto"/>
              <w:bottom w:val="single" w:sz="4" w:space="0" w:color="auto"/>
              <w:right w:val="single" w:sz="4" w:space="0" w:color="auto"/>
            </w:tcBorders>
            <w:vAlign w:val="center"/>
          </w:tcPr>
          <w:p w14:paraId="57AF67CC"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2.29%</w:t>
            </w:r>
          </w:p>
        </w:tc>
        <w:tc>
          <w:tcPr>
            <w:tcW w:w="750" w:type="pct"/>
            <w:tcBorders>
              <w:top w:val="single" w:sz="4" w:space="0" w:color="auto"/>
              <w:left w:val="single" w:sz="4" w:space="0" w:color="auto"/>
              <w:bottom w:val="single" w:sz="4" w:space="0" w:color="auto"/>
              <w:right w:val="single" w:sz="4" w:space="0" w:color="auto"/>
            </w:tcBorders>
            <w:vAlign w:val="center"/>
          </w:tcPr>
          <w:p w14:paraId="7F2DEE3F"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r>
      <w:tr w:rsidR="00542AF7" w14:paraId="4864059C"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1E5B5CBE" w14:textId="77777777" w:rsidR="00542AF7" w:rsidRDefault="00542AF7">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14:paraId="32019547"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2018</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14:paraId="01C89DBD"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7.35%</w:t>
            </w:r>
          </w:p>
        </w:tc>
        <w:tc>
          <w:tcPr>
            <w:tcW w:w="750" w:type="pct"/>
            <w:tcBorders>
              <w:top w:val="single" w:sz="4" w:space="0" w:color="auto"/>
              <w:left w:val="single" w:sz="4" w:space="0" w:color="auto"/>
              <w:bottom w:val="single" w:sz="4" w:space="0" w:color="auto"/>
              <w:right w:val="single" w:sz="4" w:space="0" w:color="auto"/>
            </w:tcBorders>
            <w:vAlign w:val="center"/>
          </w:tcPr>
          <w:p w14:paraId="08580014"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0.07%</w:t>
            </w:r>
          </w:p>
        </w:tc>
        <w:tc>
          <w:tcPr>
            <w:tcW w:w="750" w:type="pct"/>
            <w:tcBorders>
              <w:top w:val="single" w:sz="4" w:space="0" w:color="auto"/>
              <w:left w:val="single" w:sz="4" w:space="0" w:color="auto"/>
              <w:bottom w:val="single" w:sz="4" w:space="0" w:color="auto"/>
              <w:right w:val="single" w:sz="4" w:space="0" w:color="auto"/>
            </w:tcBorders>
            <w:vAlign w:val="center"/>
          </w:tcPr>
          <w:p w14:paraId="3307BD62"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4.79%</w:t>
            </w:r>
          </w:p>
        </w:tc>
        <w:tc>
          <w:tcPr>
            <w:tcW w:w="750" w:type="pct"/>
            <w:tcBorders>
              <w:top w:val="single" w:sz="4" w:space="0" w:color="auto"/>
              <w:left w:val="single" w:sz="4" w:space="0" w:color="auto"/>
              <w:bottom w:val="single" w:sz="4" w:space="0" w:color="auto"/>
              <w:right w:val="single" w:sz="4" w:space="0" w:color="auto"/>
            </w:tcBorders>
            <w:vAlign w:val="center"/>
          </w:tcPr>
          <w:p w14:paraId="4AF93953"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0.07%</w:t>
            </w:r>
          </w:p>
        </w:tc>
        <w:tc>
          <w:tcPr>
            <w:tcW w:w="750" w:type="pct"/>
            <w:tcBorders>
              <w:top w:val="single" w:sz="4" w:space="0" w:color="auto"/>
              <w:left w:val="single" w:sz="4" w:space="0" w:color="auto"/>
              <w:bottom w:val="single" w:sz="4" w:space="0" w:color="auto"/>
              <w:right w:val="single" w:sz="4" w:space="0" w:color="auto"/>
            </w:tcBorders>
            <w:vAlign w:val="center"/>
          </w:tcPr>
          <w:p w14:paraId="561902D9"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2.56%</w:t>
            </w:r>
          </w:p>
        </w:tc>
        <w:tc>
          <w:tcPr>
            <w:tcW w:w="750" w:type="pct"/>
            <w:tcBorders>
              <w:top w:val="single" w:sz="4" w:space="0" w:color="auto"/>
              <w:left w:val="single" w:sz="4" w:space="0" w:color="auto"/>
              <w:bottom w:val="single" w:sz="4" w:space="0" w:color="auto"/>
              <w:right w:val="single" w:sz="4" w:space="0" w:color="auto"/>
            </w:tcBorders>
            <w:vAlign w:val="center"/>
          </w:tcPr>
          <w:p w14:paraId="188F3153"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0.00%</w:t>
            </w:r>
          </w:p>
        </w:tc>
      </w:tr>
      <w:tr w:rsidR="00542AF7" w14:paraId="3EDD1068"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4037FDF3" w14:textId="77777777" w:rsidR="00542AF7" w:rsidRDefault="00542AF7">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14:paraId="3F1629AC"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2017</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14:paraId="50496F85"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1.49%</w:t>
            </w:r>
          </w:p>
        </w:tc>
        <w:tc>
          <w:tcPr>
            <w:tcW w:w="750" w:type="pct"/>
            <w:tcBorders>
              <w:top w:val="single" w:sz="4" w:space="0" w:color="auto"/>
              <w:left w:val="single" w:sz="4" w:space="0" w:color="auto"/>
              <w:bottom w:val="single" w:sz="4" w:space="0" w:color="auto"/>
              <w:right w:val="single" w:sz="4" w:space="0" w:color="auto"/>
            </w:tcBorders>
            <w:vAlign w:val="center"/>
          </w:tcPr>
          <w:p w14:paraId="2C481876"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sz="4" w:space="0" w:color="auto"/>
              <w:left w:val="single" w:sz="4" w:space="0" w:color="auto"/>
              <w:bottom w:val="single" w:sz="4" w:space="0" w:color="auto"/>
              <w:right w:val="single" w:sz="4" w:space="0" w:color="auto"/>
            </w:tcBorders>
            <w:vAlign w:val="center"/>
          </w:tcPr>
          <w:p w14:paraId="64DF23DB"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-3.38%</w:t>
            </w:r>
          </w:p>
        </w:tc>
        <w:tc>
          <w:tcPr>
            <w:tcW w:w="750" w:type="pct"/>
            <w:tcBorders>
              <w:top w:val="single" w:sz="4" w:space="0" w:color="auto"/>
              <w:left w:val="single" w:sz="4" w:space="0" w:color="auto"/>
              <w:bottom w:val="single" w:sz="4" w:space="0" w:color="auto"/>
              <w:right w:val="single" w:sz="4" w:space="0" w:color="auto"/>
            </w:tcBorders>
            <w:vAlign w:val="center"/>
          </w:tcPr>
          <w:p w14:paraId="5F6F8337"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sz="4" w:space="0" w:color="auto"/>
              <w:left w:val="single" w:sz="4" w:space="0" w:color="auto"/>
              <w:bottom w:val="single" w:sz="4" w:space="0" w:color="auto"/>
              <w:right w:val="single" w:sz="4" w:space="0" w:color="auto"/>
            </w:tcBorders>
            <w:vAlign w:val="center"/>
          </w:tcPr>
          <w:p w14:paraId="5409BC15"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4.87%</w:t>
            </w:r>
          </w:p>
        </w:tc>
        <w:tc>
          <w:tcPr>
            <w:tcW w:w="750" w:type="pct"/>
            <w:tcBorders>
              <w:top w:val="single" w:sz="4" w:space="0" w:color="auto"/>
              <w:left w:val="single" w:sz="4" w:space="0" w:color="auto"/>
              <w:bottom w:val="single" w:sz="4" w:space="0" w:color="auto"/>
              <w:right w:val="single" w:sz="4" w:space="0" w:color="auto"/>
            </w:tcBorders>
            <w:vAlign w:val="center"/>
          </w:tcPr>
          <w:p w14:paraId="14814913"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0.00%</w:t>
            </w:r>
          </w:p>
        </w:tc>
      </w:tr>
      <w:tr w:rsidR="00542AF7" w14:paraId="7CD5BD87"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41CB2997" w14:textId="77777777" w:rsidR="00542AF7" w:rsidRDefault="00542AF7">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14:paraId="2A076E75"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2016</w:t>
            </w:r>
            <w:r>
              <w:rPr>
                <w:rFonts w:ascii="Times New Roman" w:hAnsi="Times New Roman"/>
                <w:color w:val="000000"/>
                <w:kern w:val="0"/>
                <w:sz w:val="25"/>
                <w:szCs w:val="24"/>
              </w:rPr>
              <w:t>年度（自基金合同生效日起至</w:t>
            </w:r>
            <w:r>
              <w:rPr>
                <w:rFonts w:ascii="Times New Roman" w:hAnsi="Times New Roman"/>
                <w:color w:val="000000"/>
                <w:kern w:val="0"/>
                <w:sz w:val="25"/>
                <w:szCs w:val="24"/>
              </w:rPr>
              <w:t>2016</w:t>
            </w:r>
            <w:r>
              <w:rPr>
                <w:rFonts w:ascii="Times New Roman" w:hAnsi="Times New Roman"/>
                <w:color w:val="000000"/>
                <w:kern w:val="0"/>
                <w:sz w:val="25"/>
                <w:szCs w:val="24"/>
              </w:rPr>
              <w:t>年</w:t>
            </w:r>
            <w:r>
              <w:rPr>
                <w:rFonts w:ascii="Times New Roman" w:hAnsi="Times New Roman"/>
                <w:color w:val="000000"/>
                <w:kern w:val="0"/>
                <w:sz w:val="25"/>
                <w:szCs w:val="24"/>
              </w:rPr>
              <w:t>12</w:t>
            </w:r>
            <w:r>
              <w:rPr>
                <w:rFonts w:ascii="Times New Roman" w:hAnsi="Times New Roman"/>
                <w:color w:val="000000"/>
                <w:kern w:val="0"/>
                <w:sz w:val="25"/>
                <w:szCs w:val="24"/>
              </w:rPr>
              <w:t>月</w:t>
            </w:r>
            <w:r>
              <w:rPr>
                <w:rFonts w:ascii="Times New Roman" w:hAnsi="Times New Roman"/>
                <w:color w:val="000000"/>
                <w:kern w:val="0"/>
                <w:sz w:val="25"/>
                <w:szCs w:val="24"/>
              </w:rPr>
              <w:t>31</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14:paraId="7A2547DB"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0.60%</w:t>
            </w:r>
          </w:p>
        </w:tc>
        <w:tc>
          <w:tcPr>
            <w:tcW w:w="750" w:type="pct"/>
            <w:tcBorders>
              <w:top w:val="single" w:sz="4" w:space="0" w:color="auto"/>
              <w:left w:val="single" w:sz="4" w:space="0" w:color="auto"/>
              <w:bottom w:val="single" w:sz="4" w:space="0" w:color="auto"/>
              <w:right w:val="single" w:sz="4" w:space="0" w:color="auto"/>
            </w:tcBorders>
            <w:vAlign w:val="center"/>
          </w:tcPr>
          <w:p w14:paraId="03429619"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c>
          <w:tcPr>
            <w:tcW w:w="750" w:type="pct"/>
            <w:tcBorders>
              <w:top w:val="single" w:sz="4" w:space="0" w:color="auto"/>
              <w:left w:val="single" w:sz="4" w:space="0" w:color="auto"/>
              <w:bottom w:val="single" w:sz="4" w:space="0" w:color="auto"/>
              <w:right w:val="single" w:sz="4" w:space="0" w:color="auto"/>
            </w:tcBorders>
            <w:vAlign w:val="center"/>
          </w:tcPr>
          <w:p w14:paraId="2C84E22C"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-2.44%</w:t>
            </w:r>
          </w:p>
        </w:tc>
        <w:tc>
          <w:tcPr>
            <w:tcW w:w="750" w:type="pct"/>
            <w:tcBorders>
              <w:top w:val="single" w:sz="4" w:space="0" w:color="auto"/>
              <w:left w:val="single" w:sz="4" w:space="0" w:color="auto"/>
              <w:bottom w:val="single" w:sz="4" w:space="0" w:color="auto"/>
              <w:right w:val="single" w:sz="4" w:space="0" w:color="auto"/>
            </w:tcBorders>
            <w:vAlign w:val="center"/>
          </w:tcPr>
          <w:p w14:paraId="00E58875"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0.17%</w:t>
            </w:r>
          </w:p>
        </w:tc>
        <w:tc>
          <w:tcPr>
            <w:tcW w:w="750" w:type="pct"/>
            <w:tcBorders>
              <w:top w:val="single" w:sz="4" w:space="0" w:color="auto"/>
              <w:left w:val="single" w:sz="4" w:space="0" w:color="auto"/>
              <w:bottom w:val="single" w:sz="4" w:space="0" w:color="auto"/>
              <w:right w:val="single" w:sz="4" w:space="0" w:color="auto"/>
            </w:tcBorders>
            <w:vAlign w:val="center"/>
          </w:tcPr>
          <w:p w14:paraId="00B0AC27"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3.04%</w:t>
            </w:r>
          </w:p>
        </w:tc>
        <w:tc>
          <w:tcPr>
            <w:tcW w:w="750" w:type="pct"/>
            <w:tcBorders>
              <w:top w:val="single" w:sz="4" w:space="0" w:color="auto"/>
              <w:left w:val="single" w:sz="4" w:space="0" w:color="auto"/>
              <w:bottom w:val="single" w:sz="4" w:space="0" w:color="auto"/>
              <w:right w:val="single" w:sz="4" w:space="0" w:color="auto"/>
            </w:tcBorders>
            <w:vAlign w:val="center"/>
          </w:tcPr>
          <w:p w14:paraId="14C8F7C3"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-0.13%</w:t>
            </w:r>
          </w:p>
        </w:tc>
      </w:tr>
      <w:tr w:rsidR="00542AF7" w14:paraId="2A36B4B7" w14:textId="77777777">
        <w:trPr>
          <w:cantSplit/>
          <w:trHeight w:val="375"/>
        </w:trPr>
        <w:tc>
          <w:tcPr>
            <w:tcW w:w="750" w:type="pct"/>
            <w:vMerge w:val="restart"/>
            <w:tcBorders>
              <w:top w:val="single" w:sz="4" w:space="0" w:color="auto"/>
              <w:left w:val="single" w:sz="4" w:space="0" w:color="auto"/>
              <w:bottom w:val="single" w:sz="4" w:space="0" w:color="auto"/>
              <w:right w:val="single" w:sz="4" w:space="0" w:color="auto"/>
            </w:tcBorders>
            <w:vAlign w:val="center"/>
          </w:tcPr>
          <w:p w14:paraId="2ED4D2C0"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C</w:t>
            </w:r>
            <w:r>
              <w:rPr>
                <w:rFonts w:ascii="Times New Roman" w:hAnsi="Times New Roman"/>
                <w:color w:val="000000"/>
                <w:kern w:val="0"/>
                <w:sz w:val="25"/>
                <w:szCs w:val="24"/>
              </w:rPr>
              <w:t>类</w:t>
            </w:r>
          </w:p>
        </w:tc>
        <w:tc>
          <w:tcPr>
            <w:tcW w:w="750" w:type="pct"/>
            <w:tcBorders>
              <w:top w:val="single" w:sz="4" w:space="0" w:color="auto"/>
              <w:left w:val="single" w:sz="4" w:space="0" w:color="auto"/>
              <w:bottom w:val="single" w:sz="4" w:space="0" w:color="auto"/>
              <w:right w:val="single" w:sz="4" w:space="0" w:color="auto"/>
            </w:tcBorders>
            <w:vAlign w:val="center"/>
          </w:tcPr>
          <w:p w14:paraId="35A5E4CB"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过去三个月</w:t>
            </w:r>
          </w:p>
        </w:tc>
        <w:tc>
          <w:tcPr>
            <w:tcW w:w="750" w:type="pct"/>
            <w:tcBorders>
              <w:top w:val="single" w:sz="4" w:space="0" w:color="auto"/>
              <w:left w:val="single" w:sz="4" w:space="0" w:color="auto"/>
              <w:bottom w:val="single" w:sz="4" w:space="0" w:color="auto"/>
              <w:right w:val="single" w:sz="4" w:space="0" w:color="auto"/>
            </w:tcBorders>
            <w:vAlign w:val="center"/>
          </w:tcPr>
          <w:p w14:paraId="38471FCE"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0.42%</w:t>
            </w:r>
          </w:p>
        </w:tc>
        <w:tc>
          <w:tcPr>
            <w:tcW w:w="750" w:type="pct"/>
            <w:tcBorders>
              <w:top w:val="single" w:sz="4" w:space="0" w:color="auto"/>
              <w:left w:val="single" w:sz="4" w:space="0" w:color="auto"/>
              <w:bottom w:val="single" w:sz="4" w:space="0" w:color="auto"/>
              <w:right w:val="single" w:sz="4" w:space="0" w:color="auto"/>
            </w:tcBorders>
            <w:vAlign w:val="center"/>
          </w:tcPr>
          <w:p w14:paraId="1B9BF66F"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sz="4" w:space="0" w:color="auto"/>
              <w:left w:val="single" w:sz="4" w:space="0" w:color="auto"/>
              <w:bottom w:val="single" w:sz="4" w:space="0" w:color="auto"/>
              <w:right w:val="single" w:sz="4" w:space="0" w:color="auto"/>
            </w:tcBorders>
            <w:vAlign w:val="center"/>
          </w:tcPr>
          <w:p w14:paraId="4949B692"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c>
          <w:tcPr>
            <w:tcW w:w="750" w:type="pct"/>
            <w:tcBorders>
              <w:top w:val="single" w:sz="4" w:space="0" w:color="auto"/>
              <w:left w:val="single" w:sz="4" w:space="0" w:color="auto"/>
              <w:bottom w:val="single" w:sz="4" w:space="0" w:color="auto"/>
              <w:right w:val="single" w:sz="4" w:space="0" w:color="auto"/>
            </w:tcBorders>
            <w:vAlign w:val="center"/>
          </w:tcPr>
          <w:p w14:paraId="2BEDEC5C"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sz="4" w:space="0" w:color="auto"/>
              <w:left w:val="single" w:sz="4" w:space="0" w:color="auto"/>
              <w:bottom w:val="single" w:sz="4" w:space="0" w:color="auto"/>
              <w:right w:val="single" w:sz="4" w:space="0" w:color="auto"/>
            </w:tcBorders>
            <w:vAlign w:val="center"/>
          </w:tcPr>
          <w:p w14:paraId="61915FC9"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0.41%</w:t>
            </w:r>
          </w:p>
        </w:tc>
        <w:tc>
          <w:tcPr>
            <w:tcW w:w="750" w:type="pct"/>
            <w:tcBorders>
              <w:top w:val="single" w:sz="4" w:space="0" w:color="auto"/>
              <w:left w:val="single" w:sz="4" w:space="0" w:color="auto"/>
              <w:bottom w:val="single" w:sz="4" w:space="0" w:color="auto"/>
              <w:right w:val="single" w:sz="4" w:space="0" w:color="auto"/>
            </w:tcBorders>
            <w:vAlign w:val="center"/>
          </w:tcPr>
          <w:p w14:paraId="21147E1C"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0.00%</w:t>
            </w:r>
          </w:p>
        </w:tc>
      </w:tr>
      <w:tr w:rsidR="00542AF7" w14:paraId="46405A41"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0FBFA155" w14:textId="77777777" w:rsidR="00542AF7" w:rsidRDefault="00542AF7">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14:paraId="459CECFB"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2023</w:t>
            </w:r>
            <w:r>
              <w:rPr>
                <w:rFonts w:ascii="Times New Roman" w:hAnsi="Times New Roman"/>
                <w:color w:val="000000"/>
                <w:kern w:val="0"/>
                <w:sz w:val="25"/>
                <w:szCs w:val="24"/>
              </w:rPr>
              <w:t>上半年</w:t>
            </w:r>
          </w:p>
        </w:tc>
        <w:tc>
          <w:tcPr>
            <w:tcW w:w="750" w:type="pct"/>
            <w:tcBorders>
              <w:top w:val="single" w:sz="4" w:space="0" w:color="auto"/>
              <w:left w:val="single" w:sz="4" w:space="0" w:color="auto"/>
              <w:bottom w:val="single" w:sz="4" w:space="0" w:color="auto"/>
              <w:right w:val="single" w:sz="4" w:space="0" w:color="auto"/>
            </w:tcBorders>
            <w:vAlign w:val="center"/>
          </w:tcPr>
          <w:p w14:paraId="303C2E61"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1.52%</w:t>
            </w:r>
          </w:p>
        </w:tc>
        <w:tc>
          <w:tcPr>
            <w:tcW w:w="750" w:type="pct"/>
            <w:tcBorders>
              <w:top w:val="single" w:sz="4" w:space="0" w:color="auto"/>
              <w:left w:val="single" w:sz="4" w:space="0" w:color="auto"/>
              <w:bottom w:val="single" w:sz="4" w:space="0" w:color="auto"/>
              <w:right w:val="single" w:sz="4" w:space="0" w:color="auto"/>
            </w:tcBorders>
            <w:vAlign w:val="center"/>
          </w:tcPr>
          <w:p w14:paraId="0FCC06DF"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c>
          <w:tcPr>
            <w:tcW w:w="750" w:type="pct"/>
            <w:tcBorders>
              <w:top w:val="single" w:sz="4" w:space="0" w:color="auto"/>
              <w:left w:val="single" w:sz="4" w:space="0" w:color="auto"/>
              <w:bottom w:val="single" w:sz="4" w:space="0" w:color="auto"/>
              <w:right w:val="single" w:sz="4" w:space="0" w:color="auto"/>
            </w:tcBorders>
            <w:vAlign w:val="center"/>
          </w:tcPr>
          <w:p w14:paraId="2130655E"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1.22%</w:t>
            </w:r>
          </w:p>
        </w:tc>
        <w:tc>
          <w:tcPr>
            <w:tcW w:w="750" w:type="pct"/>
            <w:tcBorders>
              <w:top w:val="single" w:sz="4" w:space="0" w:color="auto"/>
              <w:left w:val="single" w:sz="4" w:space="0" w:color="auto"/>
              <w:bottom w:val="single" w:sz="4" w:space="0" w:color="auto"/>
              <w:right w:val="single" w:sz="4" w:space="0" w:color="auto"/>
            </w:tcBorders>
            <w:vAlign w:val="center"/>
          </w:tcPr>
          <w:p w14:paraId="58AD7E25"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c>
          <w:tcPr>
            <w:tcW w:w="750" w:type="pct"/>
            <w:tcBorders>
              <w:top w:val="single" w:sz="4" w:space="0" w:color="auto"/>
              <w:left w:val="single" w:sz="4" w:space="0" w:color="auto"/>
              <w:bottom w:val="single" w:sz="4" w:space="0" w:color="auto"/>
              <w:right w:val="single" w:sz="4" w:space="0" w:color="auto"/>
            </w:tcBorders>
            <w:vAlign w:val="center"/>
          </w:tcPr>
          <w:p w14:paraId="12CD37B9"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0.30%</w:t>
            </w:r>
          </w:p>
        </w:tc>
        <w:tc>
          <w:tcPr>
            <w:tcW w:w="750" w:type="pct"/>
            <w:tcBorders>
              <w:top w:val="single" w:sz="4" w:space="0" w:color="auto"/>
              <w:left w:val="single" w:sz="4" w:space="0" w:color="auto"/>
              <w:bottom w:val="single" w:sz="4" w:space="0" w:color="auto"/>
              <w:right w:val="single" w:sz="4" w:space="0" w:color="auto"/>
            </w:tcBorders>
            <w:vAlign w:val="center"/>
          </w:tcPr>
          <w:p w14:paraId="65DF655C"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r>
      <w:tr w:rsidR="00542AF7" w14:paraId="1E60276D"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2DD355AB" w14:textId="77777777" w:rsidR="00542AF7" w:rsidRDefault="00542AF7">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14:paraId="1F8A43BC"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2022</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14:paraId="16554922"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1.52%</w:t>
            </w:r>
          </w:p>
        </w:tc>
        <w:tc>
          <w:tcPr>
            <w:tcW w:w="750" w:type="pct"/>
            <w:tcBorders>
              <w:top w:val="single" w:sz="4" w:space="0" w:color="auto"/>
              <w:left w:val="single" w:sz="4" w:space="0" w:color="auto"/>
              <w:bottom w:val="single" w:sz="4" w:space="0" w:color="auto"/>
              <w:right w:val="single" w:sz="4" w:space="0" w:color="auto"/>
            </w:tcBorders>
            <w:vAlign w:val="center"/>
          </w:tcPr>
          <w:p w14:paraId="60E35BEA"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c>
          <w:tcPr>
            <w:tcW w:w="750" w:type="pct"/>
            <w:tcBorders>
              <w:top w:val="single" w:sz="4" w:space="0" w:color="auto"/>
              <w:left w:val="single" w:sz="4" w:space="0" w:color="auto"/>
              <w:bottom w:val="single" w:sz="4" w:space="0" w:color="auto"/>
              <w:right w:val="single" w:sz="4" w:space="0" w:color="auto"/>
            </w:tcBorders>
            <w:vAlign w:val="center"/>
          </w:tcPr>
          <w:p w14:paraId="0D4A138D"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0.51%</w:t>
            </w:r>
          </w:p>
        </w:tc>
        <w:tc>
          <w:tcPr>
            <w:tcW w:w="750" w:type="pct"/>
            <w:tcBorders>
              <w:top w:val="single" w:sz="4" w:space="0" w:color="auto"/>
              <w:left w:val="single" w:sz="4" w:space="0" w:color="auto"/>
              <w:bottom w:val="single" w:sz="4" w:space="0" w:color="auto"/>
              <w:right w:val="single" w:sz="4" w:space="0" w:color="auto"/>
            </w:tcBorders>
            <w:vAlign w:val="center"/>
          </w:tcPr>
          <w:p w14:paraId="6DDCBF25"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sz="4" w:space="0" w:color="auto"/>
              <w:left w:val="single" w:sz="4" w:space="0" w:color="auto"/>
              <w:bottom w:val="single" w:sz="4" w:space="0" w:color="auto"/>
              <w:right w:val="single" w:sz="4" w:space="0" w:color="auto"/>
            </w:tcBorders>
            <w:vAlign w:val="center"/>
          </w:tcPr>
          <w:p w14:paraId="489DCDC0"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1.01%</w:t>
            </w:r>
          </w:p>
        </w:tc>
        <w:tc>
          <w:tcPr>
            <w:tcW w:w="750" w:type="pct"/>
            <w:tcBorders>
              <w:top w:val="single" w:sz="4" w:space="0" w:color="auto"/>
              <w:left w:val="single" w:sz="4" w:space="0" w:color="auto"/>
              <w:bottom w:val="single" w:sz="4" w:space="0" w:color="auto"/>
              <w:right w:val="single" w:sz="4" w:space="0" w:color="auto"/>
            </w:tcBorders>
            <w:vAlign w:val="center"/>
          </w:tcPr>
          <w:p w14:paraId="68EB1A63"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-0.02%</w:t>
            </w:r>
          </w:p>
        </w:tc>
      </w:tr>
      <w:tr w:rsidR="00542AF7" w14:paraId="482C5E1F"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69D543CE" w14:textId="77777777" w:rsidR="00542AF7" w:rsidRDefault="00542AF7">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14:paraId="3597336B"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2021</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14:paraId="049C53D6"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2.72%</w:t>
            </w:r>
          </w:p>
        </w:tc>
        <w:tc>
          <w:tcPr>
            <w:tcW w:w="750" w:type="pct"/>
            <w:tcBorders>
              <w:top w:val="single" w:sz="4" w:space="0" w:color="auto"/>
              <w:left w:val="single" w:sz="4" w:space="0" w:color="auto"/>
              <w:bottom w:val="single" w:sz="4" w:space="0" w:color="auto"/>
              <w:right w:val="single" w:sz="4" w:space="0" w:color="auto"/>
            </w:tcBorders>
            <w:vAlign w:val="center"/>
          </w:tcPr>
          <w:p w14:paraId="7C48E28C"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c>
          <w:tcPr>
            <w:tcW w:w="750" w:type="pct"/>
            <w:tcBorders>
              <w:top w:val="single" w:sz="4" w:space="0" w:color="auto"/>
              <w:left w:val="single" w:sz="4" w:space="0" w:color="auto"/>
              <w:bottom w:val="single" w:sz="4" w:space="0" w:color="auto"/>
              <w:right w:val="single" w:sz="4" w:space="0" w:color="auto"/>
            </w:tcBorders>
            <w:vAlign w:val="center"/>
          </w:tcPr>
          <w:p w14:paraId="132822B4"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2.10%</w:t>
            </w:r>
          </w:p>
        </w:tc>
        <w:tc>
          <w:tcPr>
            <w:tcW w:w="750" w:type="pct"/>
            <w:tcBorders>
              <w:top w:val="single" w:sz="4" w:space="0" w:color="auto"/>
              <w:left w:val="single" w:sz="4" w:space="0" w:color="auto"/>
              <w:bottom w:val="single" w:sz="4" w:space="0" w:color="auto"/>
              <w:right w:val="single" w:sz="4" w:space="0" w:color="auto"/>
            </w:tcBorders>
            <w:vAlign w:val="center"/>
          </w:tcPr>
          <w:p w14:paraId="05C80107"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sz="4" w:space="0" w:color="auto"/>
              <w:left w:val="single" w:sz="4" w:space="0" w:color="auto"/>
              <w:bottom w:val="single" w:sz="4" w:space="0" w:color="auto"/>
              <w:right w:val="single" w:sz="4" w:space="0" w:color="auto"/>
            </w:tcBorders>
            <w:vAlign w:val="center"/>
          </w:tcPr>
          <w:p w14:paraId="64DC0E68"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0.62%</w:t>
            </w:r>
          </w:p>
        </w:tc>
        <w:tc>
          <w:tcPr>
            <w:tcW w:w="750" w:type="pct"/>
            <w:tcBorders>
              <w:top w:val="single" w:sz="4" w:space="0" w:color="auto"/>
              <w:left w:val="single" w:sz="4" w:space="0" w:color="auto"/>
              <w:bottom w:val="single" w:sz="4" w:space="0" w:color="auto"/>
              <w:right w:val="single" w:sz="4" w:space="0" w:color="auto"/>
            </w:tcBorders>
            <w:vAlign w:val="center"/>
          </w:tcPr>
          <w:p w14:paraId="692193B4"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-0.02%</w:t>
            </w:r>
          </w:p>
        </w:tc>
      </w:tr>
      <w:tr w:rsidR="00542AF7" w14:paraId="1656635C"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69239D28" w14:textId="77777777" w:rsidR="00542AF7" w:rsidRDefault="00542AF7">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14:paraId="1650F5D4"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2020</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14:paraId="3AF387E1"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2.20%</w:t>
            </w:r>
          </w:p>
        </w:tc>
        <w:tc>
          <w:tcPr>
            <w:tcW w:w="750" w:type="pct"/>
            <w:tcBorders>
              <w:top w:val="single" w:sz="4" w:space="0" w:color="auto"/>
              <w:left w:val="single" w:sz="4" w:space="0" w:color="auto"/>
              <w:bottom w:val="single" w:sz="4" w:space="0" w:color="auto"/>
              <w:right w:val="single" w:sz="4" w:space="0" w:color="auto"/>
            </w:tcBorders>
            <w:vAlign w:val="center"/>
          </w:tcPr>
          <w:p w14:paraId="2BB08F9E"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0.09%</w:t>
            </w:r>
          </w:p>
        </w:tc>
        <w:tc>
          <w:tcPr>
            <w:tcW w:w="750" w:type="pct"/>
            <w:tcBorders>
              <w:top w:val="single" w:sz="4" w:space="0" w:color="auto"/>
              <w:left w:val="single" w:sz="4" w:space="0" w:color="auto"/>
              <w:bottom w:val="single" w:sz="4" w:space="0" w:color="auto"/>
              <w:right w:val="single" w:sz="4" w:space="0" w:color="auto"/>
            </w:tcBorders>
            <w:vAlign w:val="center"/>
          </w:tcPr>
          <w:p w14:paraId="2F8261D0"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-0.07%</w:t>
            </w:r>
          </w:p>
        </w:tc>
        <w:tc>
          <w:tcPr>
            <w:tcW w:w="750" w:type="pct"/>
            <w:tcBorders>
              <w:top w:val="single" w:sz="4" w:space="0" w:color="auto"/>
              <w:left w:val="single" w:sz="4" w:space="0" w:color="auto"/>
              <w:bottom w:val="single" w:sz="4" w:space="0" w:color="auto"/>
              <w:right w:val="single" w:sz="4" w:space="0" w:color="auto"/>
            </w:tcBorders>
            <w:vAlign w:val="center"/>
          </w:tcPr>
          <w:p w14:paraId="37EF31FE"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0.09%</w:t>
            </w:r>
          </w:p>
        </w:tc>
        <w:tc>
          <w:tcPr>
            <w:tcW w:w="750" w:type="pct"/>
            <w:tcBorders>
              <w:top w:val="single" w:sz="4" w:space="0" w:color="auto"/>
              <w:left w:val="single" w:sz="4" w:space="0" w:color="auto"/>
              <w:bottom w:val="single" w:sz="4" w:space="0" w:color="auto"/>
              <w:right w:val="single" w:sz="4" w:space="0" w:color="auto"/>
            </w:tcBorders>
            <w:vAlign w:val="center"/>
          </w:tcPr>
          <w:p w14:paraId="6E5DB769"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2.27%</w:t>
            </w:r>
          </w:p>
        </w:tc>
        <w:tc>
          <w:tcPr>
            <w:tcW w:w="750" w:type="pct"/>
            <w:tcBorders>
              <w:top w:val="single" w:sz="4" w:space="0" w:color="auto"/>
              <w:left w:val="single" w:sz="4" w:space="0" w:color="auto"/>
              <w:bottom w:val="single" w:sz="4" w:space="0" w:color="auto"/>
              <w:right w:val="single" w:sz="4" w:space="0" w:color="auto"/>
            </w:tcBorders>
            <w:vAlign w:val="center"/>
          </w:tcPr>
          <w:p w14:paraId="1C5224B1"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0.00%</w:t>
            </w:r>
          </w:p>
        </w:tc>
      </w:tr>
      <w:tr w:rsidR="00542AF7" w14:paraId="27837FC4"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0B2E77B9" w14:textId="77777777" w:rsidR="00542AF7" w:rsidRDefault="00542AF7">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14:paraId="10B3A9A2"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2019</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14:paraId="577F72E2"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3.16%</w:t>
            </w:r>
          </w:p>
        </w:tc>
        <w:tc>
          <w:tcPr>
            <w:tcW w:w="750" w:type="pct"/>
            <w:tcBorders>
              <w:top w:val="single" w:sz="4" w:space="0" w:color="auto"/>
              <w:left w:val="single" w:sz="4" w:space="0" w:color="auto"/>
              <w:bottom w:val="single" w:sz="4" w:space="0" w:color="auto"/>
              <w:right w:val="single" w:sz="4" w:space="0" w:color="auto"/>
            </w:tcBorders>
            <w:vAlign w:val="center"/>
          </w:tcPr>
          <w:p w14:paraId="4F67296F"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c>
          <w:tcPr>
            <w:tcW w:w="750" w:type="pct"/>
            <w:tcBorders>
              <w:top w:val="single" w:sz="4" w:space="0" w:color="auto"/>
              <w:left w:val="single" w:sz="4" w:space="0" w:color="auto"/>
              <w:bottom w:val="single" w:sz="4" w:space="0" w:color="auto"/>
              <w:right w:val="single" w:sz="4" w:space="0" w:color="auto"/>
            </w:tcBorders>
            <w:vAlign w:val="center"/>
          </w:tcPr>
          <w:p w14:paraId="43AD5F4A"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1.31%</w:t>
            </w:r>
          </w:p>
        </w:tc>
        <w:tc>
          <w:tcPr>
            <w:tcW w:w="750" w:type="pct"/>
            <w:tcBorders>
              <w:top w:val="single" w:sz="4" w:space="0" w:color="auto"/>
              <w:left w:val="single" w:sz="4" w:space="0" w:color="auto"/>
              <w:bottom w:val="single" w:sz="4" w:space="0" w:color="auto"/>
              <w:right w:val="single" w:sz="4" w:space="0" w:color="auto"/>
            </w:tcBorders>
            <w:vAlign w:val="center"/>
          </w:tcPr>
          <w:p w14:paraId="6D2D7D29"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sz="4" w:space="0" w:color="auto"/>
              <w:left w:val="single" w:sz="4" w:space="0" w:color="auto"/>
              <w:bottom w:val="single" w:sz="4" w:space="0" w:color="auto"/>
              <w:right w:val="single" w:sz="4" w:space="0" w:color="auto"/>
            </w:tcBorders>
            <w:vAlign w:val="center"/>
          </w:tcPr>
          <w:p w14:paraId="05278196"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1.85%</w:t>
            </w:r>
          </w:p>
        </w:tc>
        <w:tc>
          <w:tcPr>
            <w:tcW w:w="750" w:type="pct"/>
            <w:tcBorders>
              <w:top w:val="single" w:sz="4" w:space="0" w:color="auto"/>
              <w:left w:val="single" w:sz="4" w:space="0" w:color="auto"/>
              <w:bottom w:val="single" w:sz="4" w:space="0" w:color="auto"/>
              <w:right w:val="single" w:sz="4" w:space="0" w:color="auto"/>
            </w:tcBorders>
            <w:vAlign w:val="center"/>
          </w:tcPr>
          <w:p w14:paraId="57A31C5A"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-0.02%</w:t>
            </w:r>
          </w:p>
        </w:tc>
      </w:tr>
      <w:tr w:rsidR="00542AF7" w14:paraId="63B4DBFA"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7AC93839" w14:textId="77777777" w:rsidR="00542AF7" w:rsidRDefault="00542AF7">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14:paraId="147EE17D"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2018</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14:paraId="629D38C6"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8.46%</w:t>
            </w:r>
          </w:p>
        </w:tc>
        <w:tc>
          <w:tcPr>
            <w:tcW w:w="750" w:type="pct"/>
            <w:tcBorders>
              <w:top w:val="single" w:sz="4" w:space="0" w:color="auto"/>
              <w:left w:val="single" w:sz="4" w:space="0" w:color="auto"/>
              <w:bottom w:val="single" w:sz="4" w:space="0" w:color="auto"/>
              <w:right w:val="single" w:sz="4" w:space="0" w:color="auto"/>
            </w:tcBorders>
            <w:vAlign w:val="center"/>
          </w:tcPr>
          <w:p w14:paraId="4497DEE5"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0.09%</w:t>
            </w:r>
          </w:p>
        </w:tc>
        <w:tc>
          <w:tcPr>
            <w:tcW w:w="750" w:type="pct"/>
            <w:tcBorders>
              <w:top w:val="single" w:sz="4" w:space="0" w:color="auto"/>
              <w:left w:val="single" w:sz="4" w:space="0" w:color="auto"/>
              <w:bottom w:val="single" w:sz="4" w:space="0" w:color="auto"/>
              <w:right w:val="single" w:sz="4" w:space="0" w:color="auto"/>
            </w:tcBorders>
            <w:vAlign w:val="center"/>
          </w:tcPr>
          <w:p w14:paraId="114EBE4D"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4.79%</w:t>
            </w:r>
          </w:p>
        </w:tc>
        <w:tc>
          <w:tcPr>
            <w:tcW w:w="750" w:type="pct"/>
            <w:tcBorders>
              <w:top w:val="single" w:sz="4" w:space="0" w:color="auto"/>
              <w:left w:val="single" w:sz="4" w:space="0" w:color="auto"/>
              <w:bottom w:val="single" w:sz="4" w:space="0" w:color="auto"/>
              <w:right w:val="single" w:sz="4" w:space="0" w:color="auto"/>
            </w:tcBorders>
            <w:vAlign w:val="center"/>
          </w:tcPr>
          <w:p w14:paraId="14E751EA"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0.07%</w:t>
            </w:r>
          </w:p>
        </w:tc>
        <w:tc>
          <w:tcPr>
            <w:tcW w:w="750" w:type="pct"/>
            <w:tcBorders>
              <w:top w:val="single" w:sz="4" w:space="0" w:color="auto"/>
              <w:left w:val="single" w:sz="4" w:space="0" w:color="auto"/>
              <w:bottom w:val="single" w:sz="4" w:space="0" w:color="auto"/>
              <w:right w:val="single" w:sz="4" w:space="0" w:color="auto"/>
            </w:tcBorders>
            <w:vAlign w:val="center"/>
          </w:tcPr>
          <w:p w14:paraId="093E2B7E"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3.67%</w:t>
            </w:r>
          </w:p>
        </w:tc>
        <w:tc>
          <w:tcPr>
            <w:tcW w:w="750" w:type="pct"/>
            <w:tcBorders>
              <w:top w:val="single" w:sz="4" w:space="0" w:color="auto"/>
              <w:left w:val="single" w:sz="4" w:space="0" w:color="auto"/>
              <w:bottom w:val="single" w:sz="4" w:space="0" w:color="auto"/>
              <w:right w:val="single" w:sz="4" w:space="0" w:color="auto"/>
            </w:tcBorders>
            <w:vAlign w:val="center"/>
          </w:tcPr>
          <w:p w14:paraId="31173E11"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0.02%</w:t>
            </w:r>
          </w:p>
        </w:tc>
      </w:tr>
      <w:tr w:rsidR="00542AF7" w14:paraId="494D6EC8"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2C6802CD" w14:textId="77777777" w:rsidR="00542AF7" w:rsidRDefault="00542AF7">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14:paraId="2D404B6A"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2017</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14:paraId="1699EC4A"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1.09%</w:t>
            </w:r>
          </w:p>
        </w:tc>
        <w:tc>
          <w:tcPr>
            <w:tcW w:w="750" w:type="pct"/>
            <w:tcBorders>
              <w:top w:val="single" w:sz="4" w:space="0" w:color="auto"/>
              <w:left w:val="single" w:sz="4" w:space="0" w:color="auto"/>
              <w:bottom w:val="single" w:sz="4" w:space="0" w:color="auto"/>
              <w:right w:val="single" w:sz="4" w:space="0" w:color="auto"/>
            </w:tcBorders>
            <w:vAlign w:val="center"/>
          </w:tcPr>
          <w:p w14:paraId="2A0A9100"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sz="4" w:space="0" w:color="auto"/>
              <w:left w:val="single" w:sz="4" w:space="0" w:color="auto"/>
              <w:bottom w:val="single" w:sz="4" w:space="0" w:color="auto"/>
              <w:right w:val="single" w:sz="4" w:space="0" w:color="auto"/>
            </w:tcBorders>
            <w:vAlign w:val="center"/>
          </w:tcPr>
          <w:p w14:paraId="726976BA"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-3.38%</w:t>
            </w:r>
          </w:p>
        </w:tc>
        <w:tc>
          <w:tcPr>
            <w:tcW w:w="750" w:type="pct"/>
            <w:tcBorders>
              <w:top w:val="single" w:sz="4" w:space="0" w:color="auto"/>
              <w:left w:val="single" w:sz="4" w:space="0" w:color="auto"/>
              <w:bottom w:val="single" w:sz="4" w:space="0" w:color="auto"/>
              <w:right w:val="single" w:sz="4" w:space="0" w:color="auto"/>
            </w:tcBorders>
            <w:vAlign w:val="center"/>
          </w:tcPr>
          <w:p w14:paraId="52FCB395"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sz="4" w:space="0" w:color="auto"/>
              <w:left w:val="single" w:sz="4" w:space="0" w:color="auto"/>
              <w:bottom w:val="single" w:sz="4" w:space="0" w:color="auto"/>
              <w:right w:val="single" w:sz="4" w:space="0" w:color="auto"/>
            </w:tcBorders>
            <w:vAlign w:val="center"/>
          </w:tcPr>
          <w:p w14:paraId="43823844"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4.47%</w:t>
            </w:r>
          </w:p>
        </w:tc>
        <w:tc>
          <w:tcPr>
            <w:tcW w:w="750" w:type="pct"/>
            <w:tcBorders>
              <w:top w:val="single" w:sz="4" w:space="0" w:color="auto"/>
              <w:left w:val="single" w:sz="4" w:space="0" w:color="auto"/>
              <w:bottom w:val="single" w:sz="4" w:space="0" w:color="auto"/>
              <w:right w:val="single" w:sz="4" w:space="0" w:color="auto"/>
            </w:tcBorders>
            <w:vAlign w:val="center"/>
          </w:tcPr>
          <w:p w14:paraId="75B55A13"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0.00%</w:t>
            </w:r>
          </w:p>
        </w:tc>
      </w:tr>
      <w:tr w:rsidR="00542AF7" w14:paraId="7ACD42F3"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3A9FCD71" w14:textId="77777777" w:rsidR="00542AF7" w:rsidRDefault="00542AF7">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14:paraId="1F993946"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2016</w:t>
            </w:r>
            <w:r>
              <w:rPr>
                <w:rFonts w:ascii="Times New Roman" w:hAnsi="Times New Roman"/>
                <w:color w:val="000000"/>
                <w:kern w:val="0"/>
                <w:sz w:val="25"/>
                <w:szCs w:val="24"/>
              </w:rPr>
              <w:t>年度（自基金合同生效日起至</w:t>
            </w:r>
            <w:r>
              <w:rPr>
                <w:rFonts w:ascii="Times New Roman" w:hAnsi="Times New Roman"/>
                <w:color w:val="000000"/>
                <w:kern w:val="0"/>
                <w:sz w:val="25"/>
                <w:szCs w:val="24"/>
              </w:rPr>
              <w:t>2016</w:t>
            </w:r>
            <w:r>
              <w:rPr>
                <w:rFonts w:ascii="Times New Roman" w:hAnsi="Times New Roman"/>
                <w:color w:val="000000"/>
                <w:kern w:val="0"/>
                <w:sz w:val="25"/>
                <w:szCs w:val="24"/>
              </w:rPr>
              <w:t>年</w:t>
            </w:r>
            <w:r>
              <w:rPr>
                <w:rFonts w:ascii="Times New Roman" w:hAnsi="Times New Roman"/>
                <w:color w:val="000000"/>
                <w:kern w:val="0"/>
                <w:sz w:val="25"/>
                <w:szCs w:val="24"/>
              </w:rPr>
              <w:t>12</w:t>
            </w:r>
            <w:r>
              <w:rPr>
                <w:rFonts w:ascii="Times New Roman" w:hAnsi="Times New Roman"/>
                <w:color w:val="000000"/>
                <w:kern w:val="0"/>
                <w:sz w:val="25"/>
                <w:szCs w:val="24"/>
              </w:rPr>
              <w:t>月</w:t>
            </w:r>
            <w:r>
              <w:rPr>
                <w:rFonts w:ascii="Times New Roman" w:hAnsi="Times New Roman"/>
                <w:color w:val="000000"/>
                <w:kern w:val="0"/>
                <w:sz w:val="25"/>
                <w:szCs w:val="24"/>
              </w:rPr>
              <w:t>31</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14:paraId="5437085F"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0.50%</w:t>
            </w:r>
          </w:p>
        </w:tc>
        <w:tc>
          <w:tcPr>
            <w:tcW w:w="750" w:type="pct"/>
            <w:tcBorders>
              <w:top w:val="single" w:sz="4" w:space="0" w:color="auto"/>
              <w:left w:val="single" w:sz="4" w:space="0" w:color="auto"/>
              <w:bottom w:val="single" w:sz="4" w:space="0" w:color="auto"/>
              <w:right w:val="single" w:sz="4" w:space="0" w:color="auto"/>
            </w:tcBorders>
            <w:vAlign w:val="center"/>
          </w:tcPr>
          <w:p w14:paraId="5E490B76"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c>
          <w:tcPr>
            <w:tcW w:w="750" w:type="pct"/>
            <w:tcBorders>
              <w:top w:val="single" w:sz="4" w:space="0" w:color="auto"/>
              <w:left w:val="single" w:sz="4" w:space="0" w:color="auto"/>
              <w:bottom w:val="single" w:sz="4" w:space="0" w:color="auto"/>
              <w:right w:val="single" w:sz="4" w:space="0" w:color="auto"/>
            </w:tcBorders>
            <w:vAlign w:val="center"/>
          </w:tcPr>
          <w:p w14:paraId="33499DBC"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-2.44%</w:t>
            </w:r>
          </w:p>
        </w:tc>
        <w:tc>
          <w:tcPr>
            <w:tcW w:w="750" w:type="pct"/>
            <w:tcBorders>
              <w:top w:val="single" w:sz="4" w:space="0" w:color="auto"/>
              <w:left w:val="single" w:sz="4" w:space="0" w:color="auto"/>
              <w:bottom w:val="single" w:sz="4" w:space="0" w:color="auto"/>
              <w:right w:val="single" w:sz="4" w:space="0" w:color="auto"/>
            </w:tcBorders>
            <w:vAlign w:val="center"/>
          </w:tcPr>
          <w:p w14:paraId="2A351668"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0.17%</w:t>
            </w:r>
          </w:p>
        </w:tc>
        <w:tc>
          <w:tcPr>
            <w:tcW w:w="750" w:type="pct"/>
            <w:tcBorders>
              <w:top w:val="single" w:sz="4" w:space="0" w:color="auto"/>
              <w:left w:val="single" w:sz="4" w:space="0" w:color="auto"/>
              <w:bottom w:val="single" w:sz="4" w:space="0" w:color="auto"/>
              <w:right w:val="single" w:sz="4" w:space="0" w:color="auto"/>
            </w:tcBorders>
            <w:vAlign w:val="center"/>
          </w:tcPr>
          <w:p w14:paraId="51A956D7"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2.94%</w:t>
            </w:r>
          </w:p>
        </w:tc>
        <w:tc>
          <w:tcPr>
            <w:tcW w:w="750" w:type="pct"/>
            <w:tcBorders>
              <w:top w:val="single" w:sz="4" w:space="0" w:color="auto"/>
              <w:left w:val="single" w:sz="4" w:space="0" w:color="auto"/>
              <w:bottom w:val="single" w:sz="4" w:space="0" w:color="auto"/>
              <w:right w:val="single" w:sz="4" w:space="0" w:color="auto"/>
            </w:tcBorders>
            <w:vAlign w:val="center"/>
          </w:tcPr>
          <w:p w14:paraId="687565BF"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-0.13%</w:t>
            </w:r>
          </w:p>
        </w:tc>
      </w:tr>
    </w:tbl>
    <w:p w14:paraId="2F8E5A1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2、自基金合同生效以来基金份额累计净值增长率变动及其与同期业绩比较基准收益率变动的比较</w:t>
      </w:r>
    </w:p>
    <w:p w14:paraId="03220656" w14:textId="77777777" w:rsidR="00542AF7" w:rsidRDefault="00D93D5A">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交银施罗德裕盈纯债债券型证券投资基金</w:t>
      </w:r>
    </w:p>
    <w:p w14:paraId="4B59C1A5" w14:textId="77777777" w:rsidR="00542AF7" w:rsidRDefault="00D93D5A">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份额累计净值增长率与业绩比较基准收益率的历史走势对比图</w:t>
      </w:r>
    </w:p>
    <w:p w14:paraId="4D66BDD2" w14:textId="77777777" w:rsidR="00542AF7" w:rsidRDefault="00D93D5A">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（2016年11月4日至2023年09月30日）</w:t>
      </w:r>
    </w:p>
    <w:p w14:paraId="798CFAD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1．交银裕盈纯债债券A</w:t>
      </w:r>
    </w:p>
    <w:p w14:paraId="307F732E" w14:textId="596BAF32" w:rsidR="00542AF7" w:rsidRDefault="00B43131">
      <w:pPr>
        <w:autoSpaceDE w:val="0"/>
        <w:autoSpaceDN w:val="0"/>
        <w:adjustRightInd w:val="0"/>
        <w:snapToGrid w:val="0"/>
        <w:spacing w:line="360" w:lineRule="auto"/>
        <w:ind w:firstLineChars="200" w:firstLine="480"/>
        <w:jc w:val="left"/>
        <w:rPr>
          <w:rFonts w:ascii="宋体" w:hAnsi="宋体"/>
          <w:szCs w:val="24"/>
        </w:rPr>
      </w:pPr>
      <w:r>
        <w:rPr>
          <w:rFonts w:ascii="宋体" w:hAnsi="宋体"/>
          <w:noProof/>
          <w:kern w:val="0"/>
          <w:sz w:val="24"/>
        </w:rPr>
        <w:drawing>
          <wp:inline distT="0" distB="0" distL="0" distR="0" wp14:anchorId="436B9EF1" wp14:editId="3DB16490">
            <wp:extent cx="5581650" cy="4349750"/>
            <wp:effectExtent l="0" t="0" r="0" b="0"/>
            <wp:docPr id="3" name="图片 3"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212566102420208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650" cy="4349750"/>
                    </a:xfrm>
                    <a:prstGeom prst="rect">
                      <a:avLst/>
                    </a:prstGeom>
                    <a:noFill/>
                    <a:ln>
                      <a:noFill/>
                    </a:ln>
                  </pic:spPr>
                </pic:pic>
              </a:graphicData>
            </a:graphic>
          </wp:inline>
        </w:drawing>
      </w:r>
    </w:p>
    <w:p w14:paraId="24726F6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注：本基金建仓期为自基金合同生效日起的6个月。截至建仓期结束，本基金</w:t>
      </w:r>
      <w:r>
        <w:rPr>
          <w:rFonts w:ascii="宋体" w:hAnsi="宋体"/>
          <w:sz w:val="24"/>
        </w:rPr>
        <w:lastRenderedPageBreak/>
        <w:t>各项资产配置比例符合基金合同及招募说明书有关投资比例的约定。</w:t>
      </w:r>
    </w:p>
    <w:p w14:paraId="55276A2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2．交银裕盈纯债债券C</w:t>
      </w:r>
    </w:p>
    <w:p w14:paraId="642111F1" w14:textId="61428AA1" w:rsidR="00542AF7" w:rsidRDefault="00B43131">
      <w:pPr>
        <w:autoSpaceDE w:val="0"/>
        <w:autoSpaceDN w:val="0"/>
        <w:adjustRightInd w:val="0"/>
        <w:snapToGrid w:val="0"/>
        <w:spacing w:line="360" w:lineRule="auto"/>
        <w:ind w:firstLineChars="200" w:firstLine="480"/>
        <w:jc w:val="left"/>
        <w:rPr>
          <w:rFonts w:ascii="宋体" w:hAnsi="宋体"/>
          <w:szCs w:val="24"/>
        </w:rPr>
      </w:pPr>
      <w:r>
        <w:rPr>
          <w:rFonts w:ascii="宋体" w:hAnsi="宋体"/>
          <w:noProof/>
          <w:kern w:val="0"/>
          <w:sz w:val="24"/>
        </w:rPr>
        <w:drawing>
          <wp:inline distT="0" distB="0" distL="0" distR="0" wp14:anchorId="12BD584C" wp14:editId="331FAD27">
            <wp:extent cx="5581650" cy="4349750"/>
            <wp:effectExtent l="0" t="0" r="0" b="0"/>
            <wp:docPr id="4" name="图片 4"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5212566102420208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1650" cy="4349750"/>
                    </a:xfrm>
                    <a:prstGeom prst="rect">
                      <a:avLst/>
                    </a:prstGeom>
                    <a:noFill/>
                    <a:ln>
                      <a:noFill/>
                    </a:ln>
                  </pic:spPr>
                </pic:pic>
              </a:graphicData>
            </a:graphic>
          </wp:inline>
        </w:drawing>
      </w:r>
    </w:p>
    <w:p w14:paraId="63BA435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注：本基金建仓期为自基金合同生效日起的6个月。截至建仓期结束，本基金各项资产配置比例符合基金合同及招募说明书有关投资比例的约定。</w:t>
      </w:r>
    </w:p>
    <w:p w14:paraId="7BB60C96" w14:textId="77777777" w:rsidR="00C86C88" w:rsidRDefault="00D93D5A" w:rsidP="00C86C8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120DC83D" w14:textId="77777777" w:rsidR="00542AF7" w:rsidRDefault="00D93D5A">
      <w:pPr>
        <w:pStyle w:val="1"/>
        <w:snapToGrid w:val="0"/>
        <w:spacing w:beforeLines="0" w:before="240" w:after="240"/>
        <w:rPr>
          <w:rFonts w:ascii="宋体" w:hAnsi="宋体"/>
          <w:szCs w:val="30"/>
        </w:rPr>
      </w:pPr>
      <w:bookmarkStart w:id="15" w:name="_Toc151542545"/>
      <w:r>
        <w:rPr>
          <w:rFonts w:ascii="Times New Roman" w:hAnsi="Times New Roman"/>
          <w:sz w:val="30"/>
        </w:rPr>
        <w:lastRenderedPageBreak/>
        <w:t>十二、基金的财产</w:t>
      </w:r>
      <w:bookmarkEnd w:id="15"/>
    </w:p>
    <w:p w14:paraId="35C7757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（一）基金资产总值</w:t>
      </w:r>
    </w:p>
    <w:p w14:paraId="3FF1737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基金资产总值是指基金拥有的各类有价证券、银行存款本息、基金应收申购款及其他资产的价值总和。</w:t>
      </w:r>
    </w:p>
    <w:p w14:paraId="2CE7D9B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（二）基金资产净值</w:t>
      </w:r>
    </w:p>
    <w:p w14:paraId="5598763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基金资产净值是指基金资产总值减去基金负债后的价值。</w:t>
      </w:r>
    </w:p>
    <w:p w14:paraId="54FBAD9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（三）基金财产的账户</w:t>
      </w:r>
    </w:p>
    <w:p w14:paraId="563F47A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54ABDA2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（四）基金财产的保管和处分</w:t>
      </w:r>
    </w:p>
    <w:p w14:paraId="5FDD153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3F847D6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58CCCE9C" w14:textId="77777777" w:rsidR="00C86C88" w:rsidRDefault="00D93D5A" w:rsidP="00C86C8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441F14DB" w14:textId="77777777" w:rsidR="00542AF7" w:rsidRDefault="00D93D5A">
      <w:pPr>
        <w:pStyle w:val="1"/>
        <w:snapToGrid w:val="0"/>
        <w:spacing w:beforeLines="0" w:before="240" w:after="240"/>
        <w:rPr>
          <w:rFonts w:ascii="宋体" w:hAnsi="宋体"/>
          <w:szCs w:val="30"/>
        </w:rPr>
      </w:pPr>
      <w:bookmarkStart w:id="16" w:name="_Toc151542546"/>
      <w:r>
        <w:rPr>
          <w:rFonts w:ascii="Times New Roman" w:hAnsi="Times New Roman"/>
          <w:sz w:val="30"/>
        </w:rPr>
        <w:lastRenderedPageBreak/>
        <w:t>十三、基金资产的估值</w:t>
      </w:r>
      <w:bookmarkEnd w:id="16"/>
    </w:p>
    <w:p w14:paraId="776FFBC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（一）估值日</w:t>
      </w:r>
    </w:p>
    <w:p w14:paraId="1E1A386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本基金的估值日为本基金相关的证券交易场所的交易日以及国家法律法规规定需要对外披露基金净值的非交易日。</w:t>
      </w:r>
    </w:p>
    <w:p w14:paraId="6EF211F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（二）估值对象</w:t>
      </w:r>
    </w:p>
    <w:p w14:paraId="57A929E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基金所拥有的债券和其它投资等持续以公允价值计量的金融资产及负债。</w:t>
      </w:r>
    </w:p>
    <w:p w14:paraId="0FBA04E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（三）估值方法</w:t>
      </w:r>
    </w:p>
    <w:p w14:paraId="6E5AADF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1、证券交易所上市的有价证券的估值</w:t>
      </w:r>
    </w:p>
    <w:p w14:paraId="27CFCDD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（1）交易所市场上市交易或挂牌转让的固定收益品种（另有规定的除外），选取第三方估值机构提供的相应品种当日的估值净价进行估值；</w:t>
      </w:r>
    </w:p>
    <w:p w14:paraId="6A18A27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（2）交易所市场上市交易的可转换债券，按估值日收盘价减去可转换债券收盘价中所含债券应收利息后得到的净价进行估值；</w:t>
      </w:r>
    </w:p>
    <w:p w14:paraId="4E1DCEF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（3）交易所市场挂牌转让的资产支持证券和私募债券，采用估值技术确定公允价值。</w:t>
      </w:r>
    </w:p>
    <w:p w14:paraId="689A308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2、交易所市场发行未上市或未挂牌转让的债券，采用估值技术确定公允价值。</w:t>
      </w:r>
    </w:p>
    <w:p w14:paraId="7E4561F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3、银行间市场上市交易的固定收益品种，选取第三方估值机构提供的相应品种当日的估值净价进行估值。银行间市场发行未上市的固定收益品种，采用估值技术确定公允价值。</w:t>
      </w:r>
    </w:p>
    <w:p w14:paraId="46CD462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4、如有确凿证据表明按上述方法进行估值不能客观反映其公允价值的，基金管理人可根据具体情况与基金托管人商定后，按最能反映公允价值的方法估值。</w:t>
      </w:r>
    </w:p>
    <w:p w14:paraId="4C085FB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5、相关法律法规以及监管部门有强制规定的，从其规定。如有新增事项，按法律法规以及监管部门最新规定估值。</w:t>
      </w:r>
    </w:p>
    <w:p w14:paraId="784DCA3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B54C50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w:t>
      </w:r>
      <w:r>
        <w:rPr>
          <w:rFonts w:ascii="宋体" w:hAnsi="宋体"/>
          <w:sz w:val="24"/>
        </w:rPr>
        <w:lastRenderedPageBreak/>
        <w:t>理人对基金资产净值的计算结果对外予以公布。</w:t>
      </w:r>
    </w:p>
    <w:p w14:paraId="5E16836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（四）估值程序</w:t>
      </w:r>
    </w:p>
    <w:p w14:paraId="20BC615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1、各类基金份额的基金份额净值是按照每个工作日闭市后，该类基金份额的基金资产净值除以当日该类基金份额的余额数量计算，精确到0.0001元，小数点后第五位四舍五入。国家另有规定的，从其规定。</w:t>
      </w:r>
    </w:p>
    <w:p w14:paraId="75EFD6D1" w14:textId="5EC65731"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基金管理人于每个工作日计算基金资产净值及</w:t>
      </w:r>
      <w:r w:rsidR="00B43131">
        <w:rPr>
          <w:rFonts w:ascii="宋体" w:hAnsi="宋体" w:hint="eastAsia"/>
          <w:sz w:val="24"/>
        </w:rPr>
        <w:t>各类</w:t>
      </w:r>
      <w:r>
        <w:rPr>
          <w:rFonts w:ascii="宋体" w:hAnsi="宋体"/>
          <w:sz w:val="24"/>
        </w:rPr>
        <w:t>基金份额净值，并按规定公告。如遇特殊情况，经中国证监会同意，可以适当延迟计算或公告。</w:t>
      </w:r>
    </w:p>
    <w:p w14:paraId="0D110C4F" w14:textId="01DB7C32"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2、基金管理人应每个工作日对基金资产估值，但基金管理人根据法律法规或基金合同的规定暂停估值时除外。基金管理人每个工作日对基金资产估值后，将</w:t>
      </w:r>
      <w:r w:rsidR="00726326">
        <w:rPr>
          <w:rFonts w:ascii="宋体" w:hAnsi="宋体" w:hint="eastAsia"/>
          <w:sz w:val="24"/>
        </w:rPr>
        <w:t>各类</w:t>
      </w:r>
      <w:r>
        <w:rPr>
          <w:rFonts w:ascii="宋体" w:hAnsi="宋体"/>
          <w:sz w:val="24"/>
        </w:rPr>
        <w:t>基金份额净值结果发送基金托管人，经基金托管人复核无误后，由基金管理人依据基金合同和相关法律法规的规定对外公布。</w:t>
      </w:r>
    </w:p>
    <w:p w14:paraId="6211FA4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（五）估值错误的处理</w:t>
      </w:r>
    </w:p>
    <w:p w14:paraId="66BA7B5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基金管理人和基金托管人将采取必要、适当、合理的措施确保基金资产估值的准确性、及时性。当基金份额净值小数点后第4位以内（含第4位) 发生估值错误时，视为基金份额净值错误。</w:t>
      </w:r>
    </w:p>
    <w:p w14:paraId="1B1B59E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一方当事人提供的信息错误，另一方当事人在采取了必要合理的措施后仍不能发现该错误，进而导致基金资产净值计算错误造成投资人或基金的损失，以及由此造成以后交易日基金资产净值计算顺延错误而引起的投资人或基金的损失，由提供错误信息的当事人一方负责赔偿。</w:t>
      </w:r>
    </w:p>
    <w:p w14:paraId="0354D8D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基金合同的当事人应按照以下约定处理：</w:t>
      </w:r>
    </w:p>
    <w:p w14:paraId="690ECB5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1、估值错误类型</w:t>
      </w:r>
    </w:p>
    <w:p w14:paraId="779B239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如果由于基金管理人或基金托管人、或登记机构、或销售机构、或投资人自身的过错造成估值错误，导致其他当事人遭受损失的，过错的责任人应当对由于该估值错误遭受损失当事人（“受损方”) 的直接损失按下述“估值错误处理原则”给予赔偿，承担赔偿责任。</w:t>
      </w:r>
    </w:p>
    <w:p w14:paraId="15B1530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上述估值错误的主要类型包括但不限于：资料申报差错、数据传输差错、数据计算差错、系统故障差错、下达指令差错等。</w:t>
      </w:r>
    </w:p>
    <w:p w14:paraId="4ECB71C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对于因技术原因引起的差错，若系同行业现有技术水平无法预见、无法避免、无法抗拒，则属不可抗力。</w:t>
      </w:r>
    </w:p>
    <w:p w14:paraId="6DD90CF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由于不可抗力原因造成投资人的交易资料灭失或被错误处理或造成其他错误</w:t>
      </w:r>
      <w:r>
        <w:rPr>
          <w:rFonts w:ascii="宋体" w:hAnsi="宋体"/>
          <w:sz w:val="24"/>
        </w:rPr>
        <w:lastRenderedPageBreak/>
        <w:t>等，因不可抗力原因出现估值错误的当事人不对其他当事人承担赔偿责任，但因该估值错误取得不当得利的当事人仍应负有返还不当得利的义务。</w:t>
      </w:r>
    </w:p>
    <w:p w14:paraId="3AD3AE4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2、估值错误处理原则</w:t>
      </w:r>
    </w:p>
    <w:p w14:paraId="65D2DE4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5A6DC0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（2）估值错误的责任方对有关当事人的直接损失负责，不对间接损失负责，并且仅对估值错误的有关直接当事人负责，不对第三方负责。</w:t>
      </w:r>
    </w:p>
    <w:p w14:paraId="4D53F14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85B15F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（4）估值错误调整采用尽量恢复至假设未发生估值错误的正确情形的方式。</w:t>
      </w:r>
    </w:p>
    <w:p w14:paraId="496780C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（5）按法律法规规定的其他原则处理估值错误。</w:t>
      </w:r>
    </w:p>
    <w:p w14:paraId="22C3FB0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3、估值错误处理程序</w:t>
      </w:r>
    </w:p>
    <w:p w14:paraId="53831AB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估值错误被发现后，有关的当事人应当及时进行处理，处理的程序如下：</w:t>
      </w:r>
    </w:p>
    <w:p w14:paraId="67A55F2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（1）查明估值错误发生的原因，列明所有的当事人，并根据估值错误发生的原因确定估值错误的责任方；</w:t>
      </w:r>
    </w:p>
    <w:p w14:paraId="4E41737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（2）根据估值错误处理原则或当事人协商的方法对因估值错误造成的损失进行评估；</w:t>
      </w:r>
    </w:p>
    <w:p w14:paraId="3FF6F9C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（3）根据估值错误处理原则或当事人协商的方法由估值错误的责任方进行更正和赔偿损失；</w:t>
      </w:r>
    </w:p>
    <w:p w14:paraId="00D898C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（4）根据估值错误处理的方法，需要修改基金登记机构交易数据的，由基金登记机构进行更正，并就估值错误的更正向有关当事人进行确认。</w:t>
      </w:r>
    </w:p>
    <w:p w14:paraId="1069526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4、基金份额净值估值错误处理的方法如下：</w:t>
      </w:r>
    </w:p>
    <w:p w14:paraId="338AD99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（1）基金份额净值计算出现错误时，基金管理人应当立即予以纠正，通报基金托管人，并采取合理的措施防止损失进一步扩大。</w:t>
      </w:r>
    </w:p>
    <w:p w14:paraId="70C94BB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（2）错误偏差达到基金份额净值的0.25%时，基金管理人应当通报基金托管人并报中国证监会备案；错误偏差达到基金份额净值的0.5%时，基金管理人应当公告。</w:t>
      </w:r>
    </w:p>
    <w:p w14:paraId="756B220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（3）前述内容如法律法规或监管机关另有规定的，从其规定处理。</w:t>
      </w:r>
    </w:p>
    <w:p w14:paraId="2A056E1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（六）暂停估值的情形</w:t>
      </w:r>
    </w:p>
    <w:p w14:paraId="2D5D327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1、基金投资所涉及的证券交易市场遇法定节假日或因其他原因暂停营业时；</w:t>
      </w:r>
    </w:p>
    <w:p w14:paraId="6B65A4F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2、因不可抗力致使基金管理人、基金托管人无法准确评估基金资产价值时；</w:t>
      </w:r>
    </w:p>
    <w:p w14:paraId="3577931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3、当特定资产占前一估值日基金资产净值50%以上的，经与基金托管人协商确认后，基金管理人应当暂停估值；</w:t>
      </w:r>
    </w:p>
    <w:p w14:paraId="4752CC1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4、中国证监会和基金合同认定的其它情形。</w:t>
      </w:r>
    </w:p>
    <w:p w14:paraId="4E6BABE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（七）基金净值的确认</w:t>
      </w:r>
    </w:p>
    <w:p w14:paraId="13AE7CD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依据基金合同和相关法律法规的规定对基金净值予以公布。</w:t>
      </w:r>
    </w:p>
    <w:p w14:paraId="27F7CEE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（八）特殊情形的处理</w:t>
      </w:r>
    </w:p>
    <w:p w14:paraId="68C9070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1、基金管理人或基金托管人按估值方法的第4项进行估值时，所造成的误差不作为基金资产估值错误处理。</w:t>
      </w:r>
    </w:p>
    <w:p w14:paraId="031F573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由于不可抗力原因，或由于证券交易所、证券经纪机构及登记结算公司发送的数据错误等，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64625B6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（九）实施侧袋机制期间的基金资产估值</w:t>
      </w:r>
    </w:p>
    <w:p w14:paraId="2C5990F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本基金实施侧袋机制的，应根据本部分的约定对主袋账户资产进行估值并披露主袋账户的基金净值信息，暂停披露侧袋账户份额净值。</w:t>
      </w:r>
    </w:p>
    <w:p w14:paraId="031BC2C1" w14:textId="77777777" w:rsidR="00C86C88" w:rsidRDefault="00D93D5A" w:rsidP="00C86C88">
      <w:pPr>
        <w:autoSpaceDE w:val="0"/>
        <w:autoSpaceDN w:val="0"/>
        <w:adjustRightInd w:val="0"/>
        <w:spacing w:line="360" w:lineRule="auto"/>
        <w:ind w:firstLineChars="200" w:firstLine="480"/>
        <w:rPr>
          <w:rFonts w:ascii="宋体" w:hAnsi="宋体"/>
          <w:szCs w:val="24"/>
        </w:rPr>
      </w:pPr>
      <w:r>
        <w:rPr>
          <w:rFonts w:ascii="宋体" w:hAnsi="宋体"/>
          <w:sz w:val="24"/>
        </w:rPr>
        <w:lastRenderedPageBreak/>
        <w:br w:type="page"/>
      </w:r>
    </w:p>
    <w:p w14:paraId="5B0B2A39" w14:textId="77777777" w:rsidR="00542AF7" w:rsidRDefault="00D93D5A">
      <w:pPr>
        <w:pStyle w:val="1"/>
        <w:snapToGrid w:val="0"/>
        <w:spacing w:beforeLines="0" w:before="240" w:after="240"/>
        <w:rPr>
          <w:rFonts w:ascii="宋体" w:hAnsi="宋体"/>
          <w:szCs w:val="30"/>
        </w:rPr>
      </w:pPr>
      <w:bookmarkStart w:id="17" w:name="_Toc151542547"/>
      <w:r>
        <w:rPr>
          <w:rFonts w:ascii="Times New Roman" w:hAnsi="Times New Roman"/>
          <w:sz w:val="30"/>
        </w:rPr>
        <w:lastRenderedPageBreak/>
        <w:t>十四、基金收益与分配</w:t>
      </w:r>
      <w:bookmarkEnd w:id="17"/>
    </w:p>
    <w:p w14:paraId="565FAAD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（一）基金利润的构成</w:t>
      </w:r>
    </w:p>
    <w:p w14:paraId="2F290A2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基金利润指基金利息收入、投资收益、公允价值变动收益和其他收入扣除相关费用后的余额，基金已实现收益指基金利润减去公允价值变动收益后的余额。</w:t>
      </w:r>
    </w:p>
    <w:p w14:paraId="5477B8D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（二）基金可供分配利润</w:t>
      </w:r>
    </w:p>
    <w:p w14:paraId="0FFBB45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基金可供分配利润指截至收益分配基准日基金未分配利润与未分配利润中已实现收益的孰低数。</w:t>
      </w:r>
    </w:p>
    <w:p w14:paraId="4641BD4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（三）基金收益分配原则</w:t>
      </w:r>
    </w:p>
    <w:p w14:paraId="63072090" w14:textId="45463A3B"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1、由于本基金A类基金份额</w:t>
      </w:r>
      <w:r w:rsidR="008B185B" w:rsidRPr="00EC2A62">
        <w:rPr>
          <w:rFonts w:ascii="宋体" w:hAnsi="宋体" w:hint="eastAsia"/>
          <w:sz w:val="24"/>
        </w:rPr>
        <w:t>和D类基金份额</w:t>
      </w:r>
      <w:r>
        <w:rPr>
          <w:rFonts w:ascii="宋体" w:hAnsi="宋体"/>
          <w:sz w:val="24"/>
        </w:rPr>
        <w:t>不收取销售服务费，C类基金份额收取销售服务费，各基金份额类别对应的可供分配利润将有所不同；</w:t>
      </w:r>
    </w:p>
    <w:p w14:paraId="2379110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2、若基金合同生效不满3个月可不进行收益分配；</w:t>
      </w:r>
    </w:p>
    <w:p w14:paraId="768DFAEC" w14:textId="1B138D96"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3、本基金收益分配方式分两种：现金分红与红利再投资，投资者可选择现金红利或将现金红利自动转为</w:t>
      </w:r>
      <w:r w:rsidR="008B185B" w:rsidRPr="00A22ACB">
        <w:rPr>
          <w:rFonts w:hint="eastAsia"/>
          <w:bCs/>
          <w:sz w:val="24"/>
        </w:rPr>
        <w:t>相应类别的</w:t>
      </w:r>
      <w:r>
        <w:rPr>
          <w:rFonts w:ascii="宋体" w:hAnsi="宋体"/>
          <w:sz w:val="24"/>
        </w:rPr>
        <w:t>基金份额进行再投资；若投资者不选择，本基金默认的收益分配方式是现金分红；基金份额持有人可对其持有的A类</w:t>
      </w:r>
      <w:r w:rsidR="000E1AC4">
        <w:rPr>
          <w:rFonts w:ascii="宋体" w:hAnsi="宋体" w:hint="eastAsia"/>
          <w:sz w:val="24"/>
        </w:rPr>
        <w:t>、</w:t>
      </w:r>
      <w:r>
        <w:rPr>
          <w:rFonts w:ascii="宋体" w:hAnsi="宋体"/>
          <w:sz w:val="24"/>
        </w:rPr>
        <w:t>C类基金份额</w:t>
      </w:r>
      <w:r w:rsidR="000E1AC4" w:rsidRPr="00EC2A62">
        <w:rPr>
          <w:rFonts w:ascii="宋体" w:hAnsi="宋体" w:hint="eastAsia"/>
          <w:sz w:val="24"/>
        </w:rPr>
        <w:t>和D类基金份额</w:t>
      </w:r>
      <w:r>
        <w:rPr>
          <w:rFonts w:ascii="宋体" w:hAnsi="宋体"/>
          <w:sz w:val="24"/>
        </w:rPr>
        <w:t>分别选择不同的收益分配方式；</w:t>
      </w:r>
    </w:p>
    <w:p w14:paraId="3FE02C57" w14:textId="7C7EE49E"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4、基金收益分配后</w:t>
      </w:r>
      <w:r w:rsidR="002C6FD5">
        <w:rPr>
          <w:rFonts w:ascii="宋体" w:hAnsi="宋体" w:hint="eastAsia"/>
          <w:sz w:val="24"/>
        </w:rPr>
        <w:t>任一类</w:t>
      </w:r>
      <w:r>
        <w:rPr>
          <w:rFonts w:ascii="宋体" w:hAnsi="宋体"/>
          <w:sz w:val="24"/>
        </w:rPr>
        <w:t>基金份额净值不能低于面值，即基金收益分配基准日的</w:t>
      </w:r>
      <w:r w:rsidR="002C6FD5">
        <w:rPr>
          <w:rFonts w:ascii="宋体" w:hAnsi="宋体" w:hint="eastAsia"/>
          <w:sz w:val="24"/>
        </w:rPr>
        <w:t>任一类</w:t>
      </w:r>
      <w:r>
        <w:rPr>
          <w:rFonts w:ascii="宋体" w:hAnsi="宋体"/>
          <w:sz w:val="24"/>
        </w:rPr>
        <w:t>基金份额净值减去</w:t>
      </w:r>
      <w:r w:rsidR="002C6FD5">
        <w:rPr>
          <w:rFonts w:ascii="宋体" w:hAnsi="宋体" w:hint="eastAsia"/>
          <w:sz w:val="24"/>
        </w:rPr>
        <w:t>该类</w:t>
      </w:r>
      <w:r>
        <w:rPr>
          <w:rFonts w:ascii="宋体" w:hAnsi="宋体"/>
          <w:sz w:val="24"/>
        </w:rPr>
        <w:t>每单位基金份额收益分配金额后不能低于面值；</w:t>
      </w:r>
    </w:p>
    <w:p w14:paraId="1611E22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5、本基金同一基金份额类别的每一基金份额享有同等分配权；</w:t>
      </w:r>
    </w:p>
    <w:p w14:paraId="471D656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6、法律法规或监管机关另有规定的，从其规定。</w:t>
      </w:r>
    </w:p>
    <w:p w14:paraId="4DC90B7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（四）收益分配方案</w:t>
      </w:r>
    </w:p>
    <w:p w14:paraId="34C8F02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基金收益分配方案中应载明截止收益分配基准日的可供分配利润、基金收益分配对象、分配时间、分配数额及比例、分配方式等内容。</w:t>
      </w:r>
    </w:p>
    <w:p w14:paraId="1BB0E20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（五）收益分配方案的确定、公告与实施</w:t>
      </w:r>
    </w:p>
    <w:p w14:paraId="6BDCF22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本基金收益分配方案由基金管理人拟定，并由基金托管人复核，依照《信息披露办法》的有关规定在指定媒介公告。</w:t>
      </w:r>
    </w:p>
    <w:p w14:paraId="16437FF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基金红利发放日距离收益分配基准日（即可供分配利润计算截止日）的时间不得超过15个工作日。</w:t>
      </w:r>
    </w:p>
    <w:p w14:paraId="3690011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法律法规或监管机关另有规定的，从其规定。</w:t>
      </w:r>
    </w:p>
    <w:p w14:paraId="4D85ABB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（六）基金收益分配中发生的费用</w:t>
      </w:r>
    </w:p>
    <w:p w14:paraId="1C194A5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收益分配时所发生的银行转账或其他手续费用由投资者自行承担。当投资者的现金红利小于一定金额，不足以支付银行转账或其他手续费用时，登记机构可将基金份额持有人的现金红利自动转为相应类别的基金份额。红利再投资的计算方法，依照《业务规则》执行。</w:t>
      </w:r>
    </w:p>
    <w:p w14:paraId="1145FB0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（七）收益分配方式的修改</w:t>
      </w:r>
    </w:p>
    <w:p w14:paraId="44BBBB9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投资人可至销售机构办理收益分配方式的修改，投资人对本基金不同的交易账户可设置不同的收益分配方式。</w:t>
      </w:r>
    </w:p>
    <w:p w14:paraId="71197D3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投资人同一日多次申报收益分配方式变更的，按照《业务规则》执行，最终确认的收益分配方式以登记机构记录为准。</w:t>
      </w:r>
    </w:p>
    <w:p w14:paraId="79E527C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（八）实施侧袋机制期间的收益分配</w:t>
      </w:r>
    </w:p>
    <w:p w14:paraId="6734E3A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本基金实施侧袋机制的，侧袋账户不进行收益分配。</w:t>
      </w:r>
    </w:p>
    <w:p w14:paraId="730F3597" w14:textId="77777777" w:rsidR="00C86C88" w:rsidRDefault="00D93D5A" w:rsidP="00C86C8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2987E894" w14:textId="77777777" w:rsidR="00542AF7" w:rsidRDefault="00D93D5A">
      <w:pPr>
        <w:pStyle w:val="1"/>
        <w:snapToGrid w:val="0"/>
        <w:spacing w:beforeLines="0" w:before="240" w:after="240"/>
        <w:rPr>
          <w:rFonts w:ascii="宋体" w:hAnsi="宋体"/>
          <w:szCs w:val="30"/>
        </w:rPr>
      </w:pPr>
      <w:bookmarkStart w:id="18" w:name="_Toc151542548"/>
      <w:r>
        <w:rPr>
          <w:rFonts w:ascii="Times New Roman" w:hAnsi="Times New Roman"/>
          <w:sz w:val="30"/>
        </w:rPr>
        <w:lastRenderedPageBreak/>
        <w:t>十五、基金的费用与税收</w:t>
      </w:r>
      <w:bookmarkEnd w:id="18"/>
    </w:p>
    <w:p w14:paraId="5DF2400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（一）基金费用的种类</w:t>
      </w:r>
    </w:p>
    <w:p w14:paraId="318ED9E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1、基金管理人的管理费；</w:t>
      </w:r>
    </w:p>
    <w:p w14:paraId="5049735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2、基金托管人的托管费；</w:t>
      </w:r>
    </w:p>
    <w:p w14:paraId="2CD9B77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3、《基金合同》生效后与基金相关的信息披露费用；</w:t>
      </w:r>
    </w:p>
    <w:p w14:paraId="375FAC7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4、《基金合同》生效后与基金相关的会计师费、律师费、仲裁费和诉讼费；</w:t>
      </w:r>
    </w:p>
    <w:p w14:paraId="6C691EF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5、基金份额持有人大会费用；</w:t>
      </w:r>
    </w:p>
    <w:p w14:paraId="17D59E4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6、基金的证券交易费用；</w:t>
      </w:r>
    </w:p>
    <w:p w14:paraId="79250A3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7、基金的银行汇划费用；</w:t>
      </w:r>
    </w:p>
    <w:p w14:paraId="1D04C6D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8、基金的开户费用、账户维护费用；</w:t>
      </w:r>
    </w:p>
    <w:p w14:paraId="5B4C825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9、本基金从C类基金份额的基金财产中计提的销售服务费；</w:t>
      </w:r>
    </w:p>
    <w:p w14:paraId="2132115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10、按照国家有关规定和《基金合同》约定，可以在基金财产中列支的其他费用。</w:t>
      </w:r>
    </w:p>
    <w:p w14:paraId="18CFEB2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（二）基金费用计提方法、计提标准和支付方式</w:t>
      </w:r>
    </w:p>
    <w:p w14:paraId="7B7C377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1、与基金运作有关的费用</w:t>
      </w:r>
    </w:p>
    <w:p w14:paraId="6769A2D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（1）基金管理人的管理费</w:t>
      </w:r>
    </w:p>
    <w:p w14:paraId="5A9898E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本基金的管理费按前一日基金资产净值的0.3%年费率计提。管理费的计算方法如下：</w:t>
      </w:r>
    </w:p>
    <w:p w14:paraId="2B2F83E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H＝E×0.3%÷当年天数</w:t>
      </w:r>
    </w:p>
    <w:p w14:paraId="58E3290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H为每日应计提的基金管理费</w:t>
      </w:r>
    </w:p>
    <w:p w14:paraId="1DA9C6A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E为前一日的基金资产净值</w:t>
      </w:r>
    </w:p>
    <w:p w14:paraId="1537286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费每日计算，按月支付。由基金管理人向基金托管人发送划款指令，由基金托管人复核后于次月首日起第3个工作日从基金财产中一次性支付给基金管理人，若遇法定节假日、休息日或不可抗力致使无法按时支付的，支付日期顺延。</w:t>
      </w:r>
    </w:p>
    <w:p w14:paraId="001687B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（2）基金托管人的托管费</w:t>
      </w:r>
    </w:p>
    <w:p w14:paraId="7B6107B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本基金的托管费按前一日基金资产净值的0.1%的年费率计提。托管费的计算方法如下：</w:t>
      </w:r>
    </w:p>
    <w:p w14:paraId="5472C77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H＝E×0.1%÷当年天数</w:t>
      </w:r>
    </w:p>
    <w:p w14:paraId="525ACD6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H为每日应计提的基金托管费</w:t>
      </w:r>
    </w:p>
    <w:p w14:paraId="0087234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E为前一日的基金资产净值</w:t>
      </w:r>
    </w:p>
    <w:p w14:paraId="5B61A82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费每日计算，按月支付。由基金管理人向基金托管人发送划款指令，由基金托管人复核后于次月首日起第3个工作日从基金财产中一次性支取，若遇法定节假日、休息日或不可抗力致使无法按时支付的，支付日期顺延。</w:t>
      </w:r>
    </w:p>
    <w:p w14:paraId="4C7D751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（3）C类基金份额的销售服务费</w:t>
      </w:r>
    </w:p>
    <w:p w14:paraId="040258F1" w14:textId="2F3E8121"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w:t>
      </w:r>
      <w:r w:rsidR="000E1AC4" w:rsidRPr="00376874">
        <w:rPr>
          <w:rFonts w:ascii="宋体" w:hAnsi="宋体" w:hint="eastAsia"/>
          <w:sz w:val="24"/>
        </w:rPr>
        <w:t>和D类基金份额</w:t>
      </w:r>
      <w:r>
        <w:rPr>
          <w:rFonts w:ascii="宋体" w:hAnsi="宋体"/>
          <w:sz w:val="24"/>
        </w:rPr>
        <w:t>不收取销售服务费，C类基金份额的销售服务费按前一日C类基金资产净值的0.4%年费率计提。计算方法如下：</w:t>
      </w:r>
    </w:p>
    <w:p w14:paraId="691AB7A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H＝E×0.4%÷当年天数</w:t>
      </w:r>
    </w:p>
    <w:p w14:paraId="4104013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H为C类基金份额每日应计提的销售服务费</w:t>
      </w:r>
    </w:p>
    <w:p w14:paraId="51AF97B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E为C类基金份额前一日基金资产净值</w:t>
      </w:r>
    </w:p>
    <w:p w14:paraId="585CF1B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类基金份额销售服务费每日计算，按月支付。由基金管理人向基金托管人发送划款指令，由基金托管人复核后于次月首日起第3个工作日从基金财产中一次性支付给基金管理人，由基金管理人代付给销售机构，若遇法定节假日、休息日或不可抗力致使无法按时支付的，支付日期顺延。</w:t>
      </w:r>
    </w:p>
    <w:p w14:paraId="00B110C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C类基金份额的销售服务费将专门用于本基金的推广、销售与基金份额持有人服务。</w:t>
      </w:r>
    </w:p>
    <w:p w14:paraId="23DE923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上述“（一）基金费用的种类”中第3－8项、第10项费用，根据有关法规及相应协议规定，按费用实际支出金额列入当期费用，由基金托管人从基金财产中支付。</w:t>
      </w:r>
    </w:p>
    <w:p w14:paraId="2C9B361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2、与基金销售有关的费用</w:t>
      </w:r>
    </w:p>
    <w:p w14:paraId="5977295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（1）申购费</w:t>
      </w:r>
    </w:p>
    <w:p w14:paraId="4B7914E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本基金申购费的费率水平、计算公式和收取方式详见“基金份额的申购与赎回”一章。</w:t>
      </w:r>
    </w:p>
    <w:p w14:paraId="7F22D50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（2）赎回费</w:t>
      </w:r>
    </w:p>
    <w:p w14:paraId="7654415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本基金赎回费的费率水平、计算公式和收取方式详见“基金份额的申购与赎回”一章。</w:t>
      </w:r>
    </w:p>
    <w:p w14:paraId="195B9CE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（三）不列入基金费用的项目</w:t>
      </w:r>
    </w:p>
    <w:p w14:paraId="6A9FB60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下列费用不列入基金费用：</w:t>
      </w:r>
    </w:p>
    <w:p w14:paraId="0C169EB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1、基金管理人和基金托管人因未履行或未完全履行义务导致的费用支出或基金财产的损失；</w:t>
      </w:r>
    </w:p>
    <w:p w14:paraId="5AD344C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2、基金管理人和基金托管人处理与基金运作无关的事项发生的费用；</w:t>
      </w:r>
    </w:p>
    <w:p w14:paraId="76020A3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3、《基金合同》生效前的相关费用；</w:t>
      </w:r>
    </w:p>
    <w:p w14:paraId="474DBE5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4、其他根据相关法律法规及中国证监会的有关规定不得列入基金费用的项目。</w:t>
      </w:r>
    </w:p>
    <w:p w14:paraId="0C8CB10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和基金托管人可根据基金发展情况，在履行适当程序后调整基金管理费率、基金托管费率和C类基金份额销售服务费率等相关费率。降低C类基金份额销售服务费率，无须召开基金份额持有人大会。基金管理人必须依照有关规定于新的费率实施日前在指定媒介上刊登公告。</w:t>
      </w:r>
    </w:p>
    <w:p w14:paraId="0C71339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（五）实施侧袋机制期间的基金费用</w:t>
      </w:r>
    </w:p>
    <w:p w14:paraId="6DD3EE1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本基金实施侧袋机制的，与侧袋账户有关的费用可以从侧袋账户中列支，但应待侧袋账户资产变现后方可列支，有关费用可酌情收取或减免，但不得收取管理费，详见本招募说明书“侧袋机制”部分的规定。</w:t>
      </w:r>
    </w:p>
    <w:p w14:paraId="766276F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（六）基金税收</w:t>
      </w:r>
    </w:p>
    <w:p w14:paraId="3A7BF1C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本基金运作过程中涉及的各纳税主体，其纳税义务按国家税收法律、法规执行。</w:t>
      </w:r>
    </w:p>
    <w:p w14:paraId="3FF70A61" w14:textId="77777777" w:rsidR="00C86C88" w:rsidRDefault="00D93D5A" w:rsidP="00C86C8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0355EFBA" w14:textId="77777777" w:rsidR="00542AF7" w:rsidRDefault="00D93D5A">
      <w:pPr>
        <w:pStyle w:val="1"/>
        <w:snapToGrid w:val="0"/>
        <w:spacing w:beforeLines="0" w:before="240" w:after="240"/>
        <w:rPr>
          <w:rFonts w:ascii="宋体" w:hAnsi="宋体"/>
          <w:szCs w:val="30"/>
        </w:rPr>
      </w:pPr>
      <w:bookmarkStart w:id="19" w:name="_Toc151542549"/>
      <w:r>
        <w:rPr>
          <w:rFonts w:ascii="Times New Roman" w:hAnsi="Times New Roman"/>
          <w:sz w:val="30"/>
        </w:rPr>
        <w:lastRenderedPageBreak/>
        <w:t>十六、基金的会计与审计</w:t>
      </w:r>
      <w:bookmarkEnd w:id="19"/>
    </w:p>
    <w:p w14:paraId="12DA66C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（一）基金会计政策</w:t>
      </w:r>
    </w:p>
    <w:p w14:paraId="5FA66AB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1、基金管理人为本基金的基金会计责任方；</w:t>
      </w:r>
    </w:p>
    <w:p w14:paraId="0E59AB3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2、基金的会计年度为公历年度的1月1日至12月31日；</w:t>
      </w:r>
    </w:p>
    <w:p w14:paraId="2109BBD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3、基金核算以人民币为记账本位币，以人民币元为记账单位；</w:t>
      </w:r>
    </w:p>
    <w:p w14:paraId="0D78DC3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4、会计制度执行国家有关会计制度；</w:t>
      </w:r>
    </w:p>
    <w:p w14:paraId="70A3DB2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5、本基金独立建账、独立核算；</w:t>
      </w:r>
    </w:p>
    <w:p w14:paraId="591C40F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6、基金管理人及基金托管人各自保留完整的会计账目、凭证并进行日常的会计核算，按照有关规定编制基金会计报表；</w:t>
      </w:r>
    </w:p>
    <w:p w14:paraId="2BF501B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7、基金托管人每月与基金管理人就基金的会计核算、报表编制等进行核对并以书面方式确认。</w:t>
      </w:r>
    </w:p>
    <w:p w14:paraId="714EEBD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（二）基金的年度审计</w:t>
      </w:r>
    </w:p>
    <w:p w14:paraId="7BB9AF2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1、基金管理人聘请与基金管理人、基金托管人相互独立的具有证券、期货相关从业资格的会计师事务所及其注册会计师对本基金的年度财务报表进行审计。</w:t>
      </w:r>
    </w:p>
    <w:p w14:paraId="1D82541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2、会计师事务所更换经办注册会计师，应事先征得基金管理人同意。</w:t>
      </w:r>
    </w:p>
    <w:p w14:paraId="2BE11B9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3、基金管理人认为有充足理由更换会计师事务所，须通报基金托管人。更换会计师事务所需按照《信息披露办法》的有关规定在指定媒介公告。</w:t>
      </w:r>
    </w:p>
    <w:p w14:paraId="75EB9DBB" w14:textId="77777777" w:rsidR="00C86C88" w:rsidRDefault="00D93D5A" w:rsidP="00C86C8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6B0F0C23" w14:textId="77777777" w:rsidR="00542AF7" w:rsidRDefault="00D93D5A">
      <w:pPr>
        <w:pStyle w:val="1"/>
        <w:snapToGrid w:val="0"/>
        <w:spacing w:beforeLines="0" w:before="240" w:after="240"/>
        <w:rPr>
          <w:rFonts w:ascii="宋体" w:hAnsi="宋体"/>
          <w:szCs w:val="30"/>
        </w:rPr>
      </w:pPr>
      <w:bookmarkStart w:id="20" w:name="_Toc151542550"/>
      <w:r>
        <w:rPr>
          <w:rFonts w:ascii="Times New Roman" w:hAnsi="Times New Roman"/>
          <w:sz w:val="30"/>
        </w:rPr>
        <w:lastRenderedPageBreak/>
        <w:t>十七、基金的信息披露</w:t>
      </w:r>
      <w:bookmarkEnd w:id="20"/>
    </w:p>
    <w:p w14:paraId="3B5188A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（一）本基金的信息披露应符合《基金法》、《运作办法》、《信息披露办法》、《流动性规定》、《基金合同》及其他有关规定。</w:t>
      </w:r>
    </w:p>
    <w:p w14:paraId="41F39AA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（二）信息披露义务人</w:t>
      </w:r>
    </w:p>
    <w:p w14:paraId="3981A0E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本基金信息披露义务人包括基金管理人、基金托管人、召集基金份额持有人大会的基金份额持有人等法律法规和中国证监会规定的自然人、法人和非法人组织。</w:t>
      </w:r>
    </w:p>
    <w:p w14:paraId="3D07D29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本基金信息披露义务人以保护基金份额持有人利益为根本出发点，按照法律法规和中国证监会的规定披露基金信息，并保证所披露信息的真实性、准确性、完整性、及时性、简明性和易得性。</w:t>
      </w:r>
    </w:p>
    <w:p w14:paraId="70275FB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应当在中国证监会规定时间内，将应予披露的基金信息通过中国证监会指定的全国性报刊（以下简称“指定报刊”）及指定互联网网站（以下简称“指定网站”）等媒介披露，并保证基金投资者能够按照《基金合同》约定的时间和方式查阅或者复制公开披露的信息资料。</w:t>
      </w:r>
    </w:p>
    <w:p w14:paraId="319006C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（三）本基金信息披露义务人承诺公开披露的基金信息，不得有下列行为：</w:t>
      </w:r>
    </w:p>
    <w:p w14:paraId="7D60367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1、虚假记载、误导性陈述或者重大遗漏；</w:t>
      </w:r>
    </w:p>
    <w:p w14:paraId="6F17367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2、对证券投资业绩进行预测；</w:t>
      </w:r>
    </w:p>
    <w:p w14:paraId="68918A8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3、违规承诺收益或者承担损失；</w:t>
      </w:r>
    </w:p>
    <w:p w14:paraId="327B933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4、诋毁其他基金管理人、基金托管人或者基金销售机构；</w:t>
      </w:r>
    </w:p>
    <w:p w14:paraId="49CC683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5、登载任何自然人、法人和非法人组织的祝贺性、恭维性或推荐性的文字；</w:t>
      </w:r>
    </w:p>
    <w:p w14:paraId="41C71D1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6、中国证监会禁止的其他行为。</w:t>
      </w:r>
    </w:p>
    <w:p w14:paraId="0EB4A32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（四）本基金公开披露的信息应采用中文文本。如同时采用外文文本的，基金信息披露义务人应保证不同文本的内容一致。不同文本之间发生歧义的，以中文文本为准。</w:t>
      </w:r>
    </w:p>
    <w:p w14:paraId="42E4AD5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本基金公开披露的信息采用阿拉伯数字；除特别说明外，货币单位为人民币元。</w:t>
      </w:r>
    </w:p>
    <w:p w14:paraId="59D9F09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（五）公开披露的基金信息</w:t>
      </w:r>
    </w:p>
    <w:p w14:paraId="18EEB2F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公开披露的基金信息包括：</w:t>
      </w:r>
    </w:p>
    <w:p w14:paraId="18552BE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1、基金招募说明书、《基金合同》、基金托管协议、基金产品资料概要</w:t>
      </w:r>
    </w:p>
    <w:p w14:paraId="1681821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（1）《基金合同》是界定《基金合同》当事人的各项权利、义务关系，明确基</w:t>
      </w:r>
      <w:r>
        <w:rPr>
          <w:rFonts w:ascii="宋体" w:hAnsi="宋体"/>
          <w:sz w:val="24"/>
        </w:rPr>
        <w:lastRenderedPageBreak/>
        <w:t>金份额持有人大会召开的规则及具体程序，说明基金产品的特性等涉及基金投资者重大利益的事项的法律文件。</w:t>
      </w:r>
    </w:p>
    <w:p w14:paraId="0168E2B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14:paraId="2FCEFE1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（3）基金托管协议是界定基金托管人和基金管理人在基金财产保管及基金运作监督等活动中的权利、义务关系的法律文件。</w:t>
      </w:r>
    </w:p>
    <w:p w14:paraId="32F7AB1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626BE07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基金募集申请经中国证监会注册后，基金管理人在基金份额发售的3日前，将基金招募说明书、《基金合同》摘要登载在指定媒介上；基金管理人、基金托管人应当将《基金合同》、基金托管协议登载在网站上。</w:t>
      </w:r>
    </w:p>
    <w:p w14:paraId="5F90346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2、基金份额发售公告</w:t>
      </w:r>
    </w:p>
    <w:p w14:paraId="3A362CE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基金管理人应当就基金份额发售的具体事宜编制基金份额发售公告，并在披露招募说明书的当日登载于指定媒介上。</w:t>
      </w:r>
    </w:p>
    <w:p w14:paraId="4B66691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3、《基金合同》生效公告</w:t>
      </w:r>
    </w:p>
    <w:p w14:paraId="32D9C3B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基金管理人应当在收到中国证监会确认文件的次日在指定媒介上登载《基金合同》生效公告。</w:t>
      </w:r>
    </w:p>
    <w:p w14:paraId="6736E83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4、基金净值信息</w:t>
      </w:r>
    </w:p>
    <w:p w14:paraId="4077C63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《基金合同》生效后，在开始办理基金份额申购或者赎回前，基金管理人应当至少每周在指定网站披露一次A类基金份额和C类基金份额所对应的基金份额净值和基金份额累计净值。</w:t>
      </w:r>
    </w:p>
    <w:p w14:paraId="4DFD3C2C" w14:textId="582B804B"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在开始办理基金份额申购或者赎回后，基金管理人应当在不晚于每个开放日的</w:t>
      </w:r>
      <w:r>
        <w:rPr>
          <w:rFonts w:ascii="宋体" w:hAnsi="宋体"/>
          <w:sz w:val="24"/>
        </w:rPr>
        <w:lastRenderedPageBreak/>
        <w:t>次日，通过指定网站、销售机构网站或者营业网点披露开放日的A类基金份额</w:t>
      </w:r>
      <w:r w:rsidR="000E1AC4">
        <w:rPr>
          <w:rFonts w:ascii="宋体" w:hAnsi="宋体" w:hint="eastAsia"/>
          <w:sz w:val="24"/>
        </w:rPr>
        <w:t>、</w:t>
      </w:r>
      <w:r>
        <w:rPr>
          <w:rFonts w:ascii="宋体" w:hAnsi="宋体"/>
          <w:sz w:val="24"/>
        </w:rPr>
        <w:t>C类基金份额</w:t>
      </w:r>
      <w:r w:rsidR="000E1AC4">
        <w:rPr>
          <w:rFonts w:ascii="宋体" w:hAnsi="宋体" w:hint="eastAsia"/>
          <w:sz w:val="24"/>
        </w:rPr>
        <w:t>和D类基金份额</w:t>
      </w:r>
      <w:r>
        <w:rPr>
          <w:rFonts w:ascii="宋体" w:hAnsi="宋体"/>
          <w:sz w:val="24"/>
        </w:rPr>
        <w:t>所对应的基金份额净值和基金份额累计净值。</w:t>
      </w:r>
    </w:p>
    <w:p w14:paraId="06FA434C" w14:textId="17E59E0E"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基金管理人应当在不晚于半年度和年度最后一日的次日，在指定网站披露半年度和年度最后一日的A类基金份额</w:t>
      </w:r>
      <w:r w:rsidR="000E1AC4">
        <w:rPr>
          <w:rFonts w:ascii="宋体" w:hAnsi="宋体" w:hint="eastAsia"/>
          <w:sz w:val="24"/>
        </w:rPr>
        <w:t>、</w:t>
      </w:r>
      <w:r>
        <w:rPr>
          <w:rFonts w:ascii="宋体" w:hAnsi="宋体"/>
          <w:sz w:val="24"/>
        </w:rPr>
        <w:t>C类基金份额</w:t>
      </w:r>
      <w:r w:rsidR="000E1AC4">
        <w:rPr>
          <w:rFonts w:ascii="宋体" w:hAnsi="宋体" w:hint="eastAsia"/>
          <w:sz w:val="24"/>
        </w:rPr>
        <w:t>和D类基金份额</w:t>
      </w:r>
      <w:r>
        <w:rPr>
          <w:rFonts w:ascii="宋体" w:hAnsi="宋体"/>
          <w:sz w:val="24"/>
        </w:rPr>
        <w:t>所对应的基金份额净值和基金份额累计净值。</w:t>
      </w:r>
    </w:p>
    <w:p w14:paraId="49F46FE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5、基金份额申购、赎回价格</w:t>
      </w:r>
    </w:p>
    <w:p w14:paraId="4175108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4309278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6、基金定期报告，包括基金年度报告、基金中期报告和基金季度报告</w:t>
      </w:r>
    </w:p>
    <w:p w14:paraId="513E16E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14:paraId="5601398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基金管理人应当在上半年结束之日起两个月内，编制完成基金中期报告，将中期报告登载在指定网站上，并将中期报告提示性公告登载在指定报刊上。</w:t>
      </w:r>
    </w:p>
    <w:p w14:paraId="08084D2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基金管理人应当在季度结束之日起15个工作日内，编制完成基金季度报告，将季度报告登载在指定网站上，并将季度报告提示性公告登载在指定报刊上。</w:t>
      </w:r>
    </w:p>
    <w:p w14:paraId="4183AC1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《基金合同》生效不足2个月的，基金管理人可以不编制当期季度报告、中期报告或者年度报告。</w:t>
      </w:r>
    </w:p>
    <w:p w14:paraId="736E355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66021B6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基金管理人应当在基金年度报告和中期报告中披露基金组合资产情况及其流动性风险分析等。</w:t>
      </w:r>
    </w:p>
    <w:p w14:paraId="79E250E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7、临时报告</w:t>
      </w:r>
    </w:p>
    <w:p w14:paraId="7A468BE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本基金发生重大事件，有关信息披露义务人应当在2日内编制临时报告书，并登载在指定报刊和指定网站上。</w:t>
      </w:r>
    </w:p>
    <w:p w14:paraId="7F71082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前款所称重大事件，是指可能对基金份额持有人权益或者基金份额的价格产生重大影响的下列事件：</w:t>
      </w:r>
    </w:p>
    <w:p w14:paraId="2E53DE0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（1）基金份额持有人大会的召开及决定的事项；</w:t>
      </w:r>
    </w:p>
    <w:p w14:paraId="6278614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（2）《基金合同》终止、基金清算；</w:t>
      </w:r>
    </w:p>
    <w:p w14:paraId="3F38618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（3）转换基金运作方式、基金合并；</w:t>
      </w:r>
    </w:p>
    <w:p w14:paraId="7102E44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（4）更换基金管理人、基金托管人、基金份额登记机构，基金改聘会计师事务所；</w:t>
      </w:r>
    </w:p>
    <w:p w14:paraId="16FCE01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（5）基金管理人委托基金服务机构代为办理基金的份额登记、核算、估值等事项，基金托管人委托基金服务机构代为办理基金的核算、估值、复核等事项；</w:t>
      </w:r>
    </w:p>
    <w:p w14:paraId="7E2CEFA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（6）基金管理人、基金托管人的法定名称、住所发生变更；</w:t>
      </w:r>
    </w:p>
    <w:p w14:paraId="1CF3913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（7）基金管理人变更持有百分之五以上股权的股东、基金管理人的实际控制人变更；</w:t>
      </w:r>
    </w:p>
    <w:p w14:paraId="4716F55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（8）基金募集期延长或提前结束募集；</w:t>
      </w:r>
    </w:p>
    <w:p w14:paraId="56D02A2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（9）基金管理人的高级管理人员、基金经理和基金托管人专门基金托管部门负责人发生变动；</w:t>
      </w:r>
    </w:p>
    <w:p w14:paraId="0AEE28E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（10）基金管理人的董事在最近12个月内变更超过百分之五十，基金管理人、基金托管人专门基金托管部门的主要业务人员在最近12个月内变动超过百分之三十；</w:t>
      </w:r>
    </w:p>
    <w:p w14:paraId="6DA4271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（11）涉及基金财产、基金管理业务、基金托管业务的诉讼或仲裁；</w:t>
      </w:r>
    </w:p>
    <w:p w14:paraId="4D7CA34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（12）基金管理人或其高级管理人员、基金经理因基金管理业务相关行为受到重大行政处罚、刑事处罚，基金托管人或其专门基金托管部门负责人因基金托管业务相关行为受到重大行政处罚、刑事处罚；</w:t>
      </w:r>
    </w:p>
    <w:p w14:paraId="418FBED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429A24B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（14）基金收益分配事项；</w:t>
      </w:r>
    </w:p>
    <w:p w14:paraId="2E7F40B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（15）管理费、托管费、销售服务费、申购费、赎回费等费用计提标准、计提方式和费率发生变更；</w:t>
      </w:r>
    </w:p>
    <w:p w14:paraId="62E1B9B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（16）基金份额净值计价错误达基金份额净值百分之零点五；</w:t>
      </w:r>
    </w:p>
    <w:p w14:paraId="089D8AA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（17）本基金开始办理申购、赎回；</w:t>
      </w:r>
    </w:p>
    <w:p w14:paraId="1EDCE9D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（18）本基金发生巨额赎回并延期办理；</w:t>
      </w:r>
    </w:p>
    <w:p w14:paraId="1C04517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（19）本基金连续发生巨额赎回并暂停接受赎回申请或延缓支付赎回款项；</w:t>
      </w:r>
    </w:p>
    <w:p w14:paraId="6CB568E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（20）本基金暂停接受申购、赎回申请或重新接受申购、赎回申请；</w:t>
      </w:r>
    </w:p>
    <w:p w14:paraId="0686C56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（21）发生涉及基金申购、赎回事项调整或潜在影响投资者赎回等重大事项时；</w:t>
      </w:r>
    </w:p>
    <w:p w14:paraId="7B50E08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（22）基金信息披露义务人认为可能对基金份额持有人权益或者基金份额的价格产生重大影响的其他事项或中国证监会规定的其他事项。</w:t>
      </w:r>
    </w:p>
    <w:p w14:paraId="68C1A30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8、澄清公告</w:t>
      </w:r>
    </w:p>
    <w:p w14:paraId="67975E2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14:paraId="3504545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9、基金份额持有人大会决议</w:t>
      </w:r>
    </w:p>
    <w:p w14:paraId="02235FD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基金份额持有人大会决定的事项，应当依法报中国证监会备案，并予以公告。</w:t>
      </w:r>
    </w:p>
    <w:p w14:paraId="2220D90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基金份额持有人依法自行召集基金份额持有人大会，基金管理人、基金托管人对基金份额持有人大会决定的事项不依法履行信息披露义务的，召集人应当履行相关信息披露义务。</w:t>
      </w:r>
    </w:p>
    <w:p w14:paraId="6133C40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10、实施侧袋机制期间的信息披露</w:t>
      </w:r>
    </w:p>
    <w:p w14:paraId="19F43E8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本基金实施侧袋机制的，相关信息披露义务人应当根据法律法规、基金合同和招募说明书的规定进行信息披露，详见本招募说明书“侧袋机制”部分的规定。</w:t>
      </w:r>
    </w:p>
    <w:p w14:paraId="4A0E74F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11、清算报告</w:t>
      </w:r>
    </w:p>
    <w:p w14:paraId="27A8FD1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终止的，基金管理人应当依法组织清算组对基金财产进行清算并作出清算报告。清算报告应当经过具有证券、期货相关业务资格的会计师事务所审计，并由律师事务所出具法律意见书。清算组应当将清算报告登载在指定网站上，并将清算报告提示性公告登载在指定报刊上。</w:t>
      </w:r>
    </w:p>
    <w:p w14:paraId="1903514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12、基金投资资产支持证券情况</w:t>
      </w:r>
    </w:p>
    <w:p w14:paraId="2F50C69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48DE52A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13、本基金投资中小企业私募债，基金管理人应在基金招募说明书的显著位置</w:t>
      </w:r>
      <w:r>
        <w:rPr>
          <w:rFonts w:ascii="宋体" w:hAnsi="宋体"/>
          <w:sz w:val="24"/>
        </w:rPr>
        <w:lastRenderedPageBreak/>
        <w:t>披露投资中小企业私募债券的流动性风险和信用风险，说明投资中小企业私募债券对基金总体风险的影响。基金管理人在本基金投资中小企业私募债券后两个交易日内，在中国证监会指定媒介披露所投资中小企业私募债券的名称、数量、期限、收益率等信息。本基金应当在季度报告、中期报告、年度报告等定期报告和招募说明书（更新）等文件中披露中小企业私募债券的投资情况。</w:t>
      </w:r>
    </w:p>
    <w:p w14:paraId="1415064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14、中国证监会规定的其他信息。</w:t>
      </w:r>
    </w:p>
    <w:p w14:paraId="059E2A6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（六）信息披露事务管理</w:t>
      </w:r>
    </w:p>
    <w:p w14:paraId="1FCCB69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基金管理人、基金托管人应当建立健全信息披露管理制度，指定专门部门及高级管理人员负责管理信息披露事务。</w:t>
      </w:r>
    </w:p>
    <w:p w14:paraId="0B8663A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基金信息披露义务人公开披露基金信息，应当符合中国证监会相关基金信息披露内容与格式准则等法规规定。</w:t>
      </w:r>
    </w:p>
    <w:p w14:paraId="3DAAB7FE" w14:textId="6975CB74"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基金托管人应当按照相关法律法规、中国证监会的规定和《基金合同》的约定，对基金管理人编制的基金资产净值、</w:t>
      </w:r>
      <w:r w:rsidR="007365EF">
        <w:rPr>
          <w:rFonts w:ascii="宋体" w:hAnsi="宋体" w:hint="eastAsia"/>
          <w:sz w:val="24"/>
        </w:rPr>
        <w:t>各类</w:t>
      </w:r>
      <w:r>
        <w:rPr>
          <w:rFonts w:ascii="宋体" w:hAnsi="宋体"/>
          <w:sz w:val="24"/>
        </w:rPr>
        <w:t>基金份额净值、基金份额申购赎回价格、基金定期报告、更新的招募说明书、基金产品资料概要、基金清算报告等公开披露的相关基金信息进行复核、审查，并向基金管理人进行书面或电子确认。</w:t>
      </w:r>
    </w:p>
    <w:p w14:paraId="5961647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基金管理人、基金托管人应当在指定报刊中选择一家报刊披露本基金信息。基金管理人、基金托管人应当向中国证监会基金电子披露网站报送拟披露的基金信息，并保证相关报送信息的真实、准确、完整、及时。</w:t>
      </w:r>
    </w:p>
    <w:p w14:paraId="0856FC6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0C1CA0A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为基金信息披露义务人公开披露的基金信息出具审计报告、法律意见书的专业机构，应当制作工作底稿，并将相关档案至少保存到《基金合同》终止后10年。</w:t>
      </w:r>
    </w:p>
    <w:p w14:paraId="414B0B5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76FEF40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（七）信息披露文件的存放与查阅</w:t>
      </w:r>
    </w:p>
    <w:p w14:paraId="2DE582B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依法必须披露的信息发布后，基金管理人、基金托管人应当按照相关法律法规</w:t>
      </w:r>
      <w:r>
        <w:rPr>
          <w:rFonts w:ascii="宋体" w:hAnsi="宋体"/>
          <w:sz w:val="24"/>
        </w:rPr>
        <w:lastRenderedPageBreak/>
        <w:t>规定将信息置备于各自住所，供社会公众查阅、复制。</w:t>
      </w:r>
    </w:p>
    <w:p w14:paraId="58D3B6C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（八）本基金信息披露事项以法律法规规定及本章节约定的内容为准。</w:t>
      </w:r>
    </w:p>
    <w:p w14:paraId="4D173759" w14:textId="77777777" w:rsidR="00C86C88" w:rsidRDefault="00D93D5A" w:rsidP="00C86C8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0EB32960" w14:textId="77777777" w:rsidR="00542AF7" w:rsidRDefault="00D93D5A">
      <w:pPr>
        <w:pStyle w:val="1"/>
        <w:snapToGrid w:val="0"/>
        <w:spacing w:beforeLines="0" w:before="240" w:after="240"/>
        <w:rPr>
          <w:rFonts w:ascii="宋体" w:hAnsi="宋体"/>
          <w:szCs w:val="30"/>
        </w:rPr>
      </w:pPr>
      <w:bookmarkStart w:id="21" w:name="_Toc151542551"/>
      <w:r>
        <w:rPr>
          <w:rFonts w:ascii="Times New Roman" w:hAnsi="Times New Roman"/>
          <w:sz w:val="30"/>
        </w:rPr>
        <w:lastRenderedPageBreak/>
        <w:t>十八、侧袋机制</w:t>
      </w:r>
      <w:bookmarkEnd w:id="21"/>
    </w:p>
    <w:p w14:paraId="0A470BC3" w14:textId="77777777" w:rsidR="00542AF7" w:rsidRDefault="00D93D5A">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（一）侧袋机制的实施条件</w:t>
      </w:r>
    </w:p>
    <w:p w14:paraId="629B010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6F83EE9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基金管理人应当在启用侧袋机制后及时发布临时公告，并在五个工作日内聘请侧袋机制启用日发表意见且符合《中华人民共和国证券法》规定的会计师事务所进行审计并披露专项审计意见。</w:t>
      </w:r>
    </w:p>
    <w:p w14:paraId="336510C4" w14:textId="77777777" w:rsidR="00542AF7" w:rsidRDefault="00D93D5A">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（二）实施侧袋机制期间基金份额的申购与赎回</w:t>
      </w:r>
    </w:p>
    <w:p w14:paraId="4740F70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14:paraId="2252DBB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2、实施侧袋机制期间，基金管理人不办理侧袋账户份额的申购、赎回和转换；同时，基金管理人按照基金合同和招募说明书的约定办理主袋账户份额的赎回，并根据主袋账户运作情况确定是否暂停申购。</w:t>
      </w:r>
    </w:p>
    <w:p w14:paraId="5FC37FC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10%认定。</w:t>
      </w:r>
    </w:p>
    <w:p w14:paraId="6A08D026" w14:textId="77777777" w:rsidR="00542AF7" w:rsidRDefault="00D93D5A">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（三）实施侧袋机制期间的基金投资</w:t>
      </w:r>
    </w:p>
    <w:p w14:paraId="6F26351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机制实施期间，招募说明书“基金的投资”部分约定的投资组合比例、投资策略、组合限制、业绩比较基准、风险收益特征等约定仅适用于主袋账户。基金管理人计算各项投资运作指标和基金业绩指标时仅需考虑主袋账户资产。</w:t>
      </w:r>
    </w:p>
    <w:p w14:paraId="27D0AEA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基金管理人原则上应当在侧袋机制启用后20个交易日内完成对主袋账户投资组合的调整，因资产流动性受限等中国证监会规定的情形除外。</w:t>
      </w:r>
    </w:p>
    <w:p w14:paraId="0BC8B56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基金管理人不得在侧袋账户中进行除特定资产处置变现以外的其他投资操作。</w:t>
      </w:r>
    </w:p>
    <w:p w14:paraId="2DE3F282" w14:textId="77777777" w:rsidR="00542AF7" w:rsidRDefault="00D93D5A">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（四）实施侧袋机制期间的基金估值</w:t>
      </w:r>
    </w:p>
    <w:p w14:paraId="1CDB20A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本基金实施侧袋机制的，基金管理人和基金托管人应对主袋账户资产进行估值</w:t>
      </w:r>
      <w:r>
        <w:rPr>
          <w:rFonts w:ascii="宋体" w:hAnsi="宋体"/>
          <w:sz w:val="24"/>
        </w:rPr>
        <w:lastRenderedPageBreak/>
        <w:t>并披露主袋账户的基金净值信息，暂停披露侧袋账户份额净值。侧袋账户的会计核算应符合《企业会计准则》的相关要求。</w:t>
      </w:r>
    </w:p>
    <w:p w14:paraId="1D80355B" w14:textId="77777777" w:rsidR="00542AF7" w:rsidRDefault="00D93D5A">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（五）实施侧袋账户期间的基金费用</w:t>
      </w:r>
    </w:p>
    <w:p w14:paraId="5A8BAE9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1、本基金实施侧袋机制的，管理费和托管费按主袋账户基金资产净值作为基数计提。</w:t>
      </w:r>
    </w:p>
    <w:p w14:paraId="3BB68C9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2、与侧袋账户有关的费用可从侧袋账户中列支，但应待侧袋账户资产变现后方可列支，有关费用可酌情收取或减免，但不得收取管理费。</w:t>
      </w:r>
    </w:p>
    <w:p w14:paraId="653D12C3" w14:textId="77777777" w:rsidR="00542AF7" w:rsidRDefault="00D93D5A">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（六）侧袋账户中特定资产的处置变现和支付</w:t>
      </w:r>
    </w:p>
    <w:p w14:paraId="7305B7B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特定资产以可出售、可转让、恢复交易等方式恢复流动性后，基金管理人应当按照基金份额持有人利益最大化原则，采取将特定资产予以处置变现等方式，及时向侧袋账户份额持有人支付对应变现款项。</w:t>
      </w:r>
    </w:p>
    <w:p w14:paraId="3D66423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14:paraId="17065A1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侧袋账户资产全部完成变现并终止侧袋机制后，基金管理人应及时聘请符合《中华人民共和国证券法》规定的会计师事务所进行审计并披露专项审计意见。</w:t>
      </w:r>
    </w:p>
    <w:p w14:paraId="69BB3411" w14:textId="77777777" w:rsidR="00542AF7" w:rsidRDefault="00D93D5A">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（七）侧袋机制的信息披露</w:t>
      </w:r>
    </w:p>
    <w:p w14:paraId="4DC958D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1、临时公告</w:t>
      </w:r>
    </w:p>
    <w:p w14:paraId="4062738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在启用侧袋机制、处置特定资产、终止侧袋机制以及发生其他可能对投资者利益产生重大影响的事项后基金管理人应及时发布临时公告。</w:t>
      </w:r>
    </w:p>
    <w:p w14:paraId="1BF6845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2、基金净值信息</w:t>
      </w:r>
    </w:p>
    <w:p w14:paraId="5B40D5D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基金管理人应按照招募说明书“基金的信息披露”部分规定的基金净值信息披露方式和频率披露主袋账户份额的基金净值信息。实施侧袋机制期间本基金暂停披露侧袋账户份额净值和累计净值。</w:t>
      </w:r>
    </w:p>
    <w:p w14:paraId="6157EB0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3、定期报告</w:t>
      </w:r>
    </w:p>
    <w:p w14:paraId="04E02A3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机制实施期间，基金管理人应当在基金定期报告中披露报告期内侧袋账户相关信息，基金定期报告中的基金会计报表仅需针对主袋账户进行编制。会计师事务所对基金年度报告进行审计时，应对报告期内基金侧袋机制运行相关的会计核算和年度报告披露等发表审计意见。</w:t>
      </w:r>
    </w:p>
    <w:p w14:paraId="26BF2138" w14:textId="77777777" w:rsidR="00C86C88" w:rsidRDefault="00D93D5A" w:rsidP="00C86C88">
      <w:pPr>
        <w:autoSpaceDE w:val="0"/>
        <w:autoSpaceDN w:val="0"/>
        <w:adjustRightInd w:val="0"/>
        <w:spacing w:line="360" w:lineRule="auto"/>
        <w:ind w:firstLineChars="200" w:firstLine="480"/>
        <w:rPr>
          <w:rFonts w:ascii="宋体" w:hAnsi="宋体"/>
          <w:szCs w:val="24"/>
        </w:rPr>
      </w:pPr>
      <w:r>
        <w:rPr>
          <w:rFonts w:ascii="宋体" w:hAnsi="宋体"/>
          <w:sz w:val="24"/>
        </w:rPr>
        <w:lastRenderedPageBreak/>
        <w:br w:type="page"/>
      </w:r>
    </w:p>
    <w:p w14:paraId="0D6A3A83" w14:textId="77777777" w:rsidR="00542AF7" w:rsidRDefault="00D93D5A">
      <w:pPr>
        <w:pStyle w:val="1"/>
        <w:snapToGrid w:val="0"/>
        <w:spacing w:beforeLines="0" w:before="240" w:after="240"/>
        <w:rPr>
          <w:rFonts w:ascii="宋体" w:hAnsi="宋体"/>
          <w:szCs w:val="30"/>
        </w:rPr>
      </w:pPr>
      <w:bookmarkStart w:id="22" w:name="_Toc151542552"/>
      <w:r>
        <w:rPr>
          <w:rFonts w:ascii="Times New Roman" w:hAnsi="Times New Roman"/>
          <w:sz w:val="30"/>
        </w:rPr>
        <w:lastRenderedPageBreak/>
        <w:t>十九、风险揭示</w:t>
      </w:r>
      <w:bookmarkEnd w:id="22"/>
    </w:p>
    <w:p w14:paraId="3F536CE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14:paraId="7E85FEC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在投资运作过程中可能面临各种风险，既包括市场风险，也包括基金自身的管理风险、技术风险和合规风险等。巨额赎回风险是开放式基金所特有的一种风险，即当单个交易日基金的净赎回申请（赎回申请份额总数加上基金转换中转出申请份额总数扣除申购申请份额总数及基金转换中转入申请份额总数后的余额）超过上一开放日基金总份额的百分之十时，投资人将可能无法及时赎回持有的全部基金份额。</w:t>
      </w:r>
    </w:p>
    <w:p w14:paraId="758B49B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分为股票型基金、混合型基金、债券型基金、货币市场基金等不同类型，投资人投资不同类型的基金将获得不同的收益预期，也将承担不同程度的风险。一般来说，基金的收益预期越高，投资人承担的风险也越大。</w:t>
      </w:r>
    </w:p>
    <w:p w14:paraId="7B96F6D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认真阅读《基金合同》、《招募说明书》、基金产品资料概要等基金法律文件，了解基金的风险收益特征，并根据自身的投资目的、投资期限、投资经验、资产状况等判断基金是否和投资人的风险承受能力相适应。</w:t>
      </w:r>
    </w:p>
    <w:p w14:paraId="6987C94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1942884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因拆分、封转开、分红等行为导致基金份额净值变化，不会改变基金的风险收益特征，不会降低基金投资风险或提高基金投资收益。以1元初始面值开展基金募集或因拆分、封转开、分红等行为导致基金份额净值调整至1元初始面值或1元附近，在市场波动等因素的影响下，基金投资仍有可能出现亏损或基金净值仍有可能低于初始面值。</w:t>
      </w:r>
    </w:p>
    <w:p w14:paraId="28730EE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买者自负”原则，在</w:t>
      </w:r>
      <w:r>
        <w:rPr>
          <w:rFonts w:ascii="宋体" w:hAnsi="宋体"/>
          <w:sz w:val="24"/>
        </w:rPr>
        <w:lastRenderedPageBreak/>
        <w:t>做出投资决策后，基金运营状况与基金净值变化引致的投资风险，由投资人自行负担。</w:t>
      </w:r>
    </w:p>
    <w:p w14:paraId="6110224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基金份额持有人须了解并承受以下风险：</w:t>
      </w:r>
    </w:p>
    <w:p w14:paraId="42FF5CD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（一）市场风险</w:t>
      </w:r>
    </w:p>
    <w:p w14:paraId="5998E77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证券市场价格因受到经济因素、政治因素、投资心理和交易制度等各种因素的影响而引起的波动，将对基金收益水平产生潜在风险，主要包括：</w:t>
      </w:r>
    </w:p>
    <w:p w14:paraId="59F5824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1、政策风险。因国家宏观政策（如货币政策、财政政策、行业政策、地区发展政策等）和证券市场监管政策发生变化，导致市场价格波动而产生风险。</w:t>
      </w:r>
    </w:p>
    <w:p w14:paraId="3A93856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2、经济周期风险。证券市场受宏观经济运行的影响，而经济运行具有周期性的特点，宏观经济运行状况将对证券市场的收益水平产生影响，从而对基金收益造成影响。</w:t>
      </w:r>
    </w:p>
    <w:p w14:paraId="4872AA2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14:paraId="71F7325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4、信用风险。基金所投资债券的发行人如果不能或拒绝支付到期本息，或者不能履行合约规定的其它义务，或者其信用等级降低，将会导致债券价格下降，进而造成基金资产损失，从而产生风险。</w:t>
      </w:r>
    </w:p>
    <w:p w14:paraId="335279E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5、购买力风险。基金投资的目的是基金资产的保值增值，如果发生通货膨胀，基金投资于证券所获得的收益可能会被通货膨胀抵消，从而使基金的实际收益下降，影响基金资产的保值增值。</w:t>
      </w:r>
    </w:p>
    <w:p w14:paraId="7E1BBEE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6、债券收益率曲线变动风险。是指收益率曲线没有按预期变化导致基金投资决策出现偏差。</w:t>
      </w:r>
    </w:p>
    <w:p w14:paraId="0976926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再投资风险。该风险与利率风险互为消长。当市场利率下降时，基金所持有的债券价格会上涨，而基金将投资于固定收益类金融工具所得的利息收入进行再投资将获得较低的收益率，再投资的风险加大；反之，当市场利率上升时，基金所持有的债券价格会下降，利率风险加大，但是利息的再投资收益会上升。</w:t>
      </w:r>
    </w:p>
    <w:p w14:paraId="24DB838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8、经营风险。它与基金所投资债券的发行人的经营活动所引起的收入现金流的不确定性有关。债券发行人期间运营收入变化越大，经营风险就越大；反之，运营收入越稳定，经营风险就越小。</w:t>
      </w:r>
    </w:p>
    <w:p w14:paraId="1451095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9、上市公司经营风险。上市公司的经营状况受多种因素影响，如管理能力、</w:t>
      </w:r>
      <w:r>
        <w:rPr>
          <w:rFonts w:ascii="宋体" w:hAnsi="宋体"/>
          <w:sz w:val="24"/>
        </w:rPr>
        <w:lastRenderedPageBreak/>
        <w:t>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03E1074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债券回购风险。债券回购为提升整体基金组合收益提供了可能，但也存在一定的风险。债券回购的主要风险包括信用风险、投资风险及波动性加大的风险，其中，信用风险指回购交易中交易对手在回购到期时，不能偿还全部或部分证券或价款，造成基金净值损失的风险；投资风险是指在进行回购操作时，回购利率大于债券投资收益而导致的风险以及由于回购操作导致投资总量放大，致使整个组合风险放大的风险；而波动性加大的风险是指在进行回购操作时，在对基金组合收益进行放大的同时，也对基金组合的波动性（标准差）进行了放大，即基金组合的风险将会加大。回购比例越高，风险暴露程度也就越高，对基金净值造成损失的可能性也就越大。</w:t>
      </w:r>
    </w:p>
    <w:p w14:paraId="6AE12E7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（二）管理风险</w:t>
      </w:r>
    </w:p>
    <w:p w14:paraId="5BC09F3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14:paraId="07A8D0E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（三）流动性风险</w:t>
      </w:r>
    </w:p>
    <w:p w14:paraId="72640D0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为开放式基金。按照基金合同的约定，基金管理人有义务接受投资者的申购和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收益。</w:t>
      </w:r>
    </w:p>
    <w:p w14:paraId="0354CC3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1、本基金的申购、赎回安排</w:t>
      </w:r>
    </w:p>
    <w:p w14:paraId="672A370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598D454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2、投资市场、行业及资产的流动性风险评估</w:t>
      </w:r>
    </w:p>
    <w:p w14:paraId="1BA8C2A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基金的投资市场主要为证券交易所、全国银行间债券市场等流动性较好的规范型交易场所，主要投资对象为具有良好流动性的金融工具，同时本基金基于分散投资的原则在行业和个券方面未有高集中度的特征，综合评估在正常市场环境下本基金的流动性风险适中。</w:t>
      </w:r>
    </w:p>
    <w:p w14:paraId="3440BAD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3、巨额赎回情形下的流动性风险管理措施</w:t>
      </w:r>
    </w:p>
    <w:p w14:paraId="324D989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65E3865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当基金出现巨额赎回时，基金管理人可以根据基金当时的资产组合状况决定全额赎回或部分延期赎回。</w:t>
      </w:r>
    </w:p>
    <w:p w14:paraId="64A574E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（1）全额赎回：当基金管理人认为有能力支付投资人的全部赎回申请时，按正常赎回程序执行。</w:t>
      </w:r>
    </w:p>
    <w:p w14:paraId="3A82655C" w14:textId="633773E6"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7365EF">
        <w:rPr>
          <w:rFonts w:ascii="宋体" w:hAnsi="宋体" w:hint="eastAsia"/>
          <w:sz w:val="24"/>
        </w:rPr>
        <w:t>该类</w:t>
      </w:r>
      <w:r>
        <w:rPr>
          <w:rFonts w:ascii="宋体" w:hAnsi="宋体"/>
          <w:sz w:val="24"/>
        </w:rPr>
        <w:t>基金份额净值为基础计算赎回金额，以此类推，直到全部赎回为止。如投资人在提交赎回申请时未作明确选择，投资人未能赎回部分作自动延期赎回处理。</w:t>
      </w:r>
    </w:p>
    <w:p w14:paraId="3777510A" w14:textId="6D8D81E2"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发生巨额赎回且单个基金份额持有人的赎回申请超过上一日基金总份额20%的情形下，基金管理人有权采取如下措施：对于基金份额持有人当日超过20%的赎回申请，可以对其赎回申请延期办理；对于基金份额持有人未超过上述比例的部分，基金管理人可以根据前段“（1）全额赎回”或“（2）部分延期赎回”的约定方式与其他基金份额持有人的赎回申请一并办理。但是，如基金份额持有人在当日选择取消赎回，则其当日未获受理的部分赎回申请将被撤销。</w:t>
      </w:r>
    </w:p>
    <w:p w14:paraId="776CC59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（3）暂停赎回：连续2日以上（含本数）发生巨额赎回，如基金管理人认为有</w:t>
      </w:r>
      <w:r>
        <w:rPr>
          <w:rFonts w:ascii="宋体" w:hAnsi="宋体"/>
          <w:sz w:val="24"/>
        </w:rPr>
        <w:lastRenderedPageBreak/>
        <w:t>必要，可暂停接受基金的赎回申请；已经接受的赎回申请可以延缓支付赎回款项，但不得超过20个工作日，并应当在指定媒介上进行公告。</w:t>
      </w:r>
    </w:p>
    <w:p w14:paraId="22E4632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4、实施备用的流动性风险管理工具的情形、程序及对投资者的潜在影响</w:t>
      </w:r>
    </w:p>
    <w:p w14:paraId="2EBDC05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本基金在面临大规模赎回的情况下有可能因为无法变现造成流动性风险。</w:t>
      </w:r>
    </w:p>
    <w:p w14:paraId="4088A14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暂停基金估值、实施侧袋机制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14:paraId="549FC1D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0FDC0C8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07DA66F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基金管理人将根据主袋账户运作情况合理确定申购政策，因此实施侧袋机制后主袋账户份额存在暂停申购的可能。</w:t>
      </w:r>
    </w:p>
    <w:p w14:paraId="60AC371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启用侧袋机制后，基金管理人计算各项投资运作指标和基金业绩指标时仅需考虑主袋账户资产，基金业绩指标应当以主袋账户资产为基准，因此本基金披露的业绩指标不能反映特定资产的真实价值及变化情况。</w:t>
      </w:r>
    </w:p>
    <w:p w14:paraId="49C9694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（四）交易对手违约风险</w:t>
      </w:r>
    </w:p>
    <w:p w14:paraId="4ED7D9E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交易对手违约风险是指当债券、票据或债券回购等交易对手违约时，将直接导致基金资产的损失，或导致基金不能及时抓住市场机会，对投资收益产生影响。</w:t>
      </w:r>
    </w:p>
    <w:p w14:paraId="49CF2CF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（五）本基金的特有风险</w:t>
      </w:r>
    </w:p>
    <w:p w14:paraId="2BFDB6F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1、本基金为债券型基金，投资于债券资产的比例不低于基金资产的80%，因投资固定收益类资产而面临固定收益类资产市场的系统性风险和个券风险；</w:t>
      </w:r>
    </w:p>
    <w:p w14:paraId="3F61A98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宏观经济趋势、政策以及债券市场基本面研究是否准确、深入，以及对企业债券的优选和判断是否科学、准确将影响本基金的收益。基本面研究及企业债券分析的错误均可能导致所选择的证券不能完全符合本基金的预期目标；</w:t>
      </w:r>
    </w:p>
    <w:p w14:paraId="20B2756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投资中小企业私募债，中小企业私募债是根据相关法律法规由非上市中小企业采用非公开方式发行的债券。由于不能公开交易，一般情况下，交易不活跃，潜在较大流动性风险。当发债主体信用质量恶化时，受市场流动性所限，本基金可能无法卖出所持有的中小企业私募债，由此可能给基金净值带来更大的负面影响和损失。</w:t>
      </w:r>
    </w:p>
    <w:p w14:paraId="794F52A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（六）投资资产支持证券的特定风险</w:t>
      </w:r>
    </w:p>
    <w:p w14:paraId="7321AC4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6DDAE5D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（七）其他风险</w:t>
      </w:r>
    </w:p>
    <w:p w14:paraId="01B0AFB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1、因技术因素而产生的风险，如电脑系统不可靠产生的风险；</w:t>
      </w:r>
    </w:p>
    <w:p w14:paraId="7252D3E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2、因基金业务快速发展，在制度建设、人员配备、内控制度建立等方面的不完善产生的风险；</w:t>
      </w:r>
    </w:p>
    <w:p w14:paraId="6E973FF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3、因人为因素而产生的风险、如内幕交易、欺诈行为等产生的风险；</w:t>
      </w:r>
    </w:p>
    <w:p w14:paraId="3B7F01B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4、对主要业务人员如基金经理的依赖而可能产生的风险；</w:t>
      </w:r>
    </w:p>
    <w:p w14:paraId="1271888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5、因业务竞争压力可能产生的风险；</w:t>
      </w:r>
    </w:p>
    <w:p w14:paraId="288E40C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6、战争、自然灾害等不可抗力可能导致基金财产的损失，影响基金收益水平，从而带来风险；</w:t>
      </w:r>
    </w:p>
    <w:p w14:paraId="74573D6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7、其他意外导致的风险。</w:t>
      </w:r>
    </w:p>
    <w:p w14:paraId="51DB539C" w14:textId="77777777" w:rsidR="00C86C88" w:rsidRDefault="00D93D5A" w:rsidP="00C86C8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662374B1" w14:textId="77777777" w:rsidR="00542AF7" w:rsidRDefault="00D93D5A">
      <w:pPr>
        <w:pStyle w:val="1"/>
        <w:snapToGrid w:val="0"/>
        <w:spacing w:beforeLines="0" w:before="240" w:after="240"/>
        <w:rPr>
          <w:rFonts w:ascii="宋体" w:hAnsi="宋体"/>
          <w:szCs w:val="30"/>
        </w:rPr>
      </w:pPr>
      <w:bookmarkStart w:id="23" w:name="_Toc151542553"/>
      <w:r>
        <w:rPr>
          <w:rFonts w:ascii="Times New Roman" w:hAnsi="Times New Roman"/>
          <w:sz w:val="30"/>
        </w:rPr>
        <w:lastRenderedPageBreak/>
        <w:t>二十、基金合同的变更、终止与基金财产的清算</w:t>
      </w:r>
      <w:bookmarkEnd w:id="23"/>
    </w:p>
    <w:p w14:paraId="79408F2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（一）《基金合同》的变更</w:t>
      </w:r>
    </w:p>
    <w:p w14:paraId="3CC0B7B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变更基金合同涉及法律法规规定或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4855AF2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2、关于《基金合同》变更的基金份额持有人大会决议生效后方可执行，并自决议生效后依照《信息披露办法》的规定在指定媒介公告。</w:t>
      </w:r>
    </w:p>
    <w:p w14:paraId="1A2CDDF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（二）《基金合同》的终止事由</w:t>
      </w:r>
    </w:p>
    <w:p w14:paraId="464CC13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有下列情形之一的，《基金合同》应当终止：</w:t>
      </w:r>
    </w:p>
    <w:p w14:paraId="099D75C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1、基金份额持有人大会决定终止的；</w:t>
      </w:r>
    </w:p>
    <w:p w14:paraId="78BC5DD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2、基金管理人、基金托管人职责终止，在6个月内没有新基金管理人、新基金托管人承接的；</w:t>
      </w:r>
    </w:p>
    <w:p w14:paraId="6D68AEF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3、本基金作为被合并方与其他基金进行合并的；</w:t>
      </w:r>
    </w:p>
    <w:p w14:paraId="640CF38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4、连续60个工作日出现基金份额持有人数量不满200人或者基金资产净值低于5000万元情形的，基金管理人应当向中国证监会报告并提前终止基金合同，不需召开基金份额持有人大会；</w:t>
      </w:r>
    </w:p>
    <w:p w14:paraId="5FE6512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5、《基金合同》约定的其他情形；</w:t>
      </w:r>
    </w:p>
    <w:p w14:paraId="21C38B2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6、相关法律法规和中国证监会规定的其他情况。</w:t>
      </w:r>
    </w:p>
    <w:p w14:paraId="65BF008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（三）基金财产的清算</w:t>
      </w:r>
    </w:p>
    <w:p w14:paraId="6B85452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1、基金财产清算小组：自出现《基金合同》终止事由之日起30个工作日内成立清算小组，基金管理人组织基金财产清算小组并在中国证监会的监督下进行基金清算。</w:t>
      </w:r>
    </w:p>
    <w:p w14:paraId="72BB469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158F926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3、基金财产清算小组职责：基金财产清算小组负责基金财产的保管、清理、估价、变现和分配。基金财产清算小组可以依法进行必要的民事活动。</w:t>
      </w:r>
    </w:p>
    <w:p w14:paraId="3FEF5B6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4、基金财产清算程序：</w:t>
      </w:r>
    </w:p>
    <w:p w14:paraId="5C92087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（1）《基金合同》终止情形出现时，由基金财产清算小组统一接管基金财产；</w:t>
      </w:r>
    </w:p>
    <w:p w14:paraId="695B576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（2）对基金财产和债权债务进行清理和确认；</w:t>
      </w:r>
    </w:p>
    <w:p w14:paraId="70340D2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（3）对基金财产进行估值和变现；</w:t>
      </w:r>
    </w:p>
    <w:p w14:paraId="17E8DCF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（4）制作清算报告；</w:t>
      </w:r>
    </w:p>
    <w:p w14:paraId="5B70F2A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（5）聘请会计师事务所对清算报告进行外部审计，聘请律师事务所对清算报告出具法律意见书；</w:t>
      </w:r>
    </w:p>
    <w:p w14:paraId="171AAA9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（6）将清算报告报中国证监会备案并公告；</w:t>
      </w:r>
    </w:p>
    <w:p w14:paraId="75104C1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（7）对基金剩余财产进行分配。</w:t>
      </w:r>
    </w:p>
    <w:p w14:paraId="0D43B5E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5、基金财产清算的期限为6个月，若遇基金持有的有价证券出现长期休市、停牌或其他流通受限的情形除外。</w:t>
      </w:r>
    </w:p>
    <w:p w14:paraId="79A6CE9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（四）清算费用</w:t>
      </w:r>
    </w:p>
    <w:p w14:paraId="0F51398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14:paraId="3A179CA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（五）基金财产清算剩余资产的分配</w:t>
      </w:r>
    </w:p>
    <w:p w14:paraId="36E23CA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14:paraId="203E18D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（六）基金财产清算的公告</w:t>
      </w:r>
    </w:p>
    <w:p w14:paraId="094C4DE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14:paraId="4F5516D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（七）基金财产清算账册及文件的保存</w:t>
      </w:r>
    </w:p>
    <w:p w14:paraId="0E5A2F5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基金财产清算账册及有关文件由基金托管人保存15年以上。</w:t>
      </w:r>
    </w:p>
    <w:p w14:paraId="34D6F266" w14:textId="77777777" w:rsidR="00C86C88" w:rsidRDefault="00D93D5A" w:rsidP="00C86C8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351E0C12" w14:textId="77777777" w:rsidR="00542AF7" w:rsidRDefault="00D93D5A">
      <w:pPr>
        <w:pStyle w:val="1"/>
        <w:snapToGrid w:val="0"/>
        <w:spacing w:beforeLines="0" w:before="240" w:after="240"/>
        <w:rPr>
          <w:rFonts w:ascii="宋体" w:hAnsi="宋体"/>
          <w:szCs w:val="30"/>
        </w:rPr>
      </w:pPr>
      <w:bookmarkStart w:id="24" w:name="_Toc151542554"/>
      <w:bookmarkStart w:id="25" w:name="_Hlk152862478"/>
      <w:r>
        <w:rPr>
          <w:rFonts w:ascii="Times New Roman" w:hAnsi="Times New Roman"/>
          <w:sz w:val="30"/>
        </w:rPr>
        <w:lastRenderedPageBreak/>
        <w:t>二十一、基金合同内容摘要</w:t>
      </w:r>
      <w:bookmarkEnd w:id="24"/>
    </w:p>
    <w:p w14:paraId="5CC1E04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（一）基金份额持有人、基金管理人和基金托管人的权利与义务</w:t>
      </w:r>
    </w:p>
    <w:p w14:paraId="14C630E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1、基金管理人的权利与义务</w:t>
      </w:r>
    </w:p>
    <w:p w14:paraId="124DF1D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（1）根据《基金法》、《运作办法》及其他有关规定，基金管理人的权利包括但不限于：</w:t>
      </w:r>
    </w:p>
    <w:p w14:paraId="5343B79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w:t>
      </w:r>
    </w:p>
    <w:p w14:paraId="67E7310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2）自《基金合同》生效之日起，根据法律法规和《基金合同》独立运用并管理基金财产；</w:t>
      </w:r>
    </w:p>
    <w:p w14:paraId="2B5118E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3）依照《基金合同》收取基金管理费以及法律法规规定或中国证监会批准的其他费用；</w:t>
      </w:r>
    </w:p>
    <w:p w14:paraId="6135790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4）销售基金份额；</w:t>
      </w:r>
    </w:p>
    <w:p w14:paraId="5B7138A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5）按照规定召集基金份额持有人大会；</w:t>
      </w:r>
    </w:p>
    <w:p w14:paraId="2197CF4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6）依据《基金合同》及有关法律规定监督基金托管人，如认为基金托管人违反了《基金合同》及国家有关法律规定，应呈报中国证监会和其他监管部门，并采取必要措施保护基金投资者的利益；</w:t>
      </w:r>
    </w:p>
    <w:p w14:paraId="57F720B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7）在基金托管人更换时，提名新的基金托管人；</w:t>
      </w:r>
    </w:p>
    <w:p w14:paraId="3EAE20F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8）选择、更换基金销售机构，对基金销售机构的相关行为进行监督和处理；</w:t>
      </w:r>
    </w:p>
    <w:p w14:paraId="39333E1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9）担任或委托其他符合条件的机构担任基金登记机构办理基金登记业务并获得《基金合同》规定的费用；</w:t>
      </w:r>
    </w:p>
    <w:p w14:paraId="7DE2693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10）依据《基金合同》及有关法律规定决定基金收益的分配方案；</w:t>
      </w:r>
    </w:p>
    <w:p w14:paraId="71EC951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11）在《基金合同》约定的范围内，拒绝或暂停受理申购与赎回申请；</w:t>
      </w:r>
    </w:p>
    <w:p w14:paraId="1C2163D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12）依照法律法规为基金的利益行使因基金财产投资于证券所产生的权利；</w:t>
      </w:r>
    </w:p>
    <w:p w14:paraId="4800BF2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13）在法律法规允许的前提下，为基金的利益依法为基金进行融资；</w:t>
      </w:r>
    </w:p>
    <w:p w14:paraId="5FB2C31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14）以基金管理人的名义，代表基金份额持有人的利益行使诉讼权利或者实施其他法律行为；</w:t>
      </w:r>
    </w:p>
    <w:p w14:paraId="67F232F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15）选择、更换律师事务所、会计师事务所、证券经纪商或其他为基金提供服务的外部机构；</w:t>
      </w:r>
    </w:p>
    <w:p w14:paraId="519A657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16）在符合有关法律、法规的前提下，制定和调整有关基金认购、申购、赎回、转换等的业务规则；</w:t>
      </w:r>
    </w:p>
    <w:p w14:paraId="2B32FBA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17）法律法规及中国证监会规定的和《基金合同》约定的其他权利。</w:t>
      </w:r>
    </w:p>
    <w:p w14:paraId="5DED918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（2）根据《基金法》、《运作办法》及其他有关规定，基金管理人的义务包括但不限于：</w:t>
      </w:r>
    </w:p>
    <w:p w14:paraId="7DF3FF8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1）依法募集资金，办理或者委托经中国证监会认定的其他机构办理基金份额的发售、申购、赎回和登记事宜；</w:t>
      </w:r>
    </w:p>
    <w:p w14:paraId="149E5C3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2）办理基金备案手续；</w:t>
      </w:r>
    </w:p>
    <w:p w14:paraId="1A45A8F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3）自《基金合同》生效之日起，以诚实信用、谨慎勤勉的原则管理和运用基金财产；</w:t>
      </w:r>
    </w:p>
    <w:p w14:paraId="7D6EE70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4）配备足够的具有专业资格的人员进行基金投资分析、决策，以专业化的经营方式管理和运作基金财产；</w:t>
      </w:r>
    </w:p>
    <w:p w14:paraId="22A23B0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5）建立健全内部风险控制、监察与稽核、财务管理及人事管理等制度，保证所管理的基金财产和基金管理人的财产相互独立，对所管理的不同基金分别管理，分别记账，进行证券投资；</w:t>
      </w:r>
    </w:p>
    <w:p w14:paraId="44BF780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6）除依据《基金法》、《基金合同》及其他有关规定外，不得利用基金财产为自己及任何第三人谋取利益，不得委托第三人运作基金财产；</w:t>
      </w:r>
    </w:p>
    <w:p w14:paraId="006B668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7）依法接受基金托管人的监督；</w:t>
      </w:r>
    </w:p>
    <w:p w14:paraId="33490A4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8）采取适当合理的措施使计算基金份额认购、申购、赎回和注销价格的方法符合《基金合同》等法律文件的规定，按有关规定计算并公告基金净值信息，确定基金份额申购、赎回的价格；</w:t>
      </w:r>
    </w:p>
    <w:p w14:paraId="141D343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9）进行基金会计核算并编制基金财务会计报告；</w:t>
      </w:r>
    </w:p>
    <w:p w14:paraId="3F6829A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10）编制季度报告、中期报告和年度报告；</w:t>
      </w:r>
    </w:p>
    <w:p w14:paraId="1A13F3A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11）严格按照《基金法》、《基金合同》及其他有关规定，履行信息披露及报告义务；</w:t>
      </w:r>
    </w:p>
    <w:p w14:paraId="0A77445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12）保守基金商业秘密，不泄露基金投资计划、投资意向等。除《基金法》、《基金合同》及其他有关规定另有规定外，在基金信息公开披露前应予保密，不向他人泄露；</w:t>
      </w:r>
    </w:p>
    <w:p w14:paraId="1C86261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13）按《基金合同》的约定确定基金收益分配方案，及时向基金份额持有人分配基金收益；</w:t>
      </w:r>
    </w:p>
    <w:p w14:paraId="6170CBD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14）按规定受理申购与赎回申请，及时、足额支付赎回款项；</w:t>
      </w:r>
    </w:p>
    <w:p w14:paraId="3F492F3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15）依据《基金法》、《基金合同》及其他有关规定召集基金份额持有人大会或</w:t>
      </w:r>
      <w:r>
        <w:rPr>
          <w:rFonts w:ascii="宋体" w:hAnsi="宋体"/>
          <w:sz w:val="24"/>
        </w:rPr>
        <w:lastRenderedPageBreak/>
        <w:t>配合基金托管人、基金份额持有人依法召集基金份额持有人大会；</w:t>
      </w:r>
    </w:p>
    <w:p w14:paraId="75A4C2E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16）按规定保存基金财产管理业务活动的会计账册、报表、记录和其他相关资料15年以上；</w:t>
      </w:r>
    </w:p>
    <w:p w14:paraId="4CD59F5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A4E7F7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18）组织并参加基金财产清算小组，参与基金财产的保管、清理、估价、变现和分配；</w:t>
      </w:r>
    </w:p>
    <w:p w14:paraId="707D785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19）面临解散、依法被撤销或者被依法宣告破产时，及时报告中国证监会并通知基金托管人；</w:t>
      </w:r>
    </w:p>
    <w:p w14:paraId="187E4F3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20）因违反《基金合同》导致基金财产的损失或损害基金份额持有人合法权益时，应当承担赔偿责任，其赔偿责任不因其退任而免除；</w:t>
      </w:r>
    </w:p>
    <w:p w14:paraId="40B2A27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21）监督基金托管人按法律法规和《基金合同》规定履行自己的义务，基金托管人违反《基金合同》造成基金财产损失时，基金管理人应为基金份额持有人利益向基金托管人追偿；</w:t>
      </w:r>
    </w:p>
    <w:p w14:paraId="200F77C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22）当基金管理人将其义务委托第三方处理时，应当对第三方处理有关基金事务的行为承担责任；</w:t>
      </w:r>
    </w:p>
    <w:p w14:paraId="0C72471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23）以基金管理人名义，代表基金份额持有人利益行使诉讼权利或实施其他法律行为；</w:t>
      </w:r>
    </w:p>
    <w:p w14:paraId="171DE94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基金管理人在募集期间未能达到基金的备案条件，《基金合同》不能生效，基金管理人承担因募集行为而产生的债务和费用，将已募集资金并加计银行同期活期存款利息在基金募集期结束后30日内退还基金认购人；</w:t>
      </w:r>
    </w:p>
    <w:p w14:paraId="718A9A1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25）执行生效的基金份额持有人大会的决议；</w:t>
      </w:r>
    </w:p>
    <w:p w14:paraId="6D471E2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26）建立并保存基金份额持有人名册；</w:t>
      </w:r>
    </w:p>
    <w:p w14:paraId="5C5CB34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27）法律法规及中国证监会规定的和《基金合同》约定的其他义务。</w:t>
      </w:r>
    </w:p>
    <w:p w14:paraId="6B56A76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2、基金托管人的权利与义务</w:t>
      </w:r>
    </w:p>
    <w:p w14:paraId="7660D08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（1）根据《基金法》、《运作办法》及其他有关规定，基金托管人的权利包括但不限于：</w:t>
      </w:r>
    </w:p>
    <w:p w14:paraId="7B2C377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1）自《基金合同》生效之日起，依法律法规和《基金合同》的规定安全保管基金财产；</w:t>
      </w:r>
    </w:p>
    <w:p w14:paraId="6A5980A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2）依《基金合同》约定获得基金托管费以及法律法规规定或监管部门批准的其他费用；</w:t>
      </w:r>
    </w:p>
    <w:p w14:paraId="06A9D3E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C32E5B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4）根据相关市场规则，为基金开设资金账户、证券账户等投资所需账户、为基金办理证券交易资金清算；</w:t>
      </w:r>
    </w:p>
    <w:p w14:paraId="07A44C9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5）提议召开或召集基金份额持有人大会；</w:t>
      </w:r>
    </w:p>
    <w:p w14:paraId="451A266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6）在基金管理人更换时，提名新的基金管理人；</w:t>
      </w:r>
    </w:p>
    <w:p w14:paraId="173FFB1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7）法律法规及中国证监会规定的和《基金合同》约定的其他权利。</w:t>
      </w:r>
    </w:p>
    <w:p w14:paraId="0C90414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（2）根据《基金法》、《运作办法》及其他有关规定，基金托管人的义务包括但不限于：</w:t>
      </w:r>
    </w:p>
    <w:p w14:paraId="152502C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1）以诚实信用、勤勉尽责的原则持有并安全保管基金财产；</w:t>
      </w:r>
    </w:p>
    <w:p w14:paraId="47E973A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2）设立专门的基金托管部门，具有符合要求的营业场所，配备足够的、合格的熟悉基金托管业务的专职人员，负责基金财产托管事宜；</w:t>
      </w:r>
    </w:p>
    <w:p w14:paraId="620686D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F6FB04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4）除依据《基金法》、《基金合同》及其他有关规定外，不得利用基金财产为自己及任何第三人谋取利益，不得委托第三人托管基金财产；</w:t>
      </w:r>
    </w:p>
    <w:p w14:paraId="6ACAB39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5）保管由基金管理人代表基金签订的与基金有关的重大合同及有关凭证；</w:t>
      </w:r>
    </w:p>
    <w:p w14:paraId="7D5978B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6）按规定开设基金财产的资金账户和证券账户等投资所需账户，按照《基金合同》的约定，根据基金管理人的投资指令，及时办理清算、交割事宜；</w:t>
      </w:r>
    </w:p>
    <w:p w14:paraId="6C7990F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7）保守基金商业秘密，除《基金法》、《基金合同》及其他有关规定另有规定外，在基金信息公开披露前予以保密，不得向他人泄露；</w:t>
      </w:r>
    </w:p>
    <w:p w14:paraId="0EBA8D3A" w14:textId="2BF74AAC"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8）复核、审查基金管理人计算的基金</w:t>
      </w:r>
      <w:r w:rsidR="003F70C8">
        <w:rPr>
          <w:rFonts w:ascii="宋体" w:hAnsi="宋体" w:hint="eastAsia"/>
          <w:sz w:val="24"/>
        </w:rPr>
        <w:t>资产</w:t>
      </w:r>
      <w:r>
        <w:rPr>
          <w:rFonts w:ascii="宋体" w:hAnsi="宋体"/>
          <w:sz w:val="24"/>
        </w:rPr>
        <w:t>净值、</w:t>
      </w:r>
      <w:r w:rsidR="003F70C8" w:rsidRPr="009B552B">
        <w:rPr>
          <w:rFonts w:hint="eastAsia"/>
          <w:bCs/>
          <w:sz w:val="24"/>
        </w:rPr>
        <w:t>各类</w:t>
      </w:r>
      <w:r w:rsidR="003F70C8" w:rsidRPr="004F4835">
        <w:rPr>
          <w:rFonts w:hint="eastAsia"/>
          <w:bCs/>
          <w:sz w:val="24"/>
        </w:rPr>
        <w:t>基金份额净值、</w:t>
      </w:r>
      <w:r>
        <w:rPr>
          <w:rFonts w:ascii="宋体" w:hAnsi="宋体"/>
          <w:sz w:val="24"/>
        </w:rPr>
        <w:t>基金份额申购、赎回价格；</w:t>
      </w:r>
    </w:p>
    <w:p w14:paraId="25C8A08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9）办理与基金托管业务活动有关的信息披露事项；</w:t>
      </w:r>
    </w:p>
    <w:p w14:paraId="1CC3D05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10）对基金财务会计报告、季度报告、中期报告和年度报告出具意见，说明基</w:t>
      </w:r>
      <w:r>
        <w:rPr>
          <w:rFonts w:ascii="宋体" w:hAnsi="宋体"/>
          <w:sz w:val="24"/>
        </w:rPr>
        <w:lastRenderedPageBreak/>
        <w:t>金管理人在各重要方面的运作是否严格按照《基金合同》的规定进行；如果基金管理人有未执行《基金合同》规定的行为，还应当说明基金托管人是否采取了适当的措施；</w:t>
      </w:r>
    </w:p>
    <w:p w14:paraId="1F1D276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11）保存基金托管业务活动的记录、账册、报表和其他相关资料15年以上；</w:t>
      </w:r>
    </w:p>
    <w:p w14:paraId="3C7E377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12）建立并保存基金份额持有人名册；</w:t>
      </w:r>
    </w:p>
    <w:p w14:paraId="5121E8C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13）按规定制作相关账册并与基金管理人核对；</w:t>
      </w:r>
    </w:p>
    <w:p w14:paraId="1CEB13E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14）依据基金管理人的指令或有关规定向基金份额持有人支付基金收益和赎回款项；</w:t>
      </w:r>
    </w:p>
    <w:p w14:paraId="0166311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15）依据《基金法》、《基金合同》及其他有关规定，召集基金份额持有人大会或配合基金管理人、基金份额持有人依法召集基金份额持有人大会；</w:t>
      </w:r>
    </w:p>
    <w:p w14:paraId="487652D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16）按照法律法规和《基金合同》的规定监督基金管理人的投资运作；</w:t>
      </w:r>
    </w:p>
    <w:p w14:paraId="7E53E16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17）参加基金财产清算小组，参与基金财产的保管、清理、估价、变现和分配；</w:t>
      </w:r>
    </w:p>
    <w:p w14:paraId="72FA608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18）面临解散、依法被撤销或者被依法宣告破产时，及时报告中国证监会和银行业监督管理机构，并通知基金管理人；</w:t>
      </w:r>
    </w:p>
    <w:p w14:paraId="0A5581C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19）因违反《基金合同》导致基金财产损失时，应承担赔偿责任，其赔偿责任不因其退任而免除；</w:t>
      </w:r>
    </w:p>
    <w:p w14:paraId="0D611A7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20）按规定监督基金管理人按法律法规和《基金合同》规定履行自己的义务，基金管理人因违反《基金合同》造成基金财产损失时，应为基金份额持有人利益向基金管理人追偿；</w:t>
      </w:r>
    </w:p>
    <w:p w14:paraId="6142342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21）执行生效的基金份额持有人大会的决议；</w:t>
      </w:r>
    </w:p>
    <w:p w14:paraId="43D6C67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22）法律法规及中国证监会规定的和《基金合同》约定的其他义务。</w:t>
      </w:r>
    </w:p>
    <w:p w14:paraId="218842A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3、基金份额持有人的权利与义务</w:t>
      </w:r>
    </w:p>
    <w:p w14:paraId="0371095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者持有本基金基金份额的行为即视为对《基金合同》的承认和接受，基金投资者自依据《基金合同》取得本基金的基金份额，即成为本基金份额持有人和《基金合同》的当事人，直至其不再持有本基金的基金份额。基金份额持有人作为《基金合同》当事人并不以在《基金合同》上书面签章或签字为必要条件。</w:t>
      </w:r>
    </w:p>
    <w:p w14:paraId="227EE7F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同一类别每份基金份额具有同等的合法权益。</w:t>
      </w:r>
    </w:p>
    <w:p w14:paraId="7996383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（1）根据《基金法》、《运作办法》及其他有关规定，基金份额持有人的权利包括但不限于：</w:t>
      </w:r>
    </w:p>
    <w:p w14:paraId="12F75A0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1）分享基金财产收益；</w:t>
      </w:r>
    </w:p>
    <w:p w14:paraId="3645229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2）参与分配清算后的剩余基金财产；</w:t>
      </w:r>
    </w:p>
    <w:p w14:paraId="154D049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3）依法并按照基金合同和招募说明书的规定申请赎回或转让其持有的基金份额；</w:t>
      </w:r>
    </w:p>
    <w:p w14:paraId="46B54FB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4）按照规定要求召开基金份额持有人大会或者召集基金份额持有人大会；</w:t>
      </w:r>
    </w:p>
    <w:p w14:paraId="34BF46C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5）出席或者委派代表出席基金份额持有人大会，对基金份额持有人大会审议事项行使表决权；</w:t>
      </w:r>
    </w:p>
    <w:p w14:paraId="290AA4A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6）查阅或者复制公开披露的基金信息资料；</w:t>
      </w:r>
    </w:p>
    <w:p w14:paraId="185B26C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7）监督基金管理人的投资运作；</w:t>
      </w:r>
    </w:p>
    <w:p w14:paraId="7BEC970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8）对基金管理人、基金托管人、基金服务机构损害其合法权益的行为依法提起诉讼或仲裁；</w:t>
      </w:r>
    </w:p>
    <w:p w14:paraId="3E6A105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9）法律法规及中国证监会规定的和《基金合同》约定的其他权利。</w:t>
      </w:r>
    </w:p>
    <w:p w14:paraId="06012FE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（2）根据《基金法》、《运作办法》及其他有关规定，基金份额持有人的义务包括但不限于：</w:t>
      </w:r>
    </w:p>
    <w:p w14:paraId="7696512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1）认真阅读并遵守《基金合同》、招募说明书等信息披露文件；</w:t>
      </w:r>
    </w:p>
    <w:p w14:paraId="7FB5436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2）了解所投资基金产品，了解自身风险承受能力，自主判断基金的投资价值，自主做出投资决策，自行承担投资风险；</w:t>
      </w:r>
    </w:p>
    <w:p w14:paraId="67E6A8D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3）关注基金信息披露，及时行使权利和履行义务；</w:t>
      </w:r>
    </w:p>
    <w:p w14:paraId="16E840C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4）缴纳基金认购、申购款项及法律法规和《基金合同》所规定的费用；</w:t>
      </w:r>
    </w:p>
    <w:p w14:paraId="6709279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5）在其持有的基金份额范围内，承担基金亏损或者《基金合同》终止的有限责任；</w:t>
      </w:r>
    </w:p>
    <w:p w14:paraId="6540D93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6）不从事任何有损基金及其他《基金合同》当事人合法权益的活动；</w:t>
      </w:r>
    </w:p>
    <w:p w14:paraId="03DB165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7）执行生效的基金份额持有人大会的决议；</w:t>
      </w:r>
    </w:p>
    <w:p w14:paraId="06F5A46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8）返还在基金交易过程中因任何原因获得的不当得利；</w:t>
      </w:r>
    </w:p>
    <w:p w14:paraId="18B1139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9）遵守基金管理人、基金托管人、销售机构和登记机构的相关交易及业务规则；</w:t>
      </w:r>
    </w:p>
    <w:p w14:paraId="5C4900E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10）提供基金管理人和监管机构依法要求提供的信息，以及不时的更新和补充，并保证其真实性；</w:t>
      </w:r>
    </w:p>
    <w:p w14:paraId="77B3E26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11）法律法规及中国证监会规定的和《基金合同》约定的其他义务。</w:t>
      </w:r>
    </w:p>
    <w:p w14:paraId="4B0240E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（二）基金份额持有人大会召集、议事及表决的程序和规则</w:t>
      </w:r>
    </w:p>
    <w:p w14:paraId="30806E2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基金份额持有人大会由基金份额持有人组成，基金份额持有人的合法授权代表有权代表基金份额持有人出席会议并表决。基金份额持有人持有的每一基金份额拥有平等的投票权。</w:t>
      </w:r>
    </w:p>
    <w:p w14:paraId="4A0F9E2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本基金份额持有人大会不设日常机构。</w:t>
      </w:r>
    </w:p>
    <w:p w14:paraId="5432DD9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1、召开事由</w:t>
      </w:r>
    </w:p>
    <w:p w14:paraId="3E6ABB4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（1）当出现或需要决定下列事由之一的，应当召开基金份额持有人大会，法律法规、基金合同和中国证监会另有规定的除外：</w:t>
      </w:r>
    </w:p>
    <w:p w14:paraId="1F9F3DB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1）终止《基金合同》；</w:t>
      </w:r>
    </w:p>
    <w:p w14:paraId="3B0FE57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2）更换基金管理人；</w:t>
      </w:r>
    </w:p>
    <w:p w14:paraId="6BE3828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3）更换基金托管人；</w:t>
      </w:r>
    </w:p>
    <w:p w14:paraId="1212CBD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4）转换基金运作方式；</w:t>
      </w:r>
    </w:p>
    <w:p w14:paraId="7622881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5）提高基金管理人、基金托管人的报酬标准和提高销售服务费，但法律法规要求提高该等报酬标准的除外；</w:t>
      </w:r>
    </w:p>
    <w:p w14:paraId="25CCA34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6）变更基金类别；</w:t>
      </w:r>
    </w:p>
    <w:p w14:paraId="36A1374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7）本基金与其他基金的合并；</w:t>
      </w:r>
    </w:p>
    <w:p w14:paraId="61D39AF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8）变更基金投资目标、范围或策略；</w:t>
      </w:r>
    </w:p>
    <w:p w14:paraId="0DED5B6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9）变更基金份额持有人大会程序；</w:t>
      </w:r>
    </w:p>
    <w:p w14:paraId="65D7B46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10）基金管理人或基金托管人要求召开基金份额持有人大会；</w:t>
      </w:r>
    </w:p>
    <w:p w14:paraId="1F30287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11）单独或合计持有本基金总份额10%以上（含10%）基金份额的基金份额持有人（以基金管理人收到提议当日的基金份额计算，下同）就同一事项书面要求召开基金份额持有人大会；</w:t>
      </w:r>
    </w:p>
    <w:p w14:paraId="158DF3D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12）对基金合同当事人权利和义务产生重大影响的其他事项；</w:t>
      </w:r>
    </w:p>
    <w:p w14:paraId="01CF597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13）法律法规、《基金合同》或中国证监会规定的其他应当召开基金份额持有人大会的事项。</w:t>
      </w:r>
    </w:p>
    <w:p w14:paraId="0AA7069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（2）在法律法规和《基金合同》规定的范围内且在对现有基金份额持有人利益无实质性不利影响的前提下，以下情况可由基金管理人和基金托管人协商后修改，不需召开基金份额持有人大会：</w:t>
      </w:r>
    </w:p>
    <w:p w14:paraId="44B48DB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1）调低销售服务费；</w:t>
      </w:r>
    </w:p>
    <w:p w14:paraId="5DADCBE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2）法律法规要求增加的基金费用的收取；</w:t>
      </w:r>
    </w:p>
    <w:p w14:paraId="6F739E4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3）在法律法规和《基金合同》规定的范围内调整本基金的申购费率、调低赎</w:t>
      </w:r>
      <w:r>
        <w:rPr>
          <w:rFonts w:ascii="宋体" w:hAnsi="宋体"/>
          <w:sz w:val="24"/>
        </w:rPr>
        <w:lastRenderedPageBreak/>
        <w:t>回费率、在对现有基金份额持有人利益无实质性不利影响的前提下变更或增加收费方式；</w:t>
      </w:r>
    </w:p>
    <w:p w14:paraId="418BE95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4）因相应的法律法规、登记机构的相关业务规则发生变动而应当对《基金合同》进行修改；</w:t>
      </w:r>
    </w:p>
    <w:p w14:paraId="2F8305C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5）对《基金合同》的修改对基金份额持有人利益无实质性不利影响或修改不涉及《基金合同》当事人权利义务关系发生重大变化；</w:t>
      </w:r>
    </w:p>
    <w:p w14:paraId="508130A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6）在法律法规允许的情况下，且在对现有基金份额持有人利益无实质性不利影响的前提下，基金推出新业务或服务；</w:t>
      </w:r>
    </w:p>
    <w:p w14:paraId="0733771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7）在符合法律法规及本基金合同规定、并且对基金份额持有人利益无实质不利影响的前提下，调整本基金份额类别的设置；</w:t>
      </w:r>
    </w:p>
    <w:p w14:paraId="5C6B943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8）在不违反法律法规及对基金份额持有人利益无实质性不利影响的前提下，基金管理人、登记机构、销售机构调整有关基金认购、申购、赎回、转换、收益分配、非交易过户、转托管等业务的规则；</w:t>
      </w:r>
    </w:p>
    <w:p w14:paraId="26215E3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9）按照法律法规和《基金合同》规定不需召开基金份额持有人大会的其他情形。</w:t>
      </w:r>
    </w:p>
    <w:p w14:paraId="692931B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2、会议召集人及召集方式</w:t>
      </w:r>
    </w:p>
    <w:p w14:paraId="6C64EE0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（1）除法律法规规定或《基金合同》另有约定外，基金份额持有人大会由基金管理人召集；</w:t>
      </w:r>
    </w:p>
    <w:p w14:paraId="770B82D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（2）基金管理人未按规定召集或不能召集时，由基金托管人召集；</w:t>
      </w:r>
    </w:p>
    <w:p w14:paraId="0FA844B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4560A74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w:t>
      </w:r>
      <w:r>
        <w:rPr>
          <w:rFonts w:ascii="宋体" w:hAnsi="宋体"/>
          <w:sz w:val="24"/>
        </w:rPr>
        <w:lastRenderedPageBreak/>
        <w:t>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27FEFCC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7C33526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（6）基金份额持有人会议的召集人负责选择确定开会时间、地点、方式和权益登记日。</w:t>
      </w:r>
    </w:p>
    <w:p w14:paraId="57ED0E8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3、召开基金份额持有人大会的通知时间、通知内容、通知方式</w:t>
      </w:r>
    </w:p>
    <w:p w14:paraId="3C5384C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（1）召开基金份额持有人大会，召集人应于会议召开前30日，在指定媒介公告。基金份额持有人大会通知应至少载明以下内容：</w:t>
      </w:r>
    </w:p>
    <w:p w14:paraId="6B1A569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1）会议召开的时间、地点和会议形式；</w:t>
      </w:r>
    </w:p>
    <w:p w14:paraId="6C786F1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2）会议拟审议的事项、议事程序和表决方式；</w:t>
      </w:r>
    </w:p>
    <w:p w14:paraId="634B956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3）有权出席基金份额持有人大会的基金份额持有人的权益登记日；</w:t>
      </w:r>
    </w:p>
    <w:p w14:paraId="65AFA9F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4）授权委托证明的内容要求（包括但不限于代理人身份，代理权限和代理有效期限等）、送达时间和地点；</w:t>
      </w:r>
    </w:p>
    <w:p w14:paraId="1F1789B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5）会务常设联系人姓名及联系电话；</w:t>
      </w:r>
    </w:p>
    <w:p w14:paraId="650B4BC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6）出席会议者必须准备的文件和必须履行的手续；</w:t>
      </w:r>
    </w:p>
    <w:p w14:paraId="7D662B3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7）召集人需要通知的其他事项。</w:t>
      </w:r>
    </w:p>
    <w:p w14:paraId="5395B43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12FF2A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w:t>
      </w:r>
      <w:r>
        <w:rPr>
          <w:rFonts w:ascii="宋体" w:hAnsi="宋体"/>
          <w:sz w:val="24"/>
        </w:rPr>
        <w:lastRenderedPageBreak/>
        <w:t>力。</w:t>
      </w:r>
    </w:p>
    <w:p w14:paraId="177CEBD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4、基金份额持有人出席会议的方式</w:t>
      </w:r>
    </w:p>
    <w:p w14:paraId="2E70D55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基金份额持有人大会可通过现场开会方式、通讯开会方式或法律法规和监管机关允许的其他方式召开，会议的召开方式由会议召集人确定。</w:t>
      </w:r>
    </w:p>
    <w:p w14:paraId="39B5984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6A02A6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986500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基金份额应不少于在权益登记日基金总份额的三分之一（含三分之一）。</w:t>
      </w:r>
    </w:p>
    <w:p w14:paraId="40B934B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（2）通讯开会。通讯开会系指基金份额持有人将其对表决事项的投票以会议通知载明的形式在表决截止日以前送达至召集人指定的地址。</w:t>
      </w:r>
    </w:p>
    <w:p w14:paraId="1C2873A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在同时符合以下条件时，通讯开会的方式视为有效：</w:t>
      </w:r>
    </w:p>
    <w:p w14:paraId="56EA7ED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1）会议召集人按《基金合同》约定公布会议通知后，在2个工作日内连续公布相关提示性公告；</w:t>
      </w:r>
    </w:p>
    <w:p w14:paraId="7D11443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A72D5B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3）本人直接出具表决意见或授权他人代表出具表决意见的，基金份额持有人所持有的基金份额不小于在权益登记日基金总份额的二分之一（含二分之一）；若</w:t>
      </w:r>
      <w:r>
        <w:rPr>
          <w:rFonts w:ascii="宋体" w:hAnsi="宋体"/>
          <w:sz w:val="24"/>
        </w:rPr>
        <w:lastRenderedPageBreak/>
        <w:t>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427D77F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6270183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015D0B5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5、议事内容与程序</w:t>
      </w:r>
    </w:p>
    <w:p w14:paraId="6989900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（1）议事内容及提案权</w:t>
      </w:r>
    </w:p>
    <w:p w14:paraId="5D68357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01D6F28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基金份额持有人大会的召集人发出召集会议的通知后，对原有提案的修改应当在基金份额持有人大会召开前及时公告。</w:t>
      </w:r>
    </w:p>
    <w:p w14:paraId="2E2269D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基金份额持有人大会不得对未事先公告的议事内容进行表决。</w:t>
      </w:r>
    </w:p>
    <w:p w14:paraId="7943970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（2）议事程序</w:t>
      </w:r>
    </w:p>
    <w:p w14:paraId="3104E4C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w:t>
      </w:r>
    </w:p>
    <w:p w14:paraId="23CA1B1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现场开会的方式下，首先由大会主持人按照下列第7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w:t>
      </w:r>
      <w:r>
        <w:rPr>
          <w:rFonts w:ascii="宋体" w:hAnsi="宋体"/>
          <w:sz w:val="24"/>
        </w:rPr>
        <w:lastRenderedPageBreak/>
        <w:t>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1B7DDE9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会议召集人应当制作出席会议人员的签名册。签名册载明参加会议人员姓名（或单位名称）、身份证明文件号码、持有或代表有表决权的基金份额、委托人姓名（或单位名称）和联系方式等事项。</w:t>
      </w:r>
    </w:p>
    <w:p w14:paraId="46D0A77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w:t>
      </w:r>
    </w:p>
    <w:p w14:paraId="4DB52F9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在通讯开会的情况下，首先由召集人提前30日公布提案，在所通知的表决截止日期后2个工作日内在公证机关监督下由召集人统计全部有效表决，在公证机关监督下形成决议。</w:t>
      </w:r>
    </w:p>
    <w:p w14:paraId="3AEF5F8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6、表决</w:t>
      </w:r>
    </w:p>
    <w:p w14:paraId="0C31070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基金份额持有人所持每份基金份额有一票表决权。</w:t>
      </w:r>
    </w:p>
    <w:p w14:paraId="4FE66AF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基金份额持有人大会决议分为一般决议和特别决议：</w:t>
      </w:r>
    </w:p>
    <w:p w14:paraId="55A3132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6C235FB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和中国证监会另有规定的除外）以特别决议通过方为有效。</w:t>
      </w:r>
    </w:p>
    <w:p w14:paraId="241BDC6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基金份额持有人大会采取记名方式进行投票表决。</w:t>
      </w:r>
    </w:p>
    <w:p w14:paraId="5BE41FA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99E621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基金份额持有人大会的各项提案或同一项提案内并列的各项议题应当分开审议、逐项表决。</w:t>
      </w:r>
    </w:p>
    <w:p w14:paraId="2C26F1B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7、计票</w:t>
      </w:r>
    </w:p>
    <w:p w14:paraId="6D12D02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w:t>
      </w:r>
    </w:p>
    <w:p w14:paraId="05C7E1C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602E3E8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2）监票人应当在基金份额持有人表决后立即进行清点并由大会主持人当场公布计票结果。</w:t>
      </w:r>
    </w:p>
    <w:p w14:paraId="69219EB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9D23B2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4）计票过程应由公证机关予以公证，基金管理人或基金托管人拒不出席大会的，不影响计票的效力。</w:t>
      </w:r>
    </w:p>
    <w:p w14:paraId="21351AB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w:t>
      </w:r>
    </w:p>
    <w:p w14:paraId="0D4FCC5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495F970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8、生效与公告</w:t>
      </w:r>
    </w:p>
    <w:p w14:paraId="7331A47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基金份额持有人大会决定的事项自表决通过之日起生效，召集人应当自通过之日起5日内报中国证监会备案。</w:t>
      </w:r>
    </w:p>
    <w:p w14:paraId="527F103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基金份额持有人大会决议自生效之日起2日内在指定媒介上公告。如果采用通讯方式进行表决，在公告基金份额持有人大会决议时，必须将公证书全文、公证机构、公证员姓名等一同公告。</w:t>
      </w:r>
    </w:p>
    <w:p w14:paraId="6F9D130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基金管理人、基金托管人和基金份额持有人应当执行生效的基金份额持有人大会的决议。生效的基金份额持有人大会决议对全体基金份额持有人、基金管理人、基金托管人均有约束力。</w:t>
      </w:r>
    </w:p>
    <w:p w14:paraId="77EFA43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9、实施侧袋机制期间基金份额持有人大会的特殊约定</w:t>
      </w:r>
    </w:p>
    <w:p w14:paraId="3F7CE16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若本基金实施侧袋机制，则相关基金份额或表决权的比例指主袋份额持有人和</w:t>
      </w:r>
      <w:r>
        <w:rPr>
          <w:rFonts w:ascii="宋体" w:hAnsi="宋体"/>
          <w:sz w:val="24"/>
        </w:rPr>
        <w:lastRenderedPageBreak/>
        <w:t>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34E0D2A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（1）基金份额持有人行使提议权、召集权、提名权所需单独或合计代表相关基金份额10%以上（含10%）；</w:t>
      </w:r>
    </w:p>
    <w:p w14:paraId="2FFE82D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（2）现场开会的到会者在权益登记日代表的基金份额不少于本基金在权益登记日相关基金份额的二分之一（含二分之一）；</w:t>
      </w:r>
    </w:p>
    <w:p w14:paraId="51EE966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（3）通讯开会的直接出具表决意见或授权他人代表出具表决意见的基金份额持有人所持有的基金份额不小于在权益登记日相关基金份额的二分之一（含二分之一）；</w:t>
      </w:r>
    </w:p>
    <w:p w14:paraId="490D940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28F4FF3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（5）现场开会由出席大会的基金份额持有人和代理人所持表决权的50%以上（含50%）选举产生一名基金份额持有人或代理人作为该次基金份额持有人大会的主持人；</w:t>
      </w:r>
    </w:p>
    <w:p w14:paraId="59EF30E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（6）一般决议须经参加大会的基金份额持有人或其代理人所持表决权的二分之一以上（含二分之一）通过；</w:t>
      </w:r>
    </w:p>
    <w:p w14:paraId="4832EA0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（7）特别决议应当经参加大会的基金份额持有人或其代理人所持表决权的三分之二以上（含三分之二）通过。</w:t>
      </w:r>
    </w:p>
    <w:p w14:paraId="6449C50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同一主侧袋账户内的每份基金份额具有平等的表决权。</w:t>
      </w:r>
    </w:p>
    <w:p w14:paraId="7D192C6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本部分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49C983D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（三）基金合同解除和终止的事由、程序</w:t>
      </w:r>
    </w:p>
    <w:p w14:paraId="52D2FAC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1、《基金合同》的变更</w:t>
      </w:r>
    </w:p>
    <w:p w14:paraId="02ECCA2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（1）变更基金合同涉及法律法规规定或本基金合同约定应经基金份额持有人</w:t>
      </w:r>
      <w:r>
        <w:rPr>
          <w:rFonts w:ascii="宋体" w:hAnsi="宋体"/>
          <w:sz w:val="24"/>
        </w:rPr>
        <w:lastRenderedPageBreak/>
        <w:t>大会决议通过的事项的，应召开基金份额持有人大会决议通过。对于可不经基金份额持有人大会决议通过的事项，由基金管理人和基金托管人同意后变更并公告，并报中国证监会备案。</w:t>
      </w:r>
    </w:p>
    <w:p w14:paraId="511392F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（2）关于《基金合同》变更的基金份额持有人大会决议生效后方可执行，并自决议生效后依照《信息披露办法》的规定在指定媒介公告。</w:t>
      </w:r>
    </w:p>
    <w:p w14:paraId="76FA811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2、《基金合同》的终止事由</w:t>
      </w:r>
    </w:p>
    <w:p w14:paraId="03378BB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有下列情形之一的，《基金合同》应当终止：</w:t>
      </w:r>
    </w:p>
    <w:p w14:paraId="04F82AE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（1）基金份额持有人大会决定终止的；</w:t>
      </w:r>
    </w:p>
    <w:p w14:paraId="3F937D1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（2）基金管理人、基金托管人职责终止，在6个月内没有新基金管理人、新基金托管人承接的；</w:t>
      </w:r>
    </w:p>
    <w:p w14:paraId="1832FEF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（3）本基金作为被合并方与其他基金进行合并的；</w:t>
      </w:r>
    </w:p>
    <w:p w14:paraId="776D156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（4）连续60个工作日出现基金份额持有人数量不满200人或者基金资产净值低于5000万元情形的，基金管理人应当向中国证监会报告并提前终止基金合同，不需召开基金份额持有人大会；</w:t>
      </w:r>
    </w:p>
    <w:p w14:paraId="2EDC484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（5）《基金合同》约定的其他情形；</w:t>
      </w:r>
    </w:p>
    <w:p w14:paraId="53CC7BB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（6）相关法律法规和中国证监会规定的其他情况。</w:t>
      </w:r>
    </w:p>
    <w:p w14:paraId="66B30BB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3、基金财产的清算</w:t>
      </w:r>
    </w:p>
    <w:p w14:paraId="7DD595C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（1）基金财产清算小组：自出现《基金合同》终止事由之日起30个工作日内成立清算小组，基金管理人组织基金财产清算小组并在中国证监会的监督下进行基金清算。</w:t>
      </w:r>
    </w:p>
    <w:p w14:paraId="05E0619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0C0BC2D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（3）基金财产清算小组职责：基金财产清算小组负责基金财产的保管、清理、估价、变现和分配。基金财产清算小组可以依法进行必要的民事活动。</w:t>
      </w:r>
    </w:p>
    <w:p w14:paraId="3A3E1FF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（4）基金财产清算程序：</w:t>
      </w:r>
    </w:p>
    <w:p w14:paraId="7C5D6EF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1）《基金合同》终止情形出现时，由基金财产清算小组统一接管基金财产；</w:t>
      </w:r>
    </w:p>
    <w:p w14:paraId="27760B7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2）对基金财产和债权债务进行清理和确认；</w:t>
      </w:r>
    </w:p>
    <w:p w14:paraId="76A1932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3）对基金财产进行估值和变现；</w:t>
      </w:r>
    </w:p>
    <w:p w14:paraId="2F96A28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4）制作清算报告；</w:t>
      </w:r>
    </w:p>
    <w:p w14:paraId="40E6A00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5）聘请会计师事务所对清算报告进行外部审计，聘请律师事务所对清算报告出具法律意见书；</w:t>
      </w:r>
    </w:p>
    <w:p w14:paraId="6A95740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6）将清算报告报中国证监会备案并公告；</w:t>
      </w:r>
    </w:p>
    <w:p w14:paraId="0291CBD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7）对基金剩余财产进行分配。</w:t>
      </w:r>
    </w:p>
    <w:p w14:paraId="2E46155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（5）基金财产清算的期限为6个月，若遇基金持有的有价证券出现长期休市、停牌或其他流通受限的情形除外。</w:t>
      </w:r>
    </w:p>
    <w:p w14:paraId="51AE0F8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4、清算费用</w:t>
      </w:r>
    </w:p>
    <w:p w14:paraId="1D96021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14:paraId="1ED9E1C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5、基金财产清算剩余资产的分配</w:t>
      </w:r>
    </w:p>
    <w:p w14:paraId="27B6569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14:paraId="1924E8E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6、基金财产清算的公告</w:t>
      </w:r>
    </w:p>
    <w:p w14:paraId="3806A32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14:paraId="71AEF25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7、基金财产清算账册及文件的保存</w:t>
      </w:r>
    </w:p>
    <w:p w14:paraId="5F93597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基金财产清算账册及有关文件由基金托管人保存15年以上。</w:t>
      </w:r>
    </w:p>
    <w:p w14:paraId="32DBA85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（四）争议解决方式</w:t>
      </w:r>
    </w:p>
    <w:p w14:paraId="2FD6968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用由败诉方承担。</w:t>
      </w:r>
    </w:p>
    <w:p w14:paraId="5658BED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《基金合同》受中国法律管辖。</w:t>
      </w:r>
    </w:p>
    <w:p w14:paraId="259DE7C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（五）基金合同存放及投资者取得基金合同的方式</w:t>
      </w:r>
    </w:p>
    <w:p w14:paraId="35D123B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《基金合同》正本一式六份，除上报有关监管机构一式二份外，基金管理人、基金托管人各持有二份，每份具有同等的法律效力。</w:t>
      </w:r>
    </w:p>
    <w:p w14:paraId="33550C3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《基金合同》可印制成册，供投资者在基金管理人、基金托管人、销售机构的办公场所和营业场所查阅，但应以《基金合同》正本为准。</w:t>
      </w:r>
    </w:p>
    <w:p w14:paraId="60C150F2" w14:textId="77777777" w:rsidR="00C86C88" w:rsidRDefault="00D93D5A" w:rsidP="00C86C8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734B4700" w14:textId="77777777" w:rsidR="00542AF7" w:rsidRDefault="00D93D5A">
      <w:pPr>
        <w:pStyle w:val="1"/>
        <w:snapToGrid w:val="0"/>
        <w:spacing w:beforeLines="0" w:before="240" w:after="240"/>
        <w:rPr>
          <w:rFonts w:ascii="宋体" w:hAnsi="宋体"/>
          <w:szCs w:val="30"/>
        </w:rPr>
      </w:pPr>
      <w:bookmarkStart w:id="26" w:name="_Toc151542555"/>
      <w:bookmarkStart w:id="27" w:name="_Hlk152862788"/>
      <w:bookmarkEnd w:id="25"/>
      <w:r>
        <w:rPr>
          <w:rFonts w:ascii="Times New Roman" w:hAnsi="Times New Roman"/>
          <w:sz w:val="30"/>
        </w:rPr>
        <w:lastRenderedPageBreak/>
        <w:t>二十二、托管协议的内容摘要</w:t>
      </w:r>
      <w:bookmarkEnd w:id="26"/>
    </w:p>
    <w:p w14:paraId="29EFCB3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（一）托管协议当事人</w:t>
      </w:r>
    </w:p>
    <w:p w14:paraId="6F535BA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w:t>
      </w:r>
    </w:p>
    <w:p w14:paraId="6BEF5C9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14:paraId="58BF3DA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14:paraId="3BAD302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法定代表人：阮红</w:t>
      </w:r>
    </w:p>
    <w:p w14:paraId="7E1DCF2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成立时间：2005年8月4日</w:t>
      </w:r>
    </w:p>
    <w:p w14:paraId="58A16D8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批准设立机关：中国证监会</w:t>
      </w:r>
    </w:p>
    <w:p w14:paraId="43F3A3D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批准设立文号：证监基金字[2005]128号</w:t>
      </w:r>
    </w:p>
    <w:p w14:paraId="74E15A1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组织形式：有限责任公司</w:t>
      </w:r>
    </w:p>
    <w:p w14:paraId="044A7FF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注册资本：2亿元人民币</w:t>
      </w:r>
    </w:p>
    <w:p w14:paraId="391C35E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经营范围：基金募集、基金销售、资产管理和中国证监会许可的其它业务。</w:t>
      </w:r>
    </w:p>
    <w:p w14:paraId="0A4D56A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14:paraId="54014BA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w:t>
      </w:r>
    </w:p>
    <w:p w14:paraId="50C05ED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名称：兴业银行股份有限公司（简称：兴业银行）</w:t>
      </w:r>
    </w:p>
    <w:p w14:paraId="7F02829D" w14:textId="374ED476"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w:t>
      </w:r>
      <w:r w:rsidR="008818E2" w:rsidRPr="00223B3E">
        <w:rPr>
          <w:rFonts w:hint="eastAsia"/>
          <w:sz w:val="24"/>
        </w:rPr>
        <w:t>福建省福州市台江区江滨中大道</w:t>
      </w:r>
      <w:r w:rsidR="008818E2" w:rsidRPr="00223B3E">
        <w:rPr>
          <w:rFonts w:hint="eastAsia"/>
          <w:sz w:val="24"/>
        </w:rPr>
        <w:t>398</w:t>
      </w:r>
      <w:r w:rsidR="008818E2" w:rsidRPr="00223B3E">
        <w:rPr>
          <w:rFonts w:hint="eastAsia"/>
          <w:sz w:val="24"/>
        </w:rPr>
        <w:t>号兴业银行大厦</w:t>
      </w:r>
    </w:p>
    <w:p w14:paraId="1E59C98F" w14:textId="3238B60A"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w:t>
      </w:r>
      <w:r w:rsidR="008818E2" w:rsidRPr="00CE6CF2">
        <w:rPr>
          <w:rFonts w:hint="eastAsia"/>
          <w:sz w:val="24"/>
        </w:rPr>
        <w:t>上海市浦东新区银城路</w:t>
      </w:r>
      <w:r w:rsidR="008818E2" w:rsidRPr="00CE6CF2">
        <w:rPr>
          <w:rFonts w:hint="eastAsia"/>
          <w:sz w:val="24"/>
        </w:rPr>
        <w:t>167</w:t>
      </w:r>
      <w:r w:rsidR="008818E2" w:rsidRPr="00CE6CF2">
        <w:rPr>
          <w:rFonts w:hint="eastAsia"/>
          <w:sz w:val="24"/>
        </w:rPr>
        <w:t>号</w:t>
      </w:r>
    </w:p>
    <w:p w14:paraId="759624A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邮政编码：350013</w:t>
      </w:r>
    </w:p>
    <w:p w14:paraId="1C07F860" w14:textId="44AC5C93"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r w:rsidR="007365EF" w:rsidRPr="00610E0B">
        <w:rPr>
          <w:rFonts w:hint="eastAsia"/>
          <w:sz w:val="24"/>
        </w:rPr>
        <w:t>吕家进</w:t>
      </w:r>
    </w:p>
    <w:p w14:paraId="78D0443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成立日期：1988年8月22日</w:t>
      </w:r>
    </w:p>
    <w:p w14:paraId="68D65E9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批准设立机关和批准设立文号：中国人民银行总行，银复[1988]347号</w:t>
      </w:r>
    </w:p>
    <w:p w14:paraId="02F82BC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基金托管业务批准文号：中国证监会证监基金字[2005]74号</w:t>
      </w:r>
    </w:p>
    <w:p w14:paraId="05B3AE5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组织形式：股份有限公司</w:t>
      </w:r>
    </w:p>
    <w:p w14:paraId="5932D7B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注册资本：207.74190751亿元人民币</w:t>
      </w:r>
    </w:p>
    <w:p w14:paraId="0E89FE6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14:paraId="5EF1A72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范围：吸收公众存款；发放短期、中期和长期贷款；办理国内外结算；办理票据承兑与贴现；发行金融债券；代理发行、代理兑付、承销政府债券；买卖政府债券、金融债券；代理发行股票以外的有价证券；买卖、代理买卖股票以外的有价证券；资产托管业务；从事同业拆借；买卖、代理买卖外汇；结汇、售汇业务；</w:t>
      </w:r>
      <w:r>
        <w:rPr>
          <w:rFonts w:ascii="宋体" w:hAnsi="宋体"/>
          <w:sz w:val="24"/>
        </w:rPr>
        <w:lastRenderedPageBreak/>
        <w:t>从事银行卡业务；提供信用证服务及担保；代理收付款项及代理保险业务；提供保管箱服务；财务顾问、资信调查、咨询、见证业务；经中国银行业监督管理机构批准的其他业务（以上范围凡涉及国家专项专营规定的从其规定）。</w:t>
      </w:r>
    </w:p>
    <w:p w14:paraId="77A69F6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（二）基金托管人对基金管理人的业务监督和核查</w:t>
      </w:r>
    </w:p>
    <w:p w14:paraId="4E3DB4D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1、基金托管人对基金管理人的投资行为行使监督权</w:t>
      </w:r>
    </w:p>
    <w:p w14:paraId="304E889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4FDA304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范围为具有良好流动性的金融工具，包括国内依法发行上市的国债、金融债、央行票据、地方政府债、企业债、公司债、中小企业私募债、中期票据、短期融资券、超级短期融资券、资产支持证券、次级债、可分离交易可转债的纯债部分、债券回购、银行存款、货币市场工具以及法律法规或中国证监会允许基金投资的其他金融工具（但须符合中国证监会相关规定）。本基金不投资于股票、权证等权益类资产，也不投资于可转换债券（可分离交易可转债的纯债部分除外）、可交换债券。</w:t>
      </w:r>
    </w:p>
    <w:p w14:paraId="007B6C4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如法律法规或监管机构以后允许本基金投资其他品种，基金管理人在履行适当程序后，可以将其纳入投资范围。</w:t>
      </w:r>
    </w:p>
    <w:p w14:paraId="19F516F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比例为：本基金投资于债券资产的比例不低于基金资产的80%，现金或者到期日在一年以内的政府债券的投资比例合计不低于基金资产净值的5%，其中现金不包括结算备付金、存出保证金和应收申购款等。</w:t>
      </w:r>
    </w:p>
    <w:p w14:paraId="6A7EC64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如果法律法规或中国证监会变更投资品种的投资比例限制，基金管理人在履行适当程序后，可以调整上述投资品种的投资比例。</w:t>
      </w:r>
    </w:p>
    <w:p w14:paraId="1C89F1F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2、基金托管人根据有关法律法规的规定及基金合同的约定，对基金投资、融资比例进行监督。</w:t>
      </w:r>
    </w:p>
    <w:p w14:paraId="73137FA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基金托管人按下述比例和调整期限进行监督：</w:t>
      </w:r>
    </w:p>
    <w:p w14:paraId="4E15AA2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（1）本基金投资于债券资产的比例不低于基金资产的80%；</w:t>
      </w:r>
    </w:p>
    <w:p w14:paraId="302D445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（2）保持不低于基金资产净值5%的现金或者到期日在一年以内的政府债券，其中现金不包括结算备付金、存出保证金和应收申购款等；</w:t>
      </w:r>
    </w:p>
    <w:p w14:paraId="53A414A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（3）本基金持有一家公司发行的证券，其市值不超过基金资产净值的10%；</w:t>
      </w:r>
    </w:p>
    <w:p w14:paraId="58B909F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（4）本基金管理人管理的全部基金持有一家公司发行的证券，不超过该证券的10%；</w:t>
      </w:r>
    </w:p>
    <w:p w14:paraId="4DC0CEA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（5）本基金投资于同一原始权益人的各类资产支持证券的比例，不得超过基金资产净值的10%；</w:t>
      </w:r>
    </w:p>
    <w:p w14:paraId="78C5C3A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（6）本基金持有的全部资产支持证券，其市值不得超过基金资产净值的20%；</w:t>
      </w:r>
    </w:p>
    <w:p w14:paraId="55EF9A5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（7）本基金持有的同一(指同一信用级别)资产支持证券的比例，不得超过该资产支持证券规模的10%；</w:t>
      </w:r>
    </w:p>
    <w:p w14:paraId="64019A5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（8）本基金管理人管理的全部基金投资于同一原始权益人的各类资产支持证券，不得超过其各类资产支持证券合计规模的10%；</w:t>
      </w:r>
    </w:p>
    <w:p w14:paraId="2C8B743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（9）本基金应投资于信用级别评级为BBB以上(含BBB)的资产支持证券。基金持有资产支持证券期间，如果其信用等级下降、不再符合投资标准，应在评级报告发布之日起3个月内予以全部卖出；</w:t>
      </w:r>
    </w:p>
    <w:p w14:paraId="7CF6560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（10）本基金进入全国银行间同业市场进行债券回购的资金余额不得超过基金资产净值的40%；本基金在全国银行间同业市场中的债券回购最长期限为1年，债券回购到期后不得展期；</w:t>
      </w:r>
    </w:p>
    <w:p w14:paraId="114FCBB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（11）本基金持有单只中小企业私募债券，其市值不得超过基金资产净值的10%；</w:t>
      </w:r>
    </w:p>
    <w:p w14:paraId="3D46547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（12）本基金的基金资产总值不得超过基金资产净值的140%；</w:t>
      </w:r>
    </w:p>
    <w:p w14:paraId="4E241DA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（13）本基金与私募类证券资管产品及中国证监会认定的其他主体为交易对手开展逆回购交易的，可接受质押品的资质要求应当与基金合同约定的投资范围保持一致；</w:t>
      </w:r>
    </w:p>
    <w:p w14:paraId="5A93164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本基金主动投资于流动性受限资产的市值合计不得超过基金资产净值的15%；因证券市场波动、基金规模变动等基金管理人之外的因素致使基金不符合该比例限制的，基金管理人不得主动新增流动性受限资产的投资；</w:t>
      </w:r>
    </w:p>
    <w:p w14:paraId="57CB07A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（15）法律法规及中国证监会规定的和《基金合同》约定的其他投资限制。</w:t>
      </w:r>
    </w:p>
    <w:p w14:paraId="22F235D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上述第（2）、（9）、（13）、（14）项以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41074EB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管理人应当自基金合同生效之日起六个月内使基金的投资组合比例符合基金合同的有关约定，基金合同另有约定的除外。在上述期间内，本基金的投资范围、投资策略应当符合基金合同的约定。基金托管人对基金的投资的监督与检查自基金合同生效之日起开始。</w:t>
      </w:r>
    </w:p>
    <w:p w14:paraId="5063C0B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法律法规对上述投资组合比例限制进行变更的，以变更后的规定为准。法律法规或监管部门取消上述限制，如适用于本基金，基金管理人履行适当程序后，则本基金投资不再受相关限制。</w:t>
      </w:r>
    </w:p>
    <w:p w14:paraId="1DE5C89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3、基金托管人根据有关法律法规的规定及基金合同的约定，对本托管协议第十五章第九条基金投资禁止行为进行监督。基金托管人通过事后监督方式对基金管理人基金投资禁止行为进行监督。</w:t>
      </w:r>
    </w:p>
    <w:p w14:paraId="134DDA1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CB59BB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法律法规有关基金从事的关联交易的规定，基金管理人和基金托管人应事先相互提供与本机构有控股关系的股东、实际控制人或者与其有其他重大利害关系的公司名单及有关关联方发行的证券名单，加盖公章并书面提交，并确保所提供的关联交易名单的真实性、完整性、全面性。基金管理人有责任保管真实、完整、全面的关联交易名单，并负责及时更新该名单。名单变更后基金管理人应及时发送基金托管人，基金托管人于2个工作日内进行回函确认已知名单的变更。基金管理人收到基金托管人书面确认后，新的关联交易名单开始生效。</w:t>
      </w:r>
    </w:p>
    <w:p w14:paraId="4E24C8F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w:t>
      </w:r>
      <w:r>
        <w:rPr>
          <w:rFonts w:ascii="宋体" w:hAnsi="宋体"/>
          <w:sz w:val="24"/>
        </w:rPr>
        <w:lastRenderedPageBreak/>
        <w:t>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743EE97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负责对交易对手的资信控制，按银行间债券市场的交易规则进行交易，基金托管人不承担由此造成的任何法律责任及损失。若未履约的交易对手在基金托管人与基金管理人确定的时间前仍未承担违约责任及其他相关法律责任的，基金管理人有权向相关交易对手追偿，基金托管人应予以必要的协助与配合。基金托管人则根据银行间债券市场成交单对合同履行情况进行监督。如基金托管人事后发现基金管理人没有按照事先约定的交易对手或交易方式进行交易时，基金托管人应及时书面或以双方认可的其他方式提醒基金管理人，经提醒后仍未改正时造成基金财产损失的，基金托管人不承担由此造成的相应损失和责任。</w:t>
      </w:r>
    </w:p>
    <w:p w14:paraId="2C8EB752" w14:textId="415EEA54"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5、基金托管人根据有关法律法规的规定及基金合同的约定，对基金资产净值计算、</w:t>
      </w:r>
      <w:r w:rsidR="00742CB2">
        <w:rPr>
          <w:rFonts w:hint="eastAsia"/>
          <w:bCs/>
          <w:sz w:val="24"/>
        </w:rPr>
        <w:t>各类</w:t>
      </w:r>
      <w:r>
        <w:rPr>
          <w:rFonts w:ascii="宋体" w:hAnsi="宋体"/>
          <w:sz w:val="24"/>
        </w:rPr>
        <w:t>基金份额净值计算、应收资金到账、基金费用开支及收入确定、基金收益分配、相关信息披露、基金宣传推介材料中登载基金业绩表现数据等进行监督和核查。</w:t>
      </w:r>
    </w:p>
    <w:p w14:paraId="7A1B96D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6、基金托管人对基金投资银行存款进行监督。</w:t>
      </w:r>
    </w:p>
    <w:p w14:paraId="0F76659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本基金投资银行存款应符合如下规定：</w:t>
      </w:r>
    </w:p>
    <w:p w14:paraId="4C24F1C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（1）基金管理人、基金托管人应当与存款银行建立定期对账机制，确保基金银行存款业务账目及核算的真实、准确。</w:t>
      </w:r>
    </w:p>
    <w:p w14:paraId="405D476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应当按照有关法规规定，与存款机构签订相关书面协议。基金托管人应根据有关相关法规及协议对基金银行存款业务进行监督与核查，严格审查、复核相关协议、账户资料、投资指令、存款证实书等有关文件，切实履行托管职责。</w:t>
      </w:r>
    </w:p>
    <w:p w14:paraId="5588EC8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（3）基金管理人与基金托管人在开展基金存款业务时，应严格遵守《基金法》、《运作办法》等有关法律法规，以及国家有关账户管理、利率管理、支付结算等的各项规定。</w:t>
      </w:r>
    </w:p>
    <w:p w14:paraId="00E77E3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投资银行存款的，基金管理人应根据法律法规的规定及基金合同的约定，确定符合条件的所有存款银行的名单，并及时提供给基金托管人，基金托管人应据以对基金投资银行存款的交易对手是否符合有关规定进行监督。</w:t>
      </w:r>
    </w:p>
    <w:p w14:paraId="4BE0F4A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7、基金托管人对基金投资中期票据和中小企业私募债进行监督</w:t>
      </w:r>
    </w:p>
    <w:p w14:paraId="1016256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管理的基金在投资中期票据和中小企业私募债前，基金管理人须根据法律、法规、监管部门的规定，制定严格的关于投资中期票据和中小企业私募债的风险控制制度、流动性风险和信用风险处置预案，并书面提供给基金托管人，基金托管人依据上述文件对基金管理人投资中期票据和中小企业私募债的额度和比例进行监督。</w:t>
      </w:r>
    </w:p>
    <w:p w14:paraId="3CA6907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（2）如未来有关监管部门发布的法律法规对证券投资基金投资中期票据和中小企业私募债另有规定的，从其约定。</w:t>
      </w:r>
    </w:p>
    <w:p w14:paraId="5D0175E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有权监督基金管理人在相关基金投资中期票据和中小企业私募债时的法律法规遵守情况，有关制度、信用风险、流动性风险处置预案的完善情况，有关额度、比例限制的执行情况。基金托管人发现基金管理人的上述事项违反法律法规和基金合同以及本协议的规定，应及时以书面形式通知基金管理人纠正。基金管理人应积极配合和协助基金托管人的监督和核查。基金管理人应按相关托管协议要求向基金托管人及时发出回函，并及时改正。基金托管人有权随时对所通知事项进行复查,督促基金管理人改正。如果基金管理人违规事项未能在限期内纠正的，基金托管人应报告中国证监会。</w:t>
      </w:r>
    </w:p>
    <w:p w14:paraId="1C151A1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7097229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7117288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10、若基金托管人发现基金管理人依据交易程序已经生效的指令违反法律、行</w:t>
      </w:r>
      <w:r>
        <w:rPr>
          <w:rFonts w:ascii="宋体" w:hAnsi="宋体"/>
          <w:sz w:val="24"/>
        </w:rPr>
        <w:lastRenderedPageBreak/>
        <w:t>政法规和其他有关规定，或者违反基金合同约定的，应当立即以书面或以双方认可的其他方式通知基金管理人，基金管理人应依法承担相应责任。</w:t>
      </w:r>
    </w:p>
    <w:p w14:paraId="207B11C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2C65921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（三）基金管理人对基金托管人的业务核查</w:t>
      </w:r>
    </w:p>
    <w:p w14:paraId="4FA2B9A0" w14:textId="021FA0AF"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对基金托管人履行托管职责情况进行核查，核查事项包括但不限于基金托管人安全保管基金财产、开设基金财产的资金账户、证券账户及投资所需的其他账户、复核基金管理人计算的基金资产净值和</w:t>
      </w:r>
      <w:r w:rsidR="00742CB2">
        <w:rPr>
          <w:rFonts w:hint="eastAsia"/>
          <w:sz w:val="24"/>
        </w:rPr>
        <w:t>各类</w:t>
      </w:r>
      <w:r>
        <w:rPr>
          <w:rFonts w:ascii="宋体" w:hAnsi="宋体"/>
          <w:sz w:val="24"/>
        </w:rPr>
        <w:t>基金份额净值、根据基金管理人指令办理清算交收、相关信息披露和监督基金投资运作等行为。</w:t>
      </w:r>
    </w:p>
    <w:p w14:paraId="30B8023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1E3A090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3379B7A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（四）基金财产保管</w:t>
      </w:r>
    </w:p>
    <w:p w14:paraId="5F872E2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1、基金财产保管的原则</w:t>
      </w:r>
    </w:p>
    <w:p w14:paraId="60034A2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（1）基金财产应独立于基金管理人、基金托管人的固有财产。</w:t>
      </w:r>
    </w:p>
    <w:p w14:paraId="7940201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（2）基金托管人应安全保管基金财产。</w:t>
      </w:r>
    </w:p>
    <w:p w14:paraId="2C1C0A7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（3）基金托管人按照规定开设基金财产的资金账户、证券账户及投资所需的</w:t>
      </w:r>
      <w:r>
        <w:rPr>
          <w:rFonts w:ascii="宋体" w:hAnsi="宋体"/>
          <w:sz w:val="24"/>
        </w:rPr>
        <w:lastRenderedPageBreak/>
        <w:t>其他账户。</w:t>
      </w:r>
    </w:p>
    <w:p w14:paraId="4ACA57A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（4）基金托管人对所托管的不同基金财产分别设置账户，独立核算，分账管理，确保基金财产的完整与独立。</w:t>
      </w:r>
    </w:p>
    <w:p w14:paraId="4F91E5D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托管人按照基金合同和本协议的约定保管基金财产，如有特殊情况双方可另行协商解决。基金托管人未经基金管理人的合法合规指令，不得自行运用、处分、分配本基金的任何资产（不包含基金托管人依据中国证券登记结算有限责任公司结算数据完成场内交易交收、托管资产开户银行扣收结算费和账户维护费等费用）。</w:t>
      </w:r>
    </w:p>
    <w:p w14:paraId="2B2AE46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应予以必要的协助与配合，但对此不承担相应责任。</w:t>
      </w:r>
    </w:p>
    <w:p w14:paraId="278872C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（7）除依据法律法规和基金合同的规定外，基金托管人不得委托第三人托管基金财产。</w:t>
      </w:r>
    </w:p>
    <w:p w14:paraId="38A8C4D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2、基金募集期间及募集资金的验资</w:t>
      </w:r>
    </w:p>
    <w:p w14:paraId="3D953A7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（1）基金募集期间募集的资金应存于基金管理人开立的“基金募集专户”。该账户由基金管理人或基金管理人委托的登记机构开立并管理。</w:t>
      </w:r>
    </w:p>
    <w:p w14:paraId="20EFA09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募集期满或基金停止募集时，募集的基金份额总额、基金募集金额、基金份额持有人人数符合《基金法》、《运作办法》、基金合同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23F0D31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（3）若基金募集期限届满，未能达到基金合同生效的条件，由基金管理人按规定办理退款等事宜，基金托管人应提供充分协助。</w:t>
      </w:r>
    </w:p>
    <w:p w14:paraId="68DFEEF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3、基金银行账户的开立和管理</w:t>
      </w:r>
    </w:p>
    <w:p w14:paraId="71DEE44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以基金托管人的名义开设本基金的基金托管专户，也称为资金账户，保管基金财产的银行存款。该基金托管专户同时也是基金托管人在法人集中清算模式下，代表所托管的包括本基金财产在内的所有托管资产与中国证券登记</w:t>
      </w:r>
      <w:r>
        <w:rPr>
          <w:rFonts w:ascii="宋体" w:hAnsi="宋体"/>
          <w:sz w:val="24"/>
        </w:rPr>
        <w:lastRenderedPageBreak/>
        <w:t>结算有限责任公司（以下简称“中登公司”）进行一级结算的专用账户。该账户的开设和管理由基金托管人承担。本基金的一切货币收支活动，均需通过基金托管人的基金托管专户进行。</w:t>
      </w:r>
    </w:p>
    <w:p w14:paraId="0EE939C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（2）基金托管人可根据实际情况需要，为本基金开立资金清算辅助账户，以办理相关的资金汇划业务。</w:t>
      </w:r>
    </w:p>
    <w:p w14:paraId="2459B4F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（3）基金托管专户的开立和使用，限于满足开展本基金业务的需要。基金托管人和基金管理人不得假借本基金的名义开立任何其他银行账户；亦不得使用基金的任何账户进行本基金业务以外的活动。</w:t>
      </w:r>
    </w:p>
    <w:p w14:paraId="207F903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（4）基金托管专户的开立和管理应符合银行业监督管理机构的有关规定。</w:t>
      </w:r>
    </w:p>
    <w:p w14:paraId="58CC61D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（5）在符合法律法规规定的条件下，基金托管人可以通过基金托管专户办理基金资产的支付。</w:t>
      </w:r>
    </w:p>
    <w:p w14:paraId="33D1BF4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4、定期存款账户</w:t>
      </w:r>
    </w:p>
    <w:p w14:paraId="10A5038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投资定期存款在存款机构开立的银行账户，包括实体或虚拟账户，其预留印鉴经各方商议后预留。对于任何的定期存款投资，基金管理人都必须和存款机构签订定期存款协议，约定双方的权利和义务，该协议作为划款指令附件。在取得存款证实书后，基金托管人保管证实书正本或者复印件。基金管理人应该在合理的时间内进行定期存款的投资和支取事宜，若基金管理人提前支取或部分提前支取定期存款，若产生息差（即本基金已计提的资金利息和提前支取时收到的资金利息差额），该息差的处理方法由基金管理人和基金托管人双方协商解决。</w:t>
      </w:r>
    </w:p>
    <w:p w14:paraId="2584427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5、债券托管账户的开设和管理</w:t>
      </w:r>
    </w:p>
    <w:p w14:paraId="5DF7419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基金托管人根据中国人民银行、银行间市场登记结算机构的有关规定，以本基金的名义在中央国债登记结算有限责任公司和银行间市场清算所股份有限公司开立债券托管账户、资金结算账户，持有人账户和资金结算账户，并代表基金进行银行间市场债券的结算。</w:t>
      </w:r>
    </w:p>
    <w:p w14:paraId="719D61E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6、基金证券账户和结算备付金账户的开立和管理</w:t>
      </w:r>
    </w:p>
    <w:p w14:paraId="3DC1BF6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（1）基金托管人在中国证券登记结算有限责任公司上海分公司、深圳分公司为基金开立基金托管人与基金联名的证券账户。</w:t>
      </w:r>
    </w:p>
    <w:p w14:paraId="4CD875D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72E4F8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（3）基金证券账户的开立和证券账户卡的保管由基金托管人负责，账户资产的管理和运用由基金管理人负责。</w:t>
      </w:r>
    </w:p>
    <w:p w14:paraId="36AE3A1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14:paraId="54F6B5A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（5）若中国证监会或其他监管机构在本托管协议订立日之后允许基金从事其他投资品种的投资业务，涉及相关账户的开立、使用的，若无相关规定，则基金托管人比照上述关于账户开立、使用的规定执行。</w:t>
      </w:r>
    </w:p>
    <w:p w14:paraId="17A4B8B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7、其他账户的开立和管理</w:t>
      </w:r>
    </w:p>
    <w:p w14:paraId="254E280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（1）因业务发展需要而开立的其他账户，可以根据法律法规和基金合同的规定，在基金管理人和基金托管人协商一致后开立。新账户按有关规定使用并管理。</w:t>
      </w:r>
    </w:p>
    <w:p w14:paraId="42628A8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（2）法律法规等有关规定对相关账户的开立和管理另有规定的，从其规定办理。</w:t>
      </w:r>
    </w:p>
    <w:p w14:paraId="596A46A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8、基金财产投资的有关有价凭证等的保管</w:t>
      </w:r>
    </w:p>
    <w:p w14:paraId="5D2518B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投资的有关实物证券等有价凭证由基金托管人存放于基金托管人的保管库，也可存入中央国债登记结算有限责任公司、中国证券登记结算有限责任公司上海分公司/深圳分公司、银行间市场清算所股份有限公司或票据营业中心的代保管库，保管凭证由基金托管人持有。有价凭证的购买和转让，由基金管理人和基金托管人共同办理。基金托管人对由基金托管人以外机构实际有效控制的资产不承担保管责任。</w:t>
      </w:r>
    </w:p>
    <w:p w14:paraId="7331BFC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9、与基金财产有关的重大合同的保管</w:t>
      </w:r>
    </w:p>
    <w:p w14:paraId="56962D7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5A5A62A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对于无法取得二份以上的正本的，基金管理人应向基金托管人提供加盖公章的合同传真件，未经双方协商一致，合同原件不得转移。</w:t>
      </w:r>
    </w:p>
    <w:p w14:paraId="588689C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（五）基金资产净值计算与复核</w:t>
      </w:r>
    </w:p>
    <w:p w14:paraId="3C5FDE6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1、基金资产净值的计算、复核与完成的时间及程序</w:t>
      </w:r>
    </w:p>
    <w:p w14:paraId="44E4B43E" w14:textId="0C4CFD0D"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资产净值是指基金资产总值减去负债后的价值。各类基金份额的基金份额净值是指每个工作日闭市后，该类基金份额的基金资产净值除以当日该类基金份额的基金份额总数，基金份额净值的计算，均精确到0.0001元，小数点后第5位四舍五入，国家另有规定的，从其规定。基金管理人每个工作日计算基金资产净值及</w:t>
      </w:r>
      <w:r w:rsidR="00742CB2">
        <w:rPr>
          <w:rFonts w:hint="eastAsia"/>
          <w:sz w:val="24"/>
        </w:rPr>
        <w:t>各类</w:t>
      </w:r>
      <w:r>
        <w:rPr>
          <w:rFonts w:ascii="宋体" w:hAnsi="宋体"/>
          <w:sz w:val="24"/>
        </w:rPr>
        <w:t>基金份额净值，经基金托管人复核，按规定公告。</w:t>
      </w:r>
    </w:p>
    <w:p w14:paraId="14E394A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（2）复核程序</w:t>
      </w:r>
    </w:p>
    <w:p w14:paraId="79CA943F" w14:textId="4A2F0FED"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基金管理人每工作日对基金资产进行估值，但基金管理人根据法律法规或基金合同的规定暂停估值时除外。基金管理人每个工作日对基金资产估值后，将</w:t>
      </w:r>
      <w:r w:rsidR="00742CB2">
        <w:rPr>
          <w:rFonts w:hint="eastAsia"/>
          <w:sz w:val="24"/>
        </w:rPr>
        <w:t>各类</w:t>
      </w:r>
      <w:r>
        <w:rPr>
          <w:rFonts w:ascii="宋体" w:hAnsi="宋体"/>
          <w:sz w:val="24"/>
        </w:rPr>
        <w:t>基金份额净值结果以双方约定的方式提交给基金托管人，经基金托管人复核无误后，由基金管理人按规定对外公布。</w:t>
      </w:r>
    </w:p>
    <w:p w14:paraId="6BA61CF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2、基金资产估值方法和特殊情形的处理</w:t>
      </w:r>
    </w:p>
    <w:p w14:paraId="5EB1EEB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（1）估值对象</w:t>
      </w:r>
    </w:p>
    <w:p w14:paraId="6B20E61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基金所拥有的债券和其它投资等持续以公允价值计量的金融资产及负债。</w:t>
      </w:r>
    </w:p>
    <w:p w14:paraId="6827A58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（2）估值方法</w:t>
      </w:r>
    </w:p>
    <w:p w14:paraId="5405BCC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1）证券交易所上市的有价证券的估值</w:t>
      </w:r>
    </w:p>
    <w:p w14:paraId="7B26FEF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a）交易所市场上市交易或挂牌转让的固定收益品种（另有规定的除外），选取第三方估值机构提供的相应品种当日的估值净价进行估值；</w:t>
      </w:r>
    </w:p>
    <w:p w14:paraId="2211500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b）交易所市场上市交易的可转换债券，按估值日收盘价减去可转换债券收盘价中所含债券应收利息后得到的净价进行估值；</w:t>
      </w:r>
    </w:p>
    <w:p w14:paraId="0D38233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c）交易所市场挂牌转让的资产支持证券和私募债券，采用估值技术确定公允价值。</w:t>
      </w:r>
    </w:p>
    <w:p w14:paraId="3DAAD1F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2）交易所市场发行未上市或未挂牌转让的债券，采用估值技术确定公允价值。</w:t>
      </w:r>
    </w:p>
    <w:p w14:paraId="5D44B46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3）银行间市场上市交易的固定收益品种，选取第三方估值机构提供的相应品种当日的估值净价进行估值。银行间市场发行未上市的固定收益品种，采用估值技术确定公允价值。</w:t>
      </w:r>
    </w:p>
    <w:p w14:paraId="2FCAF4C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4）如有确凿证据表明按上述方法进行估值不能客观反映其公允价值的，基金管理人可根据具体情况与基金托管人商定后，按最能反映公允价值的方法估值。</w:t>
      </w:r>
    </w:p>
    <w:p w14:paraId="181CF95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5）相关法律法规以及监管部门有强制规定的，从其规定。如有新增事项，按法律法规以及监管部门最新规定估值。</w:t>
      </w:r>
    </w:p>
    <w:p w14:paraId="2A974FC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9DC942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6E2D9175"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（3）特殊情形的处理</w:t>
      </w:r>
    </w:p>
    <w:p w14:paraId="6532332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基金管理人、基金托管人按估值方法的第4）项进行估值时，所造成的误差不作为基金估值错误处理。</w:t>
      </w:r>
    </w:p>
    <w:p w14:paraId="51E176E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不可抗力原因，或由于证券交易所、证券经纪机构及登记结算公司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519B289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3、基金份额净值错误的处理方式</w:t>
      </w:r>
    </w:p>
    <w:p w14:paraId="4870732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当基金份额净值小数点后4位以内（含第4位）发生估值错误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0.50%时，基金管理人和基金托管人应当公告；当发生基金份额净值错误时，由基金管理人负责处理，由此给基金份额持有人和基金造成损失的，应由基金管理人先行赔付，基金管理人按差错情形，有权向其他当事人追偿。</w:t>
      </w:r>
    </w:p>
    <w:p w14:paraId="1CFDB02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由于基金管理人和基金托管人计算基金净值错误导致该基金财产或基金份额持有人的实际损失的，基金管理人和基金托管人应根据实际情况界定双方承担的责任进行赔偿，基金管理人和基金托管人有权向获得不当得利之主体主张返还不</w:t>
      </w:r>
      <w:r>
        <w:rPr>
          <w:rFonts w:ascii="宋体" w:hAnsi="宋体"/>
          <w:sz w:val="24"/>
        </w:rPr>
        <w:lastRenderedPageBreak/>
        <w:t>当得利。</w:t>
      </w:r>
    </w:p>
    <w:p w14:paraId="4B5A8E1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由于一方当事人提供的信息错误，另一方当事人在采取了必要合理的措施后仍不能发现该错误，进而导致基金资产净值、基金份额净值计算错误造成投资者或基金的损失，以及由此造成以后交易日基金资产净值、基金份额净值计算顺延错误而引起的投资者或基金的损失，由提供错误信息的当事人一方负责赔偿。</w:t>
      </w:r>
    </w:p>
    <w:p w14:paraId="6C0B149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当基金管理人计算的基金资产净值与基金托管人的计算结果不一致时，相关各方应本着勤勉尽责的态度重新计算核对，如果最后仍无法达成一致，应以基金管理人的计算结果为准对外公布，由此造成的损失以及因该交易日基金资产净值计算顺延错误而引起的损失由基金管理人承担赔偿责任，基金托管人不负赔偿责任。</w:t>
      </w:r>
    </w:p>
    <w:p w14:paraId="00213907" w14:textId="23683D0F"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4、暂停估值的情形</w:t>
      </w:r>
    </w:p>
    <w:p w14:paraId="15956B2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（1）基金投资所涉及的证券交易市场遇法定节假日或因其他原因暂停营业时；</w:t>
      </w:r>
    </w:p>
    <w:p w14:paraId="203BA39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（2）因不可抗力致使基金管理人、基金托管人无法准确评估基金资产价值时；</w:t>
      </w:r>
    </w:p>
    <w:p w14:paraId="2AFE939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（3）当特定资产占前一估值日基金资产净值50%以上的，经与基金托管人协商确认后，基金管理人应当暂停估值；</w:t>
      </w:r>
    </w:p>
    <w:p w14:paraId="0371412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（4）中国证监会和基金合同认定的其它情形。</w:t>
      </w:r>
    </w:p>
    <w:p w14:paraId="2ADD569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5、基金会计制度</w:t>
      </w:r>
    </w:p>
    <w:p w14:paraId="084F245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按国家有关部门规定的会计制度执行。</w:t>
      </w:r>
    </w:p>
    <w:p w14:paraId="5F31D66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6、基金账册的建立</w:t>
      </w:r>
    </w:p>
    <w:p w14:paraId="15FAFB1F"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5880959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7、基金财务报表与报告的编制和复核</w:t>
      </w:r>
    </w:p>
    <w:p w14:paraId="57F7F76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（1）财务报表的编制</w:t>
      </w:r>
    </w:p>
    <w:p w14:paraId="5EDB2F0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基金财务报表由基金管理人编制，基金托管人复核。</w:t>
      </w:r>
    </w:p>
    <w:p w14:paraId="19A87FC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（2）报表复核</w:t>
      </w:r>
    </w:p>
    <w:p w14:paraId="703BCE4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基金托管人在收到基金管理人编制的基金财务报表后，进行独立的复核。核对不符时，应及时通知基金管理人共同查出原因，进行调整，直至双方数据完全一致。</w:t>
      </w:r>
    </w:p>
    <w:p w14:paraId="4164C4A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（3）财务报表的编制与复核时间安排</w:t>
      </w:r>
    </w:p>
    <w:p w14:paraId="51D9B65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1）报表的编制</w:t>
      </w:r>
    </w:p>
    <w:p w14:paraId="2835798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每月结束后5个工作日内完成月度报表的编制；在季度结束之日起15个工作日内完成基金季度报告的编制；在上半年结束之日起两个月内完成基金中期报告的编制；在每年结束之日起三个月内完成基金年度报告的编制。基金年度报告中的财务会计报告应当经过具有证券、期货相关业务资格的会计师事务所审计。基金合同生效不足两个月的，基金管理人可以不编制当期季度报告、中期报告或者年度报告。</w:t>
      </w:r>
    </w:p>
    <w:p w14:paraId="268514C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2）报表的复核</w:t>
      </w:r>
    </w:p>
    <w:p w14:paraId="5A7AE81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382787D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基金管理人应留足充分的时间，便于基金托管人复核相关报表及报告。</w:t>
      </w:r>
    </w:p>
    <w:p w14:paraId="5F93EF4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8、基金管理人应在编制季度报告、中期报告或者年度报告之前及时向基金托管人提供基金业绩比较基准的基础数据和编制结果。</w:t>
      </w:r>
    </w:p>
    <w:p w14:paraId="494EF691"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（六）基金份额持有人名册的保管</w:t>
      </w:r>
    </w:p>
    <w:p w14:paraId="755603F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法律法规另有规定或有权机关另有要求的除外。如不能妥善保管，则按相关法规承担责任。</w:t>
      </w:r>
    </w:p>
    <w:p w14:paraId="7FE3457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托管人要求或编制中期报告和年报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14:paraId="4CEDCB1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基金管理人应当及时向基金托管人提交《基金合同》生效日、《基金合同》终止日、中期报告、年报等涉及到基金重要事项及信息披露期间的基金份额持有人名册。</w:t>
      </w:r>
    </w:p>
    <w:p w14:paraId="5995F75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（七）争议解决方式</w:t>
      </w:r>
    </w:p>
    <w:p w14:paraId="693FB73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非仲裁裁决另有规定，仲裁费用由败诉方承担。</w:t>
      </w:r>
    </w:p>
    <w:p w14:paraId="4C64088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争议处理期间，双方当事人应恪守基金管理人和基金托管人职责，各自继续忠实、勤勉、尽责地履行基金合同和本托管协议规定的义务，维护基金份额持有人的合法权益。</w:t>
      </w:r>
    </w:p>
    <w:p w14:paraId="34A702B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本协议受中国法律管辖。</w:t>
      </w:r>
    </w:p>
    <w:p w14:paraId="061F4B9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（八）托管协议的变更与终止</w:t>
      </w:r>
    </w:p>
    <w:p w14:paraId="79A3D36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1、托管协议的变更程序</w:t>
      </w:r>
    </w:p>
    <w:p w14:paraId="1CF1A6F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本协议双方当事人经协商一致，可以对协议进行修改。修改后的新协议，其内容不得与基金合同的规定有任何冲突。基金托管协议的变更应报中国证监会备案。</w:t>
      </w:r>
    </w:p>
    <w:p w14:paraId="7D9FA43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2、基金托管协议终止出现的情形</w:t>
      </w:r>
    </w:p>
    <w:p w14:paraId="706B417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w:t>
      </w:r>
    </w:p>
    <w:p w14:paraId="5DBC807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（2）基金托管人解散、依法被撤销、破产或由其他基金托管人接管基金资产；</w:t>
      </w:r>
    </w:p>
    <w:p w14:paraId="23998BF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（3）基金管理人解散、依法被撤销、破产或由其他基金管理人接管基金管理权；</w:t>
      </w:r>
    </w:p>
    <w:p w14:paraId="549BF6D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（4）发生法律法规或基金合同规定的终止事项。</w:t>
      </w:r>
    </w:p>
    <w:p w14:paraId="7E59B46D" w14:textId="77777777" w:rsidR="00C86C88" w:rsidRDefault="00D93D5A" w:rsidP="00C86C8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526BB262" w14:textId="77777777" w:rsidR="00542AF7" w:rsidRDefault="00D93D5A">
      <w:pPr>
        <w:pStyle w:val="1"/>
        <w:snapToGrid w:val="0"/>
        <w:spacing w:beforeLines="0" w:before="240" w:after="240"/>
        <w:rPr>
          <w:rFonts w:ascii="宋体" w:hAnsi="宋体"/>
          <w:szCs w:val="30"/>
        </w:rPr>
      </w:pPr>
      <w:bookmarkStart w:id="28" w:name="_Toc151542556"/>
      <w:bookmarkEnd w:id="27"/>
      <w:r>
        <w:rPr>
          <w:rFonts w:ascii="Times New Roman" w:hAnsi="Times New Roman"/>
          <w:sz w:val="30"/>
        </w:rPr>
        <w:lastRenderedPageBreak/>
        <w:t>二十三、对基金份额持有人的服务</w:t>
      </w:r>
      <w:bookmarkEnd w:id="28"/>
    </w:p>
    <w:p w14:paraId="08A72BF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基金管理人承诺为基金份额持有人提供一系列的服务。基金管理人根据基金份额持有人的需要和市场的变化，有权增加或变更服务项目。主要服务内容如下：</w:t>
      </w:r>
    </w:p>
    <w:p w14:paraId="104DD4A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（一）持有人交易资料的寄送服务</w:t>
      </w:r>
    </w:p>
    <w:p w14:paraId="14E4008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1、每次交易结束后，投资人可在T+2个工作日后通过销售机构的网点查询和打印确认单。</w:t>
      </w:r>
    </w:p>
    <w:p w14:paraId="09F5308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2、本基金管理人将向持有人提供电子或纸质对账单，需要订阅或取消的客户可与本基金管理人客户服务中心（400-700-5000，021-61055000）联系。</w:t>
      </w:r>
    </w:p>
    <w:p w14:paraId="1E53A40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（二）网上直销服务</w:t>
      </w:r>
    </w:p>
    <w:p w14:paraId="09C96DFA" w14:textId="437CA43D"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已开通基金网上直销业务，个人投资者可以直接通过本基金管理人网站的网上直销交易平台办理开户和本基金的申购、赎回、定期定额投资、转换等业务。通过网上直销交易平台办理本基金A类基金份额</w:t>
      </w:r>
      <w:r w:rsidR="00742CB2">
        <w:rPr>
          <w:rFonts w:ascii="宋体" w:hAnsi="宋体" w:hint="eastAsia"/>
          <w:sz w:val="24"/>
        </w:rPr>
        <w:t>或D类基金份额</w:t>
      </w:r>
      <w:r>
        <w:rPr>
          <w:rFonts w:ascii="宋体" w:hAnsi="宋体"/>
          <w:sz w:val="24"/>
        </w:rPr>
        <w:t>的申购和定期定额投资业务的个人投资者将享受前端申购费率的优惠。具体优惠费率请参见公司网站列示的网上直销交易平台申购、定期定额投资费率表或相关公告。</w:t>
      </w:r>
    </w:p>
    <w:p w14:paraId="0F8CCED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本公司基金网上直销业务已开通的银行卡及各银行卡交易金额限额请参阅本公司网站。</w:t>
      </w:r>
    </w:p>
    <w:p w14:paraId="27E7B85E"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在条件成熟的时候，本基金管理人将根据基金网上直销业务的发展状况，适时调整可用于基金网上直销交易平台的银行卡种类，敬请投资人留意相关公告。</w:t>
      </w:r>
    </w:p>
    <w:p w14:paraId="7F98B2B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（三）信息咨询、查询服务</w:t>
      </w:r>
    </w:p>
    <w:p w14:paraId="200CAB50"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投资人如果想查询基金账户余额、基金产品与服务等信息，请拨打本基金管理人客户服务电话（400-700-5000，021-61055000）或登录本基金管理人网站（www.fund001.com）进行咨询、查询。</w:t>
      </w:r>
    </w:p>
    <w:p w14:paraId="2114E2B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为投资人预设基金查询密码，预设的基金查询密码为投资人开户证件号码的后6位数字，不足6位数字的，前面加“0”补足。基金查询密码用于投资人通过客户服务电话查询基金账户下的账户和交易信息。投资人请在其知晓基金账号后，及时拨打本基金管理人客户服务电话修改基金查询密码。</w:t>
      </w:r>
    </w:p>
    <w:p w14:paraId="394A91B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投资人可以拨打本基金管理人客户服务电话投诉直销机构的人员和服务。</w:t>
      </w:r>
    </w:p>
    <w:p w14:paraId="7CC4463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（四）基金红利再投资</w:t>
      </w:r>
    </w:p>
    <w:p w14:paraId="10C74D35" w14:textId="5102DE5D"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本基金收益分配时，基金份额持有人持有的基金份额可选择现金红利或选择红</w:t>
      </w:r>
      <w:r>
        <w:rPr>
          <w:rFonts w:ascii="宋体" w:hAnsi="宋体"/>
          <w:sz w:val="24"/>
        </w:rPr>
        <w:lastRenderedPageBreak/>
        <w:t>利再投将现金红利自动转为基金份额进行再投资，若投资人不选择，本基金默认的收益分配方式是现金分红；基金份额持有人可对其持有的A类</w:t>
      </w:r>
      <w:r w:rsidR="00742CB2">
        <w:rPr>
          <w:rFonts w:ascii="宋体" w:hAnsi="宋体" w:hint="eastAsia"/>
          <w:sz w:val="24"/>
        </w:rPr>
        <w:t>基金份额、</w:t>
      </w:r>
      <w:r>
        <w:rPr>
          <w:rFonts w:ascii="宋体" w:hAnsi="宋体"/>
          <w:sz w:val="24"/>
        </w:rPr>
        <w:t>C类基金份额</w:t>
      </w:r>
      <w:r w:rsidR="00742CB2">
        <w:rPr>
          <w:rFonts w:ascii="宋体" w:hAnsi="宋体" w:hint="eastAsia"/>
          <w:sz w:val="24"/>
        </w:rPr>
        <w:t>和D类基金份额</w:t>
      </w:r>
      <w:r>
        <w:rPr>
          <w:rFonts w:ascii="宋体" w:hAnsi="宋体"/>
          <w:sz w:val="24"/>
        </w:rPr>
        <w:t>分别选择不同的收益分配方式。再投资红利按红利再投日（即除息日）除息后的基金份额净值自动转为基金份额，并免收申购费用。</w:t>
      </w:r>
    </w:p>
    <w:p w14:paraId="48E9A2D3"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（五）定期定额投资计划</w:t>
      </w:r>
    </w:p>
    <w:p w14:paraId="461857D0" w14:textId="3C34D1FF"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本基金已开通定期定额投资计划，具体实施方法请参见相关公告。</w:t>
      </w:r>
    </w:p>
    <w:p w14:paraId="2EED9444"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服务联系方式：</w:t>
      </w:r>
    </w:p>
    <w:p w14:paraId="6B5DB60A"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本基金管理人的互联网地址及电子信箱</w:t>
      </w:r>
    </w:p>
    <w:p w14:paraId="051D867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14:paraId="58BC14D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电子信箱：services@jysld.com</w:t>
      </w:r>
    </w:p>
    <w:p w14:paraId="427849E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投资者也可登录本基金管理人网站，直接提出有关本基金的问题和建议。</w:t>
      </w:r>
    </w:p>
    <w:p w14:paraId="1BB72B69"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（六）如本招募说明书存在任何您/贵机构无法理解的内容，请通过上述方式联系基金管理人。请确保投资前，您/贵机构已经全面理解了本招募说明书。</w:t>
      </w:r>
    </w:p>
    <w:p w14:paraId="5D09197C" w14:textId="77777777" w:rsidR="00C86C88" w:rsidRDefault="00D93D5A" w:rsidP="00C86C8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412388AE" w14:textId="77777777" w:rsidR="00542AF7" w:rsidRDefault="00D93D5A">
      <w:pPr>
        <w:pStyle w:val="1"/>
        <w:snapToGrid w:val="0"/>
        <w:spacing w:beforeLines="0" w:before="240" w:after="240"/>
        <w:rPr>
          <w:rFonts w:ascii="宋体" w:hAnsi="宋体"/>
          <w:szCs w:val="30"/>
        </w:rPr>
      </w:pPr>
      <w:bookmarkStart w:id="29" w:name="_Toc151542557"/>
      <w:r>
        <w:rPr>
          <w:rFonts w:ascii="Times New Roman" w:hAnsi="Times New Roman"/>
          <w:sz w:val="30"/>
        </w:rPr>
        <w:lastRenderedPageBreak/>
        <w:t>二十四、其他应披露事项</w:t>
      </w:r>
      <w:bookmarkEnd w:id="29"/>
    </w:p>
    <w:p w14:paraId="0B3F64DD"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基金合同如有未尽事宜，由基金合同当事人各方按有关法律法规协商解决。</w:t>
      </w:r>
    </w:p>
    <w:p w14:paraId="1A0D2A1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本招募说明书更新期间基金披露的其他重要事项</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542AF7" w14:paraId="37FE06D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6153404"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vAlign w:val="center"/>
          </w:tcPr>
          <w:p w14:paraId="767927A2"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公告事项</w:t>
            </w:r>
          </w:p>
        </w:tc>
        <w:tc>
          <w:tcPr>
            <w:tcW w:w="750" w:type="pct"/>
            <w:tcBorders>
              <w:top w:val="single" w:sz="4" w:space="0" w:color="auto"/>
              <w:left w:val="single" w:sz="4" w:space="0" w:color="auto"/>
              <w:bottom w:val="single" w:sz="4" w:space="0" w:color="auto"/>
              <w:right w:val="single" w:sz="4" w:space="0" w:color="auto"/>
            </w:tcBorders>
            <w:vAlign w:val="center"/>
          </w:tcPr>
          <w:p w14:paraId="20F27C2C"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法定披露方式</w:t>
            </w:r>
          </w:p>
        </w:tc>
        <w:tc>
          <w:tcPr>
            <w:tcW w:w="400" w:type="pct"/>
            <w:tcBorders>
              <w:top w:val="single" w:sz="4" w:space="0" w:color="auto"/>
              <w:left w:val="single" w:sz="4" w:space="0" w:color="auto"/>
              <w:bottom w:val="single" w:sz="4" w:space="0" w:color="auto"/>
              <w:right w:val="single" w:sz="4" w:space="0" w:color="auto"/>
            </w:tcBorders>
            <w:vAlign w:val="center"/>
          </w:tcPr>
          <w:p w14:paraId="11926374"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法定披露日期</w:t>
            </w:r>
          </w:p>
        </w:tc>
      </w:tr>
      <w:tr w:rsidR="00542AF7" w14:paraId="2F738B7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7598508"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30514159"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交银施罗德基金管理有限公司关于交银施罗德裕盈纯债债券型证券投资基金基金经理变更的公告</w:t>
            </w:r>
          </w:p>
        </w:tc>
        <w:tc>
          <w:tcPr>
            <w:tcW w:w="750" w:type="pct"/>
            <w:tcBorders>
              <w:top w:val="single" w:sz="4" w:space="0" w:color="auto"/>
              <w:left w:val="single" w:sz="4" w:space="0" w:color="auto"/>
              <w:bottom w:val="single" w:sz="4" w:space="0" w:color="auto"/>
              <w:right w:val="single" w:sz="4" w:space="0" w:color="auto"/>
            </w:tcBorders>
            <w:vAlign w:val="center"/>
          </w:tcPr>
          <w:p w14:paraId="3844CB13"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422F6647"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2022-11-12</w:t>
            </w:r>
          </w:p>
        </w:tc>
      </w:tr>
      <w:tr w:rsidR="00542AF7" w14:paraId="0D75161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EBAD7C7"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60F4F549"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交银施罗德裕盈纯债债券型证券投资基金</w:t>
            </w:r>
            <w:r>
              <w:rPr>
                <w:rFonts w:ascii="Times New Roman" w:hAnsi="Times New Roman"/>
                <w:color w:val="000000"/>
                <w:kern w:val="0"/>
                <w:sz w:val="25"/>
                <w:szCs w:val="24"/>
              </w:rPr>
              <w:t>(</w:t>
            </w:r>
            <w:r>
              <w:rPr>
                <w:rFonts w:ascii="Times New Roman" w:hAnsi="Times New Roman"/>
                <w:color w:val="000000"/>
                <w:kern w:val="0"/>
                <w:sz w:val="25"/>
                <w:szCs w:val="24"/>
              </w:rPr>
              <w:t>更新</w:t>
            </w:r>
            <w:r>
              <w:rPr>
                <w:rFonts w:ascii="Times New Roman" w:hAnsi="Times New Roman"/>
                <w:color w:val="000000"/>
                <w:kern w:val="0"/>
                <w:sz w:val="25"/>
                <w:szCs w:val="24"/>
              </w:rPr>
              <w:t>)</w:t>
            </w:r>
            <w:r>
              <w:rPr>
                <w:rFonts w:ascii="Times New Roman" w:hAnsi="Times New Roman"/>
                <w:color w:val="000000"/>
                <w:kern w:val="0"/>
                <w:sz w:val="25"/>
                <w:szCs w:val="24"/>
              </w:rPr>
              <w:t>招募说明书</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14:paraId="3072E56F"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42D8AD17"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2022-11-16</w:t>
            </w:r>
          </w:p>
        </w:tc>
      </w:tr>
      <w:tr w:rsidR="00542AF7" w14:paraId="336B513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FDC1AF5"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1A031D38"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交银施罗德裕盈纯债债券型证券投资基金（</w:t>
            </w:r>
            <w:r>
              <w:rPr>
                <w:rFonts w:ascii="Times New Roman" w:hAnsi="Times New Roman"/>
                <w:color w:val="000000"/>
                <w:kern w:val="0"/>
                <w:sz w:val="25"/>
                <w:szCs w:val="24"/>
              </w:rPr>
              <w:t>A</w:t>
            </w:r>
            <w:r>
              <w:rPr>
                <w:rFonts w:ascii="Times New Roman" w:hAnsi="Times New Roman"/>
                <w:color w:val="000000"/>
                <w:kern w:val="0"/>
                <w:sz w:val="25"/>
                <w:szCs w:val="24"/>
              </w:rPr>
              <w:t>类份额）基金产品资料概要更新</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14:paraId="0484BC9F"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7344D9FA"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2022-11-16</w:t>
            </w:r>
          </w:p>
        </w:tc>
      </w:tr>
      <w:tr w:rsidR="00542AF7" w14:paraId="792CA70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716AAEE"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7BA8360A"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交银施罗德裕盈纯债债券型证券投资基金（</w:t>
            </w:r>
            <w:r>
              <w:rPr>
                <w:rFonts w:ascii="Times New Roman" w:hAnsi="Times New Roman"/>
                <w:color w:val="000000"/>
                <w:kern w:val="0"/>
                <w:sz w:val="25"/>
                <w:szCs w:val="24"/>
              </w:rPr>
              <w:t>C</w:t>
            </w:r>
            <w:r>
              <w:rPr>
                <w:rFonts w:ascii="Times New Roman" w:hAnsi="Times New Roman"/>
                <w:color w:val="000000"/>
                <w:kern w:val="0"/>
                <w:sz w:val="25"/>
                <w:szCs w:val="24"/>
              </w:rPr>
              <w:t>类份额）基金产品资料概要更新</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14:paraId="7F2E05B4"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239DD622"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2022-11-16</w:t>
            </w:r>
          </w:p>
        </w:tc>
      </w:tr>
      <w:tr w:rsidR="00542AF7" w14:paraId="0EB12BC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1116940"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53FF99AF"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交银施罗德基金管理有限公司关于交银施罗德裕盈纯债债券型证券投资基金基金经理变更的公告</w:t>
            </w:r>
          </w:p>
        </w:tc>
        <w:tc>
          <w:tcPr>
            <w:tcW w:w="750" w:type="pct"/>
            <w:tcBorders>
              <w:top w:val="single" w:sz="4" w:space="0" w:color="auto"/>
              <w:left w:val="single" w:sz="4" w:space="0" w:color="auto"/>
              <w:bottom w:val="single" w:sz="4" w:space="0" w:color="auto"/>
              <w:right w:val="single" w:sz="4" w:space="0" w:color="auto"/>
            </w:tcBorders>
            <w:vAlign w:val="center"/>
          </w:tcPr>
          <w:p w14:paraId="0FB7BBD3"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16AD3AB0"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2022-11-19</w:t>
            </w:r>
          </w:p>
        </w:tc>
      </w:tr>
      <w:tr w:rsidR="00542AF7" w14:paraId="70D5A72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DE97A30"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14:paraId="410157CF"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交银施罗德裕盈纯债债券型证券投资基金</w:t>
            </w:r>
            <w:r>
              <w:rPr>
                <w:rFonts w:ascii="Times New Roman" w:hAnsi="Times New Roman"/>
                <w:color w:val="000000"/>
                <w:kern w:val="0"/>
                <w:sz w:val="25"/>
                <w:szCs w:val="24"/>
              </w:rPr>
              <w:t>(</w:t>
            </w:r>
            <w:r>
              <w:rPr>
                <w:rFonts w:ascii="Times New Roman" w:hAnsi="Times New Roman"/>
                <w:color w:val="000000"/>
                <w:kern w:val="0"/>
                <w:sz w:val="25"/>
                <w:szCs w:val="24"/>
              </w:rPr>
              <w:t>更新</w:t>
            </w:r>
            <w:r>
              <w:rPr>
                <w:rFonts w:ascii="Times New Roman" w:hAnsi="Times New Roman"/>
                <w:color w:val="000000"/>
                <w:kern w:val="0"/>
                <w:sz w:val="25"/>
                <w:szCs w:val="24"/>
              </w:rPr>
              <w:t>)</w:t>
            </w:r>
            <w:r>
              <w:rPr>
                <w:rFonts w:ascii="Times New Roman" w:hAnsi="Times New Roman"/>
                <w:color w:val="000000"/>
                <w:kern w:val="0"/>
                <w:sz w:val="25"/>
                <w:szCs w:val="24"/>
              </w:rPr>
              <w:t>招募说明书</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2</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14:paraId="6B9267E7"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AA90299"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2022-11-22</w:t>
            </w:r>
          </w:p>
        </w:tc>
      </w:tr>
      <w:tr w:rsidR="00542AF7" w14:paraId="11646F3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F7B9CBA"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14:paraId="54385FB7"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交银施罗德裕盈纯债债券型证券投资基金（</w:t>
            </w:r>
            <w:r>
              <w:rPr>
                <w:rFonts w:ascii="Times New Roman" w:hAnsi="Times New Roman"/>
                <w:color w:val="000000"/>
                <w:kern w:val="0"/>
                <w:sz w:val="25"/>
                <w:szCs w:val="24"/>
              </w:rPr>
              <w:t>A</w:t>
            </w:r>
            <w:r>
              <w:rPr>
                <w:rFonts w:ascii="Times New Roman" w:hAnsi="Times New Roman"/>
                <w:color w:val="000000"/>
                <w:kern w:val="0"/>
                <w:sz w:val="25"/>
                <w:szCs w:val="24"/>
              </w:rPr>
              <w:t>类份额）基金产品资料概要更新</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2</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14:paraId="11BCC8A6"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126A41A1"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2022-11-22</w:t>
            </w:r>
          </w:p>
        </w:tc>
      </w:tr>
      <w:tr w:rsidR="00542AF7" w14:paraId="37FFEAD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50C6860"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14:paraId="580D1652"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交银施罗德裕盈纯债债券型证券投资基金（</w:t>
            </w:r>
            <w:r>
              <w:rPr>
                <w:rFonts w:ascii="Times New Roman" w:hAnsi="Times New Roman"/>
                <w:color w:val="000000"/>
                <w:kern w:val="0"/>
                <w:sz w:val="25"/>
                <w:szCs w:val="24"/>
              </w:rPr>
              <w:t>C</w:t>
            </w:r>
            <w:r>
              <w:rPr>
                <w:rFonts w:ascii="Times New Roman" w:hAnsi="Times New Roman"/>
                <w:color w:val="000000"/>
                <w:kern w:val="0"/>
                <w:sz w:val="25"/>
                <w:szCs w:val="24"/>
              </w:rPr>
              <w:t>类份额）基金产品资料概要更新</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2</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14:paraId="091E33C4"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6B48FDC"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2022-11-22</w:t>
            </w:r>
          </w:p>
        </w:tc>
      </w:tr>
      <w:tr w:rsidR="00542AF7" w14:paraId="62617FE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FE07CD0"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14:paraId="12212170"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交银施罗德裕盈纯债债券型证券投资基金</w:t>
            </w:r>
            <w:r>
              <w:rPr>
                <w:rFonts w:ascii="Times New Roman" w:hAnsi="Times New Roman"/>
                <w:color w:val="000000"/>
                <w:kern w:val="0"/>
                <w:sz w:val="25"/>
                <w:szCs w:val="24"/>
              </w:rPr>
              <w:t>(</w:t>
            </w:r>
            <w:r>
              <w:rPr>
                <w:rFonts w:ascii="Times New Roman" w:hAnsi="Times New Roman"/>
                <w:color w:val="000000"/>
                <w:kern w:val="0"/>
                <w:sz w:val="25"/>
                <w:szCs w:val="24"/>
              </w:rPr>
              <w:t>更新</w:t>
            </w:r>
            <w:r>
              <w:rPr>
                <w:rFonts w:ascii="Times New Roman" w:hAnsi="Times New Roman"/>
                <w:color w:val="000000"/>
                <w:kern w:val="0"/>
                <w:sz w:val="25"/>
                <w:szCs w:val="24"/>
              </w:rPr>
              <w:t>)</w:t>
            </w:r>
            <w:r>
              <w:rPr>
                <w:rFonts w:ascii="Times New Roman" w:hAnsi="Times New Roman"/>
                <w:color w:val="000000"/>
                <w:kern w:val="0"/>
                <w:sz w:val="25"/>
                <w:szCs w:val="24"/>
              </w:rPr>
              <w:t>招募说明书</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3</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14:paraId="1C0C927E"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295CA638"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2022-11-25</w:t>
            </w:r>
          </w:p>
        </w:tc>
      </w:tr>
      <w:tr w:rsidR="00542AF7" w14:paraId="6A0C63D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1744DF4"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10</w:t>
            </w:r>
          </w:p>
        </w:tc>
        <w:tc>
          <w:tcPr>
            <w:tcW w:w="750" w:type="pct"/>
            <w:tcBorders>
              <w:top w:val="single" w:sz="4" w:space="0" w:color="auto"/>
              <w:left w:val="single" w:sz="4" w:space="0" w:color="auto"/>
              <w:bottom w:val="single" w:sz="4" w:space="0" w:color="auto"/>
              <w:right w:val="single" w:sz="4" w:space="0" w:color="auto"/>
            </w:tcBorders>
            <w:vAlign w:val="center"/>
          </w:tcPr>
          <w:p w14:paraId="75DF7AB4"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交银施罗德裕盈纯债债券型证券投资基金（</w:t>
            </w:r>
            <w:r>
              <w:rPr>
                <w:rFonts w:ascii="Times New Roman" w:hAnsi="Times New Roman"/>
                <w:color w:val="000000"/>
                <w:kern w:val="0"/>
                <w:sz w:val="25"/>
                <w:szCs w:val="24"/>
              </w:rPr>
              <w:t>A</w:t>
            </w:r>
            <w:r>
              <w:rPr>
                <w:rFonts w:ascii="Times New Roman" w:hAnsi="Times New Roman"/>
                <w:color w:val="000000"/>
                <w:kern w:val="0"/>
                <w:sz w:val="25"/>
                <w:szCs w:val="24"/>
              </w:rPr>
              <w:t>类份额）基金产品资料概要更新</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3</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14:paraId="19734F44"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77B4B18D"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2022-11-25</w:t>
            </w:r>
          </w:p>
        </w:tc>
      </w:tr>
      <w:tr w:rsidR="00542AF7" w14:paraId="7087E4A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85FCFA7"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11</w:t>
            </w:r>
          </w:p>
        </w:tc>
        <w:tc>
          <w:tcPr>
            <w:tcW w:w="750" w:type="pct"/>
            <w:tcBorders>
              <w:top w:val="single" w:sz="4" w:space="0" w:color="auto"/>
              <w:left w:val="single" w:sz="4" w:space="0" w:color="auto"/>
              <w:bottom w:val="single" w:sz="4" w:space="0" w:color="auto"/>
              <w:right w:val="single" w:sz="4" w:space="0" w:color="auto"/>
            </w:tcBorders>
            <w:vAlign w:val="center"/>
          </w:tcPr>
          <w:p w14:paraId="0EAE269E"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交银施罗德裕盈纯债债券型证券投资基金（</w:t>
            </w:r>
            <w:r>
              <w:rPr>
                <w:rFonts w:ascii="Times New Roman" w:hAnsi="Times New Roman"/>
                <w:color w:val="000000"/>
                <w:kern w:val="0"/>
                <w:sz w:val="25"/>
                <w:szCs w:val="24"/>
              </w:rPr>
              <w:t>C</w:t>
            </w:r>
            <w:r>
              <w:rPr>
                <w:rFonts w:ascii="Times New Roman" w:hAnsi="Times New Roman"/>
                <w:color w:val="000000"/>
                <w:kern w:val="0"/>
                <w:sz w:val="25"/>
                <w:szCs w:val="24"/>
              </w:rPr>
              <w:t>类份额）基金产品资料概要更新</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3</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14:paraId="4A0C3312"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511011CE"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2022-11-25</w:t>
            </w:r>
          </w:p>
        </w:tc>
      </w:tr>
      <w:tr w:rsidR="00542AF7" w14:paraId="6AD4F98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85AB155"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12</w:t>
            </w:r>
          </w:p>
        </w:tc>
        <w:tc>
          <w:tcPr>
            <w:tcW w:w="750" w:type="pct"/>
            <w:tcBorders>
              <w:top w:val="single" w:sz="4" w:space="0" w:color="auto"/>
              <w:left w:val="single" w:sz="4" w:space="0" w:color="auto"/>
              <w:bottom w:val="single" w:sz="4" w:space="0" w:color="auto"/>
              <w:right w:val="single" w:sz="4" w:space="0" w:color="auto"/>
            </w:tcBorders>
            <w:vAlign w:val="center"/>
          </w:tcPr>
          <w:p w14:paraId="3A51D03D"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交银施罗德基金管理有限公司关于增加兴业银行股份有限公司银银平台销售旗下部分基金的公告</w:t>
            </w:r>
          </w:p>
        </w:tc>
        <w:tc>
          <w:tcPr>
            <w:tcW w:w="750" w:type="pct"/>
            <w:tcBorders>
              <w:top w:val="single" w:sz="4" w:space="0" w:color="auto"/>
              <w:left w:val="single" w:sz="4" w:space="0" w:color="auto"/>
              <w:bottom w:val="single" w:sz="4" w:space="0" w:color="auto"/>
              <w:right w:val="single" w:sz="4" w:space="0" w:color="auto"/>
            </w:tcBorders>
            <w:vAlign w:val="center"/>
          </w:tcPr>
          <w:p w14:paraId="6FAE7D23"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1403A4C6"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2023-01-09</w:t>
            </w:r>
          </w:p>
        </w:tc>
      </w:tr>
      <w:tr w:rsidR="00542AF7" w14:paraId="30B31A9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77663DA"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13</w:t>
            </w:r>
          </w:p>
        </w:tc>
        <w:tc>
          <w:tcPr>
            <w:tcW w:w="750" w:type="pct"/>
            <w:tcBorders>
              <w:top w:val="single" w:sz="4" w:space="0" w:color="auto"/>
              <w:left w:val="single" w:sz="4" w:space="0" w:color="auto"/>
              <w:bottom w:val="single" w:sz="4" w:space="0" w:color="auto"/>
              <w:right w:val="single" w:sz="4" w:space="0" w:color="auto"/>
            </w:tcBorders>
            <w:vAlign w:val="center"/>
          </w:tcPr>
          <w:p w14:paraId="63E15C90"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交银施罗德裕盈纯债债券型证券投资基金</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4</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14:paraId="57A8ED42"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06A2DADE"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2023-01-19</w:t>
            </w:r>
          </w:p>
        </w:tc>
      </w:tr>
      <w:tr w:rsidR="00542AF7" w14:paraId="3D395AF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210DA11"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14</w:t>
            </w:r>
          </w:p>
        </w:tc>
        <w:tc>
          <w:tcPr>
            <w:tcW w:w="750" w:type="pct"/>
            <w:tcBorders>
              <w:top w:val="single" w:sz="4" w:space="0" w:color="auto"/>
              <w:left w:val="single" w:sz="4" w:space="0" w:color="auto"/>
              <w:bottom w:val="single" w:sz="4" w:space="0" w:color="auto"/>
              <w:right w:val="single" w:sz="4" w:space="0" w:color="auto"/>
            </w:tcBorders>
            <w:vAlign w:val="center"/>
          </w:tcPr>
          <w:p w14:paraId="3B8AA0A2"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关于交银施罗德裕盈纯债债券型证券投资基金销售服务费优惠活动的公告</w:t>
            </w:r>
          </w:p>
        </w:tc>
        <w:tc>
          <w:tcPr>
            <w:tcW w:w="750" w:type="pct"/>
            <w:tcBorders>
              <w:top w:val="single" w:sz="4" w:space="0" w:color="auto"/>
              <w:left w:val="single" w:sz="4" w:space="0" w:color="auto"/>
              <w:bottom w:val="single" w:sz="4" w:space="0" w:color="auto"/>
              <w:right w:val="single" w:sz="4" w:space="0" w:color="auto"/>
            </w:tcBorders>
            <w:vAlign w:val="center"/>
          </w:tcPr>
          <w:p w14:paraId="50413440"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707E6D70"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2023-02-03</w:t>
            </w:r>
          </w:p>
        </w:tc>
      </w:tr>
      <w:tr w:rsidR="00542AF7" w14:paraId="1E37D11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C64C579"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15</w:t>
            </w:r>
          </w:p>
        </w:tc>
        <w:tc>
          <w:tcPr>
            <w:tcW w:w="750" w:type="pct"/>
            <w:tcBorders>
              <w:top w:val="single" w:sz="4" w:space="0" w:color="auto"/>
              <w:left w:val="single" w:sz="4" w:space="0" w:color="auto"/>
              <w:bottom w:val="single" w:sz="4" w:space="0" w:color="auto"/>
              <w:right w:val="single" w:sz="4" w:space="0" w:color="auto"/>
            </w:tcBorders>
            <w:vAlign w:val="center"/>
          </w:tcPr>
          <w:p w14:paraId="20F88ED2"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交银施罗德基金管理有限公司关于增加济安财富（北京）基金销售有限公司为旗下基金销售机构的公告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7A8BDC49"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28EE018"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2023-02-10</w:t>
            </w:r>
          </w:p>
        </w:tc>
      </w:tr>
      <w:tr w:rsidR="00542AF7" w14:paraId="19DFAD4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E5C0C35"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16</w:t>
            </w:r>
          </w:p>
        </w:tc>
        <w:tc>
          <w:tcPr>
            <w:tcW w:w="750" w:type="pct"/>
            <w:tcBorders>
              <w:top w:val="single" w:sz="4" w:space="0" w:color="auto"/>
              <w:left w:val="single" w:sz="4" w:space="0" w:color="auto"/>
              <w:bottom w:val="single" w:sz="4" w:space="0" w:color="auto"/>
              <w:right w:val="single" w:sz="4" w:space="0" w:color="auto"/>
            </w:tcBorders>
            <w:vAlign w:val="center"/>
          </w:tcPr>
          <w:p w14:paraId="0C4D2C57"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交银施罗德基金管理有限公司关于增加阳光人寿保险股份有限公司为旗下基金销售机构的公告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07AACC57"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3E6DEB10"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2023-02-10</w:t>
            </w:r>
          </w:p>
        </w:tc>
      </w:tr>
      <w:tr w:rsidR="00542AF7" w14:paraId="6C4B705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506C51F"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17</w:t>
            </w:r>
          </w:p>
        </w:tc>
        <w:tc>
          <w:tcPr>
            <w:tcW w:w="750" w:type="pct"/>
            <w:tcBorders>
              <w:top w:val="single" w:sz="4" w:space="0" w:color="auto"/>
              <w:left w:val="single" w:sz="4" w:space="0" w:color="auto"/>
              <w:bottom w:val="single" w:sz="4" w:space="0" w:color="auto"/>
              <w:right w:val="single" w:sz="4" w:space="0" w:color="auto"/>
            </w:tcBorders>
            <w:vAlign w:val="center"/>
          </w:tcPr>
          <w:p w14:paraId="5FC511AC"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交银施罗德基金管理有限公司关于增加中信银行股份有限公司为旗下基金的销售机构的公告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2643E467"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159E12FF"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2023-02-15</w:t>
            </w:r>
          </w:p>
        </w:tc>
      </w:tr>
      <w:tr w:rsidR="00542AF7" w14:paraId="2D38AE8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52294AD"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18</w:t>
            </w:r>
          </w:p>
        </w:tc>
        <w:tc>
          <w:tcPr>
            <w:tcW w:w="750" w:type="pct"/>
            <w:tcBorders>
              <w:top w:val="single" w:sz="4" w:space="0" w:color="auto"/>
              <w:left w:val="single" w:sz="4" w:space="0" w:color="auto"/>
              <w:bottom w:val="single" w:sz="4" w:space="0" w:color="auto"/>
              <w:right w:val="single" w:sz="4" w:space="0" w:color="auto"/>
            </w:tcBorders>
            <w:vAlign w:val="center"/>
          </w:tcPr>
          <w:p w14:paraId="3AAE721C"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交银施罗德基金管理有限公司关于增加兴业银行股份有限公司银银平台销售旗下部分基金的公告</w:t>
            </w:r>
          </w:p>
        </w:tc>
        <w:tc>
          <w:tcPr>
            <w:tcW w:w="750" w:type="pct"/>
            <w:tcBorders>
              <w:top w:val="single" w:sz="4" w:space="0" w:color="auto"/>
              <w:left w:val="single" w:sz="4" w:space="0" w:color="auto"/>
              <w:bottom w:val="single" w:sz="4" w:space="0" w:color="auto"/>
              <w:right w:val="single" w:sz="4" w:space="0" w:color="auto"/>
            </w:tcBorders>
            <w:vAlign w:val="center"/>
          </w:tcPr>
          <w:p w14:paraId="515C7E07"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45BB4EC"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2023-03-17</w:t>
            </w:r>
          </w:p>
        </w:tc>
      </w:tr>
      <w:tr w:rsidR="00542AF7" w14:paraId="478AE33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28C675A"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19</w:t>
            </w:r>
          </w:p>
        </w:tc>
        <w:tc>
          <w:tcPr>
            <w:tcW w:w="750" w:type="pct"/>
            <w:tcBorders>
              <w:top w:val="single" w:sz="4" w:space="0" w:color="auto"/>
              <w:left w:val="single" w:sz="4" w:space="0" w:color="auto"/>
              <w:bottom w:val="single" w:sz="4" w:space="0" w:color="auto"/>
              <w:right w:val="single" w:sz="4" w:space="0" w:color="auto"/>
            </w:tcBorders>
            <w:vAlign w:val="center"/>
          </w:tcPr>
          <w:p w14:paraId="0F65E0A2"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交银施罗德基金管理有限公司关于交银施罗德裕盈纯债债券型证券投资基金暂停及恢复大额申购（转换转入、定期定额投资）业务的公告</w:t>
            </w:r>
          </w:p>
        </w:tc>
        <w:tc>
          <w:tcPr>
            <w:tcW w:w="750" w:type="pct"/>
            <w:tcBorders>
              <w:top w:val="single" w:sz="4" w:space="0" w:color="auto"/>
              <w:left w:val="single" w:sz="4" w:space="0" w:color="auto"/>
              <w:bottom w:val="single" w:sz="4" w:space="0" w:color="auto"/>
              <w:right w:val="single" w:sz="4" w:space="0" w:color="auto"/>
            </w:tcBorders>
            <w:vAlign w:val="center"/>
          </w:tcPr>
          <w:p w14:paraId="526760EC"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2FE0ECE"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2023-03-21</w:t>
            </w:r>
          </w:p>
        </w:tc>
      </w:tr>
      <w:tr w:rsidR="00542AF7" w14:paraId="6CADF38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63B3116"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20</w:t>
            </w:r>
          </w:p>
        </w:tc>
        <w:tc>
          <w:tcPr>
            <w:tcW w:w="750" w:type="pct"/>
            <w:tcBorders>
              <w:top w:val="single" w:sz="4" w:space="0" w:color="auto"/>
              <w:left w:val="single" w:sz="4" w:space="0" w:color="auto"/>
              <w:bottom w:val="single" w:sz="4" w:space="0" w:color="auto"/>
              <w:right w:val="single" w:sz="4" w:space="0" w:color="auto"/>
            </w:tcBorders>
            <w:vAlign w:val="center"/>
          </w:tcPr>
          <w:p w14:paraId="17D6E1C0"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交银施罗德基金管理有限公司关于交银施罗德裕盈纯债债券型证券投资基金分红公告</w:t>
            </w:r>
          </w:p>
        </w:tc>
        <w:tc>
          <w:tcPr>
            <w:tcW w:w="750" w:type="pct"/>
            <w:tcBorders>
              <w:top w:val="single" w:sz="4" w:space="0" w:color="auto"/>
              <w:left w:val="single" w:sz="4" w:space="0" w:color="auto"/>
              <w:bottom w:val="single" w:sz="4" w:space="0" w:color="auto"/>
              <w:right w:val="single" w:sz="4" w:space="0" w:color="auto"/>
            </w:tcBorders>
            <w:vAlign w:val="center"/>
          </w:tcPr>
          <w:p w14:paraId="299F448A"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5E15280A"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2023-03-23</w:t>
            </w:r>
          </w:p>
        </w:tc>
      </w:tr>
      <w:tr w:rsidR="00542AF7" w14:paraId="50BF9A7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8647176"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21</w:t>
            </w:r>
          </w:p>
        </w:tc>
        <w:tc>
          <w:tcPr>
            <w:tcW w:w="750" w:type="pct"/>
            <w:tcBorders>
              <w:top w:val="single" w:sz="4" w:space="0" w:color="auto"/>
              <w:left w:val="single" w:sz="4" w:space="0" w:color="auto"/>
              <w:bottom w:val="single" w:sz="4" w:space="0" w:color="auto"/>
              <w:right w:val="single" w:sz="4" w:space="0" w:color="auto"/>
            </w:tcBorders>
            <w:vAlign w:val="center"/>
          </w:tcPr>
          <w:p w14:paraId="7061999A"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交银施罗德裕盈纯债债券型证券投资基金</w:t>
            </w:r>
            <w:r>
              <w:rPr>
                <w:rFonts w:ascii="Times New Roman" w:hAnsi="Times New Roman"/>
                <w:color w:val="000000"/>
                <w:kern w:val="0"/>
                <w:sz w:val="25"/>
                <w:szCs w:val="24"/>
              </w:rPr>
              <w:t>2022</w:t>
            </w:r>
            <w:r>
              <w:rPr>
                <w:rFonts w:ascii="Times New Roman" w:hAnsi="Times New Roman"/>
                <w:color w:val="000000"/>
                <w:kern w:val="0"/>
                <w:sz w:val="25"/>
                <w:szCs w:val="24"/>
              </w:rPr>
              <w:t>年年度报告</w:t>
            </w:r>
          </w:p>
        </w:tc>
        <w:tc>
          <w:tcPr>
            <w:tcW w:w="750" w:type="pct"/>
            <w:tcBorders>
              <w:top w:val="single" w:sz="4" w:space="0" w:color="auto"/>
              <w:left w:val="single" w:sz="4" w:space="0" w:color="auto"/>
              <w:bottom w:val="single" w:sz="4" w:space="0" w:color="auto"/>
              <w:right w:val="single" w:sz="4" w:space="0" w:color="auto"/>
            </w:tcBorders>
            <w:vAlign w:val="center"/>
          </w:tcPr>
          <w:p w14:paraId="6B4E8BB3"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3F523B74"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2023-03-30</w:t>
            </w:r>
          </w:p>
        </w:tc>
      </w:tr>
      <w:tr w:rsidR="00542AF7" w14:paraId="1A1613F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196CD4E"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22</w:t>
            </w:r>
          </w:p>
        </w:tc>
        <w:tc>
          <w:tcPr>
            <w:tcW w:w="750" w:type="pct"/>
            <w:tcBorders>
              <w:top w:val="single" w:sz="4" w:space="0" w:color="auto"/>
              <w:left w:val="single" w:sz="4" w:space="0" w:color="auto"/>
              <w:bottom w:val="single" w:sz="4" w:space="0" w:color="auto"/>
              <w:right w:val="single" w:sz="4" w:space="0" w:color="auto"/>
            </w:tcBorders>
            <w:vAlign w:val="center"/>
          </w:tcPr>
          <w:p w14:paraId="714F1B00"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交银施罗德裕盈纯债债券型证券投资基金</w:t>
            </w:r>
            <w:r>
              <w:rPr>
                <w:rFonts w:ascii="Times New Roman" w:hAnsi="Times New Roman"/>
                <w:color w:val="000000"/>
                <w:kern w:val="0"/>
                <w:sz w:val="25"/>
                <w:szCs w:val="24"/>
              </w:rPr>
              <w:t>2023</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14:paraId="02CBBDE6"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5D40CD6F"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2023-04-21</w:t>
            </w:r>
          </w:p>
        </w:tc>
      </w:tr>
      <w:tr w:rsidR="00542AF7" w14:paraId="1F5675B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C089FC7"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23</w:t>
            </w:r>
          </w:p>
        </w:tc>
        <w:tc>
          <w:tcPr>
            <w:tcW w:w="750" w:type="pct"/>
            <w:tcBorders>
              <w:top w:val="single" w:sz="4" w:space="0" w:color="auto"/>
              <w:left w:val="single" w:sz="4" w:space="0" w:color="auto"/>
              <w:bottom w:val="single" w:sz="4" w:space="0" w:color="auto"/>
              <w:right w:val="single" w:sz="4" w:space="0" w:color="auto"/>
            </w:tcBorders>
            <w:vAlign w:val="center"/>
          </w:tcPr>
          <w:p w14:paraId="51E68636"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交银施罗德基金管理有限公司关于增加大连网金基金销售有限公司为旗下基金销售机构的公告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13B79532"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04E34EE6"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2023-04-25</w:t>
            </w:r>
          </w:p>
        </w:tc>
      </w:tr>
      <w:tr w:rsidR="00542AF7" w14:paraId="6E51D28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2EED51B"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24</w:t>
            </w:r>
          </w:p>
        </w:tc>
        <w:tc>
          <w:tcPr>
            <w:tcW w:w="750" w:type="pct"/>
            <w:tcBorders>
              <w:top w:val="single" w:sz="4" w:space="0" w:color="auto"/>
              <w:left w:val="single" w:sz="4" w:space="0" w:color="auto"/>
              <w:bottom w:val="single" w:sz="4" w:space="0" w:color="auto"/>
              <w:right w:val="single" w:sz="4" w:space="0" w:color="auto"/>
            </w:tcBorders>
            <w:vAlign w:val="center"/>
          </w:tcPr>
          <w:p w14:paraId="2F724EAB"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交银施罗德基金管理有限公司关于增加京东肯特瑞基金销售有限公司为旗下基金销售机构的公告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4F40B223"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7FFED582"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2023-05-12</w:t>
            </w:r>
          </w:p>
        </w:tc>
      </w:tr>
      <w:tr w:rsidR="00542AF7" w14:paraId="12FC76C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406CAC7"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25</w:t>
            </w:r>
          </w:p>
        </w:tc>
        <w:tc>
          <w:tcPr>
            <w:tcW w:w="750" w:type="pct"/>
            <w:tcBorders>
              <w:top w:val="single" w:sz="4" w:space="0" w:color="auto"/>
              <w:left w:val="single" w:sz="4" w:space="0" w:color="auto"/>
              <w:bottom w:val="single" w:sz="4" w:space="0" w:color="auto"/>
              <w:right w:val="single" w:sz="4" w:space="0" w:color="auto"/>
            </w:tcBorders>
            <w:vAlign w:val="center"/>
          </w:tcPr>
          <w:p w14:paraId="239E1B9F"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交银施罗德基金管理有限公司关于增加广发证券股份有限公司为旗下基金的销售机构的公告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039668C0"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3C3D33E4"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2023-05-31</w:t>
            </w:r>
          </w:p>
        </w:tc>
      </w:tr>
      <w:tr w:rsidR="00542AF7" w14:paraId="360EBF3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A64F4DF"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26</w:t>
            </w:r>
          </w:p>
        </w:tc>
        <w:tc>
          <w:tcPr>
            <w:tcW w:w="750" w:type="pct"/>
            <w:tcBorders>
              <w:top w:val="single" w:sz="4" w:space="0" w:color="auto"/>
              <w:left w:val="single" w:sz="4" w:space="0" w:color="auto"/>
              <w:bottom w:val="single" w:sz="4" w:space="0" w:color="auto"/>
              <w:right w:val="single" w:sz="4" w:space="0" w:color="auto"/>
            </w:tcBorders>
            <w:vAlign w:val="center"/>
          </w:tcPr>
          <w:p w14:paraId="0E130DA5"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交银施罗德基金管理有限公司关于增加华西证券股份有限公司为旗下基金的销售机构的公告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0BFF2586"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564F2A18"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2023-06-07</w:t>
            </w:r>
          </w:p>
        </w:tc>
      </w:tr>
      <w:tr w:rsidR="00542AF7" w14:paraId="54C3A7F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EC9D141"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27</w:t>
            </w:r>
          </w:p>
        </w:tc>
        <w:tc>
          <w:tcPr>
            <w:tcW w:w="750" w:type="pct"/>
            <w:tcBorders>
              <w:top w:val="single" w:sz="4" w:space="0" w:color="auto"/>
              <w:left w:val="single" w:sz="4" w:space="0" w:color="auto"/>
              <w:bottom w:val="single" w:sz="4" w:space="0" w:color="auto"/>
              <w:right w:val="single" w:sz="4" w:space="0" w:color="auto"/>
            </w:tcBorders>
            <w:vAlign w:val="center"/>
          </w:tcPr>
          <w:p w14:paraId="4F6DA0A0"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交银施罗德基金管理有限公司关于交银施罗德裕盈纯债债券型证券投资基金暂停及恢复大额申购（转换转入、定期定额投资）业务的公告</w:t>
            </w:r>
          </w:p>
        </w:tc>
        <w:tc>
          <w:tcPr>
            <w:tcW w:w="750" w:type="pct"/>
            <w:tcBorders>
              <w:top w:val="single" w:sz="4" w:space="0" w:color="auto"/>
              <w:left w:val="single" w:sz="4" w:space="0" w:color="auto"/>
              <w:bottom w:val="single" w:sz="4" w:space="0" w:color="auto"/>
              <w:right w:val="single" w:sz="4" w:space="0" w:color="auto"/>
            </w:tcBorders>
            <w:vAlign w:val="center"/>
          </w:tcPr>
          <w:p w14:paraId="3BB7F743"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1B9596B7"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2023-06-15</w:t>
            </w:r>
          </w:p>
        </w:tc>
      </w:tr>
      <w:tr w:rsidR="00542AF7" w14:paraId="63C88C2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110C058"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28</w:t>
            </w:r>
          </w:p>
        </w:tc>
        <w:tc>
          <w:tcPr>
            <w:tcW w:w="750" w:type="pct"/>
            <w:tcBorders>
              <w:top w:val="single" w:sz="4" w:space="0" w:color="auto"/>
              <w:left w:val="single" w:sz="4" w:space="0" w:color="auto"/>
              <w:bottom w:val="single" w:sz="4" w:space="0" w:color="auto"/>
              <w:right w:val="single" w:sz="4" w:space="0" w:color="auto"/>
            </w:tcBorders>
            <w:vAlign w:val="center"/>
          </w:tcPr>
          <w:p w14:paraId="2AAFE096"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交银施罗德基金管理有限公司关于交银施罗德裕盈纯债债券型证券投资基金分红公告</w:t>
            </w:r>
          </w:p>
        </w:tc>
        <w:tc>
          <w:tcPr>
            <w:tcW w:w="750" w:type="pct"/>
            <w:tcBorders>
              <w:top w:val="single" w:sz="4" w:space="0" w:color="auto"/>
              <w:left w:val="single" w:sz="4" w:space="0" w:color="auto"/>
              <w:bottom w:val="single" w:sz="4" w:space="0" w:color="auto"/>
              <w:right w:val="single" w:sz="4" w:space="0" w:color="auto"/>
            </w:tcBorders>
            <w:vAlign w:val="center"/>
          </w:tcPr>
          <w:p w14:paraId="3847B4A2"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31E97209"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2023-06-20</w:t>
            </w:r>
          </w:p>
        </w:tc>
      </w:tr>
      <w:tr w:rsidR="00542AF7" w14:paraId="0C36E71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FB66A13"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29</w:t>
            </w:r>
          </w:p>
        </w:tc>
        <w:tc>
          <w:tcPr>
            <w:tcW w:w="750" w:type="pct"/>
            <w:tcBorders>
              <w:top w:val="single" w:sz="4" w:space="0" w:color="auto"/>
              <w:left w:val="single" w:sz="4" w:space="0" w:color="auto"/>
              <w:bottom w:val="single" w:sz="4" w:space="0" w:color="auto"/>
              <w:right w:val="single" w:sz="4" w:space="0" w:color="auto"/>
            </w:tcBorders>
            <w:vAlign w:val="center"/>
          </w:tcPr>
          <w:p w14:paraId="34101892"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交银施罗德基金管理有限公司关于增加博时财富基金销售有限公司为旗下基金销售机构的公告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688B5F52"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45D4B52A"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2023-06-21</w:t>
            </w:r>
          </w:p>
        </w:tc>
      </w:tr>
      <w:tr w:rsidR="00542AF7" w14:paraId="6858BBE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14B7D13"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30</w:t>
            </w:r>
          </w:p>
        </w:tc>
        <w:tc>
          <w:tcPr>
            <w:tcW w:w="750" w:type="pct"/>
            <w:tcBorders>
              <w:top w:val="single" w:sz="4" w:space="0" w:color="auto"/>
              <w:left w:val="single" w:sz="4" w:space="0" w:color="auto"/>
              <w:bottom w:val="single" w:sz="4" w:space="0" w:color="auto"/>
              <w:right w:val="single" w:sz="4" w:space="0" w:color="auto"/>
            </w:tcBorders>
            <w:vAlign w:val="center"/>
          </w:tcPr>
          <w:p w14:paraId="380A0C15"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交银施罗德基金管理有限公司关于直销平台基金投资顾问业务中交易本公司旗下基金免收相关费用的公告</w:t>
            </w:r>
          </w:p>
        </w:tc>
        <w:tc>
          <w:tcPr>
            <w:tcW w:w="750" w:type="pct"/>
            <w:tcBorders>
              <w:top w:val="single" w:sz="4" w:space="0" w:color="auto"/>
              <w:left w:val="single" w:sz="4" w:space="0" w:color="auto"/>
              <w:bottom w:val="single" w:sz="4" w:space="0" w:color="auto"/>
              <w:right w:val="single" w:sz="4" w:space="0" w:color="auto"/>
            </w:tcBorders>
            <w:vAlign w:val="center"/>
          </w:tcPr>
          <w:p w14:paraId="747E54B9"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2D8527E8"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2023-07-07</w:t>
            </w:r>
          </w:p>
        </w:tc>
      </w:tr>
      <w:tr w:rsidR="00542AF7" w14:paraId="7704EB2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F2E92B2"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31</w:t>
            </w:r>
          </w:p>
        </w:tc>
        <w:tc>
          <w:tcPr>
            <w:tcW w:w="750" w:type="pct"/>
            <w:tcBorders>
              <w:top w:val="single" w:sz="4" w:space="0" w:color="auto"/>
              <w:left w:val="single" w:sz="4" w:space="0" w:color="auto"/>
              <w:bottom w:val="single" w:sz="4" w:space="0" w:color="auto"/>
              <w:right w:val="single" w:sz="4" w:space="0" w:color="auto"/>
            </w:tcBorders>
            <w:vAlign w:val="center"/>
          </w:tcPr>
          <w:p w14:paraId="28BE8C75"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交银施罗德基金管理有限公司关于直销平台基金投资顾问业务中交易本公司旗下基金免收相关费用的提示性公告</w:t>
            </w:r>
          </w:p>
        </w:tc>
        <w:tc>
          <w:tcPr>
            <w:tcW w:w="750" w:type="pct"/>
            <w:tcBorders>
              <w:top w:val="single" w:sz="4" w:space="0" w:color="auto"/>
              <w:left w:val="single" w:sz="4" w:space="0" w:color="auto"/>
              <w:bottom w:val="single" w:sz="4" w:space="0" w:color="auto"/>
              <w:right w:val="single" w:sz="4" w:space="0" w:color="auto"/>
            </w:tcBorders>
            <w:vAlign w:val="center"/>
          </w:tcPr>
          <w:p w14:paraId="311F3D85"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1687E911"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2023-07-08</w:t>
            </w:r>
          </w:p>
        </w:tc>
      </w:tr>
      <w:tr w:rsidR="00542AF7" w14:paraId="135D54A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2BEC117"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32</w:t>
            </w:r>
          </w:p>
        </w:tc>
        <w:tc>
          <w:tcPr>
            <w:tcW w:w="750" w:type="pct"/>
            <w:tcBorders>
              <w:top w:val="single" w:sz="4" w:space="0" w:color="auto"/>
              <w:left w:val="single" w:sz="4" w:space="0" w:color="auto"/>
              <w:bottom w:val="single" w:sz="4" w:space="0" w:color="auto"/>
              <w:right w:val="single" w:sz="4" w:space="0" w:color="auto"/>
            </w:tcBorders>
            <w:vAlign w:val="center"/>
          </w:tcPr>
          <w:p w14:paraId="3B025B8F"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交银施罗德裕盈纯债债券型证券投资基金</w:t>
            </w:r>
            <w:r>
              <w:rPr>
                <w:rFonts w:ascii="Times New Roman" w:hAnsi="Times New Roman"/>
                <w:color w:val="000000"/>
                <w:kern w:val="0"/>
                <w:sz w:val="25"/>
                <w:szCs w:val="24"/>
              </w:rPr>
              <w:t>2023</w:t>
            </w:r>
            <w:r>
              <w:rPr>
                <w:rFonts w:ascii="Times New Roman" w:hAnsi="Times New Roman"/>
                <w:color w:val="000000"/>
                <w:kern w:val="0"/>
                <w:sz w:val="25"/>
                <w:szCs w:val="24"/>
              </w:rPr>
              <w:t>年第</w:t>
            </w:r>
            <w:r>
              <w:rPr>
                <w:rFonts w:ascii="Times New Roman" w:hAnsi="Times New Roman"/>
                <w:color w:val="000000"/>
                <w:kern w:val="0"/>
                <w:sz w:val="25"/>
                <w:szCs w:val="24"/>
              </w:rPr>
              <w:t>2</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14:paraId="647F4C5F"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02A1C709"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2023-07-20</w:t>
            </w:r>
          </w:p>
        </w:tc>
      </w:tr>
      <w:tr w:rsidR="00542AF7" w14:paraId="447535A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E86315C"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33</w:t>
            </w:r>
          </w:p>
        </w:tc>
        <w:tc>
          <w:tcPr>
            <w:tcW w:w="750" w:type="pct"/>
            <w:tcBorders>
              <w:top w:val="single" w:sz="4" w:space="0" w:color="auto"/>
              <w:left w:val="single" w:sz="4" w:space="0" w:color="auto"/>
              <w:bottom w:val="single" w:sz="4" w:space="0" w:color="auto"/>
              <w:right w:val="single" w:sz="4" w:space="0" w:color="auto"/>
            </w:tcBorders>
            <w:vAlign w:val="center"/>
          </w:tcPr>
          <w:p w14:paraId="7D209652"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交银施罗德基金管理有限公司关于增加腾安基金销售（深圳）有限公司为旗下基金销售机构的公告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6633CA63"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BE828E1"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2023-07-24</w:t>
            </w:r>
          </w:p>
        </w:tc>
      </w:tr>
      <w:tr w:rsidR="00542AF7" w14:paraId="4E3303A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F990417"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34</w:t>
            </w:r>
          </w:p>
        </w:tc>
        <w:tc>
          <w:tcPr>
            <w:tcW w:w="750" w:type="pct"/>
            <w:tcBorders>
              <w:top w:val="single" w:sz="4" w:space="0" w:color="auto"/>
              <w:left w:val="single" w:sz="4" w:space="0" w:color="auto"/>
              <w:bottom w:val="single" w:sz="4" w:space="0" w:color="auto"/>
              <w:right w:val="single" w:sz="4" w:space="0" w:color="auto"/>
            </w:tcBorders>
            <w:vAlign w:val="center"/>
          </w:tcPr>
          <w:p w14:paraId="0C3EC2D2"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交银施罗德基金管理有限公司关于增加北京汇成基金销售有限公司为旗下基金销售机构的公告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5EC4AB4F"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39ECD84E"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2023-08-01</w:t>
            </w:r>
          </w:p>
        </w:tc>
      </w:tr>
      <w:tr w:rsidR="00542AF7" w14:paraId="47C155C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620C770"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35</w:t>
            </w:r>
          </w:p>
        </w:tc>
        <w:tc>
          <w:tcPr>
            <w:tcW w:w="750" w:type="pct"/>
            <w:tcBorders>
              <w:top w:val="single" w:sz="4" w:space="0" w:color="auto"/>
              <w:left w:val="single" w:sz="4" w:space="0" w:color="auto"/>
              <w:bottom w:val="single" w:sz="4" w:space="0" w:color="auto"/>
              <w:right w:val="single" w:sz="4" w:space="0" w:color="auto"/>
            </w:tcBorders>
            <w:vAlign w:val="center"/>
          </w:tcPr>
          <w:p w14:paraId="028FC106"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交银施罗德基金管理有限公司关于增加诺亚正行基金销售有限公司为旗下基金销售机构的公告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5FECB288"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168A03D2"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2023-08-03</w:t>
            </w:r>
          </w:p>
        </w:tc>
      </w:tr>
      <w:tr w:rsidR="00542AF7" w14:paraId="32FD16B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F054A06"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36</w:t>
            </w:r>
          </w:p>
        </w:tc>
        <w:tc>
          <w:tcPr>
            <w:tcW w:w="750" w:type="pct"/>
            <w:tcBorders>
              <w:top w:val="single" w:sz="4" w:space="0" w:color="auto"/>
              <w:left w:val="single" w:sz="4" w:space="0" w:color="auto"/>
              <w:bottom w:val="single" w:sz="4" w:space="0" w:color="auto"/>
              <w:right w:val="single" w:sz="4" w:space="0" w:color="auto"/>
            </w:tcBorders>
            <w:vAlign w:val="center"/>
          </w:tcPr>
          <w:p w14:paraId="68F5BCFE"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交银施罗德基金管理有限公司关于增加华泰证券股份有限公司为旗下基金的销售机构的公告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36603CEF"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250E5C71"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2023-08-29</w:t>
            </w:r>
          </w:p>
        </w:tc>
      </w:tr>
      <w:tr w:rsidR="00542AF7" w14:paraId="629A08C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25C749F"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37</w:t>
            </w:r>
          </w:p>
        </w:tc>
        <w:tc>
          <w:tcPr>
            <w:tcW w:w="750" w:type="pct"/>
            <w:tcBorders>
              <w:top w:val="single" w:sz="4" w:space="0" w:color="auto"/>
              <w:left w:val="single" w:sz="4" w:space="0" w:color="auto"/>
              <w:bottom w:val="single" w:sz="4" w:space="0" w:color="auto"/>
              <w:right w:val="single" w:sz="4" w:space="0" w:color="auto"/>
            </w:tcBorders>
            <w:vAlign w:val="center"/>
          </w:tcPr>
          <w:p w14:paraId="1FF2B5F4"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交银施罗德裕盈纯债债券型证券投资基金</w:t>
            </w:r>
            <w:r>
              <w:rPr>
                <w:rFonts w:ascii="Times New Roman" w:hAnsi="Times New Roman"/>
                <w:color w:val="000000"/>
                <w:kern w:val="0"/>
                <w:sz w:val="25"/>
                <w:szCs w:val="24"/>
              </w:rPr>
              <w:t>2023</w:t>
            </w:r>
            <w:r>
              <w:rPr>
                <w:rFonts w:ascii="Times New Roman" w:hAnsi="Times New Roman"/>
                <w:color w:val="000000"/>
                <w:kern w:val="0"/>
                <w:sz w:val="25"/>
                <w:szCs w:val="24"/>
              </w:rPr>
              <w:t>年中期报告</w:t>
            </w:r>
          </w:p>
        </w:tc>
        <w:tc>
          <w:tcPr>
            <w:tcW w:w="750" w:type="pct"/>
            <w:tcBorders>
              <w:top w:val="single" w:sz="4" w:space="0" w:color="auto"/>
              <w:left w:val="single" w:sz="4" w:space="0" w:color="auto"/>
              <w:bottom w:val="single" w:sz="4" w:space="0" w:color="auto"/>
              <w:right w:val="single" w:sz="4" w:space="0" w:color="auto"/>
            </w:tcBorders>
            <w:vAlign w:val="center"/>
          </w:tcPr>
          <w:p w14:paraId="3D3B2257"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20A12F23"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2023-08-30</w:t>
            </w:r>
          </w:p>
        </w:tc>
      </w:tr>
      <w:tr w:rsidR="00542AF7" w14:paraId="4D3D4AE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A4FF444"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38</w:t>
            </w:r>
          </w:p>
        </w:tc>
        <w:tc>
          <w:tcPr>
            <w:tcW w:w="750" w:type="pct"/>
            <w:tcBorders>
              <w:top w:val="single" w:sz="4" w:space="0" w:color="auto"/>
              <w:left w:val="single" w:sz="4" w:space="0" w:color="auto"/>
              <w:bottom w:val="single" w:sz="4" w:space="0" w:color="auto"/>
              <w:right w:val="single" w:sz="4" w:space="0" w:color="auto"/>
            </w:tcBorders>
            <w:vAlign w:val="center"/>
          </w:tcPr>
          <w:p w14:paraId="785AA818"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交银施罗德基金管理有限公司关于增加兴业证券股份有限公司为旗下基金的销售机构的公告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48EFA74A"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2CF1A46A"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2023-09-15</w:t>
            </w:r>
          </w:p>
        </w:tc>
      </w:tr>
      <w:tr w:rsidR="00542AF7" w14:paraId="76787F1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36E6172"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39</w:t>
            </w:r>
          </w:p>
        </w:tc>
        <w:tc>
          <w:tcPr>
            <w:tcW w:w="750" w:type="pct"/>
            <w:tcBorders>
              <w:top w:val="single" w:sz="4" w:space="0" w:color="auto"/>
              <w:left w:val="single" w:sz="4" w:space="0" w:color="auto"/>
              <w:bottom w:val="single" w:sz="4" w:space="0" w:color="auto"/>
              <w:right w:val="single" w:sz="4" w:space="0" w:color="auto"/>
            </w:tcBorders>
            <w:vAlign w:val="center"/>
          </w:tcPr>
          <w:p w14:paraId="7C9D25BB"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交银施罗德基金管理有限公司关于交银施罗德裕盈纯债债券型证券投资基金暂停及恢复大额申购（转换转入、定期定额投资）业务的公告</w:t>
            </w:r>
          </w:p>
        </w:tc>
        <w:tc>
          <w:tcPr>
            <w:tcW w:w="750" w:type="pct"/>
            <w:tcBorders>
              <w:top w:val="single" w:sz="4" w:space="0" w:color="auto"/>
              <w:left w:val="single" w:sz="4" w:space="0" w:color="auto"/>
              <w:bottom w:val="single" w:sz="4" w:space="0" w:color="auto"/>
              <w:right w:val="single" w:sz="4" w:space="0" w:color="auto"/>
            </w:tcBorders>
            <w:vAlign w:val="center"/>
          </w:tcPr>
          <w:p w14:paraId="33BD768A"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06794C80"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2023-09-18</w:t>
            </w:r>
          </w:p>
        </w:tc>
      </w:tr>
      <w:tr w:rsidR="00542AF7" w14:paraId="62A2693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7B0CF8E"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40</w:t>
            </w:r>
          </w:p>
        </w:tc>
        <w:tc>
          <w:tcPr>
            <w:tcW w:w="750" w:type="pct"/>
            <w:tcBorders>
              <w:top w:val="single" w:sz="4" w:space="0" w:color="auto"/>
              <w:left w:val="single" w:sz="4" w:space="0" w:color="auto"/>
              <w:bottom w:val="single" w:sz="4" w:space="0" w:color="auto"/>
              <w:right w:val="single" w:sz="4" w:space="0" w:color="auto"/>
            </w:tcBorders>
            <w:vAlign w:val="center"/>
          </w:tcPr>
          <w:p w14:paraId="25173C9A"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交银施罗德基金管理有限公司关于增加上海利得基金销售有限公司为旗下基金销售机构的公告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077C9466"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5155C639"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2023-09-18</w:t>
            </w:r>
          </w:p>
        </w:tc>
      </w:tr>
      <w:tr w:rsidR="00542AF7" w14:paraId="3A75412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BAC8F59"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41</w:t>
            </w:r>
          </w:p>
        </w:tc>
        <w:tc>
          <w:tcPr>
            <w:tcW w:w="750" w:type="pct"/>
            <w:tcBorders>
              <w:top w:val="single" w:sz="4" w:space="0" w:color="auto"/>
              <w:left w:val="single" w:sz="4" w:space="0" w:color="auto"/>
              <w:bottom w:val="single" w:sz="4" w:space="0" w:color="auto"/>
              <w:right w:val="single" w:sz="4" w:space="0" w:color="auto"/>
            </w:tcBorders>
            <w:vAlign w:val="center"/>
          </w:tcPr>
          <w:p w14:paraId="76040DAA"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交银施罗德基金管理有限公司关于交银施罗德裕盈纯债债券型证券投资基金分红公告</w:t>
            </w:r>
          </w:p>
        </w:tc>
        <w:tc>
          <w:tcPr>
            <w:tcW w:w="750" w:type="pct"/>
            <w:tcBorders>
              <w:top w:val="single" w:sz="4" w:space="0" w:color="auto"/>
              <w:left w:val="single" w:sz="4" w:space="0" w:color="auto"/>
              <w:bottom w:val="single" w:sz="4" w:space="0" w:color="auto"/>
              <w:right w:val="single" w:sz="4" w:space="0" w:color="auto"/>
            </w:tcBorders>
            <w:vAlign w:val="center"/>
          </w:tcPr>
          <w:p w14:paraId="148D25C7"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05EEEFE1"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2023-09-21</w:t>
            </w:r>
          </w:p>
        </w:tc>
      </w:tr>
      <w:tr w:rsidR="00542AF7" w14:paraId="5D8D236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F50B09C"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42</w:t>
            </w:r>
          </w:p>
        </w:tc>
        <w:tc>
          <w:tcPr>
            <w:tcW w:w="750" w:type="pct"/>
            <w:tcBorders>
              <w:top w:val="single" w:sz="4" w:space="0" w:color="auto"/>
              <w:left w:val="single" w:sz="4" w:space="0" w:color="auto"/>
              <w:bottom w:val="single" w:sz="4" w:space="0" w:color="auto"/>
              <w:right w:val="single" w:sz="4" w:space="0" w:color="auto"/>
            </w:tcBorders>
            <w:vAlign w:val="center"/>
          </w:tcPr>
          <w:p w14:paraId="159422CC"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交银施罗德基金管理有限公司关于增加北京度小满基金销售有限公司为旗下基金销售机构的公告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6F07A294"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12F509FE"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2023-09-22</w:t>
            </w:r>
          </w:p>
        </w:tc>
      </w:tr>
      <w:tr w:rsidR="00542AF7" w14:paraId="6C0F197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A94D163"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43</w:t>
            </w:r>
          </w:p>
        </w:tc>
        <w:tc>
          <w:tcPr>
            <w:tcW w:w="750" w:type="pct"/>
            <w:tcBorders>
              <w:top w:val="single" w:sz="4" w:space="0" w:color="auto"/>
              <w:left w:val="single" w:sz="4" w:space="0" w:color="auto"/>
              <w:bottom w:val="single" w:sz="4" w:space="0" w:color="auto"/>
              <w:right w:val="single" w:sz="4" w:space="0" w:color="auto"/>
            </w:tcBorders>
            <w:vAlign w:val="center"/>
          </w:tcPr>
          <w:p w14:paraId="0A316CB4"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交银施罗德基金管理有限公司关于交银施罗德裕盈纯债债券型证券投资基金于</w:t>
            </w:r>
            <w:r>
              <w:rPr>
                <w:rFonts w:ascii="Times New Roman" w:hAnsi="Times New Roman"/>
                <w:color w:val="000000"/>
                <w:kern w:val="0"/>
                <w:sz w:val="25"/>
                <w:szCs w:val="24"/>
              </w:rPr>
              <w:t>2023</w:t>
            </w:r>
            <w:r>
              <w:rPr>
                <w:rFonts w:ascii="Times New Roman" w:hAnsi="Times New Roman"/>
                <w:color w:val="000000"/>
                <w:kern w:val="0"/>
                <w:sz w:val="25"/>
                <w:szCs w:val="24"/>
              </w:rPr>
              <w:t>年</w:t>
            </w:r>
            <w:r>
              <w:rPr>
                <w:rFonts w:ascii="Times New Roman" w:hAnsi="Times New Roman"/>
                <w:color w:val="000000"/>
                <w:kern w:val="0"/>
                <w:sz w:val="25"/>
                <w:szCs w:val="24"/>
              </w:rPr>
              <w:t>“</w:t>
            </w:r>
            <w:r>
              <w:rPr>
                <w:rFonts w:ascii="Times New Roman" w:hAnsi="Times New Roman"/>
                <w:color w:val="000000"/>
                <w:kern w:val="0"/>
                <w:sz w:val="25"/>
                <w:szCs w:val="24"/>
              </w:rPr>
              <w:t>国庆节</w:t>
            </w:r>
            <w:r>
              <w:rPr>
                <w:rFonts w:ascii="Times New Roman" w:hAnsi="Times New Roman"/>
                <w:color w:val="000000"/>
                <w:kern w:val="0"/>
                <w:sz w:val="25"/>
                <w:szCs w:val="24"/>
              </w:rPr>
              <w:t>”</w:t>
            </w:r>
            <w:r>
              <w:rPr>
                <w:rFonts w:ascii="Times New Roman" w:hAnsi="Times New Roman"/>
                <w:color w:val="000000"/>
                <w:kern w:val="0"/>
                <w:sz w:val="25"/>
                <w:szCs w:val="24"/>
              </w:rPr>
              <w:t>假期前暂停及节后恢复大额申购（转换转入、定期定额投资）业务的公告</w:t>
            </w:r>
          </w:p>
        </w:tc>
        <w:tc>
          <w:tcPr>
            <w:tcW w:w="750" w:type="pct"/>
            <w:tcBorders>
              <w:top w:val="single" w:sz="4" w:space="0" w:color="auto"/>
              <w:left w:val="single" w:sz="4" w:space="0" w:color="auto"/>
              <w:bottom w:val="single" w:sz="4" w:space="0" w:color="auto"/>
              <w:right w:val="single" w:sz="4" w:space="0" w:color="auto"/>
            </w:tcBorders>
            <w:vAlign w:val="center"/>
          </w:tcPr>
          <w:p w14:paraId="2523EF89"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EA932CF"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2023-09-26</w:t>
            </w:r>
          </w:p>
        </w:tc>
      </w:tr>
      <w:tr w:rsidR="00542AF7" w14:paraId="20BFE6B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A501A23"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44</w:t>
            </w:r>
          </w:p>
        </w:tc>
        <w:tc>
          <w:tcPr>
            <w:tcW w:w="750" w:type="pct"/>
            <w:tcBorders>
              <w:top w:val="single" w:sz="4" w:space="0" w:color="auto"/>
              <w:left w:val="single" w:sz="4" w:space="0" w:color="auto"/>
              <w:bottom w:val="single" w:sz="4" w:space="0" w:color="auto"/>
              <w:right w:val="single" w:sz="4" w:space="0" w:color="auto"/>
            </w:tcBorders>
            <w:vAlign w:val="center"/>
          </w:tcPr>
          <w:p w14:paraId="0E075D9A"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交银施罗德基金管理有限公司关于增加泛华普益基金销售有限公司为旗下基金销售机构的公告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4B9E88DA"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1BF4FDF8"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2023-09-27</w:t>
            </w:r>
          </w:p>
        </w:tc>
      </w:tr>
      <w:tr w:rsidR="00542AF7" w14:paraId="3DE3D4A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D02C93A"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45</w:t>
            </w:r>
          </w:p>
        </w:tc>
        <w:tc>
          <w:tcPr>
            <w:tcW w:w="750" w:type="pct"/>
            <w:tcBorders>
              <w:top w:val="single" w:sz="4" w:space="0" w:color="auto"/>
              <w:left w:val="single" w:sz="4" w:space="0" w:color="auto"/>
              <w:bottom w:val="single" w:sz="4" w:space="0" w:color="auto"/>
              <w:right w:val="single" w:sz="4" w:space="0" w:color="auto"/>
            </w:tcBorders>
            <w:vAlign w:val="center"/>
          </w:tcPr>
          <w:p w14:paraId="6EEEB299"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交银施罗德裕盈纯债债券型证券投资基金</w:t>
            </w:r>
            <w:r>
              <w:rPr>
                <w:rFonts w:ascii="Times New Roman" w:hAnsi="Times New Roman"/>
                <w:color w:val="000000"/>
                <w:kern w:val="0"/>
                <w:sz w:val="25"/>
                <w:szCs w:val="24"/>
              </w:rPr>
              <w:t>2023</w:t>
            </w:r>
            <w:r>
              <w:rPr>
                <w:rFonts w:ascii="Times New Roman" w:hAnsi="Times New Roman"/>
                <w:color w:val="000000"/>
                <w:kern w:val="0"/>
                <w:sz w:val="25"/>
                <w:szCs w:val="24"/>
              </w:rPr>
              <w:t>年第</w:t>
            </w:r>
            <w:r>
              <w:rPr>
                <w:rFonts w:ascii="Times New Roman" w:hAnsi="Times New Roman"/>
                <w:color w:val="000000"/>
                <w:kern w:val="0"/>
                <w:sz w:val="25"/>
                <w:szCs w:val="24"/>
              </w:rPr>
              <w:t>3</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14:paraId="56469396"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C98D302"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2023-10-24</w:t>
            </w:r>
          </w:p>
        </w:tc>
      </w:tr>
      <w:tr w:rsidR="00542AF7" w14:paraId="68FA431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8631936"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46</w:t>
            </w:r>
          </w:p>
        </w:tc>
        <w:tc>
          <w:tcPr>
            <w:tcW w:w="750" w:type="pct"/>
            <w:tcBorders>
              <w:top w:val="single" w:sz="4" w:space="0" w:color="auto"/>
              <w:left w:val="single" w:sz="4" w:space="0" w:color="auto"/>
              <w:bottom w:val="single" w:sz="4" w:space="0" w:color="auto"/>
              <w:right w:val="single" w:sz="4" w:space="0" w:color="auto"/>
            </w:tcBorders>
            <w:vAlign w:val="center"/>
          </w:tcPr>
          <w:p w14:paraId="3CCB0C14"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交银施罗德基金管理有限公司关于增加和耕传承基金销售有限公司为旗下基金销售机构的公告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549B1E7A" w14:textId="77777777" w:rsidR="00542AF7" w:rsidRDefault="00D93D5A">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5DED0589" w14:textId="77777777" w:rsidR="00542AF7" w:rsidRDefault="00D93D5A">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2023-10-31</w:t>
            </w:r>
          </w:p>
        </w:tc>
      </w:tr>
    </w:tbl>
    <w:p w14:paraId="63ECBFE4" w14:textId="77777777" w:rsidR="00C86C88" w:rsidRDefault="00D93D5A" w:rsidP="00C86C8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0C8A754F" w14:textId="77777777" w:rsidR="00542AF7" w:rsidRDefault="00D93D5A">
      <w:pPr>
        <w:pStyle w:val="1"/>
        <w:snapToGrid w:val="0"/>
        <w:spacing w:beforeLines="0" w:before="240" w:after="240"/>
        <w:rPr>
          <w:rFonts w:ascii="宋体" w:hAnsi="宋体"/>
          <w:szCs w:val="30"/>
        </w:rPr>
      </w:pPr>
      <w:bookmarkStart w:id="30" w:name="_Toc151542558"/>
      <w:r>
        <w:rPr>
          <w:rFonts w:ascii="Times New Roman" w:hAnsi="Times New Roman"/>
          <w:sz w:val="30"/>
        </w:rPr>
        <w:lastRenderedPageBreak/>
        <w:t>二十五、招募说明书的存放及查阅方式</w:t>
      </w:r>
      <w:bookmarkEnd w:id="30"/>
    </w:p>
    <w:p w14:paraId="36C30542"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募说明书存放在基金管理人、基金托管人和基金销售机构的办公场所，投资人可在办公时间查阅；投资人在支付工本费后，可在合理时间内取得上述文件复制件或复印件。对投资人按此种方式所获得的文件及其复印件，基金管理人和基金托管人保证文本的内容与所公告的内容完全一致。</w:t>
      </w:r>
    </w:p>
    <w:p w14:paraId="72AD793C"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投资人还可以直接登录基金管理人的网站(www.fund001.com)查阅和下载招募说明书。</w:t>
      </w:r>
    </w:p>
    <w:p w14:paraId="0410DED9" w14:textId="77777777" w:rsidR="00C86C88" w:rsidRDefault="00D93D5A" w:rsidP="00C86C8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1641DB9D" w14:textId="77777777" w:rsidR="00542AF7" w:rsidRDefault="00D93D5A">
      <w:pPr>
        <w:pStyle w:val="1"/>
        <w:snapToGrid w:val="0"/>
        <w:spacing w:beforeLines="0" w:before="240" w:after="240"/>
        <w:rPr>
          <w:rFonts w:ascii="宋体" w:hAnsi="宋体"/>
          <w:szCs w:val="30"/>
        </w:rPr>
      </w:pPr>
      <w:bookmarkStart w:id="31" w:name="_Toc151542559"/>
      <w:r>
        <w:rPr>
          <w:rFonts w:ascii="Times New Roman" w:hAnsi="Times New Roman"/>
          <w:sz w:val="30"/>
        </w:rPr>
        <w:lastRenderedPageBreak/>
        <w:t>二十六、备查文件</w:t>
      </w:r>
      <w:bookmarkEnd w:id="31"/>
    </w:p>
    <w:p w14:paraId="7792D30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以下备查文件存放在基金管理人的办公场所，在办公时间可供免费查阅。</w:t>
      </w:r>
    </w:p>
    <w:p w14:paraId="56B687D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（一）中国证监会准予交银施罗德裕盈纯债债券型证券投资基金募集注册的文件</w:t>
      </w:r>
    </w:p>
    <w:p w14:paraId="338603E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（二）《交银施罗德裕盈纯债债券型证券投资基金基金合同》</w:t>
      </w:r>
    </w:p>
    <w:p w14:paraId="37512CC8"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（三）《交银施罗德裕盈纯债债券型证券投资基金托管协议》</w:t>
      </w:r>
    </w:p>
    <w:p w14:paraId="402FC967"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（四）基金管理人业务资格批件、营业执照</w:t>
      </w:r>
    </w:p>
    <w:p w14:paraId="044E389B"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（五）基金托管人业务资格批件、营业执照</w:t>
      </w:r>
    </w:p>
    <w:p w14:paraId="47DE5106" w14:textId="77777777" w:rsidR="00542AF7" w:rsidRDefault="00D93D5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（六）关于申请募集注册交银施罗德裕盈纯债债券型证券投资基金的法律意见书</w:t>
      </w:r>
    </w:p>
    <w:sectPr w:rsidR="00542AF7">
      <w:footerReference w:type="default" r:id="rId15"/>
      <w:pgSz w:w="11920" w:h="16840"/>
      <w:pgMar w:top="1360" w:right="1580" w:bottom="280" w:left="1680" w:header="0" w:footer="1186"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0F1504" w16cid:durableId="291C7A1A"/>
  <w16cid:commentId w16cid:paraId="0730A10E" w16cid:durableId="291C7A1B"/>
  <w16cid:commentId w16cid:paraId="52488C06" w16cid:durableId="291C8613"/>
  <w16cid:commentId w16cid:paraId="5D50E8E8" w16cid:durableId="291CB34D"/>
  <w16cid:commentId w16cid:paraId="16EFCCC7" w16cid:durableId="291C8187"/>
  <w16cid:commentId w16cid:paraId="47E4C57E" w16cid:durableId="291C81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DB3C8" w14:textId="77777777" w:rsidR="00DB4989" w:rsidRDefault="00DB4989">
      <w:r>
        <w:separator/>
      </w:r>
    </w:p>
  </w:endnote>
  <w:endnote w:type="continuationSeparator" w:id="0">
    <w:p w14:paraId="3171D102" w14:textId="77777777" w:rsidR="00DB4989" w:rsidRDefault="00DB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2CD19" w14:textId="4D96894F" w:rsidR="00055310" w:rsidRDefault="00055310">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8752" behindDoc="1" locked="0" layoutInCell="0" allowOverlap="1" wp14:anchorId="30D9EF9E" wp14:editId="0916DFDB">
              <wp:simplePos x="0" y="0"/>
              <wp:positionH relativeFrom="page">
                <wp:posOffset>3726180</wp:posOffset>
              </wp:positionH>
              <wp:positionV relativeFrom="page">
                <wp:posOffset>9939020</wp:posOffset>
              </wp:positionV>
              <wp:extent cx="27432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3E85C" w14:textId="7A78C062" w:rsidR="00055310" w:rsidRDefault="00055310">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B57D2B">
                            <w:rPr>
                              <w:rFonts w:ascii="Times New Roman" w:hAnsi="Times New Roman"/>
                              <w:noProof/>
                              <w:kern w:val="0"/>
                              <w:sz w:val="18"/>
                              <w:szCs w:val="18"/>
                            </w:rPr>
                            <w:t>3</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9EF9E" id="_x0000_t202" coordsize="21600,21600" o:spt="202" path="m,l,21600r21600,l21600,xe">
              <v:stroke joinstyle="miter"/>
              <v:path gradientshapeok="t" o:connecttype="rect"/>
            </v:shapetype>
            <v:shape id="Text Box 1" o:spid="_x0000_s1026" type="#_x0000_t202" style="position:absolute;margin-left:293.4pt;margin-top:782.6pt;width:21.6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2FrAIAAKg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" o:allowincell="f" filled="f" stroked="f">
              <v:textbox inset="0,0,0,0">
                <w:txbxContent>
                  <w:p w14:paraId="38A3E85C" w14:textId="7A78C062" w:rsidR="00055310" w:rsidRDefault="00055310">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B57D2B">
                      <w:rPr>
                        <w:rFonts w:ascii="Times New Roman" w:hAnsi="Times New Roman"/>
                        <w:noProof/>
                        <w:kern w:val="0"/>
                        <w:sz w:val="18"/>
                        <w:szCs w:val="18"/>
                      </w:rPr>
                      <w:t>3</w:t>
                    </w:r>
                    <w:r>
                      <w:rPr>
                        <w:rFonts w:ascii="Times New Roman" w:hAnsi="Times New Roman"/>
                        <w:kern w:val="0"/>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EEE11" w14:textId="76C4DF99" w:rsidR="00055310" w:rsidRDefault="00055310">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9776" behindDoc="1" locked="0" layoutInCell="0" allowOverlap="1" wp14:anchorId="43DAB6CE" wp14:editId="71A2347F">
              <wp:simplePos x="0" y="0"/>
              <wp:positionH relativeFrom="page">
                <wp:posOffset>3698875</wp:posOffset>
              </wp:positionH>
              <wp:positionV relativeFrom="page">
                <wp:posOffset>9827895</wp:posOffset>
              </wp:positionV>
              <wp:extent cx="425450" cy="13970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271E6" w14:textId="3344871B" w:rsidR="00055310" w:rsidRDefault="00055310">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B57D2B">
                            <w:rPr>
                              <w:rFonts w:ascii="Times New Roman" w:hAnsi="Times New Roman"/>
                              <w:noProof/>
                              <w:kern w:val="0"/>
                              <w:sz w:val="18"/>
                              <w:szCs w:val="18"/>
                            </w:rPr>
                            <w:t>28</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AB6CE" id="_x0000_t202" coordsize="21600,21600" o:spt="202" path="m,l,21600r21600,l21600,xe">
              <v:stroke joinstyle="miter"/>
              <v:path gradientshapeok="t" o:connecttype="rect"/>
            </v:shapetype>
            <v:shape id="Text Box 20" o:spid="_x0000_s1027" type="#_x0000_t202" style="position:absolute;margin-left:291.25pt;margin-top:773.85pt;width:33.5pt;height: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cqsQIAALA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" o:allowincell="f" filled="f" stroked="f">
              <v:textbox inset="0,0,0,0">
                <w:txbxContent>
                  <w:p w14:paraId="78F271E6" w14:textId="3344871B" w:rsidR="00055310" w:rsidRDefault="00055310">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B57D2B">
                      <w:rPr>
                        <w:rFonts w:ascii="Times New Roman" w:hAnsi="Times New Roman"/>
                        <w:noProof/>
                        <w:kern w:val="0"/>
                        <w:sz w:val="18"/>
                        <w:szCs w:val="18"/>
                      </w:rPr>
                      <w:t>28</w:t>
                    </w:r>
                    <w:r>
                      <w:rPr>
                        <w:rFonts w:ascii="Times New Roman" w:hAnsi="Times New Roman"/>
                        <w:kern w:val="0"/>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C14A9" w14:textId="77777777" w:rsidR="00DB4989" w:rsidRDefault="00DB4989">
      <w:r>
        <w:separator/>
      </w:r>
    </w:p>
  </w:footnote>
  <w:footnote w:type="continuationSeparator" w:id="0">
    <w:p w14:paraId="17FB8565" w14:textId="77777777" w:rsidR="00DB4989" w:rsidRDefault="00DB4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6F796" w14:textId="4B86F2BF" w:rsidR="00055310" w:rsidRDefault="00055310">
    <w:pPr>
      <w:pStyle w:val="a3"/>
      <w:jc w:val="right"/>
    </w:pPr>
    <w:r>
      <w:rPr>
        <w:noProof/>
      </w:rPr>
      <w:drawing>
        <wp:anchor distT="0" distB="0" distL="114300" distR="114300" simplePos="0" relativeHeight="251655680" behindDoc="0" locked="0" layoutInCell="1" allowOverlap="1" wp14:anchorId="1650B26E" wp14:editId="57434A51">
          <wp:simplePos x="0" y="0"/>
          <wp:positionH relativeFrom="column">
            <wp:posOffset>19050</wp:posOffset>
          </wp:positionH>
          <wp:positionV relativeFrom="paragraph">
            <wp:posOffset>-152400</wp:posOffset>
          </wp:positionV>
          <wp:extent cx="1714500" cy="238125"/>
          <wp:effectExtent l="0" t="0" r="0" b="0"/>
          <wp:wrapNone/>
          <wp:docPr id="2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14:paraId="41251AA5" w14:textId="77777777" w:rsidR="00055310" w:rsidRDefault="00055310">
    <w:pPr>
      <w:pStyle w:val="a3"/>
      <w:jc w:val="right"/>
      <w:rPr>
        <w:rFonts w:ascii="宋体" w:hAnsi="宋体"/>
      </w:rPr>
    </w:pPr>
    <w:r>
      <w:rPr>
        <w:rFonts w:ascii="宋体" w:hAnsi="宋体" w:hint="eastAsia"/>
      </w:rPr>
      <w:t>交银施罗德裕盈纯债债券型证券投资基金(更新)招募说明书(2023年第1号)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00EE3" w14:textId="77777777" w:rsidR="00055310" w:rsidRDefault="00055310">
    <w:pPr>
      <w:pStyle w:val="11"/>
      <w:jc w:val="right"/>
    </w:pPr>
  </w:p>
  <w:p w14:paraId="1907E971" w14:textId="77777777" w:rsidR="00055310" w:rsidRDefault="00055310">
    <w:pPr>
      <w:pStyle w:val="11"/>
      <w:jc w:val="right"/>
    </w:pPr>
  </w:p>
  <w:p w14:paraId="5F9358C2" w14:textId="77777777" w:rsidR="00055310" w:rsidRDefault="00055310">
    <w:pPr>
      <w:pStyle w:val="a3"/>
      <w:jc w:val="right"/>
    </w:pPr>
  </w:p>
  <w:p w14:paraId="32C0F9F9" w14:textId="71DC7D8F" w:rsidR="00055310" w:rsidRDefault="00055310">
    <w:pPr>
      <w:pStyle w:val="a3"/>
      <w:jc w:val="right"/>
    </w:pPr>
    <w:r>
      <w:rPr>
        <w:noProof/>
      </w:rPr>
      <w:drawing>
        <wp:anchor distT="0" distB="0" distL="114300" distR="114300" simplePos="0" relativeHeight="251656704" behindDoc="0" locked="0" layoutInCell="1" allowOverlap="1" wp14:anchorId="33CA4914" wp14:editId="6F24CD14">
          <wp:simplePos x="0" y="0"/>
          <wp:positionH relativeFrom="column">
            <wp:posOffset>19050</wp:posOffset>
          </wp:positionH>
          <wp:positionV relativeFrom="paragraph">
            <wp:posOffset>-152400</wp:posOffset>
          </wp:positionV>
          <wp:extent cx="1714500" cy="238125"/>
          <wp:effectExtent l="0" t="0" r="0" b="0"/>
          <wp:wrapNone/>
          <wp:docPr id="2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14:paraId="304283B9" w14:textId="452153DC" w:rsidR="00055310" w:rsidRDefault="00055310">
    <w:pPr>
      <w:pStyle w:val="a3"/>
      <w:jc w:val="right"/>
      <w:rPr>
        <w:rFonts w:ascii="宋体" w:hAnsi="宋体"/>
      </w:rPr>
    </w:pPr>
    <w:r>
      <w:rPr>
        <w:rFonts w:ascii="宋体" w:hAnsi="宋体" w:hint="eastAsia"/>
      </w:rPr>
      <w:t>交银施罗德裕盈纯债债券型证券投资基金(更新)招募说明书(2023年第</w:t>
    </w:r>
    <w:r>
      <w:rPr>
        <w:rFonts w:ascii="宋体" w:hAnsi="宋体"/>
      </w:rPr>
      <w:t>2</w:t>
    </w:r>
    <w:r>
      <w:rPr>
        <w:rFonts w:ascii="宋体" w:hAnsi="宋体"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A83C8" w14:textId="77777777" w:rsidR="00055310" w:rsidRDefault="00055310">
    <w:pPr>
      <w:pStyle w:val="a3"/>
      <w:jc w:val="right"/>
    </w:pPr>
  </w:p>
  <w:p w14:paraId="71DE6D77" w14:textId="77777777" w:rsidR="00055310" w:rsidRDefault="00055310">
    <w:pPr>
      <w:pStyle w:val="a3"/>
      <w:jc w:val="right"/>
    </w:pPr>
  </w:p>
  <w:p w14:paraId="7D1A6EF4" w14:textId="77777777" w:rsidR="00055310" w:rsidRDefault="00055310">
    <w:pPr>
      <w:pStyle w:val="a3"/>
      <w:jc w:val="right"/>
    </w:pPr>
  </w:p>
  <w:p w14:paraId="7A1F893D" w14:textId="0DA7C8EB" w:rsidR="00055310" w:rsidRDefault="00055310">
    <w:pPr>
      <w:pStyle w:val="a3"/>
      <w:jc w:val="right"/>
    </w:pPr>
    <w:r>
      <w:rPr>
        <w:noProof/>
      </w:rPr>
      <w:drawing>
        <wp:anchor distT="0" distB="0" distL="114300" distR="114300" simplePos="0" relativeHeight="251657728" behindDoc="0" locked="0" layoutInCell="1" allowOverlap="1" wp14:anchorId="72626572" wp14:editId="3B56D7F6">
          <wp:simplePos x="0" y="0"/>
          <wp:positionH relativeFrom="column">
            <wp:posOffset>19050</wp:posOffset>
          </wp:positionH>
          <wp:positionV relativeFrom="paragraph">
            <wp:posOffset>-152400</wp:posOffset>
          </wp:positionV>
          <wp:extent cx="1714500" cy="238125"/>
          <wp:effectExtent l="0" t="0" r="0" b="0"/>
          <wp:wrapNone/>
          <wp:docPr id="21"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14:paraId="26E0DA14" w14:textId="18B026B6" w:rsidR="00055310" w:rsidRDefault="00055310">
    <w:pPr>
      <w:pStyle w:val="a3"/>
      <w:jc w:val="right"/>
      <w:rPr>
        <w:rFonts w:ascii="宋体" w:hAnsi="宋体"/>
      </w:rPr>
    </w:pPr>
    <w:r>
      <w:rPr>
        <w:rFonts w:ascii="宋体" w:hAnsi="宋体" w:hint="eastAsia"/>
      </w:rPr>
      <w:t>交银施罗德裕盈纯债债券型证券投资基金(更新)招募说明书(2023年第</w:t>
    </w:r>
    <w:r>
      <w:rPr>
        <w:rFonts w:ascii="宋体" w:hAnsi="宋体"/>
      </w:rPr>
      <w:t>2</w:t>
    </w:r>
    <w:r>
      <w:rPr>
        <w:rFonts w:ascii="宋体" w:hAnsi="宋体"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D73EE"/>
    <w:multiLevelType w:val="multilevel"/>
    <w:tmpl w:val="547D73EE"/>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738" w:hanging="454"/>
      </w:pPr>
      <w:rPr>
        <w:rFonts w:hint="eastAsia"/>
      </w:rPr>
    </w:lvl>
    <w:lvl w:ilvl="2">
      <w:start w:val="1"/>
      <w:numFmt w:val="decimal"/>
      <w:pStyle w:val="XBRLTitle3"/>
      <w:suff w:val="space"/>
      <w:lvlText w:val="%1.%2.%3"/>
      <w:lvlJc w:val="left"/>
      <w:pPr>
        <w:ind w:left="624" w:hanging="624"/>
      </w:p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trackRevisions/>
  <w:defaultTabStop w:val="720"/>
  <w:drawingGridHorizontalSpacing w:val="105"/>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C9"/>
    <w:rsid w:val="000002A2"/>
    <w:rsid w:val="00001EEA"/>
    <w:rsid w:val="00003EC9"/>
    <w:rsid w:val="0000560A"/>
    <w:rsid w:val="0001013B"/>
    <w:rsid w:val="0001266E"/>
    <w:rsid w:val="00026A29"/>
    <w:rsid w:val="00026D00"/>
    <w:rsid w:val="00027C73"/>
    <w:rsid w:val="000304E8"/>
    <w:rsid w:val="00030964"/>
    <w:rsid w:val="00030F3E"/>
    <w:rsid w:val="000368A2"/>
    <w:rsid w:val="00044AFD"/>
    <w:rsid w:val="00044E2C"/>
    <w:rsid w:val="000457B7"/>
    <w:rsid w:val="0004614E"/>
    <w:rsid w:val="00046212"/>
    <w:rsid w:val="000500B8"/>
    <w:rsid w:val="000506ED"/>
    <w:rsid w:val="000543D5"/>
    <w:rsid w:val="00055310"/>
    <w:rsid w:val="00055792"/>
    <w:rsid w:val="00055F52"/>
    <w:rsid w:val="00061C0D"/>
    <w:rsid w:val="0006212F"/>
    <w:rsid w:val="0006220F"/>
    <w:rsid w:val="000647B8"/>
    <w:rsid w:val="0006506B"/>
    <w:rsid w:val="0006551A"/>
    <w:rsid w:val="000700AC"/>
    <w:rsid w:val="000705A6"/>
    <w:rsid w:val="0007638A"/>
    <w:rsid w:val="00076B6E"/>
    <w:rsid w:val="000816EA"/>
    <w:rsid w:val="00081744"/>
    <w:rsid w:val="000828CE"/>
    <w:rsid w:val="000833CB"/>
    <w:rsid w:val="00083491"/>
    <w:rsid w:val="000836F5"/>
    <w:rsid w:val="00084078"/>
    <w:rsid w:val="000843B3"/>
    <w:rsid w:val="000869C2"/>
    <w:rsid w:val="00087F4C"/>
    <w:rsid w:val="00090648"/>
    <w:rsid w:val="00094253"/>
    <w:rsid w:val="000946F9"/>
    <w:rsid w:val="00095030"/>
    <w:rsid w:val="000A01A0"/>
    <w:rsid w:val="000A352B"/>
    <w:rsid w:val="000B0F8B"/>
    <w:rsid w:val="000B359E"/>
    <w:rsid w:val="000B3894"/>
    <w:rsid w:val="000B4E04"/>
    <w:rsid w:val="000C1E1E"/>
    <w:rsid w:val="000C38F1"/>
    <w:rsid w:val="000C3F42"/>
    <w:rsid w:val="000C5E77"/>
    <w:rsid w:val="000C68E9"/>
    <w:rsid w:val="000D0ADE"/>
    <w:rsid w:val="000D179E"/>
    <w:rsid w:val="000D66DC"/>
    <w:rsid w:val="000D6F1B"/>
    <w:rsid w:val="000E1AC4"/>
    <w:rsid w:val="000E1F3B"/>
    <w:rsid w:val="000E3AB4"/>
    <w:rsid w:val="000E7544"/>
    <w:rsid w:val="000F0C17"/>
    <w:rsid w:val="000F2904"/>
    <w:rsid w:val="000F34A1"/>
    <w:rsid w:val="000F5226"/>
    <w:rsid w:val="000F5583"/>
    <w:rsid w:val="000F6050"/>
    <w:rsid w:val="000F66FF"/>
    <w:rsid w:val="000F698D"/>
    <w:rsid w:val="000F7D42"/>
    <w:rsid w:val="001008A5"/>
    <w:rsid w:val="00100C86"/>
    <w:rsid w:val="0011339C"/>
    <w:rsid w:val="001135B0"/>
    <w:rsid w:val="00113FAA"/>
    <w:rsid w:val="00115AE5"/>
    <w:rsid w:val="00116489"/>
    <w:rsid w:val="0011648B"/>
    <w:rsid w:val="001166C1"/>
    <w:rsid w:val="00116874"/>
    <w:rsid w:val="001177A3"/>
    <w:rsid w:val="001240EB"/>
    <w:rsid w:val="0012443D"/>
    <w:rsid w:val="00127053"/>
    <w:rsid w:val="0013182D"/>
    <w:rsid w:val="00131CEE"/>
    <w:rsid w:val="0013315B"/>
    <w:rsid w:val="00134FCF"/>
    <w:rsid w:val="00135AD8"/>
    <w:rsid w:val="0013630D"/>
    <w:rsid w:val="001367F2"/>
    <w:rsid w:val="001412E8"/>
    <w:rsid w:val="0014250F"/>
    <w:rsid w:val="00144B52"/>
    <w:rsid w:val="00153D66"/>
    <w:rsid w:val="0015725E"/>
    <w:rsid w:val="00162F69"/>
    <w:rsid w:val="00164946"/>
    <w:rsid w:val="00165756"/>
    <w:rsid w:val="0017362C"/>
    <w:rsid w:val="0017392F"/>
    <w:rsid w:val="0018184C"/>
    <w:rsid w:val="0018198F"/>
    <w:rsid w:val="00181C62"/>
    <w:rsid w:val="00183642"/>
    <w:rsid w:val="001860C4"/>
    <w:rsid w:val="00186FAE"/>
    <w:rsid w:val="001917D4"/>
    <w:rsid w:val="001917FC"/>
    <w:rsid w:val="00191D7F"/>
    <w:rsid w:val="001925A2"/>
    <w:rsid w:val="00195218"/>
    <w:rsid w:val="00197A55"/>
    <w:rsid w:val="00197F7E"/>
    <w:rsid w:val="001A1623"/>
    <w:rsid w:val="001A2263"/>
    <w:rsid w:val="001B3954"/>
    <w:rsid w:val="001B4531"/>
    <w:rsid w:val="001B5BDB"/>
    <w:rsid w:val="001B75F9"/>
    <w:rsid w:val="001C2B9E"/>
    <w:rsid w:val="001C38DA"/>
    <w:rsid w:val="001C7A48"/>
    <w:rsid w:val="001C7C12"/>
    <w:rsid w:val="001D2797"/>
    <w:rsid w:val="001D2B67"/>
    <w:rsid w:val="001D3730"/>
    <w:rsid w:val="001D4727"/>
    <w:rsid w:val="001D5665"/>
    <w:rsid w:val="001D61DC"/>
    <w:rsid w:val="001D6377"/>
    <w:rsid w:val="001D68A8"/>
    <w:rsid w:val="001D6B88"/>
    <w:rsid w:val="001D6C5F"/>
    <w:rsid w:val="001D7ECC"/>
    <w:rsid w:val="001E144C"/>
    <w:rsid w:val="001E25FD"/>
    <w:rsid w:val="001E2A4F"/>
    <w:rsid w:val="001E3F8F"/>
    <w:rsid w:val="001E5250"/>
    <w:rsid w:val="001F33EB"/>
    <w:rsid w:val="001F4DEA"/>
    <w:rsid w:val="001F4ECB"/>
    <w:rsid w:val="001F7353"/>
    <w:rsid w:val="00201F27"/>
    <w:rsid w:val="00201F9B"/>
    <w:rsid w:val="00203597"/>
    <w:rsid w:val="002076AC"/>
    <w:rsid w:val="00212B27"/>
    <w:rsid w:val="00212BBA"/>
    <w:rsid w:val="00212D68"/>
    <w:rsid w:val="0021469C"/>
    <w:rsid w:val="00215523"/>
    <w:rsid w:val="00216962"/>
    <w:rsid w:val="00217CA4"/>
    <w:rsid w:val="00221112"/>
    <w:rsid w:val="00221A1B"/>
    <w:rsid w:val="002220A4"/>
    <w:rsid w:val="00223C19"/>
    <w:rsid w:val="00224421"/>
    <w:rsid w:val="00226503"/>
    <w:rsid w:val="00226A60"/>
    <w:rsid w:val="0023578C"/>
    <w:rsid w:val="00235AC5"/>
    <w:rsid w:val="002377E0"/>
    <w:rsid w:val="00240BB6"/>
    <w:rsid w:val="002432CA"/>
    <w:rsid w:val="00243D40"/>
    <w:rsid w:val="00245250"/>
    <w:rsid w:val="002477CB"/>
    <w:rsid w:val="00247BF6"/>
    <w:rsid w:val="00250A33"/>
    <w:rsid w:val="00251126"/>
    <w:rsid w:val="002524D2"/>
    <w:rsid w:val="00252802"/>
    <w:rsid w:val="00261A50"/>
    <w:rsid w:val="002634C3"/>
    <w:rsid w:val="00265B3A"/>
    <w:rsid w:val="00267176"/>
    <w:rsid w:val="0027052E"/>
    <w:rsid w:val="00271E9D"/>
    <w:rsid w:val="00271F7D"/>
    <w:rsid w:val="00274E85"/>
    <w:rsid w:val="002777F6"/>
    <w:rsid w:val="00277907"/>
    <w:rsid w:val="00277948"/>
    <w:rsid w:val="00280C42"/>
    <w:rsid w:val="00281B73"/>
    <w:rsid w:val="002833C9"/>
    <w:rsid w:val="00285E5C"/>
    <w:rsid w:val="00290B63"/>
    <w:rsid w:val="00290E73"/>
    <w:rsid w:val="00293415"/>
    <w:rsid w:val="00294689"/>
    <w:rsid w:val="0029539A"/>
    <w:rsid w:val="002A1A82"/>
    <w:rsid w:val="002A2FB0"/>
    <w:rsid w:val="002A4D32"/>
    <w:rsid w:val="002A5F87"/>
    <w:rsid w:val="002B017B"/>
    <w:rsid w:val="002B0DC0"/>
    <w:rsid w:val="002B2664"/>
    <w:rsid w:val="002B4E21"/>
    <w:rsid w:val="002B5000"/>
    <w:rsid w:val="002B78AA"/>
    <w:rsid w:val="002C01CC"/>
    <w:rsid w:val="002C383C"/>
    <w:rsid w:val="002C6F46"/>
    <w:rsid w:val="002C6FD5"/>
    <w:rsid w:val="002D15BB"/>
    <w:rsid w:val="002D1C13"/>
    <w:rsid w:val="002D3109"/>
    <w:rsid w:val="002D378C"/>
    <w:rsid w:val="002D6413"/>
    <w:rsid w:val="002D6F14"/>
    <w:rsid w:val="002D74D5"/>
    <w:rsid w:val="002E4922"/>
    <w:rsid w:val="002E4B2C"/>
    <w:rsid w:val="002E5261"/>
    <w:rsid w:val="002F00BB"/>
    <w:rsid w:val="002F1DE7"/>
    <w:rsid w:val="002F2627"/>
    <w:rsid w:val="002F2748"/>
    <w:rsid w:val="002F6445"/>
    <w:rsid w:val="002F6580"/>
    <w:rsid w:val="002F6DE8"/>
    <w:rsid w:val="002F74D8"/>
    <w:rsid w:val="002F7C72"/>
    <w:rsid w:val="002F7EDC"/>
    <w:rsid w:val="003003A8"/>
    <w:rsid w:val="0030091B"/>
    <w:rsid w:val="00301E62"/>
    <w:rsid w:val="00304063"/>
    <w:rsid w:val="0030555F"/>
    <w:rsid w:val="00305A3B"/>
    <w:rsid w:val="00305BB4"/>
    <w:rsid w:val="0030645F"/>
    <w:rsid w:val="003117B9"/>
    <w:rsid w:val="00311C71"/>
    <w:rsid w:val="00313073"/>
    <w:rsid w:val="0031336C"/>
    <w:rsid w:val="0031339F"/>
    <w:rsid w:val="00313F3E"/>
    <w:rsid w:val="00323F65"/>
    <w:rsid w:val="00326147"/>
    <w:rsid w:val="0033051E"/>
    <w:rsid w:val="0033401D"/>
    <w:rsid w:val="00334456"/>
    <w:rsid w:val="00336150"/>
    <w:rsid w:val="00336E99"/>
    <w:rsid w:val="00342417"/>
    <w:rsid w:val="003454EC"/>
    <w:rsid w:val="00346537"/>
    <w:rsid w:val="00347B94"/>
    <w:rsid w:val="00352681"/>
    <w:rsid w:val="003527DD"/>
    <w:rsid w:val="003547A2"/>
    <w:rsid w:val="00355171"/>
    <w:rsid w:val="003616A3"/>
    <w:rsid w:val="00362702"/>
    <w:rsid w:val="00362A37"/>
    <w:rsid w:val="00362CF0"/>
    <w:rsid w:val="00362D5D"/>
    <w:rsid w:val="00364AC5"/>
    <w:rsid w:val="00365D15"/>
    <w:rsid w:val="0036702F"/>
    <w:rsid w:val="00367F3A"/>
    <w:rsid w:val="00370BDF"/>
    <w:rsid w:val="00372FA2"/>
    <w:rsid w:val="003735E9"/>
    <w:rsid w:val="003739FE"/>
    <w:rsid w:val="003749D5"/>
    <w:rsid w:val="0038254F"/>
    <w:rsid w:val="003828EC"/>
    <w:rsid w:val="00383488"/>
    <w:rsid w:val="003843BB"/>
    <w:rsid w:val="003859DA"/>
    <w:rsid w:val="00386153"/>
    <w:rsid w:val="00386BA7"/>
    <w:rsid w:val="00390B48"/>
    <w:rsid w:val="0039213A"/>
    <w:rsid w:val="00393BF6"/>
    <w:rsid w:val="00395D4D"/>
    <w:rsid w:val="00396D64"/>
    <w:rsid w:val="00397A06"/>
    <w:rsid w:val="003A0FAF"/>
    <w:rsid w:val="003A38BD"/>
    <w:rsid w:val="003A38C8"/>
    <w:rsid w:val="003A6045"/>
    <w:rsid w:val="003A72D0"/>
    <w:rsid w:val="003B22FD"/>
    <w:rsid w:val="003B3004"/>
    <w:rsid w:val="003B3A47"/>
    <w:rsid w:val="003B4168"/>
    <w:rsid w:val="003B42FF"/>
    <w:rsid w:val="003B62D2"/>
    <w:rsid w:val="003B66A3"/>
    <w:rsid w:val="003C27F7"/>
    <w:rsid w:val="003C62C1"/>
    <w:rsid w:val="003C6FA4"/>
    <w:rsid w:val="003D0B3E"/>
    <w:rsid w:val="003D2352"/>
    <w:rsid w:val="003D3863"/>
    <w:rsid w:val="003D3D0A"/>
    <w:rsid w:val="003E0800"/>
    <w:rsid w:val="003E11BD"/>
    <w:rsid w:val="003E1584"/>
    <w:rsid w:val="003E33DE"/>
    <w:rsid w:val="003E3593"/>
    <w:rsid w:val="003E585F"/>
    <w:rsid w:val="003E6049"/>
    <w:rsid w:val="003E67F9"/>
    <w:rsid w:val="003F0D27"/>
    <w:rsid w:val="003F1C98"/>
    <w:rsid w:val="003F2D7F"/>
    <w:rsid w:val="003F317C"/>
    <w:rsid w:val="003F4813"/>
    <w:rsid w:val="003F70C8"/>
    <w:rsid w:val="004029E8"/>
    <w:rsid w:val="00406654"/>
    <w:rsid w:val="0041100B"/>
    <w:rsid w:val="004114F3"/>
    <w:rsid w:val="00412894"/>
    <w:rsid w:val="004130C3"/>
    <w:rsid w:val="00413E71"/>
    <w:rsid w:val="00421363"/>
    <w:rsid w:val="00421921"/>
    <w:rsid w:val="00422100"/>
    <w:rsid w:val="004254D3"/>
    <w:rsid w:val="0042746B"/>
    <w:rsid w:val="00433B69"/>
    <w:rsid w:val="004369AD"/>
    <w:rsid w:val="00436DD6"/>
    <w:rsid w:val="00444FB7"/>
    <w:rsid w:val="00450674"/>
    <w:rsid w:val="004533FE"/>
    <w:rsid w:val="00454715"/>
    <w:rsid w:val="00454D80"/>
    <w:rsid w:val="00456785"/>
    <w:rsid w:val="00462EB0"/>
    <w:rsid w:val="00463933"/>
    <w:rsid w:val="00464346"/>
    <w:rsid w:val="00470325"/>
    <w:rsid w:val="00470F42"/>
    <w:rsid w:val="00471605"/>
    <w:rsid w:val="0047297A"/>
    <w:rsid w:val="00474709"/>
    <w:rsid w:val="00480184"/>
    <w:rsid w:val="00480516"/>
    <w:rsid w:val="00480658"/>
    <w:rsid w:val="00480D3C"/>
    <w:rsid w:val="0048170B"/>
    <w:rsid w:val="00481BD4"/>
    <w:rsid w:val="00482AA2"/>
    <w:rsid w:val="0048579F"/>
    <w:rsid w:val="00487005"/>
    <w:rsid w:val="004901A7"/>
    <w:rsid w:val="004A084F"/>
    <w:rsid w:val="004A1FA1"/>
    <w:rsid w:val="004A3225"/>
    <w:rsid w:val="004A3F90"/>
    <w:rsid w:val="004A5F59"/>
    <w:rsid w:val="004A6F1F"/>
    <w:rsid w:val="004B17D8"/>
    <w:rsid w:val="004B2323"/>
    <w:rsid w:val="004B62C3"/>
    <w:rsid w:val="004C0BC8"/>
    <w:rsid w:val="004C1BD6"/>
    <w:rsid w:val="004C461A"/>
    <w:rsid w:val="004C7D23"/>
    <w:rsid w:val="004D0783"/>
    <w:rsid w:val="004D11CB"/>
    <w:rsid w:val="004D49E3"/>
    <w:rsid w:val="004D7163"/>
    <w:rsid w:val="004E0366"/>
    <w:rsid w:val="004E1C30"/>
    <w:rsid w:val="004E3342"/>
    <w:rsid w:val="004E45AC"/>
    <w:rsid w:val="004E4672"/>
    <w:rsid w:val="004E5593"/>
    <w:rsid w:val="004E7A1E"/>
    <w:rsid w:val="004E7F1A"/>
    <w:rsid w:val="004F0352"/>
    <w:rsid w:val="004F0740"/>
    <w:rsid w:val="004F415D"/>
    <w:rsid w:val="004F44A4"/>
    <w:rsid w:val="004F4980"/>
    <w:rsid w:val="004F66F4"/>
    <w:rsid w:val="004F7710"/>
    <w:rsid w:val="00502A45"/>
    <w:rsid w:val="0050542C"/>
    <w:rsid w:val="00512DC1"/>
    <w:rsid w:val="00514C6B"/>
    <w:rsid w:val="005161EC"/>
    <w:rsid w:val="0051709F"/>
    <w:rsid w:val="005175EB"/>
    <w:rsid w:val="00521A18"/>
    <w:rsid w:val="00522079"/>
    <w:rsid w:val="00522622"/>
    <w:rsid w:val="0052450E"/>
    <w:rsid w:val="00525410"/>
    <w:rsid w:val="00530703"/>
    <w:rsid w:val="00530763"/>
    <w:rsid w:val="00534EFD"/>
    <w:rsid w:val="005362F2"/>
    <w:rsid w:val="00540CA2"/>
    <w:rsid w:val="00542AF7"/>
    <w:rsid w:val="00543B42"/>
    <w:rsid w:val="0054651A"/>
    <w:rsid w:val="00546EA9"/>
    <w:rsid w:val="005474CD"/>
    <w:rsid w:val="005501B7"/>
    <w:rsid w:val="0055152E"/>
    <w:rsid w:val="00552094"/>
    <w:rsid w:val="00553D73"/>
    <w:rsid w:val="00554BAF"/>
    <w:rsid w:val="00555A15"/>
    <w:rsid w:val="00556291"/>
    <w:rsid w:val="005569E4"/>
    <w:rsid w:val="00560E11"/>
    <w:rsid w:val="00561147"/>
    <w:rsid w:val="00561463"/>
    <w:rsid w:val="00561F8F"/>
    <w:rsid w:val="00563A0E"/>
    <w:rsid w:val="005647D0"/>
    <w:rsid w:val="00570FDA"/>
    <w:rsid w:val="00574C59"/>
    <w:rsid w:val="00576CE2"/>
    <w:rsid w:val="005770AC"/>
    <w:rsid w:val="00577C1A"/>
    <w:rsid w:val="00577FAA"/>
    <w:rsid w:val="0058041D"/>
    <w:rsid w:val="005826AA"/>
    <w:rsid w:val="00583CE7"/>
    <w:rsid w:val="005856E9"/>
    <w:rsid w:val="005867BB"/>
    <w:rsid w:val="00587452"/>
    <w:rsid w:val="00591BF7"/>
    <w:rsid w:val="00591C2A"/>
    <w:rsid w:val="00592461"/>
    <w:rsid w:val="00592539"/>
    <w:rsid w:val="00593AC9"/>
    <w:rsid w:val="00596A05"/>
    <w:rsid w:val="00596D6D"/>
    <w:rsid w:val="00597284"/>
    <w:rsid w:val="00597F8F"/>
    <w:rsid w:val="005A1EA2"/>
    <w:rsid w:val="005A2467"/>
    <w:rsid w:val="005A5858"/>
    <w:rsid w:val="005A6E51"/>
    <w:rsid w:val="005A7C7F"/>
    <w:rsid w:val="005A7D88"/>
    <w:rsid w:val="005B130C"/>
    <w:rsid w:val="005B14FF"/>
    <w:rsid w:val="005B3B71"/>
    <w:rsid w:val="005B4B1B"/>
    <w:rsid w:val="005B4F0F"/>
    <w:rsid w:val="005B58F0"/>
    <w:rsid w:val="005C0E62"/>
    <w:rsid w:val="005C0F5B"/>
    <w:rsid w:val="005C2E15"/>
    <w:rsid w:val="005C403B"/>
    <w:rsid w:val="005C63CB"/>
    <w:rsid w:val="005D0AA6"/>
    <w:rsid w:val="005D0F3E"/>
    <w:rsid w:val="005D165F"/>
    <w:rsid w:val="005D21F3"/>
    <w:rsid w:val="005D3CF8"/>
    <w:rsid w:val="005D5D89"/>
    <w:rsid w:val="005E0D2D"/>
    <w:rsid w:val="005E3FB6"/>
    <w:rsid w:val="005F4583"/>
    <w:rsid w:val="005F4ABB"/>
    <w:rsid w:val="005F6066"/>
    <w:rsid w:val="005F6562"/>
    <w:rsid w:val="005F6C6D"/>
    <w:rsid w:val="005F6F09"/>
    <w:rsid w:val="005F787A"/>
    <w:rsid w:val="006019C7"/>
    <w:rsid w:val="00601E7B"/>
    <w:rsid w:val="00601EBC"/>
    <w:rsid w:val="00602D32"/>
    <w:rsid w:val="00603A84"/>
    <w:rsid w:val="006067DC"/>
    <w:rsid w:val="00610629"/>
    <w:rsid w:val="00611BCD"/>
    <w:rsid w:val="0061258D"/>
    <w:rsid w:val="006142EC"/>
    <w:rsid w:val="006155A5"/>
    <w:rsid w:val="006174EC"/>
    <w:rsid w:val="00617824"/>
    <w:rsid w:val="00624214"/>
    <w:rsid w:val="00625419"/>
    <w:rsid w:val="00626D1A"/>
    <w:rsid w:val="00627429"/>
    <w:rsid w:val="0063089C"/>
    <w:rsid w:val="00632A91"/>
    <w:rsid w:val="006345E8"/>
    <w:rsid w:val="0063765C"/>
    <w:rsid w:val="006403CB"/>
    <w:rsid w:val="006410B0"/>
    <w:rsid w:val="0064139F"/>
    <w:rsid w:val="00641404"/>
    <w:rsid w:val="00641EDA"/>
    <w:rsid w:val="00642B97"/>
    <w:rsid w:val="00643680"/>
    <w:rsid w:val="00644453"/>
    <w:rsid w:val="00644B32"/>
    <w:rsid w:val="0064639A"/>
    <w:rsid w:val="0064646F"/>
    <w:rsid w:val="00646523"/>
    <w:rsid w:val="00647BDD"/>
    <w:rsid w:val="0065273C"/>
    <w:rsid w:val="00656A74"/>
    <w:rsid w:val="00657221"/>
    <w:rsid w:val="00661FC1"/>
    <w:rsid w:val="00663FED"/>
    <w:rsid w:val="00664B64"/>
    <w:rsid w:val="006678E3"/>
    <w:rsid w:val="00667A9C"/>
    <w:rsid w:val="006712E8"/>
    <w:rsid w:val="00677DA7"/>
    <w:rsid w:val="00680212"/>
    <w:rsid w:val="00680C90"/>
    <w:rsid w:val="00681036"/>
    <w:rsid w:val="006823AD"/>
    <w:rsid w:val="00682C29"/>
    <w:rsid w:val="00685872"/>
    <w:rsid w:val="00685AD7"/>
    <w:rsid w:val="00691963"/>
    <w:rsid w:val="00692124"/>
    <w:rsid w:val="00692D96"/>
    <w:rsid w:val="00693C96"/>
    <w:rsid w:val="00696339"/>
    <w:rsid w:val="00696982"/>
    <w:rsid w:val="006A3F85"/>
    <w:rsid w:val="006A48FA"/>
    <w:rsid w:val="006A56F1"/>
    <w:rsid w:val="006A6E5C"/>
    <w:rsid w:val="006B0972"/>
    <w:rsid w:val="006B3153"/>
    <w:rsid w:val="006B4B86"/>
    <w:rsid w:val="006B5871"/>
    <w:rsid w:val="006B6BB1"/>
    <w:rsid w:val="006B7212"/>
    <w:rsid w:val="006C14C3"/>
    <w:rsid w:val="006C4B6F"/>
    <w:rsid w:val="006C589D"/>
    <w:rsid w:val="006C769C"/>
    <w:rsid w:val="006C7A95"/>
    <w:rsid w:val="006D11E8"/>
    <w:rsid w:val="006D4B0E"/>
    <w:rsid w:val="006D753C"/>
    <w:rsid w:val="006E0A00"/>
    <w:rsid w:val="006E306D"/>
    <w:rsid w:val="006E4BEC"/>
    <w:rsid w:val="006E6968"/>
    <w:rsid w:val="006F04C6"/>
    <w:rsid w:val="006F08A0"/>
    <w:rsid w:val="006F2A97"/>
    <w:rsid w:val="006F7AD7"/>
    <w:rsid w:val="00702627"/>
    <w:rsid w:val="0070359F"/>
    <w:rsid w:val="0070464C"/>
    <w:rsid w:val="00705383"/>
    <w:rsid w:val="00705474"/>
    <w:rsid w:val="00705B46"/>
    <w:rsid w:val="007076B2"/>
    <w:rsid w:val="00711BBB"/>
    <w:rsid w:val="0071340A"/>
    <w:rsid w:val="00713FC7"/>
    <w:rsid w:val="00716FD1"/>
    <w:rsid w:val="00720D0F"/>
    <w:rsid w:val="007218A9"/>
    <w:rsid w:val="0072241C"/>
    <w:rsid w:val="007245A5"/>
    <w:rsid w:val="00726326"/>
    <w:rsid w:val="00731628"/>
    <w:rsid w:val="00734108"/>
    <w:rsid w:val="007343AD"/>
    <w:rsid w:val="0073448D"/>
    <w:rsid w:val="00735087"/>
    <w:rsid w:val="007365EF"/>
    <w:rsid w:val="00736FA0"/>
    <w:rsid w:val="0074053E"/>
    <w:rsid w:val="00742CB2"/>
    <w:rsid w:val="0075000E"/>
    <w:rsid w:val="00752156"/>
    <w:rsid w:val="00753A7A"/>
    <w:rsid w:val="00756E77"/>
    <w:rsid w:val="007577C2"/>
    <w:rsid w:val="0076038F"/>
    <w:rsid w:val="00760D77"/>
    <w:rsid w:val="007617E5"/>
    <w:rsid w:val="0077124E"/>
    <w:rsid w:val="00772FA7"/>
    <w:rsid w:val="0077578C"/>
    <w:rsid w:val="00781ACA"/>
    <w:rsid w:val="007823CF"/>
    <w:rsid w:val="00783E35"/>
    <w:rsid w:val="00784F67"/>
    <w:rsid w:val="00786754"/>
    <w:rsid w:val="00786D49"/>
    <w:rsid w:val="00787061"/>
    <w:rsid w:val="00790F0A"/>
    <w:rsid w:val="00790F5E"/>
    <w:rsid w:val="007927A6"/>
    <w:rsid w:val="00797F6E"/>
    <w:rsid w:val="007A0008"/>
    <w:rsid w:val="007A1F4C"/>
    <w:rsid w:val="007A53F8"/>
    <w:rsid w:val="007B05BD"/>
    <w:rsid w:val="007B31A5"/>
    <w:rsid w:val="007B3327"/>
    <w:rsid w:val="007B3533"/>
    <w:rsid w:val="007B4996"/>
    <w:rsid w:val="007B6926"/>
    <w:rsid w:val="007B6FA3"/>
    <w:rsid w:val="007B705D"/>
    <w:rsid w:val="007C1010"/>
    <w:rsid w:val="007C5764"/>
    <w:rsid w:val="007C61D0"/>
    <w:rsid w:val="007C6FAA"/>
    <w:rsid w:val="007C768F"/>
    <w:rsid w:val="007D251F"/>
    <w:rsid w:val="007D4FA2"/>
    <w:rsid w:val="007E0874"/>
    <w:rsid w:val="007E0FAD"/>
    <w:rsid w:val="007E60E9"/>
    <w:rsid w:val="007E63F3"/>
    <w:rsid w:val="007E6F5A"/>
    <w:rsid w:val="007F0916"/>
    <w:rsid w:val="007F1E7D"/>
    <w:rsid w:val="007F2A79"/>
    <w:rsid w:val="007F3026"/>
    <w:rsid w:val="007F42DD"/>
    <w:rsid w:val="007F4E0F"/>
    <w:rsid w:val="007F77CA"/>
    <w:rsid w:val="008011ED"/>
    <w:rsid w:val="00801636"/>
    <w:rsid w:val="00803935"/>
    <w:rsid w:val="008045D0"/>
    <w:rsid w:val="008059B8"/>
    <w:rsid w:val="00810333"/>
    <w:rsid w:val="0081415C"/>
    <w:rsid w:val="0081590D"/>
    <w:rsid w:val="00815E57"/>
    <w:rsid w:val="008166F5"/>
    <w:rsid w:val="0081677E"/>
    <w:rsid w:val="00816F9B"/>
    <w:rsid w:val="00817467"/>
    <w:rsid w:val="0082043E"/>
    <w:rsid w:val="00822905"/>
    <w:rsid w:val="0082299E"/>
    <w:rsid w:val="00827CD1"/>
    <w:rsid w:val="00832164"/>
    <w:rsid w:val="00832F53"/>
    <w:rsid w:val="00833631"/>
    <w:rsid w:val="00834003"/>
    <w:rsid w:val="0083455F"/>
    <w:rsid w:val="00834EA0"/>
    <w:rsid w:val="00843042"/>
    <w:rsid w:val="00843C37"/>
    <w:rsid w:val="00844886"/>
    <w:rsid w:val="00844C2D"/>
    <w:rsid w:val="00846D68"/>
    <w:rsid w:val="008518E5"/>
    <w:rsid w:val="00852B15"/>
    <w:rsid w:val="00855BA2"/>
    <w:rsid w:val="00856135"/>
    <w:rsid w:val="00857A96"/>
    <w:rsid w:val="00861FE5"/>
    <w:rsid w:val="0086376D"/>
    <w:rsid w:val="008703C2"/>
    <w:rsid w:val="0087209F"/>
    <w:rsid w:val="008806CC"/>
    <w:rsid w:val="008818E2"/>
    <w:rsid w:val="008849E6"/>
    <w:rsid w:val="0088513E"/>
    <w:rsid w:val="00886300"/>
    <w:rsid w:val="0089099F"/>
    <w:rsid w:val="00890AAF"/>
    <w:rsid w:val="00892F7A"/>
    <w:rsid w:val="00894CEB"/>
    <w:rsid w:val="00896A62"/>
    <w:rsid w:val="00897B88"/>
    <w:rsid w:val="008A113D"/>
    <w:rsid w:val="008A678B"/>
    <w:rsid w:val="008B0034"/>
    <w:rsid w:val="008B0702"/>
    <w:rsid w:val="008B185B"/>
    <w:rsid w:val="008B2397"/>
    <w:rsid w:val="008B33B5"/>
    <w:rsid w:val="008B3CD6"/>
    <w:rsid w:val="008B6003"/>
    <w:rsid w:val="008B691D"/>
    <w:rsid w:val="008C17DA"/>
    <w:rsid w:val="008C4D11"/>
    <w:rsid w:val="008D54FA"/>
    <w:rsid w:val="008D5C05"/>
    <w:rsid w:val="008D6490"/>
    <w:rsid w:val="008D6FFD"/>
    <w:rsid w:val="008E1191"/>
    <w:rsid w:val="008E1618"/>
    <w:rsid w:val="008E342E"/>
    <w:rsid w:val="008E4D9C"/>
    <w:rsid w:val="008E566D"/>
    <w:rsid w:val="008E588C"/>
    <w:rsid w:val="008F52D9"/>
    <w:rsid w:val="008F6BC6"/>
    <w:rsid w:val="00902B4C"/>
    <w:rsid w:val="00903FC5"/>
    <w:rsid w:val="0090403F"/>
    <w:rsid w:val="0090507A"/>
    <w:rsid w:val="009071FF"/>
    <w:rsid w:val="009108DB"/>
    <w:rsid w:val="009112EB"/>
    <w:rsid w:val="00913191"/>
    <w:rsid w:val="009131F2"/>
    <w:rsid w:val="00916431"/>
    <w:rsid w:val="00917DBE"/>
    <w:rsid w:val="0092605A"/>
    <w:rsid w:val="0092689A"/>
    <w:rsid w:val="0093228E"/>
    <w:rsid w:val="009325E1"/>
    <w:rsid w:val="00933602"/>
    <w:rsid w:val="009338B2"/>
    <w:rsid w:val="0093405C"/>
    <w:rsid w:val="009351EF"/>
    <w:rsid w:val="0093698F"/>
    <w:rsid w:val="00940914"/>
    <w:rsid w:val="009409E8"/>
    <w:rsid w:val="00942250"/>
    <w:rsid w:val="00942706"/>
    <w:rsid w:val="00942E51"/>
    <w:rsid w:val="00946A6A"/>
    <w:rsid w:val="00947EB7"/>
    <w:rsid w:val="0095056B"/>
    <w:rsid w:val="00951FC3"/>
    <w:rsid w:val="009520BD"/>
    <w:rsid w:val="00952B29"/>
    <w:rsid w:val="00953DBA"/>
    <w:rsid w:val="00954137"/>
    <w:rsid w:val="00955882"/>
    <w:rsid w:val="00955ABF"/>
    <w:rsid w:val="00956F74"/>
    <w:rsid w:val="00956F84"/>
    <w:rsid w:val="009575A0"/>
    <w:rsid w:val="00957C6C"/>
    <w:rsid w:val="00960AA2"/>
    <w:rsid w:val="009649DC"/>
    <w:rsid w:val="00966EB2"/>
    <w:rsid w:val="00970C67"/>
    <w:rsid w:val="00974456"/>
    <w:rsid w:val="00991483"/>
    <w:rsid w:val="0099296D"/>
    <w:rsid w:val="009935AA"/>
    <w:rsid w:val="00993F94"/>
    <w:rsid w:val="009951B2"/>
    <w:rsid w:val="009A039C"/>
    <w:rsid w:val="009A2859"/>
    <w:rsid w:val="009A4E90"/>
    <w:rsid w:val="009A50B8"/>
    <w:rsid w:val="009A737B"/>
    <w:rsid w:val="009B1823"/>
    <w:rsid w:val="009B406F"/>
    <w:rsid w:val="009B443A"/>
    <w:rsid w:val="009B4D09"/>
    <w:rsid w:val="009B6DD1"/>
    <w:rsid w:val="009C1332"/>
    <w:rsid w:val="009C4A4F"/>
    <w:rsid w:val="009C6D34"/>
    <w:rsid w:val="009D2E97"/>
    <w:rsid w:val="009D328E"/>
    <w:rsid w:val="009D3438"/>
    <w:rsid w:val="009D3B88"/>
    <w:rsid w:val="009D40B6"/>
    <w:rsid w:val="009D4D3A"/>
    <w:rsid w:val="009D7AD4"/>
    <w:rsid w:val="009E1231"/>
    <w:rsid w:val="009E1A57"/>
    <w:rsid w:val="009E36CA"/>
    <w:rsid w:val="009E4B6B"/>
    <w:rsid w:val="009E6470"/>
    <w:rsid w:val="009E7175"/>
    <w:rsid w:val="009F08CB"/>
    <w:rsid w:val="009F1E5E"/>
    <w:rsid w:val="009F2A1E"/>
    <w:rsid w:val="009F497B"/>
    <w:rsid w:val="009F5331"/>
    <w:rsid w:val="009F6453"/>
    <w:rsid w:val="009F6AD6"/>
    <w:rsid w:val="009F6F30"/>
    <w:rsid w:val="009F7BFB"/>
    <w:rsid w:val="00A0081F"/>
    <w:rsid w:val="00A01B61"/>
    <w:rsid w:val="00A03BCB"/>
    <w:rsid w:val="00A048F3"/>
    <w:rsid w:val="00A04CA6"/>
    <w:rsid w:val="00A052DD"/>
    <w:rsid w:val="00A06E6F"/>
    <w:rsid w:val="00A12A49"/>
    <w:rsid w:val="00A135C4"/>
    <w:rsid w:val="00A13CB5"/>
    <w:rsid w:val="00A13FEC"/>
    <w:rsid w:val="00A147B3"/>
    <w:rsid w:val="00A200C3"/>
    <w:rsid w:val="00A21103"/>
    <w:rsid w:val="00A218A4"/>
    <w:rsid w:val="00A21E3C"/>
    <w:rsid w:val="00A23419"/>
    <w:rsid w:val="00A24BBD"/>
    <w:rsid w:val="00A26D62"/>
    <w:rsid w:val="00A27D2E"/>
    <w:rsid w:val="00A30D78"/>
    <w:rsid w:val="00A31032"/>
    <w:rsid w:val="00A31CCF"/>
    <w:rsid w:val="00A32598"/>
    <w:rsid w:val="00A33EF8"/>
    <w:rsid w:val="00A3432E"/>
    <w:rsid w:val="00A37397"/>
    <w:rsid w:val="00A40DFB"/>
    <w:rsid w:val="00A435BF"/>
    <w:rsid w:val="00A448B0"/>
    <w:rsid w:val="00A46981"/>
    <w:rsid w:val="00A5210B"/>
    <w:rsid w:val="00A524EC"/>
    <w:rsid w:val="00A52F4A"/>
    <w:rsid w:val="00A531D6"/>
    <w:rsid w:val="00A54346"/>
    <w:rsid w:val="00A55211"/>
    <w:rsid w:val="00A569C9"/>
    <w:rsid w:val="00A57E0C"/>
    <w:rsid w:val="00A6039D"/>
    <w:rsid w:val="00A631B5"/>
    <w:rsid w:val="00A63351"/>
    <w:rsid w:val="00A6487D"/>
    <w:rsid w:val="00A65DF5"/>
    <w:rsid w:val="00A66D3E"/>
    <w:rsid w:val="00A676CE"/>
    <w:rsid w:val="00A7001C"/>
    <w:rsid w:val="00A70A43"/>
    <w:rsid w:val="00A75807"/>
    <w:rsid w:val="00A77913"/>
    <w:rsid w:val="00A8209D"/>
    <w:rsid w:val="00A82740"/>
    <w:rsid w:val="00A860C9"/>
    <w:rsid w:val="00A9137F"/>
    <w:rsid w:val="00A9483B"/>
    <w:rsid w:val="00A94F2C"/>
    <w:rsid w:val="00A972E1"/>
    <w:rsid w:val="00AA3F8C"/>
    <w:rsid w:val="00AA6E6B"/>
    <w:rsid w:val="00AB3052"/>
    <w:rsid w:val="00AB4248"/>
    <w:rsid w:val="00AB4520"/>
    <w:rsid w:val="00AB572D"/>
    <w:rsid w:val="00AB5A86"/>
    <w:rsid w:val="00AB6170"/>
    <w:rsid w:val="00AB707C"/>
    <w:rsid w:val="00AC0B37"/>
    <w:rsid w:val="00AC2185"/>
    <w:rsid w:val="00AC3068"/>
    <w:rsid w:val="00AC3C48"/>
    <w:rsid w:val="00AC4067"/>
    <w:rsid w:val="00AC53DF"/>
    <w:rsid w:val="00AC54F8"/>
    <w:rsid w:val="00AC692A"/>
    <w:rsid w:val="00AD0F08"/>
    <w:rsid w:val="00AD1585"/>
    <w:rsid w:val="00AD1747"/>
    <w:rsid w:val="00AD235B"/>
    <w:rsid w:val="00AD332E"/>
    <w:rsid w:val="00AD560B"/>
    <w:rsid w:val="00AD5BBB"/>
    <w:rsid w:val="00AE02B5"/>
    <w:rsid w:val="00AE0494"/>
    <w:rsid w:val="00AE0B28"/>
    <w:rsid w:val="00AE0C8D"/>
    <w:rsid w:val="00AE0D50"/>
    <w:rsid w:val="00AE1947"/>
    <w:rsid w:val="00AE242E"/>
    <w:rsid w:val="00AE2D8E"/>
    <w:rsid w:val="00AE4C9F"/>
    <w:rsid w:val="00AE7A40"/>
    <w:rsid w:val="00AE7EF9"/>
    <w:rsid w:val="00AF4A88"/>
    <w:rsid w:val="00AF60FC"/>
    <w:rsid w:val="00AF619D"/>
    <w:rsid w:val="00AF76DD"/>
    <w:rsid w:val="00B0121D"/>
    <w:rsid w:val="00B01A75"/>
    <w:rsid w:val="00B02D39"/>
    <w:rsid w:val="00B03711"/>
    <w:rsid w:val="00B03B6B"/>
    <w:rsid w:val="00B04CC3"/>
    <w:rsid w:val="00B17DE2"/>
    <w:rsid w:val="00B2096A"/>
    <w:rsid w:val="00B20E8D"/>
    <w:rsid w:val="00B31484"/>
    <w:rsid w:val="00B32541"/>
    <w:rsid w:val="00B3267F"/>
    <w:rsid w:val="00B35F87"/>
    <w:rsid w:val="00B379DA"/>
    <w:rsid w:val="00B37A67"/>
    <w:rsid w:val="00B41203"/>
    <w:rsid w:val="00B41500"/>
    <w:rsid w:val="00B43131"/>
    <w:rsid w:val="00B5297F"/>
    <w:rsid w:val="00B52E16"/>
    <w:rsid w:val="00B53812"/>
    <w:rsid w:val="00B53C36"/>
    <w:rsid w:val="00B5565B"/>
    <w:rsid w:val="00B57D2B"/>
    <w:rsid w:val="00B623DA"/>
    <w:rsid w:val="00B62736"/>
    <w:rsid w:val="00B62A71"/>
    <w:rsid w:val="00B62EF9"/>
    <w:rsid w:val="00B630C6"/>
    <w:rsid w:val="00B65DC0"/>
    <w:rsid w:val="00B67C2D"/>
    <w:rsid w:val="00B70D91"/>
    <w:rsid w:val="00B72FA0"/>
    <w:rsid w:val="00B73209"/>
    <w:rsid w:val="00B7708B"/>
    <w:rsid w:val="00B7721B"/>
    <w:rsid w:val="00B80E25"/>
    <w:rsid w:val="00B8347E"/>
    <w:rsid w:val="00B83DBC"/>
    <w:rsid w:val="00B84B4A"/>
    <w:rsid w:val="00B8589C"/>
    <w:rsid w:val="00B86BAC"/>
    <w:rsid w:val="00B97B35"/>
    <w:rsid w:val="00BA3196"/>
    <w:rsid w:val="00BA3509"/>
    <w:rsid w:val="00BA5877"/>
    <w:rsid w:val="00BB124C"/>
    <w:rsid w:val="00BB17E3"/>
    <w:rsid w:val="00BB1CDB"/>
    <w:rsid w:val="00BB2110"/>
    <w:rsid w:val="00BB3645"/>
    <w:rsid w:val="00BB4A60"/>
    <w:rsid w:val="00BB547E"/>
    <w:rsid w:val="00BB69B7"/>
    <w:rsid w:val="00BC2581"/>
    <w:rsid w:val="00BC3F55"/>
    <w:rsid w:val="00BC481A"/>
    <w:rsid w:val="00BC4D26"/>
    <w:rsid w:val="00BC555D"/>
    <w:rsid w:val="00BC658E"/>
    <w:rsid w:val="00BD0218"/>
    <w:rsid w:val="00BD1869"/>
    <w:rsid w:val="00BD200B"/>
    <w:rsid w:val="00BD63DF"/>
    <w:rsid w:val="00BD64D4"/>
    <w:rsid w:val="00BD7C4B"/>
    <w:rsid w:val="00BE33E8"/>
    <w:rsid w:val="00BE6EDA"/>
    <w:rsid w:val="00BF2BEB"/>
    <w:rsid w:val="00BF3197"/>
    <w:rsid w:val="00BF5E23"/>
    <w:rsid w:val="00BF6AD1"/>
    <w:rsid w:val="00C0019B"/>
    <w:rsid w:val="00C01DB8"/>
    <w:rsid w:val="00C0300F"/>
    <w:rsid w:val="00C04C13"/>
    <w:rsid w:val="00C0523E"/>
    <w:rsid w:val="00C06C3C"/>
    <w:rsid w:val="00C0751C"/>
    <w:rsid w:val="00C07D81"/>
    <w:rsid w:val="00C07F14"/>
    <w:rsid w:val="00C11B64"/>
    <w:rsid w:val="00C1218B"/>
    <w:rsid w:val="00C12B6B"/>
    <w:rsid w:val="00C135F1"/>
    <w:rsid w:val="00C140D0"/>
    <w:rsid w:val="00C14775"/>
    <w:rsid w:val="00C150A5"/>
    <w:rsid w:val="00C22B21"/>
    <w:rsid w:val="00C2332E"/>
    <w:rsid w:val="00C23593"/>
    <w:rsid w:val="00C23845"/>
    <w:rsid w:val="00C30DA2"/>
    <w:rsid w:val="00C31846"/>
    <w:rsid w:val="00C32A33"/>
    <w:rsid w:val="00C367FB"/>
    <w:rsid w:val="00C41389"/>
    <w:rsid w:val="00C41BB7"/>
    <w:rsid w:val="00C42279"/>
    <w:rsid w:val="00C42379"/>
    <w:rsid w:val="00C44004"/>
    <w:rsid w:val="00C445F4"/>
    <w:rsid w:val="00C54DF3"/>
    <w:rsid w:val="00C610B6"/>
    <w:rsid w:val="00C6257F"/>
    <w:rsid w:val="00C63117"/>
    <w:rsid w:val="00C640C7"/>
    <w:rsid w:val="00C65784"/>
    <w:rsid w:val="00C67BDD"/>
    <w:rsid w:val="00C70F24"/>
    <w:rsid w:val="00C717F6"/>
    <w:rsid w:val="00C72FD7"/>
    <w:rsid w:val="00C8155C"/>
    <w:rsid w:val="00C86C88"/>
    <w:rsid w:val="00C907F0"/>
    <w:rsid w:val="00C93A91"/>
    <w:rsid w:val="00C95601"/>
    <w:rsid w:val="00CA1947"/>
    <w:rsid w:val="00CA1C91"/>
    <w:rsid w:val="00CA323D"/>
    <w:rsid w:val="00CA54A0"/>
    <w:rsid w:val="00CB5515"/>
    <w:rsid w:val="00CB76EF"/>
    <w:rsid w:val="00CB7840"/>
    <w:rsid w:val="00CC0E24"/>
    <w:rsid w:val="00CC2390"/>
    <w:rsid w:val="00CC34E2"/>
    <w:rsid w:val="00CC4A5C"/>
    <w:rsid w:val="00CC5BB7"/>
    <w:rsid w:val="00CC5F62"/>
    <w:rsid w:val="00CC69B4"/>
    <w:rsid w:val="00CC6D17"/>
    <w:rsid w:val="00CC7102"/>
    <w:rsid w:val="00CC7CF3"/>
    <w:rsid w:val="00CD1E85"/>
    <w:rsid w:val="00CD3AEA"/>
    <w:rsid w:val="00CD3C32"/>
    <w:rsid w:val="00CD4235"/>
    <w:rsid w:val="00CD56D7"/>
    <w:rsid w:val="00CD57FC"/>
    <w:rsid w:val="00CD632A"/>
    <w:rsid w:val="00CD6DC0"/>
    <w:rsid w:val="00CE0B6D"/>
    <w:rsid w:val="00CE127E"/>
    <w:rsid w:val="00CE1C10"/>
    <w:rsid w:val="00CE217C"/>
    <w:rsid w:val="00CE2573"/>
    <w:rsid w:val="00CE4AE9"/>
    <w:rsid w:val="00CF41D0"/>
    <w:rsid w:val="00D00CF9"/>
    <w:rsid w:val="00D00EE4"/>
    <w:rsid w:val="00D012FF"/>
    <w:rsid w:val="00D04CD8"/>
    <w:rsid w:val="00D04DEC"/>
    <w:rsid w:val="00D114ED"/>
    <w:rsid w:val="00D1261E"/>
    <w:rsid w:val="00D12FD3"/>
    <w:rsid w:val="00D13F32"/>
    <w:rsid w:val="00D14B5E"/>
    <w:rsid w:val="00D1685E"/>
    <w:rsid w:val="00D171BA"/>
    <w:rsid w:val="00D25B74"/>
    <w:rsid w:val="00D25CA1"/>
    <w:rsid w:val="00D31474"/>
    <w:rsid w:val="00D32933"/>
    <w:rsid w:val="00D3579F"/>
    <w:rsid w:val="00D36B62"/>
    <w:rsid w:val="00D37BF5"/>
    <w:rsid w:val="00D421A7"/>
    <w:rsid w:val="00D42987"/>
    <w:rsid w:val="00D42C18"/>
    <w:rsid w:val="00D43F5E"/>
    <w:rsid w:val="00D44623"/>
    <w:rsid w:val="00D47CF6"/>
    <w:rsid w:val="00D50820"/>
    <w:rsid w:val="00D511C3"/>
    <w:rsid w:val="00D5481D"/>
    <w:rsid w:val="00D55B2D"/>
    <w:rsid w:val="00D60045"/>
    <w:rsid w:val="00D628AE"/>
    <w:rsid w:val="00D647C9"/>
    <w:rsid w:val="00D6632B"/>
    <w:rsid w:val="00D67995"/>
    <w:rsid w:val="00D7163F"/>
    <w:rsid w:val="00D7298C"/>
    <w:rsid w:val="00D73998"/>
    <w:rsid w:val="00D76FD9"/>
    <w:rsid w:val="00D800BD"/>
    <w:rsid w:val="00D816C8"/>
    <w:rsid w:val="00D81BC5"/>
    <w:rsid w:val="00D827CE"/>
    <w:rsid w:val="00D84DEB"/>
    <w:rsid w:val="00D877A6"/>
    <w:rsid w:val="00D904D9"/>
    <w:rsid w:val="00D93D5A"/>
    <w:rsid w:val="00D946F0"/>
    <w:rsid w:val="00D95156"/>
    <w:rsid w:val="00D95BD9"/>
    <w:rsid w:val="00D95DC3"/>
    <w:rsid w:val="00D96A46"/>
    <w:rsid w:val="00D96A67"/>
    <w:rsid w:val="00DA12D5"/>
    <w:rsid w:val="00DA3326"/>
    <w:rsid w:val="00DA3644"/>
    <w:rsid w:val="00DA3FCB"/>
    <w:rsid w:val="00DA630F"/>
    <w:rsid w:val="00DA6A38"/>
    <w:rsid w:val="00DA6B30"/>
    <w:rsid w:val="00DA7040"/>
    <w:rsid w:val="00DB07B5"/>
    <w:rsid w:val="00DB07F9"/>
    <w:rsid w:val="00DB3CAF"/>
    <w:rsid w:val="00DB4966"/>
    <w:rsid w:val="00DB4989"/>
    <w:rsid w:val="00DC1386"/>
    <w:rsid w:val="00DC7A46"/>
    <w:rsid w:val="00DD0F54"/>
    <w:rsid w:val="00DD4F7A"/>
    <w:rsid w:val="00DD5050"/>
    <w:rsid w:val="00DD5306"/>
    <w:rsid w:val="00DD5903"/>
    <w:rsid w:val="00DD5E1E"/>
    <w:rsid w:val="00DD6A3E"/>
    <w:rsid w:val="00DE229B"/>
    <w:rsid w:val="00DE3A2B"/>
    <w:rsid w:val="00DE4A81"/>
    <w:rsid w:val="00DE7AB8"/>
    <w:rsid w:val="00DF3188"/>
    <w:rsid w:val="00DF5529"/>
    <w:rsid w:val="00DF6DE8"/>
    <w:rsid w:val="00DF6FB0"/>
    <w:rsid w:val="00DF76B3"/>
    <w:rsid w:val="00DF76F2"/>
    <w:rsid w:val="00E00083"/>
    <w:rsid w:val="00E009E2"/>
    <w:rsid w:val="00E01DE7"/>
    <w:rsid w:val="00E0411F"/>
    <w:rsid w:val="00E0572E"/>
    <w:rsid w:val="00E10005"/>
    <w:rsid w:val="00E1238E"/>
    <w:rsid w:val="00E124B9"/>
    <w:rsid w:val="00E13F21"/>
    <w:rsid w:val="00E1612B"/>
    <w:rsid w:val="00E17515"/>
    <w:rsid w:val="00E20591"/>
    <w:rsid w:val="00E22766"/>
    <w:rsid w:val="00E2572E"/>
    <w:rsid w:val="00E2692D"/>
    <w:rsid w:val="00E271C2"/>
    <w:rsid w:val="00E27AC2"/>
    <w:rsid w:val="00E30031"/>
    <w:rsid w:val="00E329A6"/>
    <w:rsid w:val="00E32DD1"/>
    <w:rsid w:val="00E34CB5"/>
    <w:rsid w:val="00E36419"/>
    <w:rsid w:val="00E37789"/>
    <w:rsid w:val="00E42265"/>
    <w:rsid w:val="00E45DAA"/>
    <w:rsid w:val="00E46560"/>
    <w:rsid w:val="00E47307"/>
    <w:rsid w:val="00E47601"/>
    <w:rsid w:val="00E50DB1"/>
    <w:rsid w:val="00E51053"/>
    <w:rsid w:val="00E51A6B"/>
    <w:rsid w:val="00E51A9F"/>
    <w:rsid w:val="00E52CA8"/>
    <w:rsid w:val="00E550CE"/>
    <w:rsid w:val="00E5696E"/>
    <w:rsid w:val="00E60B86"/>
    <w:rsid w:val="00E62E45"/>
    <w:rsid w:val="00E62F7D"/>
    <w:rsid w:val="00E65535"/>
    <w:rsid w:val="00E700B8"/>
    <w:rsid w:val="00E702B9"/>
    <w:rsid w:val="00E70588"/>
    <w:rsid w:val="00E75FA1"/>
    <w:rsid w:val="00E76419"/>
    <w:rsid w:val="00E77787"/>
    <w:rsid w:val="00E77CD7"/>
    <w:rsid w:val="00E82017"/>
    <w:rsid w:val="00E82792"/>
    <w:rsid w:val="00E844D7"/>
    <w:rsid w:val="00E92E9D"/>
    <w:rsid w:val="00E93B3C"/>
    <w:rsid w:val="00E96A7F"/>
    <w:rsid w:val="00EA031A"/>
    <w:rsid w:val="00EA0CE9"/>
    <w:rsid w:val="00EA1A40"/>
    <w:rsid w:val="00EA330D"/>
    <w:rsid w:val="00EA5190"/>
    <w:rsid w:val="00EA5F4C"/>
    <w:rsid w:val="00EA6109"/>
    <w:rsid w:val="00EB2688"/>
    <w:rsid w:val="00EB6181"/>
    <w:rsid w:val="00EB664F"/>
    <w:rsid w:val="00EB7E37"/>
    <w:rsid w:val="00EC12E8"/>
    <w:rsid w:val="00EC1357"/>
    <w:rsid w:val="00EC5ACF"/>
    <w:rsid w:val="00ED22A8"/>
    <w:rsid w:val="00ED2479"/>
    <w:rsid w:val="00ED4EB4"/>
    <w:rsid w:val="00ED5D09"/>
    <w:rsid w:val="00ED7107"/>
    <w:rsid w:val="00EE2221"/>
    <w:rsid w:val="00EE276F"/>
    <w:rsid w:val="00EE2982"/>
    <w:rsid w:val="00EE634F"/>
    <w:rsid w:val="00EF369D"/>
    <w:rsid w:val="00EF38A7"/>
    <w:rsid w:val="00EF6A39"/>
    <w:rsid w:val="00F00B38"/>
    <w:rsid w:val="00F0376E"/>
    <w:rsid w:val="00F044B3"/>
    <w:rsid w:val="00F05E83"/>
    <w:rsid w:val="00F07DC4"/>
    <w:rsid w:val="00F07E05"/>
    <w:rsid w:val="00F10842"/>
    <w:rsid w:val="00F13C42"/>
    <w:rsid w:val="00F161F7"/>
    <w:rsid w:val="00F206E8"/>
    <w:rsid w:val="00F21755"/>
    <w:rsid w:val="00F21F2E"/>
    <w:rsid w:val="00F23947"/>
    <w:rsid w:val="00F23B61"/>
    <w:rsid w:val="00F276F1"/>
    <w:rsid w:val="00F32680"/>
    <w:rsid w:val="00F33348"/>
    <w:rsid w:val="00F33A66"/>
    <w:rsid w:val="00F34368"/>
    <w:rsid w:val="00F34E5A"/>
    <w:rsid w:val="00F35452"/>
    <w:rsid w:val="00F36A36"/>
    <w:rsid w:val="00F45532"/>
    <w:rsid w:val="00F45ED2"/>
    <w:rsid w:val="00F53C4F"/>
    <w:rsid w:val="00F56A51"/>
    <w:rsid w:val="00F61899"/>
    <w:rsid w:val="00F66CD4"/>
    <w:rsid w:val="00F66E01"/>
    <w:rsid w:val="00F70A2F"/>
    <w:rsid w:val="00F7129A"/>
    <w:rsid w:val="00F7180D"/>
    <w:rsid w:val="00F727A7"/>
    <w:rsid w:val="00F729D7"/>
    <w:rsid w:val="00F774CD"/>
    <w:rsid w:val="00F80F59"/>
    <w:rsid w:val="00F82E69"/>
    <w:rsid w:val="00F8414D"/>
    <w:rsid w:val="00F84181"/>
    <w:rsid w:val="00F84C5D"/>
    <w:rsid w:val="00F86271"/>
    <w:rsid w:val="00F87176"/>
    <w:rsid w:val="00F87303"/>
    <w:rsid w:val="00F91287"/>
    <w:rsid w:val="00F917FA"/>
    <w:rsid w:val="00F91B28"/>
    <w:rsid w:val="00F91DA0"/>
    <w:rsid w:val="00F9306F"/>
    <w:rsid w:val="00F94B4E"/>
    <w:rsid w:val="00F978B7"/>
    <w:rsid w:val="00FA1EB5"/>
    <w:rsid w:val="00FA2FCD"/>
    <w:rsid w:val="00FA3FA8"/>
    <w:rsid w:val="00FA4718"/>
    <w:rsid w:val="00FA6E64"/>
    <w:rsid w:val="00FB1DCD"/>
    <w:rsid w:val="00FB2F0E"/>
    <w:rsid w:val="00FB31CC"/>
    <w:rsid w:val="00FC05EE"/>
    <w:rsid w:val="00FC2EC6"/>
    <w:rsid w:val="00FC339A"/>
    <w:rsid w:val="00FC36E0"/>
    <w:rsid w:val="00FC546F"/>
    <w:rsid w:val="00FC6F5E"/>
    <w:rsid w:val="00FC711A"/>
    <w:rsid w:val="00FC7D31"/>
    <w:rsid w:val="00FD13AC"/>
    <w:rsid w:val="00FD2D28"/>
    <w:rsid w:val="00FD6BFE"/>
    <w:rsid w:val="00FE3FF3"/>
    <w:rsid w:val="00FE6D8B"/>
    <w:rsid w:val="00FF2945"/>
    <w:rsid w:val="00FF459F"/>
    <w:rsid w:val="00FF4D4F"/>
    <w:rsid w:val="1A113708"/>
    <w:rsid w:val="4D821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6414E7"/>
  <w15:docId w15:val="{C9F1BAC0-3121-4A6C-916F-E7493497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Lines="100" w:before="100" w:afterLines="100" w:after="100" w:line="360" w:lineRule="auto"/>
      <w:jc w:val="center"/>
      <w:outlineLvl w:val="0"/>
    </w:pPr>
    <w:rPr>
      <w:b/>
      <w:bCs/>
      <w:kern w:val="44"/>
      <w:sz w:val="28"/>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kern w:val="0"/>
      <w:sz w:val="18"/>
      <w:szCs w:val="18"/>
    </w:rPr>
  </w:style>
  <w:style w:type="paragraph" w:styleId="a5">
    <w:name w:val="annotation subject"/>
    <w:basedOn w:val="a6"/>
    <w:next w:val="a6"/>
    <w:link w:val="a7"/>
    <w:uiPriority w:val="99"/>
    <w:unhideWhenUsed/>
    <w:rPr>
      <w:b/>
      <w:bCs/>
    </w:rPr>
  </w:style>
  <w:style w:type="paragraph" w:styleId="a6">
    <w:name w:val="annotation text"/>
    <w:basedOn w:val="a"/>
    <w:link w:val="a8"/>
    <w:unhideWhenUsed/>
    <w:pPr>
      <w:jc w:val="left"/>
    </w:pPr>
  </w:style>
  <w:style w:type="paragraph" w:styleId="a9">
    <w:name w:val="Document Map"/>
    <w:basedOn w:val="a"/>
    <w:link w:val="aa"/>
    <w:uiPriority w:val="99"/>
    <w:unhideWhenUsed/>
    <w:rPr>
      <w:rFonts w:ascii="宋体"/>
      <w:sz w:val="18"/>
      <w:szCs w:val="18"/>
    </w:rPr>
  </w:style>
  <w:style w:type="paragraph" w:styleId="ab">
    <w:name w:val="Balloon Text"/>
    <w:basedOn w:val="a"/>
    <w:semiHidden/>
    <w:rPr>
      <w:sz w:val="18"/>
      <w:szCs w:val="18"/>
    </w:rPr>
  </w:style>
  <w:style w:type="paragraph" w:styleId="ac">
    <w:name w:val="footer"/>
    <w:basedOn w:val="a"/>
    <w:link w:val="ad"/>
    <w:uiPriority w:val="99"/>
    <w:unhideWhenUsed/>
    <w:pPr>
      <w:tabs>
        <w:tab w:val="center" w:pos="4153"/>
        <w:tab w:val="right" w:pos="8306"/>
      </w:tabs>
      <w:snapToGrid w:val="0"/>
      <w:jc w:val="left"/>
    </w:pPr>
    <w:rPr>
      <w:kern w:val="0"/>
      <w:sz w:val="18"/>
      <w:szCs w:val="18"/>
    </w:rPr>
  </w:style>
  <w:style w:type="paragraph" w:styleId="11">
    <w:name w:val="toc 1"/>
    <w:basedOn w:val="a"/>
    <w:next w:val="a"/>
    <w:uiPriority w:val="39"/>
    <w:unhideWhenUsed/>
  </w:style>
  <w:style w:type="paragraph" w:styleId="ae">
    <w:name w:val="Subtitle"/>
    <w:basedOn w:val="a"/>
    <w:next w:val="a"/>
    <w:link w:val="af"/>
    <w:qFormat/>
    <w:pPr>
      <w:spacing w:before="240" w:after="60" w:line="312" w:lineRule="auto"/>
      <w:jc w:val="center"/>
      <w:outlineLvl w:val="1"/>
    </w:pPr>
    <w:rPr>
      <w:rFonts w:ascii="Cambria" w:hAnsi="Cambria"/>
      <w:b/>
      <w:bCs/>
      <w:kern w:val="28"/>
      <w:sz w:val="32"/>
      <w:szCs w:val="32"/>
    </w:rPr>
  </w:style>
  <w:style w:type="paragraph" w:styleId="21">
    <w:name w:val="toc 2"/>
    <w:basedOn w:val="a"/>
    <w:next w:val="a"/>
    <w:uiPriority w:val="39"/>
    <w:unhideWhenUsed/>
    <w:pPr>
      <w:ind w:leftChars="200" w:left="480"/>
    </w:pPr>
  </w:style>
  <w:style w:type="character" w:styleId="af0">
    <w:name w:val="Hyperlink"/>
    <w:uiPriority w:val="99"/>
    <w:unhideWhenUsed/>
    <w:rPr>
      <w:color w:val="0000FF"/>
      <w:u w:val="single"/>
    </w:rPr>
  </w:style>
  <w:style w:type="character" w:styleId="af1">
    <w:name w:val="annotation reference"/>
    <w:unhideWhenUsed/>
    <w:rPr>
      <w:sz w:val="21"/>
      <w:szCs w:val="21"/>
    </w:rPr>
  </w:style>
  <w:style w:type="table" w:styleId="af2">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
    <w:name w:val="Light Shading Accent 5"/>
    <w:basedOn w:val="a1"/>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paragraph" w:customStyle="1" w:styleId="af3">
    <w:basedOn w:val="1"/>
    <w:next w:val="a"/>
    <w:uiPriority w:val="39"/>
    <w:qFormat/>
    <w:pPr>
      <w:widowControl/>
      <w:spacing w:beforeLines="0" w:before="480" w:line="276" w:lineRule="auto"/>
      <w:jc w:val="left"/>
      <w:outlineLvl w:val="9"/>
    </w:pPr>
    <w:rPr>
      <w:rFonts w:ascii="Cambria" w:hAnsi="Cambria"/>
      <w:color w:val="365F91"/>
      <w:kern w:val="0"/>
      <w:szCs w:val="28"/>
    </w:rPr>
  </w:style>
  <w:style w:type="paragraph" w:customStyle="1" w:styleId="XBRLTitle6">
    <w:name w:val="XBRLTitle6"/>
    <w:basedOn w:val="ae"/>
    <w:next w:val="4"/>
    <w:qFormat/>
    <w:pPr>
      <w:keepNext/>
      <w:keepLines/>
      <w:numPr>
        <w:ilvl w:val="5"/>
        <w:numId w:val="1"/>
      </w:numPr>
      <w:ind w:left="0" w:firstLine="0"/>
      <w:jc w:val="left"/>
    </w:pPr>
    <w:rPr>
      <w:bCs w:val="0"/>
      <w:sz w:val="24"/>
    </w:rPr>
  </w:style>
  <w:style w:type="paragraph" w:customStyle="1" w:styleId="af4">
    <w:uiPriority w:val="99"/>
    <w:semiHidden/>
    <w:rPr>
      <w:kern w:val="2"/>
      <w:sz w:val="21"/>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XBRLTitle1">
    <w:name w:val="XBRLTitle1"/>
    <w:basedOn w:val="1"/>
    <w:next w:val="2"/>
    <w:qFormat/>
    <w:pPr>
      <w:numPr>
        <w:numId w:val="1"/>
      </w:numPr>
      <w:spacing w:beforeLines="50" w:before="340" w:afterLines="50" w:after="330" w:line="240" w:lineRule="auto"/>
    </w:pPr>
    <w:rPr>
      <w:rFonts w:ascii="Cambria" w:hAnsi="Cambria"/>
    </w:rPr>
  </w:style>
  <w:style w:type="paragraph" w:customStyle="1" w:styleId="XBRLTitle2">
    <w:name w:val="XBRLTitle2"/>
    <w:basedOn w:val="ae"/>
    <w:next w:val="4"/>
    <w:qFormat/>
    <w:pPr>
      <w:keepNext/>
      <w:keepLines/>
      <w:numPr>
        <w:ilvl w:val="1"/>
        <w:numId w:val="1"/>
      </w:numPr>
      <w:jc w:val="left"/>
    </w:pPr>
    <w:rPr>
      <w:bCs w:val="0"/>
      <w:sz w:val="24"/>
    </w:rPr>
  </w:style>
  <w:style w:type="paragraph" w:customStyle="1" w:styleId="XBRLTitle3">
    <w:name w:val="XBRLTitle3"/>
    <w:basedOn w:val="ae"/>
    <w:next w:val="4"/>
    <w:qFormat/>
    <w:pPr>
      <w:keepNext/>
      <w:keepLines/>
      <w:numPr>
        <w:ilvl w:val="2"/>
        <w:numId w:val="1"/>
      </w:numPr>
      <w:ind w:left="0" w:firstLine="0"/>
      <w:jc w:val="left"/>
    </w:pPr>
    <w:rPr>
      <w:bCs w:val="0"/>
      <w:sz w:val="24"/>
    </w:rPr>
  </w:style>
  <w:style w:type="paragraph" w:customStyle="1" w:styleId="XBRLTitle5">
    <w:name w:val="XBRLTitle5"/>
    <w:basedOn w:val="ae"/>
    <w:next w:val="4"/>
    <w:qFormat/>
    <w:pPr>
      <w:keepNext/>
      <w:keepLines/>
      <w:numPr>
        <w:ilvl w:val="4"/>
        <w:numId w:val="1"/>
      </w:numPr>
      <w:ind w:left="0" w:firstLine="0"/>
      <w:jc w:val="left"/>
    </w:pPr>
    <w:rPr>
      <w:bCs w:val="0"/>
      <w:sz w:val="24"/>
    </w:rPr>
  </w:style>
  <w:style w:type="paragraph" w:customStyle="1" w:styleId="XBRLTitle4">
    <w:name w:val="XBRLTitle4"/>
    <w:basedOn w:val="ae"/>
    <w:next w:val="4"/>
    <w:qFormat/>
    <w:pPr>
      <w:keepNext/>
      <w:keepLines/>
      <w:numPr>
        <w:ilvl w:val="3"/>
        <w:numId w:val="1"/>
      </w:numPr>
      <w:ind w:left="0" w:firstLine="0"/>
      <w:jc w:val="left"/>
    </w:pPr>
    <w:rPr>
      <w:bCs w:val="0"/>
      <w:sz w:val="24"/>
    </w:rPr>
  </w:style>
  <w:style w:type="character" w:customStyle="1" w:styleId="Char1">
    <w:name w:val="副标题 Char1"/>
    <w:rPr>
      <w:rFonts w:ascii="Cambria" w:hAnsi="Cambria"/>
      <w:b/>
      <w:kern w:val="28"/>
      <w:sz w:val="24"/>
      <w:szCs w:val="32"/>
    </w:rPr>
  </w:style>
  <w:style w:type="character" w:customStyle="1" w:styleId="txtcontent11">
    <w:name w:val="txtcontent11"/>
    <w:rPr>
      <w:rFonts w:ascii="ˎ̥" w:hAnsi="ˎ̥" w:hint="default"/>
      <w:color w:val="000000"/>
      <w:sz w:val="21"/>
      <w:szCs w:val="21"/>
    </w:rPr>
  </w:style>
  <w:style w:type="character" w:customStyle="1" w:styleId="a8">
    <w:name w:val="批注文字 字符"/>
    <w:link w:val="a6"/>
    <w:rPr>
      <w:kern w:val="2"/>
      <w:sz w:val="21"/>
      <w:szCs w:val="22"/>
    </w:rPr>
  </w:style>
  <w:style w:type="character" w:customStyle="1" w:styleId="a7">
    <w:name w:val="批注主题 字符"/>
    <w:link w:val="a5"/>
    <w:uiPriority w:val="99"/>
    <w:semiHidden/>
    <w:rPr>
      <w:b/>
      <w:bCs/>
      <w:kern w:val="2"/>
      <w:sz w:val="21"/>
      <w:szCs w:val="22"/>
    </w:rPr>
  </w:style>
  <w:style w:type="character" w:customStyle="1" w:styleId="a4">
    <w:name w:val="页眉 字符"/>
    <w:link w:val="a3"/>
    <w:uiPriority w:val="99"/>
    <w:rPr>
      <w:sz w:val="18"/>
      <w:szCs w:val="18"/>
    </w:rPr>
  </w:style>
  <w:style w:type="character" w:customStyle="1" w:styleId="af">
    <w:name w:val="副标题 字符"/>
    <w:link w:val="ae"/>
    <w:rPr>
      <w:rFonts w:ascii="Cambria" w:hAnsi="Cambria" w:cs="Times New Roman"/>
      <w:b/>
      <w:bCs/>
      <w:kern w:val="28"/>
      <w:sz w:val="32"/>
      <w:szCs w:val="32"/>
    </w:rPr>
  </w:style>
  <w:style w:type="character" w:customStyle="1" w:styleId="aa">
    <w:name w:val="文档结构图 字符"/>
    <w:link w:val="a9"/>
    <w:uiPriority w:val="99"/>
    <w:semiHidden/>
    <w:rPr>
      <w:rFonts w:ascii="宋体"/>
      <w:kern w:val="2"/>
      <w:sz w:val="18"/>
      <w:szCs w:val="18"/>
    </w:rPr>
  </w:style>
  <w:style w:type="character" w:customStyle="1" w:styleId="ad">
    <w:name w:val="页脚 字符"/>
    <w:link w:val="ac"/>
    <w:uiPriority w:val="99"/>
    <w:rPr>
      <w:sz w:val="18"/>
      <w:szCs w:val="18"/>
    </w:rPr>
  </w:style>
  <w:style w:type="character" w:customStyle="1" w:styleId="20">
    <w:name w:val="标题 2 字符"/>
    <w:link w:val="2"/>
    <w:uiPriority w:val="9"/>
    <w:semiHidden/>
    <w:rPr>
      <w:rFonts w:ascii="Cambria" w:eastAsia="宋体" w:hAnsi="Cambria" w:cs="Times New Roman"/>
      <w:b/>
      <w:bCs/>
      <w:kern w:val="2"/>
      <w:sz w:val="32"/>
      <w:szCs w:val="32"/>
    </w:rPr>
  </w:style>
  <w:style w:type="character" w:customStyle="1" w:styleId="40">
    <w:name w:val="标题 4 字符"/>
    <w:link w:val="4"/>
    <w:uiPriority w:val="9"/>
    <w:semiHidden/>
    <w:rPr>
      <w:rFonts w:ascii="Cambria" w:eastAsia="宋体" w:hAnsi="Cambria" w:cs="Times New Roman"/>
      <w:b/>
      <w:bCs/>
      <w:kern w:val="2"/>
      <w:sz w:val="28"/>
      <w:szCs w:val="28"/>
    </w:rPr>
  </w:style>
  <w:style w:type="character" w:customStyle="1" w:styleId="10">
    <w:name w:val="标题 1 字符"/>
    <w:link w:val="1"/>
    <w:uiPriority w:val="9"/>
    <w:rPr>
      <w:b/>
      <w:bCs/>
      <w:kern w:val="44"/>
      <w:sz w:val="28"/>
      <w:szCs w:val="44"/>
    </w:rPr>
  </w:style>
  <w:style w:type="paragraph" w:styleId="af5">
    <w:name w:val="Revision"/>
    <w:hidden/>
    <w:uiPriority w:val="99"/>
    <w:semiHidden/>
    <w:rsid w:val="00B57D2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6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141</Pages>
  <Words>14845</Words>
  <Characters>84617</Characters>
  <Application>Microsoft Office Word</Application>
  <DocSecurity>0</DocSecurity>
  <Lines>705</Lines>
  <Paragraphs>198</Paragraphs>
  <ScaleCrop>false</ScaleCrop>
  <Company>Microsoft</Company>
  <LinksUpToDate>false</LinksUpToDate>
  <CharactersWithSpaces>99264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系统用户</dc:creator>
  <cp:lastModifiedBy>张婕茹</cp:lastModifiedBy>
  <cp:revision>24</cp:revision>
  <cp:lastPrinted>2013-02-18T03:10:00Z</cp:lastPrinted>
  <dcterms:created xsi:type="dcterms:W3CDTF">2023-12-07T13:41:00Z</dcterms:created>
  <dcterms:modified xsi:type="dcterms:W3CDTF">2023-12-20T01:31:00Z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