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6469DD">
      <w:pPr>
        <w:rPr>
          <w:sz w:val="32"/>
        </w:rPr>
      </w:pPr>
    </w:p>
    <w:p w:rsidR="00C92FC0" w:rsidRPr="00EB07BC" w:rsidRDefault="006469DD">
      <w:pPr>
        <w:rPr>
          <w:sz w:val="32"/>
        </w:rPr>
      </w:pPr>
    </w:p>
    <w:p w:rsidR="00C92FC0" w:rsidRPr="00EB07BC" w:rsidRDefault="006469DD">
      <w:pPr>
        <w:rPr>
          <w:sz w:val="32"/>
        </w:rPr>
      </w:pPr>
    </w:p>
    <w:p w:rsidR="00C92FC0" w:rsidRPr="00EB07BC" w:rsidRDefault="00351C21">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4C4B06" w:rsidRDefault="004C4B0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4C4B06" w:rsidRDefault="004C4B0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4C4B06" w:rsidRDefault="0085618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交银施罗德周期回报灵活配置混合型证券投资基金</w:t>
      </w:r>
    </w:p>
    <w:p w:rsidR="004C4B06" w:rsidRDefault="0085618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4C4B06" w:rsidRDefault="0085618E">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sidR="006F4C68">
        <w:rPr>
          <w:rFonts w:ascii="Times New Roman" w:hAnsi="Times New Roman" w:hint="eastAsia"/>
          <w:b/>
          <w:color w:val="000000"/>
          <w:sz w:val="32"/>
          <w:szCs w:val="32"/>
        </w:rPr>
        <w:t>2</w:t>
      </w:r>
      <w:bookmarkStart w:id="0" w:name="_GoBack"/>
      <w:bookmarkEnd w:id="0"/>
      <w:r>
        <w:rPr>
          <w:rFonts w:ascii="Times New Roman" w:hAnsi="Times New Roman"/>
          <w:b/>
          <w:color w:val="000000"/>
          <w:sz w:val="32"/>
          <w:szCs w:val="32"/>
        </w:rPr>
        <w:t>号</w:t>
      </w:r>
      <w:r>
        <w:rPr>
          <w:rFonts w:ascii="Times New Roman" w:hAnsi="Times New Roman"/>
          <w:b/>
          <w:color w:val="000000"/>
          <w:sz w:val="32"/>
          <w:szCs w:val="32"/>
        </w:rPr>
        <w:t>)</w:t>
      </w: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85618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4C4B06" w:rsidRDefault="0085618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4C4B0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C4B06" w:rsidRDefault="0085618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6528AF">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4C4B06" w:rsidRDefault="004C4B06">
      <w:pPr>
        <w:autoSpaceDE w:val="0"/>
        <w:autoSpaceDN w:val="0"/>
        <w:adjustRightInd w:val="0"/>
        <w:snapToGrid w:val="0"/>
        <w:spacing w:line="360" w:lineRule="auto"/>
        <w:ind w:left="1347" w:rightChars="6" w:right="13"/>
        <w:rPr>
          <w:rFonts w:ascii="宋体" w:hAnsi="宋体"/>
          <w:kern w:val="0"/>
          <w:sz w:val="32"/>
          <w:szCs w:val="32"/>
        </w:rPr>
        <w:sectPr w:rsidR="004C4B06">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4C4B06" w:rsidRDefault="0085618E">
      <w:pPr>
        <w:pStyle w:val="1"/>
        <w:snapToGrid w:val="0"/>
        <w:spacing w:beforeLines="0" w:before="240" w:after="240"/>
        <w:rPr>
          <w:rFonts w:ascii="宋体" w:hAnsi="宋体"/>
          <w:kern w:val="0"/>
        </w:rPr>
      </w:pPr>
      <w:bookmarkStart w:id="1" w:name="_Toc324920538"/>
      <w:bookmarkStart w:id="2" w:name="_Toc496884613"/>
      <w:bookmarkStart w:id="3" w:name="_Toc135665070"/>
      <w:r>
        <w:rPr>
          <w:rFonts w:ascii="Times New Roman" w:hAnsi="Times New Roman"/>
          <w:kern w:val="0"/>
        </w:rPr>
        <w:lastRenderedPageBreak/>
        <w:t>重要提示</w:t>
      </w:r>
      <w:bookmarkEnd w:id="1"/>
      <w:bookmarkEnd w:id="2"/>
      <w:bookmarkEnd w:id="3"/>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交银施罗德周期回报灵活配置混合型证券投资基金（以下简称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日中国证券监督管理委员会证监许可【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581</w:t>
      </w:r>
      <w:r>
        <w:rPr>
          <w:rFonts w:ascii="Times New Roman" w:hAnsi="Times New Roman"/>
          <w:kern w:val="0"/>
          <w:sz w:val="24"/>
        </w:rPr>
        <w:t>号文核准募集。本基金基金合同于</w:t>
      </w:r>
      <w:r>
        <w:rPr>
          <w:rFonts w:ascii="Times New Roman" w:hAnsi="Times New Roman"/>
          <w:kern w:val="0"/>
          <w:sz w:val="24"/>
        </w:rPr>
        <w:t>2014</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w:t>
      </w:r>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科创板股票的特定风险；投资本基金特有的其他风险等等。本基金是一只混合型基金，其长期平均风险和预期收益高于债券型基金和货币市场基金，低于股票型基金。</w:t>
      </w:r>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4C4B06" w:rsidRDefault="0085618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投资有风险，投资者在投资本基金前应认真阅读本基金的招募说明书和基金合同、基金产品资料概要。基金的过往业绩并不代表其未来表现。基金管理人管理的其他基金的业绩并不构成新基金业绩表现的保证。</w:t>
      </w:r>
    </w:p>
    <w:p w:rsidR="004C4B06" w:rsidRDefault="006F4C68">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lastRenderedPageBreak/>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85618E">
        <w:rPr>
          <w:rFonts w:ascii="Times New Roman" w:hAnsi="Times New Roman"/>
          <w:kern w:val="0"/>
          <w:sz w:val="24"/>
        </w:rPr>
        <w:t>本招募说明书</w:t>
      </w:r>
      <w:r>
        <w:rPr>
          <w:rFonts w:ascii="Times New Roman" w:hAnsi="Times New Roman" w:hint="eastAsia"/>
          <w:kern w:val="0"/>
          <w:sz w:val="24"/>
        </w:rPr>
        <w:t>其他</w:t>
      </w:r>
      <w:r w:rsidR="0085618E">
        <w:rPr>
          <w:rFonts w:ascii="Times New Roman" w:hAnsi="Times New Roman"/>
          <w:kern w:val="0"/>
          <w:sz w:val="24"/>
        </w:rPr>
        <w:t>所载内容截止日为</w:t>
      </w:r>
      <w:r w:rsidR="0085618E">
        <w:rPr>
          <w:rFonts w:ascii="Times New Roman" w:hAnsi="Times New Roman"/>
          <w:kern w:val="0"/>
          <w:sz w:val="24"/>
        </w:rPr>
        <w:t>2023</w:t>
      </w:r>
      <w:r w:rsidR="0085618E">
        <w:rPr>
          <w:rFonts w:ascii="Times New Roman" w:hAnsi="Times New Roman"/>
          <w:kern w:val="0"/>
          <w:sz w:val="24"/>
        </w:rPr>
        <w:t>年</w:t>
      </w:r>
      <w:r w:rsidR="0085618E">
        <w:rPr>
          <w:rFonts w:ascii="Times New Roman" w:hAnsi="Times New Roman"/>
          <w:kern w:val="0"/>
          <w:sz w:val="24"/>
        </w:rPr>
        <w:t>04</w:t>
      </w:r>
      <w:r w:rsidR="0085618E">
        <w:rPr>
          <w:rFonts w:ascii="Times New Roman" w:hAnsi="Times New Roman"/>
          <w:kern w:val="0"/>
          <w:sz w:val="24"/>
        </w:rPr>
        <w:t>月</w:t>
      </w:r>
      <w:r w:rsidR="0085618E">
        <w:rPr>
          <w:rFonts w:ascii="Times New Roman" w:hAnsi="Times New Roman"/>
          <w:kern w:val="0"/>
          <w:sz w:val="24"/>
        </w:rPr>
        <w:t>28</w:t>
      </w:r>
      <w:r w:rsidR="0085618E">
        <w:rPr>
          <w:rFonts w:ascii="Times New Roman" w:hAnsi="Times New Roman"/>
          <w:kern w:val="0"/>
          <w:sz w:val="24"/>
        </w:rPr>
        <w:t>日，有关财务数据和净值表现截止日为</w:t>
      </w:r>
      <w:r w:rsidR="0085618E">
        <w:rPr>
          <w:rFonts w:ascii="Times New Roman" w:hAnsi="Times New Roman"/>
          <w:kern w:val="0"/>
          <w:sz w:val="24"/>
        </w:rPr>
        <w:t>2023</w:t>
      </w:r>
      <w:r w:rsidR="0085618E">
        <w:rPr>
          <w:rFonts w:ascii="Times New Roman" w:hAnsi="Times New Roman"/>
          <w:kern w:val="0"/>
          <w:sz w:val="24"/>
        </w:rPr>
        <w:t>年</w:t>
      </w:r>
      <w:r w:rsidR="0085618E">
        <w:rPr>
          <w:rFonts w:ascii="Times New Roman" w:hAnsi="Times New Roman"/>
          <w:kern w:val="0"/>
          <w:sz w:val="24"/>
        </w:rPr>
        <w:t>03</w:t>
      </w:r>
      <w:r w:rsidR="0085618E">
        <w:rPr>
          <w:rFonts w:ascii="Times New Roman" w:hAnsi="Times New Roman"/>
          <w:kern w:val="0"/>
          <w:sz w:val="24"/>
        </w:rPr>
        <w:t>月</w:t>
      </w:r>
      <w:r w:rsidR="0085618E">
        <w:rPr>
          <w:rFonts w:ascii="Times New Roman" w:hAnsi="Times New Roman"/>
          <w:kern w:val="0"/>
          <w:sz w:val="24"/>
        </w:rPr>
        <w:t>31</w:t>
      </w:r>
      <w:r w:rsidR="0085618E">
        <w:rPr>
          <w:rFonts w:ascii="Times New Roman" w:hAnsi="Times New Roman"/>
          <w:kern w:val="0"/>
          <w:sz w:val="24"/>
        </w:rPr>
        <w:t>日。本招募说明书所载的财务数据未经审计。</w:t>
      </w:r>
    </w:p>
    <w:p w:rsidR="004C4B06" w:rsidRDefault="004C4B06">
      <w:pPr>
        <w:autoSpaceDE w:val="0"/>
        <w:autoSpaceDN w:val="0"/>
        <w:adjustRightInd w:val="0"/>
        <w:snapToGrid w:val="0"/>
        <w:spacing w:before="51" w:line="360" w:lineRule="auto"/>
        <w:ind w:left="120" w:rightChars="6" w:right="13" w:firstLine="480"/>
        <w:rPr>
          <w:rFonts w:ascii="宋体" w:hAnsi="宋体"/>
          <w:kern w:val="0"/>
          <w:szCs w:val="24"/>
        </w:rPr>
        <w:sectPr w:rsidR="004C4B06">
          <w:headerReference w:type="default" r:id="rId12"/>
          <w:pgSz w:w="11920" w:h="16840"/>
          <w:pgMar w:top="1440" w:right="1680" w:bottom="280" w:left="1680" w:header="0" w:footer="1073" w:gutter="0"/>
          <w:pgNumType w:start="1"/>
          <w:cols w:space="720"/>
        </w:sectPr>
      </w:pPr>
    </w:p>
    <w:p w:rsidR="00710D0E" w:rsidRPr="00710D0E" w:rsidRDefault="0085618E" w:rsidP="00710D0E">
      <w:pPr>
        <w:pStyle w:val="ad"/>
        <w:snapToGrid w:val="0"/>
        <w:spacing w:after="240" w:line="360" w:lineRule="auto"/>
        <w:jc w:val="center"/>
        <w:rPr>
          <w:rFonts w:ascii="宋体" w:hAnsi="宋体"/>
          <w:noProof/>
          <w:sz w:val="24"/>
        </w:rPr>
      </w:pPr>
      <w:r w:rsidRPr="00710D0E">
        <w:rPr>
          <w:rFonts w:ascii="宋体" w:hAnsi="宋体"/>
          <w:color w:val="000000"/>
          <w:position w:val="-4"/>
          <w:sz w:val="24"/>
          <w:szCs w:val="30"/>
        </w:rPr>
        <w:lastRenderedPageBreak/>
        <w:t>目</w:t>
      </w:r>
      <w:r w:rsidRPr="00710D0E">
        <w:rPr>
          <w:rFonts w:ascii="宋体" w:hAnsi="宋体"/>
          <w:color w:val="000000"/>
          <w:position w:val="-4"/>
          <w:sz w:val="24"/>
          <w:szCs w:val="30"/>
        </w:rPr>
        <w:tab/>
        <w:t>录</w:t>
      </w:r>
      <w:r w:rsidR="00710D0E" w:rsidRPr="00710D0E">
        <w:rPr>
          <w:rFonts w:ascii="宋体" w:hAnsi="宋体"/>
          <w:color w:val="000000"/>
          <w:position w:val="-4"/>
          <w:sz w:val="24"/>
          <w:szCs w:val="30"/>
        </w:rPr>
        <w:fldChar w:fldCharType="begin"/>
      </w:r>
      <w:r w:rsidR="00710D0E" w:rsidRPr="00710D0E">
        <w:rPr>
          <w:rFonts w:ascii="宋体" w:hAnsi="宋体"/>
          <w:color w:val="000000"/>
          <w:position w:val="-4"/>
          <w:sz w:val="24"/>
          <w:szCs w:val="30"/>
        </w:rPr>
        <w:instrText xml:space="preserve"> TOC \o "1-3" \f - \h \t "-1" </w:instrText>
      </w:r>
      <w:r w:rsidR="00710D0E" w:rsidRPr="00710D0E">
        <w:rPr>
          <w:rFonts w:ascii="宋体" w:hAnsi="宋体"/>
          <w:color w:val="000000"/>
          <w:position w:val="-4"/>
          <w:sz w:val="24"/>
          <w:szCs w:val="30"/>
        </w:rPr>
        <w:fldChar w:fldCharType="separate"/>
      </w:r>
    </w:p>
    <w:p w:rsidR="00710D0E" w:rsidRPr="00420BF4" w:rsidRDefault="006469DD" w:rsidP="00710D0E">
      <w:pPr>
        <w:pStyle w:val="10"/>
        <w:tabs>
          <w:tab w:val="right" w:leader="dot" w:pos="8550"/>
        </w:tabs>
        <w:spacing w:line="360" w:lineRule="auto"/>
        <w:rPr>
          <w:rFonts w:ascii="宋体" w:hAnsi="宋体"/>
          <w:noProof/>
          <w:sz w:val="24"/>
        </w:rPr>
      </w:pPr>
      <w:hyperlink w:anchor="_Toc135665070" w:history="1">
        <w:r w:rsidR="00710D0E" w:rsidRPr="00710D0E">
          <w:rPr>
            <w:rStyle w:val="aa"/>
            <w:rFonts w:ascii="宋体" w:hAnsi="宋体" w:hint="eastAsia"/>
            <w:noProof/>
            <w:kern w:val="0"/>
            <w:sz w:val="24"/>
          </w:rPr>
          <w:t>重要提示</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_Toc135665070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1" w:history="1">
        <w:r w:rsidR="00710D0E" w:rsidRPr="00710D0E">
          <w:rPr>
            <w:rStyle w:val="aa"/>
            <w:rFonts w:ascii="宋体" w:hAnsi="宋体" w:hint="eastAsia"/>
            <w:noProof/>
            <w:sz w:val="24"/>
          </w:rPr>
          <w:t>一、绪言</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_Toc135665071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4</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2" w:history="1">
        <w:r w:rsidR="00710D0E" w:rsidRPr="00710D0E">
          <w:rPr>
            <w:rStyle w:val="aa"/>
            <w:rFonts w:ascii="宋体" w:hAnsi="宋体" w:hint="eastAsia"/>
            <w:noProof/>
            <w:sz w:val="24"/>
          </w:rPr>
          <w:t>二、释义</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_Toc135665072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5</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3" w:history="1">
        <w:r w:rsidR="00710D0E" w:rsidRPr="00710D0E">
          <w:rPr>
            <w:rStyle w:val="aa"/>
            <w:rFonts w:ascii="宋体" w:hAnsi="宋体" w:hint="eastAsia"/>
            <w:noProof/>
            <w:sz w:val="24"/>
          </w:rPr>
          <w:t>三、基金管理人</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_Toc135665073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10</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4" w:history="1">
        <w:r w:rsidR="00710D0E" w:rsidRPr="00710D0E">
          <w:rPr>
            <w:rStyle w:val="aa"/>
            <w:rFonts w:ascii="宋体" w:hAnsi="宋体" w:hint="eastAsia"/>
            <w:noProof/>
            <w:sz w:val="24"/>
          </w:rPr>
          <w:t>四、基金托管人</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_Toc135665074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18</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5" w:history="1">
        <w:r w:rsidR="00710D0E" w:rsidRPr="00710D0E">
          <w:rPr>
            <w:rStyle w:val="aa"/>
            <w:rFonts w:ascii="宋体" w:hAnsi="宋体" w:hint="eastAsia"/>
            <w:noProof/>
            <w:sz w:val="24"/>
          </w:rPr>
          <w:t>五、相关服务机构</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_Toc135665075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21</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6" w:history="1">
        <w:r w:rsidR="00710D0E" w:rsidRPr="00710D0E">
          <w:rPr>
            <w:rStyle w:val="aa"/>
            <w:rFonts w:ascii="宋体" w:hAnsi="宋体" w:hint="eastAsia"/>
            <w:noProof/>
            <w:sz w:val="24"/>
          </w:rPr>
          <w:t>六、基金的历史沿革</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_Toc135665076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53</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7" w:history="1">
        <w:r w:rsidR="00710D0E" w:rsidRPr="00710D0E">
          <w:rPr>
            <w:rStyle w:val="aa"/>
            <w:rFonts w:ascii="宋体" w:hAnsi="宋体" w:hint="eastAsia"/>
            <w:noProof/>
            <w:sz w:val="24"/>
          </w:rPr>
          <w:t>七、基金合同的生效</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_Toc135665077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54</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8" w:history="1">
        <w:r w:rsidR="00710D0E" w:rsidRPr="00710D0E">
          <w:rPr>
            <w:rStyle w:val="aa"/>
            <w:rFonts w:ascii="宋体" w:hAnsi="宋体" w:hint="eastAsia"/>
            <w:noProof/>
            <w:sz w:val="24"/>
          </w:rPr>
          <w:t>八、基金份额的申购与赎回</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_Toc135665078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55</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79" w:history="1">
        <w:r w:rsidR="00710D0E" w:rsidRPr="00710D0E">
          <w:rPr>
            <w:rStyle w:val="aa"/>
            <w:rFonts w:ascii="宋体" w:hAnsi="宋体" w:hint="eastAsia"/>
            <w:noProof/>
            <w:sz w:val="24"/>
          </w:rPr>
          <w:t>九、基金的转换</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_Toc135665079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70</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0" w:history="1">
        <w:r w:rsidR="00710D0E" w:rsidRPr="00710D0E">
          <w:rPr>
            <w:rStyle w:val="aa"/>
            <w:rFonts w:ascii="宋体" w:hAnsi="宋体" w:hint="eastAsia"/>
            <w:noProof/>
            <w:sz w:val="24"/>
          </w:rPr>
          <w:t>十、基金的投资</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_Toc135665080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77</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1" w:history="1">
        <w:r w:rsidR="00710D0E" w:rsidRPr="00710D0E">
          <w:rPr>
            <w:rStyle w:val="aa"/>
            <w:rFonts w:ascii="宋体" w:hAnsi="宋体" w:hint="eastAsia"/>
            <w:noProof/>
            <w:sz w:val="24"/>
          </w:rPr>
          <w:t>十一、基金的业绩</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_Toc135665081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90</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2" w:history="1">
        <w:r w:rsidR="00710D0E" w:rsidRPr="00710D0E">
          <w:rPr>
            <w:rStyle w:val="aa"/>
            <w:rFonts w:ascii="宋体" w:hAnsi="宋体" w:hint="eastAsia"/>
            <w:noProof/>
            <w:sz w:val="24"/>
          </w:rPr>
          <w:t>十二、基金的财产</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_Toc135665082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93</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3" w:history="1">
        <w:r w:rsidR="00710D0E" w:rsidRPr="00710D0E">
          <w:rPr>
            <w:rStyle w:val="aa"/>
            <w:rFonts w:ascii="宋体" w:hAnsi="宋体" w:hint="eastAsia"/>
            <w:noProof/>
            <w:sz w:val="24"/>
          </w:rPr>
          <w:t>十三、基金资产的估值</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_Toc135665083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94</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4" w:history="1">
        <w:r w:rsidR="00710D0E" w:rsidRPr="00710D0E">
          <w:rPr>
            <w:rStyle w:val="aa"/>
            <w:rFonts w:ascii="宋体" w:hAnsi="宋体" w:hint="eastAsia"/>
            <w:noProof/>
            <w:sz w:val="24"/>
          </w:rPr>
          <w:t>十四、基金的收益与分配</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_Toc135665084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99</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5" w:history="1">
        <w:r w:rsidR="00710D0E" w:rsidRPr="00710D0E">
          <w:rPr>
            <w:rStyle w:val="aa"/>
            <w:rFonts w:ascii="宋体" w:hAnsi="宋体" w:hint="eastAsia"/>
            <w:noProof/>
            <w:sz w:val="24"/>
          </w:rPr>
          <w:t>十五、基金的费用与税收</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_Toc135665085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101</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6" w:history="1">
        <w:r w:rsidR="00710D0E" w:rsidRPr="00710D0E">
          <w:rPr>
            <w:rStyle w:val="aa"/>
            <w:rFonts w:ascii="宋体" w:hAnsi="宋体" w:hint="eastAsia"/>
            <w:noProof/>
            <w:sz w:val="24"/>
          </w:rPr>
          <w:t>十六、基金的会计与审计</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_Toc135665086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104</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7" w:history="1">
        <w:r w:rsidR="00710D0E" w:rsidRPr="00710D0E">
          <w:rPr>
            <w:rStyle w:val="aa"/>
            <w:rFonts w:ascii="宋体" w:hAnsi="宋体" w:hint="eastAsia"/>
            <w:noProof/>
            <w:sz w:val="24"/>
          </w:rPr>
          <w:t>十七、基金的信息披露</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_Toc135665087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105</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8" w:history="1">
        <w:r w:rsidR="00710D0E" w:rsidRPr="00710D0E">
          <w:rPr>
            <w:rStyle w:val="aa"/>
            <w:rFonts w:ascii="宋体" w:hAnsi="宋体" w:hint="eastAsia"/>
            <w:noProof/>
            <w:sz w:val="24"/>
          </w:rPr>
          <w:t>十八、风险揭示</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_Toc135665088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111</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89" w:history="1">
        <w:r w:rsidR="00710D0E" w:rsidRPr="00710D0E">
          <w:rPr>
            <w:rStyle w:val="aa"/>
            <w:rFonts w:ascii="宋体" w:hAnsi="宋体" w:hint="eastAsia"/>
            <w:noProof/>
            <w:sz w:val="24"/>
          </w:rPr>
          <w:t>十九、基金合同的终止与基金财产的清算</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_Toc135665089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118</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90" w:history="1">
        <w:r w:rsidR="00710D0E" w:rsidRPr="00710D0E">
          <w:rPr>
            <w:rStyle w:val="aa"/>
            <w:rFonts w:ascii="宋体" w:hAnsi="宋体" w:hint="eastAsia"/>
            <w:noProof/>
            <w:sz w:val="24"/>
          </w:rPr>
          <w:t>二十、基金合同内容摘要</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_Toc135665090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120</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91" w:history="1">
        <w:r w:rsidR="00710D0E" w:rsidRPr="00710D0E">
          <w:rPr>
            <w:rStyle w:val="aa"/>
            <w:rFonts w:ascii="宋体" w:hAnsi="宋体" w:hint="eastAsia"/>
            <w:noProof/>
            <w:sz w:val="24"/>
          </w:rPr>
          <w:t>二十一、托管协议的内容摘要</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_Toc135665091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134</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92" w:history="1">
        <w:r w:rsidR="00710D0E" w:rsidRPr="00710D0E">
          <w:rPr>
            <w:rStyle w:val="aa"/>
            <w:rFonts w:ascii="宋体" w:hAnsi="宋体" w:hint="eastAsia"/>
            <w:noProof/>
            <w:sz w:val="24"/>
          </w:rPr>
          <w:t>二十二、对基金份额持有人的服务</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_Toc135665092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153</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93" w:history="1">
        <w:r w:rsidR="00710D0E" w:rsidRPr="00710D0E">
          <w:rPr>
            <w:rStyle w:val="aa"/>
            <w:rFonts w:ascii="宋体" w:hAnsi="宋体" w:hint="eastAsia"/>
            <w:noProof/>
            <w:sz w:val="24"/>
          </w:rPr>
          <w:t>二十三、其他应披露事项</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_Toc135665093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155</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94" w:history="1">
        <w:r w:rsidR="00710D0E" w:rsidRPr="00710D0E">
          <w:rPr>
            <w:rStyle w:val="aa"/>
            <w:rFonts w:ascii="宋体" w:hAnsi="宋体" w:hint="eastAsia"/>
            <w:noProof/>
            <w:sz w:val="24"/>
          </w:rPr>
          <w:t>二十四、招募说明书的存放及查阅方式</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_Toc135665094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158</w:t>
        </w:r>
        <w:r w:rsidR="00710D0E" w:rsidRPr="00710D0E">
          <w:rPr>
            <w:rFonts w:ascii="宋体" w:hAnsi="宋体"/>
            <w:noProof/>
            <w:sz w:val="24"/>
          </w:rPr>
          <w:fldChar w:fldCharType="end"/>
        </w:r>
      </w:hyperlink>
    </w:p>
    <w:p w:rsidR="00710D0E" w:rsidRPr="00420BF4" w:rsidRDefault="006469DD" w:rsidP="00710D0E">
      <w:pPr>
        <w:pStyle w:val="10"/>
        <w:tabs>
          <w:tab w:val="right" w:leader="dot" w:pos="8550"/>
        </w:tabs>
        <w:spacing w:line="360" w:lineRule="auto"/>
        <w:rPr>
          <w:rFonts w:ascii="宋体" w:hAnsi="宋体"/>
          <w:noProof/>
          <w:sz w:val="24"/>
        </w:rPr>
      </w:pPr>
      <w:hyperlink w:anchor="_Toc135665095" w:history="1">
        <w:r w:rsidR="00710D0E" w:rsidRPr="00710D0E">
          <w:rPr>
            <w:rStyle w:val="aa"/>
            <w:rFonts w:ascii="宋体" w:hAnsi="宋体" w:hint="eastAsia"/>
            <w:noProof/>
            <w:sz w:val="24"/>
          </w:rPr>
          <w:t>二十五、备查文件</w:t>
        </w:r>
        <w:r w:rsidR="00710D0E" w:rsidRPr="00710D0E">
          <w:rPr>
            <w:rFonts w:ascii="宋体" w:hAnsi="宋体"/>
            <w:noProof/>
            <w:sz w:val="24"/>
          </w:rPr>
          <w:tab/>
        </w:r>
        <w:r w:rsidR="00710D0E" w:rsidRPr="00710D0E">
          <w:rPr>
            <w:rFonts w:ascii="宋体" w:hAnsi="宋体"/>
            <w:noProof/>
            <w:sz w:val="24"/>
          </w:rPr>
          <w:fldChar w:fldCharType="begin"/>
        </w:r>
        <w:r w:rsidR="00710D0E" w:rsidRPr="00710D0E">
          <w:rPr>
            <w:rFonts w:ascii="宋体" w:hAnsi="宋体"/>
            <w:noProof/>
            <w:sz w:val="24"/>
          </w:rPr>
          <w:instrText xml:space="preserve"> PAGEREF _Toc135665095 \h </w:instrText>
        </w:r>
        <w:r w:rsidR="00710D0E" w:rsidRPr="00710D0E">
          <w:rPr>
            <w:rFonts w:ascii="宋体" w:hAnsi="宋体"/>
            <w:noProof/>
            <w:sz w:val="24"/>
          </w:rPr>
        </w:r>
        <w:r w:rsidR="00710D0E" w:rsidRPr="00710D0E">
          <w:rPr>
            <w:rFonts w:ascii="宋体" w:hAnsi="宋体"/>
            <w:noProof/>
            <w:sz w:val="24"/>
          </w:rPr>
          <w:fldChar w:fldCharType="separate"/>
        </w:r>
        <w:r w:rsidR="00710D0E" w:rsidRPr="00710D0E">
          <w:rPr>
            <w:rFonts w:ascii="宋体" w:hAnsi="宋体"/>
            <w:noProof/>
            <w:sz w:val="24"/>
          </w:rPr>
          <w:t>159</w:t>
        </w:r>
        <w:r w:rsidR="00710D0E" w:rsidRPr="00710D0E">
          <w:rPr>
            <w:rFonts w:ascii="宋体" w:hAnsi="宋体"/>
            <w:noProof/>
            <w:sz w:val="24"/>
          </w:rPr>
          <w:fldChar w:fldCharType="end"/>
        </w:r>
      </w:hyperlink>
    </w:p>
    <w:p w:rsidR="004C4B06" w:rsidRPr="00710D0E" w:rsidRDefault="00710D0E" w:rsidP="00710D0E">
      <w:pPr>
        <w:pStyle w:val="ad"/>
        <w:snapToGrid w:val="0"/>
        <w:spacing w:after="240" w:line="360" w:lineRule="auto"/>
        <w:jc w:val="center"/>
        <w:rPr>
          <w:rFonts w:ascii="宋体" w:hAnsi="宋体"/>
          <w:color w:val="000000"/>
          <w:sz w:val="24"/>
        </w:rPr>
      </w:pPr>
      <w:r w:rsidRPr="00710D0E">
        <w:rPr>
          <w:rFonts w:ascii="宋体" w:hAnsi="宋体"/>
          <w:color w:val="000000"/>
          <w:position w:val="-4"/>
          <w:sz w:val="24"/>
          <w:szCs w:val="30"/>
        </w:rPr>
        <w:lastRenderedPageBreak/>
        <w:fldChar w:fldCharType="end"/>
      </w:r>
    </w:p>
    <w:p w:rsidR="004C4B06" w:rsidRDefault="004C4B06">
      <w:pPr>
        <w:autoSpaceDE w:val="0"/>
        <w:autoSpaceDN w:val="0"/>
        <w:adjustRightInd w:val="0"/>
        <w:snapToGrid w:val="0"/>
        <w:spacing w:line="360" w:lineRule="auto"/>
        <w:ind w:left="120" w:rightChars="6" w:right="13"/>
        <w:rPr>
          <w:rFonts w:ascii="宋体" w:hAnsi="宋体"/>
          <w:kern w:val="0"/>
          <w:szCs w:val="24"/>
        </w:rPr>
        <w:sectPr w:rsidR="004C4B06">
          <w:pgSz w:w="11920" w:h="16840"/>
          <w:pgMar w:top="1480" w:right="1680" w:bottom="280" w:left="1680" w:header="0" w:footer="1073" w:gutter="0"/>
          <w:cols w:space="720"/>
        </w:sectPr>
      </w:pPr>
    </w:p>
    <w:p w:rsidR="004C4B06" w:rsidRDefault="0085618E">
      <w:pPr>
        <w:pStyle w:val="1"/>
        <w:snapToGrid w:val="0"/>
        <w:spacing w:beforeLines="0" w:before="240" w:after="240"/>
        <w:rPr>
          <w:rFonts w:ascii="宋体" w:hAnsi="宋体"/>
          <w:szCs w:val="30"/>
        </w:rPr>
      </w:pPr>
      <w:bookmarkStart w:id="4" w:name="_Toc135665071"/>
      <w:r>
        <w:rPr>
          <w:rFonts w:ascii="Times New Roman" w:hAnsi="Times New Roman"/>
          <w:sz w:val="30"/>
        </w:rPr>
        <w:lastRenderedPageBreak/>
        <w:t>一、绪言</w:t>
      </w:r>
      <w:bookmarkEnd w:id="4"/>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周期回报灵活配置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周期回报灵活配置混合型证券投资基金基金合同》（以下简称“基金合同”）编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5" w:name="_Toc135665072"/>
      <w:r>
        <w:rPr>
          <w:rFonts w:ascii="Times New Roman" w:hAnsi="Times New Roman"/>
          <w:sz w:val="30"/>
        </w:rPr>
        <w:lastRenderedPageBreak/>
        <w:t>二、释义</w:t>
      </w:r>
      <w:bookmarkEnd w:id="5"/>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1、基金或本基金：指交银施罗德周期回报灵活配置混合型证券投资基金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4、基金合同或《基金合同》：指《交银施罗德周期回报灵活配置混合型证券投资基金基金合同》及对本基金合同的任何有效修订和补充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5、托管协议：指基金管理人与基金托管人就本基金签订之《交银施罗德周期回报灵活配置混合型证券投资基金托管协议》及对该托管协议的任何有效修订和补充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6、招募说明书、《招募说明书》或本招募说明书：指《交银施罗德周期回报灵活配置混合型证券投资基金招募说明书》及其更新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7、基金份额发售公告：指《交银施罗德周期回报灵活配置混合型证券投资基金基金份额发售公告》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8、基金产品资料概要：指《交银施罗德周期回报灵活配置混合型证券投资基金基金产品资料概要》及其更新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10、中国：指中华人民共和国（仅为基金合同之目的，不包括香港特别行政区、澳门特别行政区及台湾地区）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11、《基金法》：指2003年10月28日经第十届全国人民代表大会常务委员会第五次会议通过，自2004年6月1日起实施的《中华人民共和国证券投资基金法》及颁布机关对其不时做出的修订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12、《销售办法》：指中国证监会2011年6月9日颁布、同年10月1日实施的《证券投资基金销售管理办法》及颁布机关对其不时做出的修订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13、《信息披露办法》：指中国证监会2019年7月26日颁布、同年9月1日实施的《公开募集证券投资基金信息披露管理办法》及颁布机关对其不时做出的修订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w:t>
      </w:r>
      <w:r>
        <w:rPr>
          <w:rFonts w:ascii="宋体" w:hAnsi="宋体"/>
          <w:sz w:val="24"/>
        </w:rPr>
        <w:lastRenderedPageBreak/>
        <w:t>修订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15、《运作办法》：指中国证监会2004年6月29日颁布、同年7月1日实施的《证券投资基金运作管理办法》及颁布机关对其不时做出的修订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17、银行业监督管理机构：指中国人民银行和/或中国银行业监督管理委员会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20、机构投资者：指依法可以投资证券投资基金的、在中国境内合法登记并存续或经有关政府部门批准设立并存续的企业法人、事业法人、社会团体或其他组织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22、投资人或投资者：指个人投资者、机构投资者和合格境外机构投资者以及法律法规或中国证监会允许购买证券投资基金的其他投资人的合称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25、直销机构：指交银施罗德基金管理有限公司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26、代销机构：指符合《销售办法》和中国证监会规定的其他条件，取得基金销售业务资格并与基金管理人签订了基金销售服务代理协议，代为办理基金销售业务的机构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27、销售机构：指直销机构和代销机构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29、登记机构：指办理登记业务的机构。基金的登记机构为交银施罗德基金管理有限公司或接受交银施罗德基金管理有限公司委托代为办理登记业务的机构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30、开放式基金账户：指登记机构为投资人开立的、记录其持有的、基金管理人所管理的基金份额余额及其变动情况的账户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31、基金交易账户：指销售机构为投资人开立的、记录投资人通过该销售机构办理认购、申购、赎回、转换及转托管等业务而引起的基金份额变动及结余情况的账户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39、开放日：指为投资人办理基金份额申购、赎回或其他业务的工作日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42、认购：指在基金募集期内，投资人根据基金合同和招募说明书的规定申请购买基金份额的行为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43、申购：指基金合同生效后，投资人根据基金合同和招募说明书的规定申请购买基金份额的行为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44、赎回：指基金合同生效后，基金份额持有人按基金合同和招募说明书规定的条件要求将基金份额兑换为现金的行为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45、注册登记系统：指中国证券登记结算有限责任公司开放式基金登记结算系统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46、证券登记结算系统：指中国证券登记结算有限责任公司上海分公司证券登记结算系统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47、销售服务费：指从基金资产中计提的，用于本基金市场推广、销售以及基金份额持有人服务的费用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48、基金份额类别：本基金根据申购费用、赎回费用及销售服务费收取方式的不同，将基金份额分为不同的类别。两类基金份额分设不同的基金代码，并分别公布基金份额净值和基金资产净值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49、A类基金份额：指对投资者收取申购费用、赎回时收取赎回费用的，且不从本类别基金资产中计提销售服务费的基金份额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50、C类基金份额：指对投资者不收取申购费用、赎回时收取赎回费用的，且从本类别基金资产中计提销售服务费的基金份额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51、基金转换：指基金份额持有人按照本基金合同和基金管理人届时有效公告规定的条件，申请将其持有基金管理人管理的、某一基金的基金份额转换为基金管理人管理的其他基金基金份额的行为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52、转托管：指基金份额持有人在本基金的不同销售机构之间实施的变更所持基金份额销售机构的操作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定期定额投资计划：指投资人通过有关销售机构提出申请，约定每期申购日、扣款金额及扣款方式，由指定的销售机构在投资人指定银行账户内自动完成扣款并于每期约定的申购日提交基金申购申请的一种投资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55、元：指人民币元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56、基金收益：指基金投资所得红利、股息、债券利息、买卖证券价差、银行存款利息、已实现的其他合法收入及因运用基金财产带来的成本和费用的节约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57、基金资产总值：指基金拥有的各类有价证券、银行存款本息、基金应收申购款及其他资产的价值总和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58、基金资产净值：指基金资产总值减去基金负债后的价值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59、基金份额净值：指计算日基金资产净值除以计算日基金份额总数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50、基金资产估值：指计算评估基金资产和负债的价值，以确定基金资产净值和基金份额净值的过程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61、流动性受限资产：指由于法律法规、监管、合同或操作障碍等原因无法以</w:t>
      </w:r>
      <w:r>
        <w:rPr>
          <w:rFonts w:ascii="宋体" w:hAnsi="宋体"/>
          <w:sz w:val="24"/>
        </w:rPr>
        <w:lastRenderedPageBreak/>
        <w:t>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62、指定媒介：指中国证监会指定的用以进行信息披露的全国性报刊及指定互联网网站（包括基金管理人网站、基金托管人网站、中国证监会基金电子披露网站）等媒介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63、不可抗力：指本基金合同当事人不能预见、不能避免且不能克服的客观事件</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6" w:name="_Toc135665073"/>
      <w:r>
        <w:rPr>
          <w:rFonts w:ascii="Times New Roman" w:hAnsi="Times New Roman"/>
          <w:sz w:val="30"/>
        </w:rPr>
        <w:lastRenderedPageBreak/>
        <w:t>三、基金管理人</w:t>
      </w:r>
      <w:bookmarkEnd w:id="6"/>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4C4B0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4C4B0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4C4B0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4C4B0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王艺伟女士:基金经理。北京大学经济学硕士，吉林大学经济学学士、理学学士。1</w:t>
      </w:r>
      <w:r w:rsidR="00035EB2">
        <w:rPr>
          <w:rFonts w:ascii="宋体" w:hAnsi="宋体"/>
          <w:sz w:val="24"/>
        </w:rPr>
        <w:t>1</w:t>
      </w:r>
      <w:r>
        <w:rPr>
          <w:rFonts w:ascii="宋体" w:hAnsi="宋体"/>
          <w:sz w:val="24"/>
        </w:rPr>
        <w:t>年证券投资行业从业经验。2012年至2014年任光大证券研究所宏观分析师。2014年加入交银施罗德基金管理有限公司，曾任研究员、研究部助理总经理、基金经理助理、固定收益部基金经理，混合资产投资助理总监、基金经理。曾任交银施罗德荣鑫灵活配置混合型证券投资基金(2019年11月28日至2023年02月16日)、交银施罗德安心收益债券型证券投资基金(2019年11月28日至2022年01月26日)的基金经</w:t>
      </w:r>
      <w:r>
        <w:rPr>
          <w:rFonts w:ascii="宋体" w:hAnsi="宋体"/>
          <w:sz w:val="24"/>
        </w:rPr>
        <w:lastRenderedPageBreak/>
        <w:t>理。现任交银施罗德瑞鑫六个月持有期混合型证券投资基金(2020年07月09日至今)、交银施罗德恒益灵活配置混合型证券投资基金(2020年07月09日至今)、交银施罗德优选回报灵活配置混合型证券投资基金(2020年07月09日至今)、交银施罗德优择回报灵活配置混合型证券投资基金(2020年07月09日至今)、交银施罗德多策略回报灵活配置混合型证券投资基金(2020年07月09日至今)、交银施罗德周期回报灵活配置混合型证券投资基金(2020年07月09日至今)、交银施罗德新回报灵活配置混合型证券投资基金(2020年07月09日至今)、交银施罗德臻选回报混合型证券投资基金(2020年12月23日至今)的基金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李永兴先生(2014年05月22日至2015年05月30日)；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项廷锋先生(2014年06月03日至2015年10月06日)；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李娜女士(2015年08月04日至2020年12月18日)；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凌超先生(2019年07月20日至2020年07月22日)。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上述人员之间无近亲属关系，上述各项人员信息更新截止日为2023年04月28日，期后变动（如有）敬请关注基金管理人发布的相关公告。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7、计算并公告基金净值信息，确定基金份额申购、赎回价格；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1、风险管理的原则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独立行使督察权利；直接对董事会负责；就内部控制制度和执行情况独立地履行检查、评价、报告、建议职能；定期和不定期地向董事会报告公司内部控制执行情况。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w:t>
      </w:r>
      <w:r>
        <w:rPr>
          <w:rFonts w:ascii="宋体" w:hAnsi="宋体"/>
          <w:sz w:val="24"/>
        </w:rPr>
        <w:lastRenderedPageBreak/>
        <w:t>自工作领域中的风险隐患上报，以防范和减少风险。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7" w:name="_Toc135665074"/>
      <w:r>
        <w:rPr>
          <w:rFonts w:ascii="Times New Roman" w:hAnsi="Times New Roman"/>
          <w:sz w:val="30"/>
        </w:rPr>
        <w:lastRenderedPageBreak/>
        <w:t>四、基金托管人</w:t>
      </w:r>
      <w:bookmarkEnd w:id="7"/>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8" w:name="_Toc135665075"/>
      <w:r>
        <w:rPr>
          <w:rFonts w:ascii="Times New Roman" w:hAnsi="Times New Roman"/>
          <w:sz w:val="30"/>
        </w:rPr>
        <w:lastRenderedPageBreak/>
        <w:t>五、相关服务机构</w:t>
      </w:r>
      <w:bookmarkEnd w:id="8"/>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本基金直销机构为本基金管理人以及本基金管理人的网上直销交易平台（网站及APP，下同）。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A类基金份额前端基金份额的申购、赎回、定期定额投资、转换等业务、本基金C类基金份额的申购、赎回、转换等业务，具体交易细则请参阅本公司网站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本基金A类基金份额除直销机构外的其他场外销售机构：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（2）名称：中国农业银行股份有限公司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（5）名称：东莞农村商业银行股份有限公司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办公地址：东莞市东城区鸿福东路2号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（6）名称：江苏江南农村商业银行股份有限公司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（7）名称：中国民生银行股份有限公司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（8）名称：平安银行股份有限公司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传真：0755-82080406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（9）名称：宁波银行股份有限公司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（10）名称：上海浦东发展银行股份有限公司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（11）名称：光大证券股份有限公司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（12）名称：中信证券股份有限公司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（13）名称：中信建投证券股份有限公司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（14）名称：华龙证券股份有限公司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（15）名称：长城国瑞证券有限公司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传真：（0592）5161640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（16）名称：长江证券股份有限公司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（17）名称：国新证券股份有限公司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（18）名称：西南证券股份有限公司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网址：www.swsc.com.cn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（19）名称：信达证券股份有限公司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（20）名称：国金证券股份有限公司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（21）名称：瑞银证券有限责任公司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（22）名称：中国国际金融股份有限公司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办公地址：北京建国门外大街1号国贸大厦2座27层及28层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（23）名称：江海证券有限公司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（24）名称：中泰证券股份有限公司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（25）名称：申万宏源西部证券有限公司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客户服务电话：4008-000-562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（26）名称：中信证券（山东）有限责任公司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（27）名称：中国银河证券股份有限公司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（28）名称：申万宏源证券有限公司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（29）名称：国都证券股份有限公司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法定代表人：王少华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（30）名称：联讯证券股份有限公司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（31）名称：华西证券股份有限公司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（32）名称：平安证券股份有限公司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网址：www.pingan.com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（33）名称：德邦证券有限责任公司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（34）名称：长城证券有限责任公司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（35）名称：中信证券华南股份有限公司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（36）名称：国信证券股份有限公司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电话：（0755）82130833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（37）名称：东方财富证券股份有限公司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（38）名称：中国中金财富证券有限公司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（39）名称：海通证券股份有限公司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客户服务电话：95553或拨打各城市营业网点咨询电话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（40）名称：广发证券股份有限公司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（41）名称：湘财证券股份有限公司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（42）名称：华泰证券股份有限公司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（43）名称：华宝证券股份有限公司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住所：中国上海市陆家嘴环路166号未来资产大厦27楼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（44）名称：兴业证券股份有限公司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（45）名称：招商证券股份有限公司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（46）名称：方正证券股份有限公司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传真：（010）68546792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（47）名称：山西证券股份有限公司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（48）名称：第一创业证券股份有限公司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（49）名称：深圳市新兰德证券投资咨询有限公司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（50）名称：上海大智慧基金销售有限公司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（51）名称：上海天天基金销售有限公司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（52）名称：和讯信息科技有限公司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（53）名称：上海好买基金销售有限公司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法定代表人：杨文斌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（54）名称：上海长量基金销售投资顾问有限公司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（55）名称：深圳众禄基金销售有限公司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（56）名称：蚂蚁（杭州）基金销售有限公司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（57）名称：天相投资顾问有限公司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（58）名称：一路财富（北京）信息科技有限公司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（59）名称：北京展恒基金销售股份有限公司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（60）名称：上海联泰基金销售有限公司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法定代表人：燕斌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（61）名称：宜信普泽投资顾问（北京）有限公司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（62）名称：上海基煜基金销售有限公司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（63）名称：珠海盈米财富管理有限公司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传真：（020）89629011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（64）名称：上海利得基金销售有限公司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（65）名称：上海凯石财富基金销售有限公司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（66）名称：北京虹点基金销售有限公司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网址：www.hongdianfund.com/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（67）名称：浙江同花顺基金销售有限公司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（68）名称：诺亚正行(上海)基金销售投资顾问有限公司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（69）名称：中信期货有限公司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（70）名称：上海陆金所资产管理有限公司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（71）名称：北京钱景财富投资管理有限公司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（72）名称：北京中植基金销售有限公司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（73）名称：北京汇成基金销售有限公司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法定代表人：王伟刚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（74）名称：奕丰基金销售有限公司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（75）名称：北京创金启富基金销售有限公司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（76）名称：上海云湾投资管理有限公司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传真：（021）20538999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（77）名称：中证金牛（北京）投资咨询有限公司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（78）名称：北京新浪仓石基金销售有限公司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（79）名称：北京肯特瑞基金销售有限公司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传真：010-89189566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（80）名称：北京雪球基金销售有限公司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（81）名称：凤凰金信（银川）投资管理有限公司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（82）名称：深圳市金斧子基金销售有限公司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客户服务电话：400-9500-888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（83）名称：格上富信投资顾问有限公司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（84）名称：上海万得基金销售有限公司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（85）名称：天津万家财富资产管理有限公司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（86）名称：上海挖财金融信息服务有限公司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住所：中国（上海）自由贸易试验区杨高南路799号5层01、02、03室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（87）名称：嘉实财富管理有限公司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（88）名称：南京苏宁基金销售有限公司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（89）名称：北京度小满基金销售有限公司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电话：010-61952703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（90）名称：北京唐鼎耀华投资咨询有限公司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（91）名称：上海华夏财富投资管理有限公司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（92）名称：江苏汇林保大基金销售有限公司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客户服务电话：025-66046166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（93）名称：玄元保险代理有限公司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（94）名称：阳光人寿保险股份有限公司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（95）名称：大连网金基金销售有限公司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（96）名称：腾安基金销售（深圳）有限公司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w:t>
      </w:r>
      <w:r>
        <w:rPr>
          <w:rFonts w:ascii="宋体" w:hAnsi="宋体"/>
          <w:sz w:val="24"/>
        </w:rPr>
        <w:lastRenderedPageBreak/>
        <w:t>书有限公司）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（97）名称：和耕传承基金销售有限公司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（98）名称：北京植信基金销售有限公司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（99）名称：上海钜派钰茂基金销售有限公司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电话：021-52265962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（100）名称：中国人寿保险股份有限公司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（101）名称：济安财富（北京）基金销售有限公司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本基金C类份额的销售机构暂仅包括本公司直销机构。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如有其他销售机构新增办理本基金C类份额的申购、赎回、转换等业务，请以管理人网站公示为准。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传真：（010）50938907</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9" w:name="_Toc135665076"/>
      <w:r>
        <w:rPr>
          <w:rFonts w:ascii="Times New Roman" w:hAnsi="Times New Roman"/>
          <w:sz w:val="30"/>
        </w:rPr>
        <w:lastRenderedPageBreak/>
        <w:t>六、基金的历史沿革</w:t>
      </w:r>
      <w:bookmarkEnd w:id="9"/>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2013年4月23日证监许可【2013】581号文核准募集发售。基金管理人为交银施罗德基金管理有限公司，基金托管人为中国农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本基金自2014年4月28日至2014年5月16日进行发售。本基金设立募集期共募集541,850,664.92份基金份额，有效认购户数为3,752户。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和《交银施罗德周期回报灵活配置混合型证券投资基金基金合同》的有关规定，经与基金托管人协商一致并报中国证券监督管理委员会备案，本基金自2015年11月19日起增加收取销售服务费的C类基金份额，并相应修改基金合同和托管协议相关表述。</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0" w:name="_Toc135665077"/>
      <w:r>
        <w:rPr>
          <w:rFonts w:ascii="Times New Roman" w:hAnsi="Times New Roman"/>
          <w:sz w:val="30"/>
        </w:rPr>
        <w:lastRenderedPageBreak/>
        <w:t>七、基金合同的生效</w:t>
      </w:r>
      <w:bookmarkEnd w:id="10"/>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根据有关规定，本基金满足基金合同生效条件，基金合同已于2014年5月22日正式生效。自基金合同生效之日起，本基金管理人正式开始管理本基金。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1" w:name="_Toc135665078"/>
      <w:r>
        <w:rPr>
          <w:rFonts w:ascii="Times New Roman" w:hAnsi="Times New Roman"/>
          <w:sz w:val="30"/>
        </w:rPr>
        <w:lastRenderedPageBreak/>
        <w:t>八、基金份额的申购与赎回</w:t>
      </w:r>
      <w:bookmarkEnd w:id="11"/>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A类基金份额前端基金份额的申购、赎回、定期定额投资、转换等业务以及本基金C类基金份额的申购、赎回、转换等业务，具体交易细则请参阅本公司网站公告。网上交易网址：www.fund001.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本基金代销机构参见本招募说明书“五、相关服务机构”章节或拨打本公司客户服务电话进行咨询。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如有其他销售机构新增办理本基金的申购赎回等业务，请以本公司届时相关公告为准。</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本基金A类、C类基金份额已分别于2014年6月23日、2015年11月19日起开放申购业务。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本基金A类、C类基金份额已分别于2014年6月23日、2015年11月19日起开放赎回业务。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1、“未知价”原则，即申购、赎回价格以申请当日收市后计算的各类基金份额净值为基准进行计算；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5、基金管理人可在法律法规允许的情况下，对上述原则进行调整。基金管理人必须在新规则开始实施前依照《信息披露办法》的有关规定在指定媒介上公告。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D07D1E" w:rsidRPr="00D07D1E" w:rsidRDefault="00D07D1E" w:rsidP="00D07D1E">
      <w:pPr>
        <w:autoSpaceDE w:val="0"/>
        <w:autoSpaceDN w:val="0"/>
        <w:adjustRightInd w:val="0"/>
        <w:snapToGrid w:val="0"/>
        <w:spacing w:line="360" w:lineRule="auto"/>
        <w:ind w:firstLineChars="200" w:firstLine="480"/>
        <w:jc w:val="left"/>
        <w:rPr>
          <w:rFonts w:ascii="宋体" w:hAnsi="宋体"/>
          <w:sz w:val="24"/>
        </w:rPr>
      </w:pPr>
      <w:r w:rsidRPr="00D07D1E">
        <w:rPr>
          <w:rFonts w:ascii="宋体" w:hAnsi="宋体" w:hint="eastAsia"/>
          <w:sz w:val="24"/>
        </w:rPr>
        <w:lastRenderedPageBreak/>
        <w:t>代销机构每个账户单笔申购的最低金额为单笔1元，如果代销机构业务规则规定的最低单笔认购金额高于1元，以代销机构的规定为准。</w:t>
      </w:r>
    </w:p>
    <w:p w:rsidR="004C4B06" w:rsidRDefault="00D07D1E" w:rsidP="00D07D1E">
      <w:pPr>
        <w:autoSpaceDE w:val="0"/>
        <w:autoSpaceDN w:val="0"/>
        <w:adjustRightInd w:val="0"/>
        <w:snapToGrid w:val="0"/>
        <w:spacing w:line="360" w:lineRule="auto"/>
        <w:ind w:firstLineChars="200" w:firstLine="480"/>
        <w:jc w:val="left"/>
        <w:rPr>
          <w:rFonts w:ascii="宋体" w:hAnsi="宋体"/>
          <w:szCs w:val="24"/>
        </w:rPr>
      </w:pPr>
      <w:r w:rsidRPr="00D07D1E">
        <w:rPr>
          <w:rFonts w:ascii="宋体" w:hAnsi="宋体" w:hint="eastAsia"/>
          <w:sz w:val="24"/>
        </w:rPr>
        <w:t>直销机构每个账户首次申购的最低金额为单笔100万元，追加申购的最低金额为单笔10万元；已在直销机构有认购或申购过本基金管理人管理的任一基金（包括本基金）记录的投资者不受首次申购最低金额的限制。通过本基金管理人网上直销交易平台办理基金申购业务的不受直销机构单笔申购最低金额的限制，申购最低金额为单笔1元。本基金直销机构单笔申购最低金额可由基金管理人酌情调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5、基金管理人可以根据市场情况，在法律法规允许的情况下，调整上述规定的数量或比例限制。基金管理人必须在调整前依照《信息披露办法》的有关规定在指定媒介上公告。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w:t>
      </w:r>
      <w:r>
        <w:rPr>
          <w:rFonts w:ascii="宋体" w:hAnsi="宋体"/>
          <w:sz w:val="24"/>
        </w:rPr>
        <w:lastRenderedPageBreak/>
        <w:t>份额时，申购生效。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 内支付赎回款项。在发生巨额赎回时，款项的支付办法参照本基金合同有关条款处理。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（六）申购与赎回的登记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日申购基金成功后，正常情况下，登记机构在T＋1 日为投资者增加权益并办理登记手续，投资者自T＋2 日（包括该日）起有权赎回该部分基金份额。投资者应及时查询有关申请的确认情况。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日赎回基金成功后，正常情况下，登记机构在T＋1 日为投资者扣除权益并办理相应的登记手续。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3、基金管理人可在法律法规允许的范围内，对上述登记办理时间进行调整，并最迟于开始实施前按照《信息披露办法》的有关规定在指定媒介上公告。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（七）基金的申购费和赎回费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本基金基金份额分为A类和C类基金份额，投资人申购A类基金份额在申购时支付申购费用，申购C类基金份额不支付申购费用，而是从该类别基金资产中计提销售服务费。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本基金A类基金份额提供两种申购费用的支付模式。投资者可以选择前端收费</w:t>
      </w:r>
      <w:r>
        <w:rPr>
          <w:rFonts w:ascii="宋体" w:hAnsi="宋体"/>
          <w:sz w:val="24"/>
        </w:rPr>
        <w:lastRenderedPageBreak/>
        <w:t>模式，即在申购时支付申购费用；也可以选择后端收费模式，即在赎回时才支付相应的申购费用，该费用随基金份额的持有时间递减。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本基金A类基金份额的申购费用由A类基金份额申购人承担，不列入基金财产，主要用于本基金的市场推广、销售、登记等各项费用。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C4B0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1.2%</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0.8%</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万元（含）至</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0.3%</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4C4B0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1.8%</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1.2%</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0.6%</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因红利自动再投资而产生的A类基金份额，不收取相应的申购费用。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自2014年6月23日起，对通过本公司直销柜台申购本基金A类基金份额前端基金份额的养老金客户实施特定申购费率。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通过本公司直销柜台申购本基金A类基金份额前端份额的养老金客户特定申购费率如下表：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4C4B0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w:t>
            </w:r>
            <w:r>
              <w:rPr>
                <w:rFonts w:ascii="Times New Roman" w:hAnsi="Times New Roman"/>
                <w:color w:val="000000"/>
                <w:kern w:val="0"/>
                <w:sz w:val="25"/>
                <w:szCs w:val="24"/>
              </w:rPr>
              <w:lastRenderedPageBreak/>
              <w:t>率（前端）</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前端基金份额特定申购费率</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万元（含）至</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元</w:t>
            </w:r>
            <w:r>
              <w:rPr>
                <w:rFonts w:ascii="Times New Roman" w:hAnsi="Times New Roman"/>
                <w:color w:val="000000"/>
                <w:kern w:val="0"/>
                <w:sz w:val="25"/>
                <w:szCs w:val="24"/>
              </w:rPr>
              <w:t>/</w:t>
            </w:r>
            <w:r>
              <w:rPr>
                <w:rFonts w:ascii="Times New Roman" w:hAnsi="Times New Roman"/>
                <w:color w:val="000000"/>
                <w:kern w:val="0"/>
                <w:sz w:val="25"/>
                <w:szCs w:val="24"/>
              </w:rPr>
              <w:t>笔</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C4B0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0.2%</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赎回费用的25%归基金财产，其余用于支付登记费和其他必要的手续费。其中，对持续持有期少于7日的基金份额持有人收取的赎回费全额计入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C4B0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（八）申购和赎回的数额和价格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申购的有效份额为净申购金额除以当日的A类基金份额净值，有效份额单位为份，申购有效份额的计算按四舍五入方法，保留到小数点后两位，由此产生的收益或损失由基金财产承担。本基金C类基金份额不收取申购费用，申购的有效份额为申购金额除以当日的C类基金份额净值，有效份额单位为份，申购份额计算结果按四舍五入方法，保留到小数点后2位，由此产生的收益或损失由基金财产承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有效赎回份额乘以当日各类基金份额净值并扣除相应的费用，赎回金额计算结果保留到小数点后2位，小数点后两位以后的部分四舍五入，由此产生的收益或损失由基金财产承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本基金A类基金份额申购可以采取前端收费模式和后端收费模式。C类基金份额仅收取销售服务费。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（1）A类基金份额前端收费模式：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申购总金额=申请总金额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例一：某投资者投资40,000元申购本基金的A类基金份额，假设申购当日A类基金份额净值为1.040元，如果其选择前端收费方式，申购费率为1.5%，则其可得到的申购份额为：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即：某投资者投资40,000元申购本基金的A类基金份额，假设申购当日A类基金份额净值为1.040元，如果其选择前端收费方式，则其可得到37,893.14份A类基金份额。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（2）A类基金份额后端收费模式：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申购份额＝申购总金额/T日A类基金份额净值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例二：某投资者投资40,000元申购本基金的A类基金份额，假设申购当日A类基金份额净值为1.040元，如果其选择后端收费方式，则其可得到的申购份额为：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 ＝ 38,461.54份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即：投资者投资40,000元申购本基金的A类基金份额，假设申购当日A类基金份额净值为1.040元，则可得到38,461.54份A类基金份额，但其在赎回时需根据其持有时间按对应的后端申购费率交纳后端申购费用。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（3）C类基金份额的申购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如果投资者选择申购本基金C类基金份额，则申购份额的计算方法如下：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申购总金额=申请总金额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例三：某投资者投资100,000元申购本基金的C类基金份额，假设申购当日C类基金份额净值为1.040元，则其可得到的申购份额为：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申购份额＝100,000/1.040＝96,153.85份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即：投资者投资100,000元申购本基金的C类基金份额，假设申购当日C类基金份额净值为1.040元，则其可得到96,153.85份C类基金份额。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1）如果投资者在认（申）购A类基金份额时选择交纳前端认（申）购费用，则赎回金额的计算方法如下：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例四：某投资者赎回通过前端认购（申购）持有的10,000份A类基金份额，对应的赎回费率为0.5%，假设赎回当日A类基金份额净值是1.016元，则其可得到的赎回金额为：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即：投资者赎回本基金10,000份A类基金份额，假设赎回当日A类基金份额净值是1.016元，则其可得到的赎回金额为10,109.20元。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2）如果投资者在认（申）购A类基金份额时选择交纳后端认（申）购费用，则赎回金额的计算方法如下：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后端认（申）购费用＝赎回份额×认（申）购日A类基金份额净值×后端认（申）购费率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例五：某投资者赎回通过后端认购持有的10,000份A类基金份额，对应的后端认购费率为1.6%，赎回费率为0.5%，假设赎回当日A类基金份额净值是1.016元，则其可得到的赎回金额为：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后端认购费用 = 10,000×1.00×1.6% = 160.00元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10,000×1.016-160.00-50.80 ＝ 9,949.20元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通过后端认购所得本基金10,000份A类基金份额，对应的赎回费率为0.5%，假设赎回当日A类基金份额净值是1.016元，投资者对应的后端认购费率是1.6%，认购时的A类基金份额初始面值为1.00元，则其可得到的赎回金额为9,949.20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例六：某投资者赎回通过后端申购持有的10,000份A类基金份额，对应的后端申购费率是1.8%，赎回费率为0.5%，假设赎回当日A类基金份额净值是1.016元，申购时的A类基金份额净值为1.010元，则其可得到的赎回金额为：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赎回总额=10,000×1.016=10,160元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后端申购费用=10,000×1.010×1.8%=181.80元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即：投资者赎回本基金10,000份A类基金份额，对应的赎回费率为0.5%，假设赎回当日A类基金份额净值是1.016元，投资者对应的后端申购费率是1.8%，申购时的A类基金净值为1.010元，则其可得到的赎回金额为9,927.40元。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例七：某投资者赎回持有的10,000份C类基金份额，对应的赎回费率为0.5%，假设赎回当日C类基金份额净值是1.016元，则其可得到的赎回金额为：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即：投资者赎回本基金10,000份C类基金份额，对应的赎回费率为0.5%，假设赎回当日C类基金份额净值是1.016元，则其可得到的赎回金额为10,109.20元。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C类基金份额净值＝C类基金份额的基金资产净值总额/发行在外的C类基金份额总数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（九）拒绝或暂停申购的情形及处理方式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发生下列情况时，基金管理人可拒绝或暂停接受基金投资者的申购申请：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3、证券、期货交易所交易时间临时停市，导致基金管理人无法计算当日基金资产净值。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（十）暂停赎回或者延缓支付赎回款项的情形及处理方式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发生下列情形时，基金管理人可暂停接受基金投资者的赎回申请或延缓支付赎</w:t>
      </w:r>
      <w:r>
        <w:rPr>
          <w:rFonts w:ascii="宋体" w:hAnsi="宋体"/>
          <w:sz w:val="24"/>
        </w:rPr>
        <w:lastRenderedPageBreak/>
        <w:t>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3、证券、期货交易所交易时间临时停市，导致基金管理人无法计算当日基金资产净值。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（十一）巨额赎回的情形及处理方式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w:t>
      </w:r>
      <w:r>
        <w:rPr>
          <w:rFonts w:ascii="宋体" w:hAnsi="宋体"/>
          <w:sz w:val="24"/>
        </w:rPr>
        <w:lastRenderedPageBreak/>
        <w:t>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 发生巨额赎回，如基金管理人认为有必要，可暂停接受基金的赎回申请；已经接受的赎回申请可以延缓支付赎回款项，但不得超过20个工作日，并应当在指定媒介上进行公告。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当发生上述延期赎回并延期办理时，基金管理人应当通过邮寄、传真、刊登公告或者通知代销机构代为告知等方式在3个交易日内通知基金份额持有人，说明有关处理方法，并在2日内在指定媒介上刊登公告。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（十二）暂停申购或赎回的公告和重新开放申购或赎回的公告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2、暂停结束，基金重新开放申购或赎回时，基金管理人应依照《信息披露管理办法》的有关规定，不迟于重新开放日在指定媒介上刊登基金重新开放申购或赎回公告，并公告最近1个开放日的A/C类基金份额净值。</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（十三）基金的非交易过户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（十四）基金的转托管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（十五）定期定额投资计划</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2015年2月9日刊登公告自同日起开通本基金A类基金份额的定期定额投资计划业务，具体开通销售机构名单和业务规则参见相关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（十六）定期定额赎回业务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A类基金份额的定期定额赎回业务。定期定额赎回业务是指投资人可以委托中国农业银行股份有限公司每月固定时间从指定的基金账户代投资人赎回固定份额的基金。本基金2015年2月9日刊登公告自即日起在中国农业银行股份有限公司下属各销售网点开通本基金A类基金份额的定期定额赎回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销售网点或中国农业银行股份有限公司客户服务热线（95599）。</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（十七）基金份额的冻结和解冻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（十八）基金上市交易和场内申购赎回业务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（十九）其他业务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如相关法律法规允许基金管理人办理基金份额的质押业务或其他基金业务，基金管理人可制定相应的业务规则并开展相关业务，并依照《信息披露办法》的有关规定进行公告。</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2" w:name="_Toc135665079"/>
      <w:r>
        <w:rPr>
          <w:rFonts w:ascii="Times New Roman" w:hAnsi="Times New Roman"/>
          <w:sz w:val="30"/>
        </w:rPr>
        <w:lastRenderedPageBreak/>
        <w:t>九、基金的转换</w:t>
      </w:r>
      <w:bookmarkEnd w:id="12"/>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本基金2014年8月5日刊登公告自2014年8月8日起开放A类基金份额的日常转换业务。本基金2022年1月11日刊登公告自2022年1月12日起开放C类基金份额的日常转换业务。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除非基金管理人在未来条件成熟后另行公告开通相关业务，本基金不同基金份额类别之间不得互相转换。</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代理的同一基金管理人管理的、在同一注册登记机构处注册登记的基金。投资人办理基金转换业务时，转出方的基金必须处于可赎回状态，转入方的基金必须处于可申购状态。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3" w:name="_Toc135665080"/>
      <w:r>
        <w:rPr>
          <w:rFonts w:ascii="Times New Roman" w:hAnsi="Times New Roman"/>
          <w:sz w:val="30"/>
        </w:rPr>
        <w:lastRenderedPageBreak/>
        <w:t>十、基金的投资</w:t>
      </w:r>
      <w:bookmarkEnd w:id="13"/>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基金保留的现金或者投资于到期日在一年以内的政府债券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w:t>
      </w:r>
      <w:r>
        <w:rPr>
          <w:rFonts w:ascii="宋体" w:hAnsi="宋体"/>
          <w:sz w:val="24"/>
        </w:rPr>
        <w:lastRenderedPageBreak/>
        <w:t>资时钟分析框架，确定基金资产在各类别资产间的分配比例，并随着各类证券风险收益特征的相对变化，动态调整组合中各类资产的比例，以规避或分散市场风险，提高基金收益率。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3、股票选择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本基金将综合运用交银施罗德股票研究分析方法和其它投资分析工具，充分发挥研究团队“自下而上”的主动选股能力，精选具有投资潜力的股票构建投资组合。具体分以下两个层次进行股票挑选：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公司治理结构良好，管理规范，信息透明；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② 主营业务鲜明，盈利能力强，收入和利润稳定增长；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公司具有质量优良的成长性；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公司财务状况良好，具备一定的规模优势和较好的抗风险能力；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公司在管理制度、产品开发、技术进步方面具有相当的核心竞争优势，有良好的市场知名度和较好的品牌效应，处于行业龙头地位。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对上述重点上市公司进行内在价值的评估和成长性跟踪研究，在明确的价值评估基础上精选优秀质地的投资标的构建股票组合。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4、债券投资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5、权证投资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7、股指期货投资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Pr>
          <w:rFonts w:ascii="宋体" w:hAnsi="宋体"/>
          <w:sz w:val="24"/>
        </w:rPr>
        <w:lastRenderedPageBreak/>
        <w:t>活跃的期货合约。本基金在进行股指期货投资时，将通过对证券市场和期货市场运行趋势的研究，并结合股指期货的定价模型寻求其合理的估值水平。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（3）本基金持有一家上市公司的股票，其市值不超过基金资产净值的10％；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w:t>
      </w:r>
      <w:r>
        <w:rPr>
          <w:rFonts w:ascii="宋体" w:hAnsi="宋体"/>
          <w:sz w:val="24"/>
        </w:rPr>
        <w:lastRenderedPageBreak/>
        <w:t>金持有资产支持证券期间，如果其信用等级下降、不再符合投资标准，应在评级报告发布之日起3个月内予以全部卖出；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（14）本基金进入全国银行间同业市场进行债券回购的资金余额不得超过基金资产净值的40%；债券回购最长期限为1年，债券回购到期后不得展期；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（15）本基金在任何交易日日终，持有的买入股指期货合约价值，不得超过基金资产净值的10%；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（17）本基金在任何交易日日终，持有的卖出期货合约价值不得超过基金持有的股票总市值的20%；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（18）本基金所持有的股票市值和买入、卖出股指期货合约价值，合计（轧差计算）占基金资产的0%-95%；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（19）本基金在任何交易日内交易（不包括平仓）的股指期货合约的成交金额不得超过上一交易日基金资产净值的20%；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（20）本基金每个交易日日终在扣除股指期货合约需缴纳的交易保证金后，应当保持不低于基金资产净值5%的现金或到期日在一年以内的政府债券，其中现金不包括结算备付金、存出保证金和应收申购款等；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（23）本基金与私募类证券资管产品及中国证监会认定的其他主体为交易对手</w:t>
      </w:r>
      <w:r>
        <w:rPr>
          <w:rFonts w:ascii="宋体" w:hAnsi="宋体"/>
          <w:sz w:val="24"/>
        </w:rPr>
        <w:lastRenderedPageBreak/>
        <w:t>开展逆回购交易的，可接受质押品的资质要求应当与本基金合同约定的投资范围保持一致；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（24）本基金投资存托凭证的比例限制依照境内上市交易的股票执行；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（25）法律法规及中国证监会规定的和《基金合同》约定的其他投资限制。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20）、（22）、（23）项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法律法规或监管部门取消或修改上述限制，如适用于本基金，基金管理人在履行适当程序后，则本基金投资所受限制相应调整。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（5）向其基金管理人、基金托管人出资或者买卖其基金管理人、基金托管人发行的股票或者债券；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（6）买卖与其基金管理人、基金托管人有控股关系的股东或者与其基金管理人、基金托管人有其他重大利害关系的公司发行的证券或者承销期内承销的证券；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如法律法规或监管部门取消上述禁止性规定，基金管理人在履行适当程序后，本基金可不受上述规定的限制。</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50%×沪深300指数收益率+50%×中债综合全价指数收益率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w:t>
      </w:r>
      <w:r>
        <w:rPr>
          <w:rFonts w:ascii="宋体" w:hAnsi="宋体"/>
          <w:sz w:val="24"/>
        </w:rPr>
        <w:lastRenderedPageBreak/>
        <w:t>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中债综合全价指数由中央国债登记结算有限责任公司编制并发布，其指数样本涵盖国债、政策性银行债、商业银行债、地方企业债、中期票据以及证券公司短期融资券等14类券种，能够综合反映我国债券市场的整体投资收益情况，适合作为本基金固定收益类资产投资的业绩比较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本基金是一只混合型基金，其长期平均风险和预期收益高于债券型基金和货币市场基金，低于股票型基金。</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（七）基金的融资、融券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本基金可以根据有关法律法规和政策的有关规定进行融资、融券。</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（八）基金管理人代表基金行使股东及债权人权利的处理原则及方法</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（1）国家有关法律法规和基金合同的有关规定；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（6）基金经理对每日交易执行情况进行回顾，并审视基金投资组合的变动情况；</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324,593,307.88</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15.40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324,593,307.88</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15.40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1,617,262,591.00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76.75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1,617,262,591.00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76.75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111,987,886.03</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5.31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8,363,527.54</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0.40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44,898,279.52</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2,107,105,591.97</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A</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10,620,703.00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42,459.36</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173,751,837.44</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8.32</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39,359,087.80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1.88</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21,102,136.48</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1.01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444,832.76</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16,004,939.91</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0.77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7,643,194.09</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0.37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17,238,110.00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0.83</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18,548,838.06</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0.89</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1,689,252.00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58,653.35</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15,547,797.09</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0.74</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73,528.54</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2,467,938.00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324,593,307.88</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15.54</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中国核电</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2,737,200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17,490,708.00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600323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瀚蓝环境</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749,550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13,379,467.50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0.64</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002001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w:t>
            </w:r>
            <w:r>
              <w:rPr>
                <w:rFonts w:ascii="Times New Roman" w:hAnsi="Times New Roman"/>
                <w:color w:val="000000"/>
                <w:kern w:val="0"/>
                <w:sz w:val="25"/>
                <w:szCs w:val="24"/>
              </w:rPr>
              <w:t xml:space="preserve"> </w:t>
            </w:r>
            <w:r>
              <w:rPr>
                <w:rFonts w:ascii="Times New Roman" w:hAnsi="Times New Roman"/>
                <w:color w:val="000000"/>
                <w:kern w:val="0"/>
                <w:sz w:val="25"/>
                <w:szCs w:val="24"/>
              </w:rPr>
              <w:t>和</w:t>
            </w:r>
            <w:r>
              <w:rPr>
                <w:rFonts w:ascii="Times New Roman" w:hAnsi="Times New Roman"/>
                <w:color w:val="000000"/>
                <w:kern w:val="0"/>
                <w:sz w:val="25"/>
                <w:szCs w:val="24"/>
              </w:rPr>
              <w:t xml:space="preserve"> </w:t>
            </w:r>
            <w:r>
              <w:rPr>
                <w:rFonts w:ascii="Times New Roman" w:hAnsi="Times New Roman"/>
                <w:color w:val="000000"/>
                <w:kern w:val="0"/>
                <w:sz w:val="25"/>
                <w:szCs w:val="24"/>
              </w:rPr>
              <w:t>成</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711,968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12,779,825.60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601117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中国化学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1,306,862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12,127,679.36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0.58</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104,620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11,626,420.60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601012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隆基绿能</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264,126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10,673,331.66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中信特钢</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553,195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9,835,807.10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0.47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601877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正泰电器</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338,712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9,473,774.64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保利发展</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669,500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9,460,035.00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1,064,500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9,122,765.00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0.44</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50,377,789.18</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76,503,723.29</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3.66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76,503,723.29</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3.66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653,835,524.92</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31.31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90,912,342.47</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4.35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739,629,934.82</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35.42</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6,003,276.32</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0.29</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1,617,262,591.00</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77.44</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092118003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农发清发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61,122,032.88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2.93</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112729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申宏</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51,647,150.69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2.47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2080119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深地铁债</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51,090,282.19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2.45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102000845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龙源电力</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51,084,186.30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2.45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102101041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中外运</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41,420,273.97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1.98</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448,997.91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43,747,206.66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702,074.95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44,898,279.52</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110068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龙净转债</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6,003,276.32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right"/>
              <w:rPr>
                <w:rFonts w:ascii="宋体" w:hAnsi="宋体"/>
                <w:color w:val="000000"/>
                <w:kern w:val="0"/>
                <w:sz w:val="25"/>
                <w:szCs w:val="24"/>
              </w:rPr>
            </w:pPr>
            <w:r>
              <w:rPr>
                <w:rFonts w:ascii="Times New Roman" w:hAnsi="Times New Roman"/>
                <w:color w:val="000000"/>
                <w:kern w:val="0"/>
                <w:sz w:val="25"/>
                <w:szCs w:val="24"/>
              </w:rPr>
              <w:t>0.29</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4" w:name="_Toc135665081"/>
      <w:r>
        <w:rPr>
          <w:rFonts w:ascii="Times New Roman" w:hAnsi="Times New Roman"/>
          <w:sz w:val="30"/>
        </w:rPr>
        <w:lastRenderedPageBreak/>
        <w:t>十一、基金的业绩</w:t>
      </w:r>
      <w:bookmarkEnd w:id="14"/>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1"/>
        <w:gridCol w:w="1202"/>
        <w:gridCol w:w="1202"/>
        <w:gridCol w:w="1202"/>
        <w:gridCol w:w="1203"/>
        <w:gridCol w:w="1203"/>
        <w:gridCol w:w="781"/>
        <w:gridCol w:w="656"/>
      </w:tblGrid>
      <w:tr w:rsidR="004C4B06">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C4B06">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-2.79%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8.01%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7.66%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8.87%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13.71%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8.74%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-9.25%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14.58%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10.65%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2.69%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8.70%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16.37%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6.91%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9.46%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-0.89%</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16.38%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31.11%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-14.73%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rsidR="004C4B06">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-2.81%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7.99%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7.55%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8.76%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13.53%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8.40%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-9.59%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3.78%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14.80%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10.48%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13.76%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19.77%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4C4B0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C4B06" w:rsidRDefault="004C4B0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年度（自基金分类日起至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r>
    </w:tbl>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4C4B06" w:rsidRDefault="0085618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交银施罗德周期回报灵活配置混合型证券投资基金</w:t>
      </w:r>
    </w:p>
    <w:p w:rsidR="004C4B06" w:rsidRDefault="0085618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4C4B06" w:rsidRDefault="0085618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（2014年5月22日至2023年03月31日）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（1）交银周期回报灵活配置混合A</w:t>
      </w:r>
    </w:p>
    <w:p w:rsidR="004C4B06" w:rsidRDefault="00351C2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（2）交银周期回报灵活配置混合C</w:t>
      </w:r>
    </w:p>
    <w:p w:rsidR="004C4B06" w:rsidRDefault="00351C2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2、本基金自2015年11月19日起，开始销售C类份额，投资者提交的申购申请于2015年11月20日被确认并将有效份额登记在册。</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5" w:name="_Toc135665082"/>
      <w:r>
        <w:rPr>
          <w:rFonts w:ascii="Times New Roman" w:hAnsi="Times New Roman"/>
          <w:sz w:val="30"/>
        </w:rPr>
        <w:lastRenderedPageBreak/>
        <w:t>十二、基金的财产</w:t>
      </w:r>
      <w:bookmarkEnd w:id="15"/>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基金资产总值是指基金拥有的各类有价证券、银行存款本息、基金应收申购款以及其他资产的价值总和。</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6" w:name="_Toc135665083"/>
      <w:r>
        <w:rPr>
          <w:rFonts w:ascii="Times New Roman" w:hAnsi="Times New Roman"/>
          <w:sz w:val="30"/>
        </w:rPr>
        <w:lastRenderedPageBreak/>
        <w:t>十三、基金资产的估值</w:t>
      </w:r>
      <w:bookmarkEnd w:id="16"/>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基金所拥有的股票、权证、债券、股指期货和银行存款本息、应收款项、其它投资等资产及负债。</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w:t>
      </w:r>
      <w:r>
        <w:rPr>
          <w:rFonts w:ascii="宋体" w:hAnsi="宋体"/>
          <w:sz w:val="24"/>
        </w:rPr>
        <w:lastRenderedPageBreak/>
        <w:t>值，在估值技术难以可靠计量公允价值的情况下，按成本估值；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5、本基金投资股指期货合约，一般以估值当日结算价进行估值，估值当日无结算价的，且最近交易日后经济环境未发生重大变化的，采用最近交易日结算价估值。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8、相关法律法规以及监管部门有强制规定的，从其规定。如有新增事项，按法律法规以及监管部门最新规定估值。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每个工作日分别计算A类基金份额、C类基金份额的基金资产净值及基金份额净值，并按规定公告。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w:t>
      </w:r>
      <w:r>
        <w:rPr>
          <w:rFonts w:ascii="宋体" w:hAnsi="宋体"/>
          <w:sz w:val="24"/>
        </w:rPr>
        <w:lastRenderedPageBreak/>
        <w:t>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基金管理人和基金托管人将采取必要、适当、合理的措施确保基金资产估值的准确性、及时性。当基金份额净值小数点后第3位以内（含第3位) 发生估值错误时，视为基金份额净值错误。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w:t>
      </w:r>
      <w:r>
        <w:rPr>
          <w:rFonts w:ascii="宋体" w:hAnsi="宋体"/>
          <w:sz w:val="24"/>
        </w:rPr>
        <w:lastRenderedPageBreak/>
        <w:t>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3、当前一估值日基金资产净值50%以上的资产出现无可参考的活跃市场价格且采用估值技术仍导致公允价值存在重大不确定性时，经与基金托管人协商确认后，基金管理人应当暂停估值；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4、占基金相当比例的投资品种的估值出现重大转变，而基金管理人为保障基金份额持有人的利益，决定延迟估值；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别基金资产净值和基金份额净值由基金管理人负责计算，基金托管人负责进行复核。基金管理人应于每个开放日交易结束后计算当日的各类别基金资产净值和基金份额净值并发送给基金托管人。基金托管人对净值计算结果复核确认后发送给基金管理人，由基金管理人对基金净值予以公布。</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期货交易所、期货公司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7" w:name="_Toc135665084"/>
      <w:r>
        <w:rPr>
          <w:rFonts w:ascii="Times New Roman" w:hAnsi="Times New Roman"/>
          <w:sz w:val="30"/>
        </w:rPr>
        <w:lastRenderedPageBreak/>
        <w:t>十四、基金的收益与分配</w:t>
      </w:r>
      <w:bookmarkEnd w:id="17"/>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4次，每份基金份额每次收益分配比例不得低于收益分配基准日每份基金份额可供分配利润的10%，若《基金合同》生效不满3个月可不进行收益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上述第1项约定收益分配次数和比例的前提下，在每个公历年度，当本基金A类、C类每份基金份额可供分配利润分别首次达到或首次超过0.08元、首次达到或首次超过0.18元、首次达到或首次超过0.28元和首次达到或首次超过0.38元时，本基金管理人应在接下来的15个工作日内进行该类基金份额的收益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该类基金份额进行再投资；若投资者不选择，本基金默认的收益分配方式是现金分红；基金份额持有人可对其持有的A类、C类基金份额分别选择不同的收益分配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5、由于本基金A类基金份额不收取销售服务费，C类基金份额收取销售服务费，各基金份额类别对应的可供分配利润将有所不同，本基金同一类别的每份基金份额享有同等分配权；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本基金收益分配方案由基金管理人拟定，并由基金托管人复核，依照《信息披露办法》的有关规定在指定媒介公告。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（六）收益分配中发生的费用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投资者同一日多次申报分红方式变更的，按照《业务规则》执行，最终确认的分红方式以登记机构记录为准。</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8" w:name="_Toc135665085"/>
      <w:r>
        <w:rPr>
          <w:rFonts w:ascii="Times New Roman" w:hAnsi="Times New Roman"/>
          <w:sz w:val="30"/>
        </w:rPr>
        <w:lastRenderedPageBreak/>
        <w:t>十五、基金的费用与税收</w:t>
      </w:r>
      <w:bookmarkEnd w:id="18"/>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本基金的管理费按前一日基金资产净值的0.6%年费率计提。管理费的计算方法如下：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或不可抗力致使无法按时支付的，支付日期顺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向基金托管人发送基金托管费划款指令，基金托管人复核后于次月前3个工作日内从基金财产中一次性支取。若遇法定节假日、公休日或不可抗力致使无法按时支付的，支付日期顺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E为C类基金份额前一日的基金资产净值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3、上述“（一）基金费用的种类”中第3－8项、第10项费用，根据有关法规及相应协议规定，按费用实际支出金额列入当期费用，由基金托管人从基金财产中</w:t>
      </w:r>
      <w:r>
        <w:rPr>
          <w:rFonts w:ascii="宋体" w:hAnsi="宋体"/>
          <w:sz w:val="24"/>
        </w:rPr>
        <w:lastRenderedPageBreak/>
        <w:t>支付。</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和基金管理人网站上刊登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19" w:name="_Toc135665086"/>
      <w:r>
        <w:rPr>
          <w:rFonts w:ascii="Times New Roman" w:hAnsi="Times New Roman"/>
          <w:sz w:val="30"/>
        </w:rPr>
        <w:lastRenderedPageBreak/>
        <w:t>十六、基金的会计与审计</w:t>
      </w:r>
      <w:bookmarkEnd w:id="19"/>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（一）基金的会计政策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0" w:name="_Toc135665087"/>
      <w:r>
        <w:rPr>
          <w:rFonts w:ascii="Times New Roman" w:hAnsi="Times New Roman"/>
          <w:sz w:val="30"/>
        </w:rPr>
        <w:lastRenderedPageBreak/>
        <w:t>十七、基金的信息披露</w:t>
      </w:r>
      <w:bookmarkEnd w:id="20"/>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次日，通过指定网站、销售机构网站或者营业网点分别披露开放日的A类基金份额和C类基金份额所对应的基金份额净值和基金份额累计净值。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基金管理人应当在不晚于半年度和年度最后一日的次日，在指定网站披露半年度和年度最后一日的A类基金份额和C类基金份额所对应的基金份额净值和基金份额累计净值。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1" w:name="_Toc135665088"/>
      <w:r>
        <w:rPr>
          <w:rFonts w:ascii="Times New Roman" w:hAnsi="Times New Roman"/>
          <w:sz w:val="30"/>
        </w:rPr>
        <w:lastRenderedPageBreak/>
        <w:t>十八、风险揭示</w:t>
      </w:r>
      <w:bookmarkEnd w:id="21"/>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w:t>
      </w:r>
      <w:r>
        <w:rPr>
          <w:rFonts w:ascii="宋体" w:hAnsi="宋体"/>
          <w:sz w:val="24"/>
        </w:rPr>
        <w:lastRenderedPageBreak/>
        <w:t>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市场风险是指证券市场价格因受到经济因素、政治因素、投资心理和交易制度等各种因素的影响而引起的波动，对基金收益水平产生的潜在风险，主要包括：</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5、信用风险。基金所投资债券的发行人如果不能或拒绝支付到期本息，或者不能履行合约规定的其它义务，或者其信用等级降低，将会导致债券价格下降，进而造成基金资产损失。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6、购买力风险。基金投资的目的是基金资产的保值增值，如果发生通货膨胀，基金投资于证券所获得的收益可能会被通货膨胀抵消，从而使基金的实际收益下降，影响基金资产的保值增值。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7、债券收益率曲线变动风险。是指收益率曲线没有按预期变化导致基金投资决策出现偏差。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8、再投资风险。该风险与利率风险互为消长。当市场利率下降时，基金所持有的债券价格会上涨，而基金将投资于固定收益类金融工具所得的利息收入进行再</w:t>
      </w:r>
      <w:r>
        <w:rPr>
          <w:rFonts w:ascii="宋体" w:hAnsi="宋体"/>
          <w:sz w:val="24"/>
        </w:rPr>
        <w:lastRenderedPageBreak/>
        <w:t>投资将获得较低的收益率，再投资的风险加大；反之，当市场利率上升时，基金所持有的债券价格会下降，利率风险加大，但是利息的再投资收益会上升。</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w:t>
      </w:r>
      <w:r>
        <w:rPr>
          <w:rFonts w:ascii="宋体" w:hAnsi="宋体"/>
          <w:sz w:val="24"/>
        </w:rPr>
        <w:lastRenderedPageBreak/>
        <w:t>正常赎回程序执行。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（四）交易对手违约风险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（五）投资本基金特有的风险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混合型基金，通过在股票、债券和现金等各类资产之间进行配置来降低风险，提高收益。资产配置策略对基金的投资业绩具有较大的影响。对宏观经济周期、经济政策的研究是否准确、深入将影响本基金资产配置策略的实施效果。对宏观经济周期的判断错误可能导致资产配置偏离优化水平，影响本基金的投资业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采用自上而下资产配置的投资策略，在合同约定的范围内进行大类资产配置比例的调整，在股市大幅上涨时不能完全保证基金净值能够完全跟随或超越大盘走势。当债券市场和股票市场同时出现整体下跌时，本基金只能通过配置现金等安全性高的资产来抵御风险，如果不能及时调整资产配置，本基金的净值表现将受到影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3、本基金可投资于股指期货，股指期货作为一种金融衍生品，具备一些特有的风险点。投资股指期货所面临的风险主要是市场风险、流动性风险、基差风险、保证金风险、信用风险和操作风险。具体为：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4、本基金可投资创业板股票，创业板个股上市后的前五个交易日不设价格涨跌幅限制，第六个交易日开始涨跌幅限制比例为20%。</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（六）投资科创板股票的特定风险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国家对高新技术产业扶持力度及重视程度的变化会对科创板企业带来较大影响，国际经济形势变化对战略新兴产业及科创板个股也会带来政策影响。</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（七）投资存托凭证的特定风险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（八）其他风险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2" w:name="_Toc135665089"/>
      <w:r>
        <w:rPr>
          <w:rFonts w:ascii="Times New Roman" w:hAnsi="Times New Roman"/>
          <w:sz w:val="30"/>
        </w:rPr>
        <w:lastRenderedPageBreak/>
        <w:t>十九、基金合同的终止与基金财产的清算</w:t>
      </w:r>
      <w:bookmarkEnd w:id="22"/>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（一）基金合同的终止事由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（二）基金财产的清算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（三）清算费用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清算费用是指基金财产清算小组在进行基金清算过程中发生的所有合理费用，清算费用由基金财产清算小组优先从基金财产中支付。</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（四）基金财产清算剩余资产的分配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（五）基金财产清算的公告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（六）基金财产清算账册及文件的保存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3" w:name="_Toc135665090"/>
      <w:r>
        <w:rPr>
          <w:rFonts w:ascii="Times New Roman" w:hAnsi="Times New Roman"/>
          <w:sz w:val="30"/>
        </w:rPr>
        <w:lastRenderedPageBreak/>
        <w:t>二十、基金合同内容摘要</w:t>
      </w:r>
      <w:bookmarkEnd w:id="23"/>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（一）基金合同当事人的权利与义务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（16）在符合有关法律、法规的前提下，制定和调整有关基金认购、申购、赎回、转换和非交易过户等的业务规则；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严格按照《基金法》、《基金合同》及其他有关规定，履行信息披露及报告义务；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（4）根据相关市场规则，为基金开设证券账户、协助开立股指期货业务相关账户及交易编码、为基金办理证券交易资金清算；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（6）按规定开设基金财产的资金账户和证券账户,协助开立股指期货业务相关账户及交易编码，按照《基金合同》的约定，根据基金管理人的投资指令，及时办理清算、交割事宜；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w:t>
      </w:r>
      <w:r>
        <w:rPr>
          <w:rFonts w:ascii="宋体" w:hAnsi="宋体"/>
          <w:sz w:val="24"/>
        </w:rPr>
        <w:lastRenderedPageBreak/>
        <w:t>申购、赎回价格、基金业绩数据等；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同一类别每份基金份额具有同等的合法权益。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（3）依法并按照《基金合同》的规定申请赎回其持有的基金份额；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（4）缴纳基金认购、申购、赎回款项及法律法规和《基金合同》所规定的费用；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（11）法律法规及中国证监会规定的和《基金合同》约定的其他义务。</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1）调低基金管理费、基金托管费、销售服务费和其他应由本基金或基金份额持有人承担的费用；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回费率、变更或增加收费方式、调整基金份额类别；</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4）因相应的法律法规发生变动而应当对《基金合同》进行修改；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5）对《基金合同》的修改对基金份额持有人利益无实质性不利影响或修改不涉及《基金合同》当事人权利义务关系发生变化；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6）按照法律法规和《基金合同》规定不需召开基金份额持有人大会的以外的其他情形。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3、召开基金份额持有人大会的通知时间、通知内容、通知方式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2）经核对，汇总到会者出示的在权益登记日持有基金份额的凭证显示，有效的基金份额不少于本基金在权益登记日基金总份额的50%（含50%）。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（3）在法律法规或监管机关允许的情况下，本基金亦可采用网络、电话等其他非书面方式由基金份额持有人向其授权代表进行授权。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w:t>
      </w:r>
      <w:r>
        <w:rPr>
          <w:rFonts w:ascii="宋体" w:hAnsi="宋体"/>
          <w:sz w:val="24"/>
        </w:rPr>
        <w:lastRenderedPageBreak/>
        <w:t>持有人大会讨论的其他事项。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基金份额持有人大会采取记名方式进行投票表决。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基金份额持有人大会的决议，召集人应当自通过之日起5日内报中国证监会核</w:t>
      </w:r>
      <w:r>
        <w:rPr>
          <w:rFonts w:ascii="宋体" w:hAnsi="宋体"/>
          <w:sz w:val="24"/>
        </w:rPr>
        <w:lastRenderedPageBreak/>
        <w:t>准或者备案。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基金份额持有人大会的决议自中国证监会依法核准或者出具无异议意见之日起生效。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或监管部门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（三）《基金合同》的变更与终止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（2）关于《基金合同》变更的基金份额持有人大会决议经中国证监会核准或出具无异议意见后方可执行，自决议生效后依照《信息披露办法》的规定在指定媒介公告。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（五）《基金合同》存放地及投资者取得基金合同的方式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1、《基金合同》正本一式六份，除上报有关监管机构一式二份外，基金管理人、基金托管人各持有二份，每份具有同等的法律效力。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2、《基金合同》可印制成册，供投资者在基金管理人、基金托管人、销售机构的办公场所和营业场所查阅，但应以基金合同正本为准。</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4" w:name="_Toc135665091"/>
      <w:r>
        <w:rPr>
          <w:rFonts w:ascii="Times New Roman" w:hAnsi="Times New Roman"/>
          <w:sz w:val="30"/>
        </w:rPr>
        <w:lastRenderedPageBreak/>
        <w:t>二十一、托管协议的内容摘要</w:t>
      </w:r>
      <w:bookmarkEnd w:id="24"/>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注册地址：上海市浦东新区银城中路188号交通银行大楼二层（裙）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办公地址：中国(上海)自由贸易试验区银城中路188号交通银行大楼二层（裙）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注册资本：贰亿元人民币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周慕冰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注册资本：32, 479, 411.7万元人民币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法律法规允许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的相关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如法律法规或监管机构以后允许基金投资的其他品种，基金管理人在履行适当程序后，可以将其纳入投资范围。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基金保留的现金或者投资于到期日在一年以内的政府债券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2、基金托管人根据有关法律法规的规定及基金合同的约定，对基金投资、融资、融券比例进行监督。基金托管人按下述比例和调整期限进行监督：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（1）本基金持有一家上市公司的股票，其市值不超过基金资产净值的10%；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（2）本基金与本基金管理人管理的且由本托管人托管的其他基金持有一家公司发行的证券，其市值不超过该证券的10%；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（3）进入全国银行间同业市场进行债券回购的资金余额不超过基金资产净值的40%。债券回购最长期限为1年，债券回购到期后不得展期；</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（4）本基金参与股票发行申购，本基金所申报的金额不超过本基金的总资产，本基金所申报的股票数量不超过拟发行股票公司本次发行股票的总量；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买入权证的总金额，不得超过上一交易日基金资产净值的5‰；本基金持有的全部权证，其市值不得超过基金资产净值的3%；本基金与本基金管理人管理的其他基金持有的同一权证，不得超过该权证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（6）本基金应投资于信用级别评级为BBB以上（含BBB）的资产支持证券。基金持有资产支持证券期间，如果其信用等级下降、不再符合投资标准，应在评级报告发布之日起3个月内予以全部卖出；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本基金投资于同一原始权益人的各类资产支持证券的比例，不得超过基金资产净值的10%；本基金管理人管理的全部证券投资基金投资于同一原始权益人的各类资产支持证券，不得超过其各类资产支持证券合计规模的10%；本基金持有的全部资产支持证券，其市值不得超过基金资产净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（8）保持不低于基金资产净值5%的现金或者到期日在一年以内的政府债券，其中现金不包括结算备付金、存出保证金和应收申购款等；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（9）本基金在任何交易日日终，持有的买入股指期货合约价值，不得超过基金资产净值的10%；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（11）本基金在任何交易日日终，持有的卖出期货合约价值不得超过基金持有的股票总市值的20%；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（12）本基金所持有的股票市值和买入、卖出股指期货合约价值，合计（轧差计算）占基金资产的0%-95%；</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（13）本基金在任何交易日内交易（不包括平仓）的股指期货合约的成交金额不得超过上一交易日基金资产净值的20%；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（14）本基金每个交易日日终在扣除股指期货合约需缴纳的交易保证金后，应当保持不低于基金资产净值5%的现金或到期日在一年以内的政府债券，其中现金不包括结算备付金、存出保证金和应收申购款等；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管理人管理且由本托管人托管的全部开放式基金（包括开放式基金以及处于开放期的定期开放基金）持有一家上市公司发行的可流通股票，不得超过该上市公司可流通股票的15%；本基金管理人管理且由本托管人托管的全部投资组合持有一家上市公司发行的可流通股票，不得超过该上市公司可流通股票的30%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（17）本基金与私募类证券资管产品及中国证监会认定的其他主体为交易对手开展逆回购交易的，可接受质押品的资质要求应当与基金合同约定的投资范围保持一致；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（18）本基金投资存托凭证的比例限制依照境内上市交易的股票执行；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（19）本基金不得违反基金合同中有关投资范围、投资策略、投资比例的规定；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（20）法律法规及中国证监会规定的和基金合同约定的其他投资限制。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除上述第（6）、（8）、（14）、（16）、（17）项外，因证券、期货市场波动、上市公司合并、基金规模变动等基金管理人之外的因素致使基金投资比例不符合上述规定的投资比例的，基金管理人应当在10个交易日内进行调整。法律法规或监管部门另有规定的，从其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w:t>
      </w:r>
      <w:r>
        <w:rPr>
          <w:rFonts w:ascii="宋体" w:hAnsi="宋体"/>
          <w:sz w:val="24"/>
        </w:rPr>
        <w:lastRenderedPageBreak/>
        <w:t>定，确定符合条件的所有存款银行的名单，并及时提供给基金托管人，基金托管人应据以对基金投资银行存款的交易对手是否符合有关规定进行监督。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w:t>
      </w:r>
      <w:r>
        <w:rPr>
          <w:rFonts w:ascii="宋体" w:hAnsi="宋体"/>
          <w:sz w:val="24"/>
        </w:rPr>
        <w:lastRenderedPageBreak/>
        <w:t>回购交易中的质押券等流通受限证券。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w:t>
      </w:r>
      <w:r>
        <w:rPr>
          <w:rFonts w:ascii="宋体" w:hAnsi="宋体"/>
          <w:sz w:val="24"/>
        </w:rPr>
        <w:lastRenderedPageBreak/>
        <w:t>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w:t>
      </w:r>
      <w:r>
        <w:rPr>
          <w:rFonts w:ascii="宋体" w:hAnsi="宋体"/>
          <w:sz w:val="24"/>
        </w:rPr>
        <w:lastRenderedPageBreak/>
        <w:t>正。基金托管人应积极配合基金管理人的核查行为，包括但不限于：提交相关资料以供基金管理人核查托管财产的完整性和真实性，在规定时间内答复基金管理人并改正。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w:t>
      </w:r>
      <w:r>
        <w:rPr>
          <w:rFonts w:ascii="宋体" w:hAnsi="宋体"/>
          <w:sz w:val="24"/>
        </w:rPr>
        <w:lastRenderedPageBreak/>
        <w:t>应将募集到的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（五）基金资产净值计算和会计核算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基金份额净值是指计算日基金资产净值除以计算日基金份额总数后得到的数值。基金份额净值的计算，精确到0.001元，小数点后第四位四舍五入，由此产生</w:t>
      </w:r>
      <w:r>
        <w:rPr>
          <w:rFonts w:ascii="宋体" w:hAnsi="宋体"/>
          <w:sz w:val="24"/>
        </w:rPr>
        <w:lastRenderedPageBreak/>
        <w:t>的误差计入基金财产。国家另有规定的，从其规定。</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每工作日分别计算A类基金份额及C类基金份额的基金资产净值及基金份额净值，并按规定公告，但根据法律法规或基金合同的规定暂停估值时除外。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基金所拥有的股票、权证、债券、股指期货和银行存款本息、应收款项、其它投资等资产及负债。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b）交易所市场上市交易或挂牌转让的固定收益品种（另有规定的除外），选取第三方估值机构提供的相应品种当日的估值净价进行估值；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d）交易所上市不存在活跃市场的有价证券，采用估值技术确定公允价值。交易所上市的资产支持证券，采用估值技术确定公允价值，在估值技术难以可靠计量公允价值的情况下，按成本估值。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a）送股、转增股、配股和公开增发的新股，按估值日在证券交易所挂牌的同一股票的估值方法估值；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b）首次公开发行未上市的股票、债券和权证，采用估值技术确定公允价值，在估值技术难以可靠计量公允价值的情况下，按成本估值；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c）首次公开发行有明确锁定期的股票，同一股票在交易所上市后，按交易所上市的同一股票的估值方法估值；非公开发行有明确锁定期的股票，按监管机构或行业协会有关规定确定公允价值。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3）在全国银行间债券市场交易的债券、资产支持证券等固定收益品种，采用估值技术确定公允价值。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5）本基金投资股指期货合约，一般以估值当日结算价进行估值，估值当日无结算价的，且最近交易日后经济环境未发生重大变化的，采用最近交易日结算价估值。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8）相关法律法规以及监管部门有强制规定的，从其规定。如有新增事项，按法律法规以及监管部门最新规定估值。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1）基金管理人、基金托管人按估值方法的第6）项进行估值时，所造成的误差不作为基金份额净值错误处理。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由于证券、期货交易所、期货公司或登记结算公司发送的数据错误，有关会计制度变化或由于其他不可抗力原因，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3、基金估值错误的处理方式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3位以内（含第3位）发生估值错误时，视为基金份额净值错误；基金份额净值出现错误时，基金管理人应当立即予以纠正，通报基金托管人，并采取合理的措施防止损失进一步扩大；错误偏差达到或超过基金份额净值的0.25%时，基金管理人应当及时通知基金托管人并报中国证监会；错误偏差达到基金份额净值的0.50%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w:t>
      </w:r>
      <w:r>
        <w:rPr>
          <w:rFonts w:ascii="宋体" w:hAnsi="宋体"/>
          <w:sz w:val="24"/>
        </w:rPr>
        <w:lastRenderedPageBreak/>
        <w:t>基金托管人在履行正常的复核程序后仍不能发现该错误，进而导致基金份额净值错误而引起的基金份额持有人和基金财产的损失，由基金管理人负责赔付。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（3）当前一估值日基金资产净值50%以上的资产出现无可参考的活跃市场价格且采用估值技术仍导致公允价值存在重大不确定性时，经与基金托管人协商确认后，基金管理人应当暂停估值；</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（4）占基金相当比例的投资品种的估值出现重大转变，而基金管理人为保障基金份额持有人的利益，决定延迟估值时；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w:t>
      </w:r>
      <w:r>
        <w:rPr>
          <w:rFonts w:ascii="宋体" w:hAnsi="宋体"/>
          <w:sz w:val="24"/>
        </w:rPr>
        <w:lastRenderedPageBreak/>
        <w:t>内编制完毕并予以公告；年度报告在会计年度结束后三个月内编制完毕并予以公告。基金合同生效不足2个月的，基金管理人可以不编制当期季度报告、中期报告或者年度报告。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（六）基金份额持有人名册的的登记与保管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（八）托管协议的变更、终止与基金财产的清算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2、托管协议终止的情形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（1）基金财产清算小组</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1）自出现基金合同终止事由之日起30个工作日内成立基金财产清算小组，基金管理人组织基金财产清算小组并在中国证监会的监督下进行基金清算。</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2）基金财产清算小组成员由基金管理人、基金托管人、具有从事证券相关业务资格的注册会计师、律师以及中国证监会指定的人员组成。基金财产清算小组可以聘用必要的工作人员。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3）在基金财产清算过程中，基金管理人和基金托管人应各自履行职责，继续忠实、勤勉、尽责地履行基金合同和本托管协议规定的义务，维护基金份额持有人的合法权益。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4）基金财产清算小组负责基金财产的保管、清理、估价、变现和分配。基金财产清算小组可以依法进行必要的民事活动。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4）编制清算报告；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6）聘请律师事务所对清算报告出具法律意见书；</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7）将基金清算报告报中国证监会备案并公告；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8）对基金剩余财产进行分配。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基金财产清算的期限为6个月，若遇基金持有的股票或其他有价证券出现长期休市、停牌或其他流通受限的情形除外。</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4）按各类基金份额在基金合同终止事由发生时各自基金份额资产净值的比例</w:t>
      </w:r>
      <w:r>
        <w:rPr>
          <w:rFonts w:ascii="宋体" w:hAnsi="宋体"/>
          <w:sz w:val="24"/>
        </w:rPr>
        <w:lastRenderedPageBreak/>
        <w:t>确定剩余财产在各类基金份额中的分配比例，并在各类基金份额可分配的剩余财产范围内按各份额类别内基金份额持有人持有的基金份额比例进行分配。</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5" w:name="_Toc135665092"/>
      <w:r>
        <w:rPr>
          <w:rFonts w:ascii="Times New Roman" w:hAnsi="Times New Roman"/>
          <w:sz w:val="30"/>
        </w:rPr>
        <w:lastRenderedPageBreak/>
        <w:t>二十二、对基金份额持有人的服务</w:t>
      </w:r>
      <w:bookmarkEnd w:id="25"/>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（二）网上交易服务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本基金A类基金份额前端基金份额的申购、赎回、定期定额投资和转换等业务以及本基金C类基金份额的申购、赎回、转换等业务。本公司暂不开展网上直销后端基金份额的认/申购业务，通过转托管转入网上直销账户的后端收费模式的基金份额只能办理赎回业务。通过网上直销交易平台办理本基金A类基金份额前端基金份额申购和定期定额投资业务的个人投资者将享受A类基金份额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业务已开通的银行卡及各银行卡交易金额限额请参阅本基金管理人网站。</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在条件成熟的时候，本基金管理人将根据基金网上交易业务的发展状况，适时调整可用于基金网上直销交易平台或用于交易支付的银行卡种类，敬请投资者留意相关公告。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本基金已开通基金份额的转换业务，具体实施方法请参见相关公告。</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本基金已开通A类基金份额的定期定额投资业务，具体实施方法请参见相关公告。</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4C4B06" w:rsidRDefault="0085618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6" w:name="_Toc135665093"/>
      <w:r>
        <w:rPr>
          <w:rFonts w:ascii="Times New Roman" w:hAnsi="Times New Roman"/>
          <w:sz w:val="30"/>
        </w:rPr>
        <w:lastRenderedPageBreak/>
        <w:t>二十三、其他应披露事项</w:t>
      </w:r>
      <w:bookmarkEnd w:id="26"/>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交银施罗德基金管理有限公司关于增加交通银行股份有限公司为旗下部分基金的销售机构的公告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2022-08-29</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交银施罗德基金管理有限公司关于增加中信证券股份有限公司、中信证券（山东）有限责任公司、中信期货有限公司、中信证券华南股份有限公司为旗下基金销售机构的公告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2022-09-19</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交银施罗德基金管理有限公司关于交银施罗德周期回报灵活配置混合型证券投资基金暂停及恢复大额申购（转换转入、定期定额投资）业务的公告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交银施罗德基金管理有限公司关于交银施罗德周期回报灵活配置混合型证券投资基金分红公告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2023-01-12</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交银施罗德基金管理有限公司关于增加银河证券股份有限公司为旗下基金的销售机构的公告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交银施罗德基金管理有限公司关于增加深圳市新兰德证券投资咨询有限公司为旗下基金销售机构的公告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交银施罗德基金管理有限公司关于增加山西证券股份有限公司为旗下基金的销售机构的公告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2023-03-16</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交银施罗德基金管理有限公司关于增加第一创业证券股份有限公司为旗下基金的销售机构的公告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2023-03-17</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交银施罗德周期回报灵活配置混合型证券投资基金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4C4B0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C4B06" w:rsidRDefault="0085618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bl>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7" w:name="_Toc135665094"/>
      <w:r>
        <w:rPr>
          <w:rFonts w:ascii="Times New Roman" w:hAnsi="Times New Roman"/>
          <w:sz w:val="30"/>
        </w:rPr>
        <w:lastRenderedPageBreak/>
        <w:t>二十四、招募说明书的存放及查阅方式</w:t>
      </w:r>
      <w:bookmarkEnd w:id="27"/>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rsidR="00B439CC" w:rsidRDefault="0085618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C4B06" w:rsidRDefault="0085618E">
      <w:pPr>
        <w:pStyle w:val="1"/>
        <w:snapToGrid w:val="0"/>
        <w:spacing w:beforeLines="0" w:before="240" w:after="240"/>
        <w:rPr>
          <w:rFonts w:ascii="宋体" w:hAnsi="宋体"/>
          <w:szCs w:val="30"/>
        </w:rPr>
      </w:pPr>
      <w:bookmarkStart w:id="28" w:name="_Toc135665095"/>
      <w:r>
        <w:rPr>
          <w:rFonts w:ascii="Times New Roman" w:hAnsi="Times New Roman"/>
          <w:sz w:val="30"/>
        </w:rPr>
        <w:lastRenderedPageBreak/>
        <w:t>二十五、备查文件</w:t>
      </w:r>
      <w:bookmarkEnd w:id="28"/>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（一）中国证监会核准交银施罗德周期回报灵活配置混合型证券投资基金募集的文件</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（二）《交银施罗德周期回报灵活配置混合型证券投资基金基金合同》</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（三）《交银施罗德周期回报灵活配置混合型证券投资基金托管协议》</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4C4B06" w:rsidRDefault="008561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（六）关于申请募集交银施罗德周期回报灵活配置混合型证券投资基金之法律意见书</w:t>
      </w:r>
    </w:p>
    <w:sectPr w:rsidR="004C4B06">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DD" w:rsidRDefault="006469DD">
      <w:r>
        <w:separator/>
      </w:r>
    </w:p>
  </w:endnote>
  <w:endnote w:type="continuationSeparator" w:id="0">
    <w:p w:rsidR="006469DD" w:rsidRDefault="0064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6" w:rsidRDefault="00351C2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B06" w:rsidRDefault="0085618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0279">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4C4B06" w:rsidRDefault="0085618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0279">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6" w:rsidRDefault="00351C2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B06" w:rsidRDefault="0085618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0279">
                            <w:rPr>
                              <w:rFonts w:ascii="Times New Roman" w:hAnsi="Times New Roman"/>
                              <w:noProof/>
                              <w:kern w:val="0"/>
                              <w:sz w:val="18"/>
                              <w:szCs w:val="18"/>
                            </w:rPr>
                            <w:t>56</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4C4B06" w:rsidRDefault="0085618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80279">
                      <w:rPr>
                        <w:rFonts w:ascii="Times New Roman" w:hAnsi="Times New Roman"/>
                        <w:noProof/>
                        <w:kern w:val="0"/>
                        <w:sz w:val="18"/>
                        <w:szCs w:val="18"/>
                      </w:rPr>
                      <w:t>56</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DD" w:rsidRDefault="006469DD">
      <w:r>
        <w:separator/>
      </w:r>
    </w:p>
  </w:footnote>
  <w:footnote w:type="continuationSeparator" w:id="0">
    <w:p w:rsidR="006469DD" w:rsidRDefault="0064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351C21">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4C4B06" w:rsidRDefault="0085618E">
    <w:pPr>
      <w:pStyle w:val="a3"/>
      <w:jc w:val="right"/>
      <w:rPr>
        <w:rFonts w:ascii="宋体" w:hAnsi="宋体"/>
      </w:rPr>
    </w:pPr>
    <w:r>
      <w:rPr>
        <w:rFonts w:ascii="宋体" w:hAnsi="宋体" w:hint="eastAsia"/>
      </w:rPr>
      <w:t>交银施罗德周期回报灵活配置混合型证券投资基金(更新)招募说明书(2023年第1号)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6" w:rsidRDefault="004C4B06">
    <w:pPr>
      <w:pStyle w:val="10"/>
      <w:jc w:val="right"/>
    </w:pPr>
  </w:p>
  <w:p w:rsidR="004C4B06" w:rsidRDefault="004C4B06">
    <w:pPr>
      <w:pStyle w:val="10"/>
      <w:jc w:val="right"/>
    </w:pPr>
  </w:p>
  <w:p w:rsidR="004C4B06" w:rsidRDefault="004C4B06">
    <w:pPr>
      <w:pStyle w:val="a3"/>
      <w:jc w:val="right"/>
    </w:pPr>
  </w:p>
  <w:p w:rsidR="009E65D0" w:rsidRDefault="00351C21">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4C4B06" w:rsidRDefault="0085618E">
    <w:pPr>
      <w:pStyle w:val="a3"/>
      <w:jc w:val="right"/>
      <w:rPr>
        <w:rFonts w:ascii="宋体" w:hAnsi="宋体"/>
      </w:rPr>
    </w:pPr>
    <w:r>
      <w:rPr>
        <w:rFonts w:ascii="宋体" w:hAnsi="宋体" w:hint="eastAsia"/>
      </w:rPr>
      <w:t>交银施罗德周期回报灵活配置混合型证券投资基金(更新)招募说明书(2023年第</w:t>
    </w:r>
    <w:r w:rsidR="006F4C68">
      <w:rPr>
        <w:rFonts w:ascii="宋体" w:hAnsi="宋体" w:hint="eastAsia"/>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6" w:rsidRDefault="004C4B06">
    <w:pPr>
      <w:pStyle w:val="a3"/>
      <w:jc w:val="right"/>
    </w:pPr>
  </w:p>
  <w:p w:rsidR="004C4B06" w:rsidRDefault="004C4B06">
    <w:pPr>
      <w:pStyle w:val="a3"/>
      <w:jc w:val="right"/>
    </w:pPr>
  </w:p>
  <w:p w:rsidR="004C4B06" w:rsidRDefault="004C4B06">
    <w:pPr>
      <w:pStyle w:val="a3"/>
      <w:jc w:val="right"/>
    </w:pPr>
  </w:p>
  <w:p w:rsidR="009E65D0" w:rsidRDefault="00351C21">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4C4B06" w:rsidRDefault="0085618E">
    <w:pPr>
      <w:pStyle w:val="a3"/>
      <w:jc w:val="right"/>
      <w:rPr>
        <w:rFonts w:ascii="宋体" w:hAnsi="宋体"/>
      </w:rPr>
    </w:pPr>
    <w:r>
      <w:rPr>
        <w:rFonts w:ascii="宋体" w:hAnsi="宋体" w:hint="eastAsia"/>
      </w:rPr>
      <w:t>交银施罗德周期回报灵活配置混合型证券投资基金(更新)招募说明书(2023年第</w:t>
    </w:r>
    <w:r w:rsidR="006F4C68">
      <w:rPr>
        <w:rFonts w:ascii="宋体" w:hAnsi="宋体" w:hint="eastAsia"/>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5EB2"/>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6379"/>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1C21"/>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0BF4"/>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279"/>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4B06"/>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69DD"/>
    <w:rsid w:val="00647BDD"/>
    <w:rsid w:val="0065273C"/>
    <w:rsid w:val="006528AF"/>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4C68"/>
    <w:rsid w:val="006F7AD7"/>
    <w:rsid w:val="00702627"/>
    <w:rsid w:val="0070359F"/>
    <w:rsid w:val="0070464C"/>
    <w:rsid w:val="00705474"/>
    <w:rsid w:val="00705B46"/>
    <w:rsid w:val="007076B2"/>
    <w:rsid w:val="00710D0E"/>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618E"/>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07D1E"/>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899B0-493F-4609-B1C1-5631C02A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16598</Words>
  <Characters>94615</Characters>
  <Application>Microsoft Office Word</Application>
  <DocSecurity>0</DocSecurity>
  <Lines>788</Lines>
  <Paragraphs>221</Paragraphs>
  <ScaleCrop>false</ScaleCrop>
  <Company>Microsoft</Company>
  <LinksUpToDate>false</LinksUpToDate>
  <CharactersWithSpaces>110992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戴梦菲</cp:lastModifiedBy>
  <cp:revision>5</cp:revision>
  <cp:lastPrinted>2013-02-18T03:10:00Z</cp:lastPrinted>
  <dcterms:created xsi:type="dcterms:W3CDTF">2023-07-07T10:53:00Z</dcterms:created>
  <dcterms:modified xsi:type="dcterms:W3CDTF">2023-07-10T07:05:00Z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