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C0" w:rsidRPr="00EB07BC" w:rsidRDefault="00E40CBF">
      <w:pPr>
        <w:rPr>
          <w:sz w:val="32"/>
        </w:rPr>
      </w:pPr>
      <w:bookmarkStart w:id="0" w:name="_GoBack"/>
      <w:bookmarkEnd w:id="0"/>
    </w:p>
    <w:p w:rsidR="00C92FC0" w:rsidRPr="00EB07BC" w:rsidRDefault="00E40CBF">
      <w:pPr>
        <w:rPr>
          <w:sz w:val="32"/>
        </w:rPr>
      </w:pPr>
    </w:p>
    <w:p w:rsidR="00C92FC0" w:rsidRPr="00EB07BC" w:rsidRDefault="00E40CBF">
      <w:pPr>
        <w:rPr>
          <w:sz w:val="32"/>
        </w:rPr>
      </w:pPr>
    </w:p>
    <w:p w:rsidR="00C92FC0" w:rsidRPr="00EB07BC" w:rsidRDefault="00BA70AD">
      <w:pPr>
        <w:jc w:val="center"/>
        <w:rPr>
          <w:sz w:val="32"/>
        </w:rPr>
      </w:pPr>
      <w:r>
        <w:rPr>
          <w:noProof/>
        </w:rPr>
        <w:drawing>
          <wp:inline distT="0" distB="0" distL="0" distR="0">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5B1FF5" w:rsidRDefault="005B1FF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5B1FF5" w:rsidRDefault="005B1FF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5B1FF5" w:rsidRDefault="000B1B0D">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交银施罗德国企改革灵活配置混合型证券投资基金</w:t>
      </w:r>
    </w:p>
    <w:p w:rsidR="005B1FF5" w:rsidRDefault="000B1B0D">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5B1FF5" w:rsidRDefault="000B1B0D">
      <w:pPr>
        <w:snapToGrid w:val="0"/>
        <w:spacing w:line="360" w:lineRule="auto"/>
        <w:jc w:val="center"/>
        <w:rPr>
          <w:rFonts w:ascii="宋体" w:hAnsi="宋体"/>
          <w:b/>
          <w:sz w:val="30"/>
          <w:szCs w:val="30"/>
        </w:rPr>
      </w:pPr>
      <w:r>
        <w:rPr>
          <w:rFonts w:ascii="Times New Roman" w:hAnsi="Times New Roman"/>
          <w:b/>
          <w:color w:val="000000"/>
          <w:sz w:val="32"/>
          <w:szCs w:val="32"/>
        </w:rPr>
        <w:t>(2023</w:t>
      </w:r>
      <w:r>
        <w:rPr>
          <w:rFonts w:ascii="Times New Roman" w:hAnsi="Times New Roman"/>
          <w:b/>
          <w:color w:val="000000"/>
          <w:sz w:val="32"/>
          <w:szCs w:val="32"/>
        </w:rPr>
        <w:t>年第</w:t>
      </w:r>
      <w:r w:rsidR="00DE4ABF">
        <w:rPr>
          <w:rFonts w:ascii="Times New Roman" w:hAnsi="Times New Roman" w:hint="eastAsia"/>
          <w:b/>
          <w:color w:val="000000"/>
          <w:sz w:val="32"/>
          <w:szCs w:val="32"/>
        </w:rPr>
        <w:t>3</w:t>
      </w:r>
      <w:r>
        <w:rPr>
          <w:rFonts w:ascii="Times New Roman" w:hAnsi="Times New Roman"/>
          <w:b/>
          <w:color w:val="000000"/>
          <w:sz w:val="32"/>
          <w:szCs w:val="32"/>
        </w:rPr>
        <w:t>号</w:t>
      </w:r>
      <w:r>
        <w:rPr>
          <w:rFonts w:ascii="Times New Roman" w:hAnsi="Times New Roman"/>
          <w:b/>
          <w:color w:val="000000"/>
          <w:sz w:val="32"/>
          <w:szCs w:val="32"/>
        </w:rPr>
        <w:t>)</w:t>
      </w:r>
    </w:p>
    <w:p w:rsidR="005B1FF5" w:rsidRDefault="005B1FF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B1FF5" w:rsidRDefault="005B1FF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B1FF5" w:rsidRDefault="005B1FF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B1FF5" w:rsidRDefault="005B1FF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B1FF5" w:rsidRDefault="005B1FF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B1FF5" w:rsidRDefault="005B1FF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B1FF5" w:rsidRDefault="000B1B0D">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5B1FF5" w:rsidRDefault="000B1B0D">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rsidR="005B1FF5" w:rsidRDefault="005B1FF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B1FF5" w:rsidRDefault="005B1FF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B1FF5" w:rsidRDefault="000B1B0D">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二〇二三年</w:t>
      </w:r>
      <w:r w:rsidR="00DE4ABF">
        <w:rPr>
          <w:rFonts w:ascii="Times New Roman" w:hAnsi="Times New Roman" w:hint="eastAsia"/>
          <w:b/>
          <w:spacing w:val="2"/>
          <w:w w:val="99"/>
          <w:kern w:val="0"/>
          <w:sz w:val="28"/>
          <w:szCs w:val="32"/>
        </w:rPr>
        <w:t>七</w:t>
      </w:r>
      <w:r>
        <w:rPr>
          <w:rFonts w:ascii="Times New Roman" w:hAnsi="Times New Roman"/>
          <w:b/>
          <w:spacing w:val="2"/>
          <w:w w:val="99"/>
          <w:kern w:val="0"/>
          <w:sz w:val="28"/>
          <w:szCs w:val="32"/>
        </w:rPr>
        <w:t>月</w:t>
      </w:r>
    </w:p>
    <w:p w:rsidR="005B1FF5" w:rsidRDefault="005B1FF5">
      <w:pPr>
        <w:autoSpaceDE w:val="0"/>
        <w:autoSpaceDN w:val="0"/>
        <w:adjustRightInd w:val="0"/>
        <w:snapToGrid w:val="0"/>
        <w:spacing w:line="360" w:lineRule="auto"/>
        <w:ind w:left="1347" w:rightChars="6" w:right="13"/>
        <w:rPr>
          <w:rFonts w:ascii="宋体" w:hAnsi="宋体"/>
          <w:kern w:val="0"/>
          <w:sz w:val="32"/>
          <w:szCs w:val="32"/>
        </w:rPr>
        <w:sectPr w:rsidR="005B1FF5">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5B1FF5" w:rsidRDefault="000B1B0D">
      <w:pPr>
        <w:pStyle w:val="1"/>
        <w:snapToGrid w:val="0"/>
        <w:spacing w:beforeLines="0" w:before="240" w:after="240"/>
        <w:rPr>
          <w:rFonts w:ascii="宋体" w:hAnsi="宋体"/>
          <w:kern w:val="0"/>
        </w:rPr>
      </w:pPr>
      <w:bookmarkStart w:id="1" w:name="_Toc324920538"/>
      <w:bookmarkStart w:id="2" w:name="_Toc496884613"/>
      <w:bookmarkStart w:id="3" w:name="_Toc137828447"/>
      <w:r>
        <w:rPr>
          <w:rFonts w:ascii="Times New Roman" w:hAnsi="Times New Roman"/>
          <w:kern w:val="0"/>
        </w:rPr>
        <w:lastRenderedPageBreak/>
        <w:t>重要提示</w:t>
      </w:r>
      <w:bookmarkEnd w:id="1"/>
      <w:bookmarkEnd w:id="2"/>
      <w:bookmarkEnd w:id="3"/>
    </w:p>
    <w:p w:rsidR="005B1FF5" w:rsidRDefault="000B1B0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交银施罗德国企改革灵活配置混合型证券投资基金（以下简称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2015</w:t>
      </w:r>
      <w:r>
        <w:rPr>
          <w:rFonts w:ascii="Times New Roman" w:hAnsi="Times New Roman"/>
          <w:kern w:val="0"/>
          <w:sz w:val="24"/>
        </w:rPr>
        <w:t>年</w:t>
      </w:r>
      <w:r>
        <w:rPr>
          <w:rFonts w:ascii="Times New Roman" w:hAnsi="Times New Roman"/>
          <w:kern w:val="0"/>
          <w:sz w:val="24"/>
        </w:rPr>
        <w:t>4</w:t>
      </w:r>
      <w:r>
        <w:rPr>
          <w:rFonts w:ascii="Times New Roman" w:hAnsi="Times New Roman"/>
          <w:kern w:val="0"/>
          <w:sz w:val="24"/>
        </w:rPr>
        <w:t>月</w:t>
      </w:r>
      <w:r>
        <w:rPr>
          <w:rFonts w:ascii="Times New Roman" w:hAnsi="Times New Roman"/>
          <w:kern w:val="0"/>
          <w:sz w:val="24"/>
        </w:rPr>
        <w:t>14</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2015</w:t>
      </w:r>
      <w:r>
        <w:rPr>
          <w:rFonts w:ascii="Times New Roman" w:hAnsi="Times New Roman"/>
          <w:kern w:val="0"/>
          <w:sz w:val="24"/>
        </w:rPr>
        <w:t>】</w:t>
      </w:r>
      <w:r>
        <w:rPr>
          <w:rFonts w:ascii="Times New Roman" w:hAnsi="Times New Roman"/>
          <w:kern w:val="0"/>
          <w:sz w:val="24"/>
        </w:rPr>
        <w:t>613</w:t>
      </w:r>
      <w:r>
        <w:rPr>
          <w:rFonts w:ascii="Times New Roman" w:hAnsi="Times New Roman"/>
          <w:kern w:val="0"/>
          <w:sz w:val="24"/>
        </w:rPr>
        <w:t>号文准予募集注册。本基金基金合同于</w:t>
      </w:r>
      <w:r>
        <w:rPr>
          <w:rFonts w:ascii="Times New Roman" w:hAnsi="Times New Roman"/>
          <w:kern w:val="0"/>
          <w:sz w:val="24"/>
        </w:rPr>
        <w:t>2015</w:t>
      </w:r>
      <w:r>
        <w:rPr>
          <w:rFonts w:ascii="Times New Roman" w:hAnsi="Times New Roman"/>
          <w:kern w:val="0"/>
          <w:sz w:val="24"/>
        </w:rPr>
        <w:t>年</w:t>
      </w:r>
      <w:r>
        <w:rPr>
          <w:rFonts w:ascii="Times New Roman" w:hAnsi="Times New Roman"/>
          <w:kern w:val="0"/>
          <w:sz w:val="24"/>
        </w:rPr>
        <w:t>6</w:t>
      </w:r>
      <w:r>
        <w:rPr>
          <w:rFonts w:ascii="Times New Roman" w:hAnsi="Times New Roman"/>
          <w:kern w:val="0"/>
          <w:sz w:val="24"/>
        </w:rPr>
        <w:t>月</w:t>
      </w:r>
      <w:r>
        <w:rPr>
          <w:rFonts w:ascii="Times New Roman" w:hAnsi="Times New Roman"/>
          <w:kern w:val="0"/>
          <w:sz w:val="24"/>
        </w:rPr>
        <w:t>10</w:t>
      </w:r>
      <w:r>
        <w:rPr>
          <w:rFonts w:ascii="Times New Roman" w:hAnsi="Times New Roman"/>
          <w:kern w:val="0"/>
          <w:sz w:val="24"/>
        </w:rPr>
        <w:t>日正式生效。</w:t>
      </w:r>
    </w:p>
    <w:p w:rsidR="005B1FF5" w:rsidRDefault="000B1B0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rsidR="005B1FF5" w:rsidRDefault="000B1B0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5B1FF5" w:rsidRDefault="000B1B0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侧袋机制时的特定风险）；交易对手违约风险；投资股指期货的特定风险；投资科创板股票的特定风险；投资本基金特有的其他风险等等。本基金是一只混合型基金，其风险和预期收益高于债券型基金和货币市场基金，低于股票型基金。属于承担较高风险、预期收益较高的证券投资基金品种。</w:t>
      </w:r>
    </w:p>
    <w:p w:rsidR="005B1FF5" w:rsidRDefault="000B1B0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rsidR="005B1FF5" w:rsidRDefault="000B1B0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rsidR="005B1FF5" w:rsidRDefault="000B1B0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w:t>
      </w:r>
      <w:r>
        <w:rPr>
          <w:rFonts w:ascii="Times New Roman" w:hAnsi="Times New Roman"/>
          <w:kern w:val="0"/>
          <w:sz w:val="24"/>
        </w:rPr>
        <w:lastRenderedPageBreak/>
        <w:t>合同、基金产品资料概要等信息披露文件。基金的过往业绩并不代表未来表现。基金管理人管理的其他基金的业绩并不构成对本基金业绩表现的保证。基金管理人提醒投资者基金投资的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rsidR="005B1FF5" w:rsidRDefault="00DE4AB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t>本次更新招募说明书主要对调整管理费率和</w:t>
      </w:r>
      <w:r>
        <w:rPr>
          <w:rFonts w:ascii="Times New Roman" w:hAnsi="Times New Roman"/>
          <w:kern w:val="0"/>
          <w:sz w:val="24"/>
        </w:rPr>
        <w:t>/</w:t>
      </w:r>
      <w:r>
        <w:rPr>
          <w:rFonts w:ascii="Times New Roman" w:hAnsi="Times New Roman" w:hint="eastAsia"/>
          <w:kern w:val="0"/>
          <w:sz w:val="24"/>
        </w:rPr>
        <w:t>或托管费率相关事项进行了相应更新，更新截止日为</w:t>
      </w:r>
      <w:r>
        <w:rPr>
          <w:rFonts w:ascii="Times New Roman" w:hAnsi="Times New Roman"/>
          <w:kern w:val="0"/>
          <w:sz w:val="24"/>
        </w:rPr>
        <w:t>2023</w:t>
      </w:r>
      <w:r>
        <w:rPr>
          <w:rFonts w:ascii="Times New Roman" w:hAnsi="Times New Roman" w:hint="eastAsia"/>
          <w:kern w:val="0"/>
          <w:sz w:val="24"/>
        </w:rPr>
        <w:t>年</w:t>
      </w:r>
      <w:r>
        <w:rPr>
          <w:rFonts w:ascii="Times New Roman" w:hAnsi="Times New Roman"/>
          <w:kern w:val="0"/>
          <w:sz w:val="24"/>
        </w:rPr>
        <w:t>07</w:t>
      </w:r>
      <w:r>
        <w:rPr>
          <w:rFonts w:ascii="Times New Roman" w:hAnsi="Times New Roman" w:hint="eastAsia"/>
          <w:kern w:val="0"/>
          <w:sz w:val="24"/>
        </w:rPr>
        <w:t>月</w:t>
      </w:r>
      <w:r>
        <w:rPr>
          <w:rFonts w:ascii="Times New Roman" w:hAnsi="Times New Roman"/>
          <w:kern w:val="0"/>
          <w:sz w:val="24"/>
        </w:rPr>
        <w:t>10</w:t>
      </w:r>
      <w:r>
        <w:rPr>
          <w:rFonts w:ascii="Times New Roman" w:hAnsi="Times New Roman" w:hint="eastAsia"/>
          <w:kern w:val="0"/>
          <w:sz w:val="24"/>
        </w:rPr>
        <w:t>日，除非另有说明，</w:t>
      </w:r>
      <w:r w:rsidR="000B1B0D">
        <w:rPr>
          <w:rFonts w:ascii="Times New Roman" w:hAnsi="Times New Roman"/>
          <w:kern w:val="0"/>
          <w:sz w:val="24"/>
        </w:rPr>
        <w:t>本招募说明书</w:t>
      </w:r>
      <w:r>
        <w:rPr>
          <w:rFonts w:ascii="Times New Roman" w:hAnsi="Times New Roman" w:hint="eastAsia"/>
          <w:kern w:val="0"/>
          <w:sz w:val="24"/>
        </w:rPr>
        <w:t>其他</w:t>
      </w:r>
      <w:r w:rsidR="000B1B0D">
        <w:rPr>
          <w:rFonts w:ascii="Times New Roman" w:hAnsi="Times New Roman"/>
          <w:kern w:val="0"/>
          <w:sz w:val="24"/>
        </w:rPr>
        <w:t>所载内容截止日为</w:t>
      </w:r>
      <w:r w:rsidR="000B1B0D">
        <w:rPr>
          <w:rFonts w:ascii="Times New Roman" w:hAnsi="Times New Roman"/>
          <w:kern w:val="0"/>
          <w:sz w:val="24"/>
        </w:rPr>
        <w:t>2023</w:t>
      </w:r>
      <w:r w:rsidR="000B1B0D">
        <w:rPr>
          <w:rFonts w:ascii="Times New Roman" w:hAnsi="Times New Roman"/>
          <w:kern w:val="0"/>
          <w:sz w:val="24"/>
        </w:rPr>
        <w:t>年</w:t>
      </w:r>
      <w:r w:rsidR="000B1B0D">
        <w:rPr>
          <w:rFonts w:ascii="Times New Roman" w:hAnsi="Times New Roman"/>
          <w:kern w:val="0"/>
          <w:sz w:val="24"/>
        </w:rPr>
        <w:t>05</w:t>
      </w:r>
      <w:r w:rsidR="000B1B0D">
        <w:rPr>
          <w:rFonts w:ascii="Times New Roman" w:hAnsi="Times New Roman"/>
          <w:kern w:val="0"/>
          <w:sz w:val="24"/>
        </w:rPr>
        <w:t>月</w:t>
      </w:r>
      <w:r w:rsidR="000B1B0D">
        <w:rPr>
          <w:rFonts w:ascii="Times New Roman" w:hAnsi="Times New Roman"/>
          <w:kern w:val="0"/>
          <w:sz w:val="24"/>
        </w:rPr>
        <w:t>27</w:t>
      </w:r>
      <w:r w:rsidR="000B1B0D">
        <w:rPr>
          <w:rFonts w:ascii="Times New Roman" w:hAnsi="Times New Roman"/>
          <w:kern w:val="0"/>
          <w:sz w:val="24"/>
        </w:rPr>
        <w:t>日，有关财务数据和净值表现截止日为</w:t>
      </w:r>
      <w:r w:rsidR="000B1B0D">
        <w:rPr>
          <w:rFonts w:ascii="Times New Roman" w:hAnsi="Times New Roman"/>
          <w:kern w:val="0"/>
          <w:sz w:val="24"/>
        </w:rPr>
        <w:t>2023</w:t>
      </w:r>
      <w:r w:rsidR="000B1B0D">
        <w:rPr>
          <w:rFonts w:ascii="Times New Roman" w:hAnsi="Times New Roman"/>
          <w:kern w:val="0"/>
          <w:sz w:val="24"/>
        </w:rPr>
        <w:t>年</w:t>
      </w:r>
      <w:r w:rsidR="000B1B0D">
        <w:rPr>
          <w:rFonts w:ascii="Times New Roman" w:hAnsi="Times New Roman"/>
          <w:kern w:val="0"/>
          <w:sz w:val="24"/>
        </w:rPr>
        <w:t>03</w:t>
      </w:r>
      <w:r w:rsidR="000B1B0D">
        <w:rPr>
          <w:rFonts w:ascii="Times New Roman" w:hAnsi="Times New Roman"/>
          <w:kern w:val="0"/>
          <w:sz w:val="24"/>
        </w:rPr>
        <w:t>月</w:t>
      </w:r>
      <w:r w:rsidR="000B1B0D">
        <w:rPr>
          <w:rFonts w:ascii="Times New Roman" w:hAnsi="Times New Roman"/>
          <w:kern w:val="0"/>
          <w:sz w:val="24"/>
        </w:rPr>
        <w:t>31</w:t>
      </w:r>
      <w:r w:rsidR="000B1B0D">
        <w:rPr>
          <w:rFonts w:ascii="Times New Roman" w:hAnsi="Times New Roman"/>
          <w:kern w:val="0"/>
          <w:sz w:val="24"/>
        </w:rPr>
        <w:t>日。本招募说明书所载的财务数据未经审计。</w:t>
      </w:r>
    </w:p>
    <w:p w:rsidR="005B1FF5" w:rsidRDefault="005B1FF5">
      <w:pPr>
        <w:autoSpaceDE w:val="0"/>
        <w:autoSpaceDN w:val="0"/>
        <w:adjustRightInd w:val="0"/>
        <w:snapToGrid w:val="0"/>
        <w:spacing w:before="51" w:line="360" w:lineRule="auto"/>
        <w:ind w:left="120" w:rightChars="6" w:right="13" w:firstLine="480"/>
        <w:rPr>
          <w:rFonts w:ascii="宋体" w:hAnsi="宋体"/>
          <w:kern w:val="0"/>
          <w:szCs w:val="24"/>
        </w:rPr>
        <w:sectPr w:rsidR="005B1FF5">
          <w:headerReference w:type="default" r:id="rId12"/>
          <w:pgSz w:w="11920" w:h="16840"/>
          <w:pgMar w:top="1440" w:right="1680" w:bottom="280" w:left="1680" w:header="0" w:footer="1073" w:gutter="0"/>
          <w:pgNumType w:start="1"/>
          <w:cols w:space="720"/>
        </w:sectPr>
      </w:pPr>
    </w:p>
    <w:p w:rsidR="004E7511" w:rsidRPr="004E7511" w:rsidRDefault="000B1B0D" w:rsidP="004E7511">
      <w:pPr>
        <w:pStyle w:val="ad"/>
        <w:snapToGrid w:val="0"/>
        <w:spacing w:after="240" w:line="360" w:lineRule="auto"/>
        <w:jc w:val="center"/>
        <w:rPr>
          <w:rFonts w:ascii="宋体" w:hAnsi="宋体"/>
          <w:noProof/>
          <w:sz w:val="24"/>
        </w:rPr>
      </w:pPr>
      <w:r w:rsidRPr="004E7511">
        <w:rPr>
          <w:rFonts w:ascii="宋体" w:hAnsi="宋体"/>
          <w:color w:val="000000"/>
          <w:position w:val="-4"/>
          <w:sz w:val="24"/>
          <w:szCs w:val="30"/>
        </w:rPr>
        <w:lastRenderedPageBreak/>
        <w:t>目</w:t>
      </w:r>
      <w:r w:rsidRPr="004E7511">
        <w:rPr>
          <w:rFonts w:ascii="宋体" w:hAnsi="宋体"/>
          <w:color w:val="000000"/>
          <w:position w:val="-4"/>
          <w:sz w:val="24"/>
          <w:szCs w:val="30"/>
        </w:rPr>
        <w:tab/>
        <w:t>录</w:t>
      </w:r>
      <w:r w:rsidR="004E7511" w:rsidRPr="004E7511">
        <w:rPr>
          <w:rFonts w:ascii="宋体" w:hAnsi="宋体"/>
          <w:color w:val="000000"/>
          <w:position w:val="-4"/>
          <w:sz w:val="24"/>
          <w:szCs w:val="30"/>
        </w:rPr>
        <w:fldChar w:fldCharType="begin"/>
      </w:r>
      <w:r w:rsidR="004E7511" w:rsidRPr="004E7511">
        <w:rPr>
          <w:rFonts w:ascii="宋体" w:hAnsi="宋体"/>
          <w:color w:val="000000"/>
          <w:position w:val="-4"/>
          <w:sz w:val="24"/>
          <w:szCs w:val="30"/>
        </w:rPr>
        <w:instrText xml:space="preserve"> TOC \o "1-3" \f - \h \t "-1" </w:instrText>
      </w:r>
      <w:r w:rsidR="004E7511" w:rsidRPr="004E7511">
        <w:rPr>
          <w:rFonts w:ascii="宋体" w:hAnsi="宋体"/>
          <w:color w:val="000000"/>
          <w:position w:val="-4"/>
          <w:sz w:val="24"/>
          <w:szCs w:val="30"/>
        </w:rPr>
        <w:fldChar w:fldCharType="separate"/>
      </w:r>
    </w:p>
    <w:p w:rsidR="004E7511" w:rsidRPr="008B7535" w:rsidRDefault="00E40CBF" w:rsidP="004E7511">
      <w:pPr>
        <w:pStyle w:val="10"/>
        <w:tabs>
          <w:tab w:val="right" w:leader="dot" w:pos="8550"/>
        </w:tabs>
        <w:spacing w:line="360" w:lineRule="auto"/>
        <w:rPr>
          <w:rFonts w:ascii="宋体" w:hAnsi="宋体"/>
          <w:noProof/>
          <w:sz w:val="24"/>
        </w:rPr>
      </w:pPr>
      <w:hyperlink w:anchor="_Toc137828447" w:history="1">
        <w:r w:rsidR="004E7511" w:rsidRPr="004E7511">
          <w:rPr>
            <w:rStyle w:val="aa"/>
            <w:rFonts w:ascii="宋体" w:hAnsi="宋体" w:hint="eastAsia"/>
            <w:noProof/>
            <w:kern w:val="0"/>
            <w:sz w:val="24"/>
          </w:rPr>
          <w:t>重要提示</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_Toc137828447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1</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48" w:history="1">
        <w:r w:rsidR="004E7511" w:rsidRPr="004E7511">
          <w:rPr>
            <w:rStyle w:val="aa"/>
            <w:rFonts w:ascii="宋体" w:hAnsi="宋体" w:hint="eastAsia"/>
            <w:noProof/>
            <w:sz w:val="24"/>
          </w:rPr>
          <w:t>一、绪言</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_Toc137828448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4</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49" w:history="1">
        <w:r w:rsidR="004E7511" w:rsidRPr="004E7511">
          <w:rPr>
            <w:rStyle w:val="aa"/>
            <w:rFonts w:ascii="宋体" w:hAnsi="宋体" w:hint="eastAsia"/>
            <w:noProof/>
            <w:sz w:val="24"/>
          </w:rPr>
          <w:t>二、释义</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_Toc137828449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5</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50" w:history="1">
        <w:r w:rsidR="004E7511" w:rsidRPr="004E7511">
          <w:rPr>
            <w:rStyle w:val="aa"/>
            <w:rFonts w:ascii="宋体" w:hAnsi="宋体" w:hint="eastAsia"/>
            <w:noProof/>
            <w:sz w:val="24"/>
          </w:rPr>
          <w:t>三、基金管理人</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_Toc137828450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11</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51" w:history="1">
        <w:r w:rsidR="004E7511" w:rsidRPr="004E7511">
          <w:rPr>
            <w:rStyle w:val="aa"/>
            <w:rFonts w:ascii="宋体" w:hAnsi="宋体" w:hint="eastAsia"/>
            <w:noProof/>
            <w:sz w:val="24"/>
          </w:rPr>
          <w:t>四、基金托管人</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_Toc137828451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19</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52" w:history="1">
        <w:r w:rsidR="004E7511" w:rsidRPr="004E7511">
          <w:rPr>
            <w:rStyle w:val="aa"/>
            <w:rFonts w:ascii="宋体" w:hAnsi="宋体" w:hint="eastAsia"/>
            <w:noProof/>
            <w:sz w:val="24"/>
          </w:rPr>
          <w:t>五、相关服务机构</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_Toc137828452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22</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53" w:history="1">
        <w:r w:rsidR="004E7511" w:rsidRPr="004E7511">
          <w:rPr>
            <w:rStyle w:val="aa"/>
            <w:rFonts w:ascii="宋体" w:hAnsi="宋体" w:hint="eastAsia"/>
            <w:noProof/>
            <w:sz w:val="24"/>
          </w:rPr>
          <w:t>六、基金的募集</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_Toc137828453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56</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54" w:history="1">
        <w:r w:rsidR="004E7511" w:rsidRPr="004E7511">
          <w:rPr>
            <w:rStyle w:val="aa"/>
            <w:rFonts w:ascii="宋体" w:hAnsi="宋体" w:hint="eastAsia"/>
            <w:noProof/>
            <w:sz w:val="24"/>
          </w:rPr>
          <w:t>七、基金合同的生效</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_Toc137828454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57</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55" w:history="1">
        <w:r w:rsidR="004E7511" w:rsidRPr="004E7511">
          <w:rPr>
            <w:rStyle w:val="aa"/>
            <w:rFonts w:ascii="宋体" w:hAnsi="宋体" w:hint="eastAsia"/>
            <w:noProof/>
            <w:sz w:val="24"/>
          </w:rPr>
          <w:t>八、基金份额的申购与赎回</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_Toc137828455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58</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56" w:history="1">
        <w:r w:rsidR="004E7511" w:rsidRPr="004E7511">
          <w:rPr>
            <w:rStyle w:val="aa"/>
            <w:rFonts w:ascii="宋体" w:hAnsi="宋体" w:hint="eastAsia"/>
            <w:noProof/>
            <w:sz w:val="24"/>
          </w:rPr>
          <w:t>九、基金的转换</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_Toc137828456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72</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57" w:history="1">
        <w:r w:rsidR="004E7511" w:rsidRPr="004E7511">
          <w:rPr>
            <w:rStyle w:val="aa"/>
            <w:rFonts w:ascii="宋体" w:hAnsi="宋体" w:hint="eastAsia"/>
            <w:noProof/>
            <w:sz w:val="24"/>
          </w:rPr>
          <w:t>十、基金的投资</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_Toc137828457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79</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58" w:history="1">
        <w:r w:rsidR="004E7511" w:rsidRPr="004E7511">
          <w:rPr>
            <w:rStyle w:val="aa"/>
            <w:rFonts w:ascii="宋体" w:hAnsi="宋体" w:hint="eastAsia"/>
            <w:noProof/>
            <w:sz w:val="24"/>
          </w:rPr>
          <w:t>十一、基金的业绩</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_Toc137828458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93</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59" w:history="1">
        <w:r w:rsidR="004E7511" w:rsidRPr="004E7511">
          <w:rPr>
            <w:rStyle w:val="aa"/>
            <w:rFonts w:ascii="宋体" w:hAnsi="宋体" w:hint="eastAsia"/>
            <w:noProof/>
            <w:sz w:val="24"/>
          </w:rPr>
          <w:t>十二、基金的财产</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_Toc137828459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96</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60" w:history="1">
        <w:r w:rsidR="004E7511" w:rsidRPr="004E7511">
          <w:rPr>
            <w:rStyle w:val="aa"/>
            <w:rFonts w:ascii="宋体" w:hAnsi="宋体" w:hint="eastAsia"/>
            <w:noProof/>
            <w:sz w:val="24"/>
          </w:rPr>
          <w:t>十三、基金资产的估值</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_Toc137828460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97</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61" w:history="1">
        <w:r w:rsidR="004E7511" w:rsidRPr="004E7511">
          <w:rPr>
            <w:rStyle w:val="aa"/>
            <w:rFonts w:ascii="宋体" w:hAnsi="宋体" w:hint="eastAsia"/>
            <w:noProof/>
            <w:sz w:val="24"/>
          </w:rPr>
          <w:t>十四、基金收益与分配</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_Toc137828461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102</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62" w:history="1">
        <w:r w:rsidR="004E7511" w:rsidRPr="004E7511">
          <w:rPr>
            <w:rStyle w:val="aa"/>
            <w:rFonts w:ascii="宋体" w:hAnsi="宋体" w:hint="eastAsia"/>
            <w:noProof/>
            <w:sz w:val="24"/>
          </w:rPr>
          <w:t>十五、基金的费用与税收</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_Toc137828462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104</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63" w:history="1">
        <w:r w:rsidR="004E7511" w:rsidRPr="004E7511">
          <w:rPr>
            <w:rStyle w:val="aa"/>
            <w:rFonts w:ascii="宋体" w:hAnsi="宋体" w:hint="eastAsia"/>
            <w:noProof/>
            <w:sz w:val="24"/>
          </w:rPr>
          <w:t>十六、基金的会计与审计</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_Toc137828463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107</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64" w:history="1">
        <w:r w:rsidR="004E7511" w:rsidRPr="004E7511">
          <w:rPr>
            <w:rStyle w:val="aa"/>
            <w:rFonts w:ascii="宋体" w:hAnsi="宋体" w:hint="eastAsia"/>
            <w:noProof/>
            <w:sz w:val="24"/>
          </w:rPr>
          <w:t>十七、基金的信息披露</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_Toc137828464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108</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65" w:history="1">
        <w:r w:rsidR="004E7511" w:rsidRPr="004E7511">
          <w:rPr>
            <w:rStyle w:val="aa"/>
            <w:rFonts w:ascii="宋体" w:hAnsi="宋体" w:hint="eastAsia"/>
            <w:noProof/>
            <w:sz w:val="24"/>
          </w:rPr>
          <w:t>十八、侧袋机制</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_Toc137828465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115</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66" w:history="1">
        <w:r w:rsidR="004E7511" w:rsidRPr="004E7511">
          <w:rPr>
            <w:rStyle w:val="aa"/>
            <w:rFonts w:ascii="宋体" w:hAnsi="宋体" w:hint="eastAsia"/>
            <w:noProof/>
            <w:sz w:val="24"/>
          </w:rPr>
          <w:t>十九、风险揭示</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_Toc137828466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118</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67" w:history="1">
        <w:r w:rsidR="004E7511" w:rsidRPr="004E7511">
          <w:rPr>
            <w:rStyle w:val="aa"/>
            <w:rFonts w:ascii="宋体" w:hAnsi="宋体" w:hint="eastAsia"/>
            <w:noProof/>
            <w:sz w:val="24"/>
          </w:rPr>
          <w:t>二十、基金合同的变更、终止与基金财产的清算</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_Toc137828467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125</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68" w:history="1">
        <w:r w:rsidR="004E7511" w:rsidRPr="004E7511">
          <w:rPr>
            <w:rStyle w:val="aa"/>
            <w:rFonts w:ascii="宋体" w:hAnsi="宋体" w:hint="eastAsia"/>
            <w:noProof/>
            <w:sz w:val="24"/>
          </w:rPr>
          <w:t>二十一、基金合同内容摘要</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_Toc137828468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127</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69" w:history="1">
        <w:r w:rsidR="004E7511" w:rsidRPr="004E7511">
          <w:rPr>
            <w:rStyle w:val="aa"/>
            <w:rFonts w:ascii="宋体" w:hAnsi="宋体" w:hint="eastAsia"/>
            <w:noProof/>
            <w:sz w:val="24"/>
          </w:rPr>
          <w:t>二十二、托管协议的内容摘要</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_Toc137828469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143</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70" w:history="1">
        <w:r w:rsidR="004E7511" w:rsidRPr="004E7511">
          <w:rPr>
            <w:rStyle w:val="aa"/>
            <w:rFonts w:ascii="宋体" w:hAnsi="宋体" w:hint="eastAsia"/>
            <w:noProof/>
            <w:sz w:val="24"/>
          </w:rPr>
          <w:t>二十三、对基金份额持有人的服务</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_Toc137828470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157</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71" w:history="1">
        <w:r w:rsidR="004E7511" w:rsidRPr="004E7511">
          <w:rPr>
            <w:rStyle w:val="aa"/>
            <w:rFonts w:ascii="宋体" w:hAnsi="宋体" w:hint="eastAsia"/>
            <w:noProof/>
            <w:sz w:val="24"/>
          </w:rPr>
          <w:t>二十四、其他应披露事项</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_Toc137828471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159</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72" w:history="1">
        <w:r w:rsidR="004E7511" w:rsidRPr="004E7511">
          <w:rPr>
            <w:rStyle w:val="aa"/>
            <w:rFonts w:ascii="宋体" w:hAnsi="宋体" w:hint="eastAsia"/>
            <w:noProof/>
            <w:sz w:val="24"/>
          </w:rPr>
          <w:t>二十五、招募说明书的存放及查阅方式</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_Toc137828472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165</w:t>
        </w:r>
        <w:r w:rsidR="004E7511" w:rsidRPr="004E7511">
          <w:rPr>
            <w:rFonts w:ascii="宋体" w:hAnsi="宋体"/>
            <w:noProof/>
            <w:sz w:val="24"/>
          </w:rPr>
          <w:fldChar w:fldCharType="end"/>
        </w:r>
      </w:hyperlink>
    </w:p>
    <w:p w:rsidR="004E7511" w:rsidRPr="008B7535" w:rsidRDefault="00E40CBF" w:rsidP="004E7511">
      <w:pPr>
        <w:pStyle w:val="10"/>
        <w:tabs>
          <w:tab w:val="right" w:leader="dot" w:pos="8550"/>
        </w:tabs>
        <w:spacing w:line="360" w:lineRule="auto"/>
        <w:rPr>
          <w:rFonts w:ascii="宋体" w:hAnsi="宋体"/>
          <w:noProof/>
          <w:sz w:val="24"/>
        </w:rPr>
      </w:pPr>
      <w:hyperlink w:anchor="_Toc137828473" w:history="1">
        <w:r w:rsidR="004E7511" w:rsidRPr="004E7511">
          <w:rPr>
            <w:rStyle w:val="aa"/>
            <w:rFonts w:ascii="宋体" w:hAnsi="宋体" w:hint="eastAsia"/>
            <w:noProof/>
            <w:sz w:val="24"/>
          </w:rPr>
          <w:t>二十六、备查文件</w:t>
        </w:r>
        <w:r w:rsidR="004E7511" w:rsidRPr="004E7511">
          <w:rPr>
            <w:rFonts w:ascii="宋体" w:hAnsi="宋体"/>
            <w:noProof/>
            <w:sz w:val="24"/>
          </w:rPr>
          <w:tab/>
        </w:r>
        <w:r w:rsidR="004E7511" w:rsidRPr="004E7511">
          <w:rPr>
            <w:rFonts w:ascii="宋体" w:hAnsi="宋体"/>
            <w:noProof/>
            <w:sz w:val="24"/>
          </w:rPr>
          <w:fldChar w:fldCharType="begin"/>
        </w:r>
        <w:r w:rsidR="004E7511" w:rsidRPr="004E7511">
          <w:rPr>
            <w:rFonts w:ascii="宋体" w:hAnsi="宋体"/>
            <w:noProof/>
            <w:sz w:val="24"/>
          </w:rPr>
          <w:instrText xml:space="preserve"> PAGEREF _Toc137828473 \h </w:instrText>
        </w:r>
        <w:r w:rsidR="004E7511" w:rsidRPr="004E7511">
          <w:rPr>
            <w:rFonts w:ascii="宋体" w:hAnsi="宋体"/>
            <w:noProof/>
            <w:sz w:val="24"/>
          </w:rPr>
        </w:r>
        <w:r w:rsidR="004E7511" w:rsidRPr="004E7511">
          <w:rPr>
            <w:rFonts w:ascii="宋体" w:hAnsi="宋体"/>
            <w:noProof/>
            <w:sz w:val="24"/>
          </w:rPr>
          <w:fldChar w:fldCharType="separate"/>
        </w:r>
        <w:r w:rsidR="004E7511" w:rsidRPr="004E7511">
          <w:rPr>
            <w:rFonts w:ascii="宋体" w:hAnsi="宋体"/>
            <w:noProof/>
            <w:sz w:val="24"/>
          </w:rPr>
          <w:t>166</w:t>
        </w:r>
        <w:r w:rsidR="004E7511" w:rsidRPr="004E7511">
          <w:rPr>
            <w:rFonts w:ascii="宋体" w:hAnsi="宋体"/>
            <w:noProof/>
            <w:sz w:val="24"/>
          </w:rPr>
          <w:fldChar w:fldCharType="end"/>
        </w:r>
      </w:hyperlink>
    </w:p>
    <w:p w:rsidR="005B1FF5" w:rsidRPr="004E7511" w:rsidRDefault="004E7511" w:rsidP="004E7511">
      <w:pPr>
        <w:pStyle w:val="ad"/>
        <w:snapToGrid w:val="0"/>
        <w:spacing w:after="240" w:line="360" w:lineRule="auto"/>
        <w:jc w:val="center"/>
        <w:rPr>
          <w:rFonts w:ascii="宋体" w:hAnsi="宋体"/>
          <w:color w:val="000000"/>
          <w:sz w:val="24"/>
        </w:rPr>
      </w:pPr>
      <w:r w:rsidRPr="004E7511">
        <w:rPr>
          <w:rFonts w:ascii="宋体" w:hAnsi="宋体"/>
          <w:color w:val="000000"/>
          <w:position w:val="-4"/>
          <w:sz w:val="24"/>
          <w:szCs w:val="30"/>
        </w:rPr>
        <w:lastRenderedPageBreak/>
        <w:fldChar w:fldCharType="end"/>
      </w:r>
    </w:p>
    <w:p w:rsidR="005B1FF5" w:rsidRDefault="005B1FF5">
      <w:pPr>
        <w:autoSpaceDE w:val="0"/>
        <w:autoSpaceDN w:val="0"/>
        <w:adjustRightInd w:val="0"/>
        <w:snapToGrid w:val="0"/>
        <w:spacing w:line="360" w:lineRule="auto"/>
        <w:ind w:left="120" w:rightChars="6" w:right="13"/>
        <w:rPr>
          <w:rFonts w:ascii="宋体" w:hAnsi="宋体"/>
          <w:kern w:val="0"/>
          <w:szCs w:val="24"/>
        </w:rPr>
        <w:sectPr w:rsidR="005B1FF5">
          <w:pgSz w:w="11920" w:h="16840"/>
          <w:pgMar w:top="1480" w:right="1680" w:bottom="280" w:left="1680" w:header="0" w:footer="1073" w:gutter="0"/>
          <w:cols w:space="720"/>
        </w:sectPr>
      </w:pPr>
    </w:p>
    <w:p w:rsidR="005B1FF5" w:rsidRDefault="000B1B0D">
      <w:pPr>
        <w:pStyle w:val="1"/>
        <w:snapToGrid w:val="0"/>
        <w:spacing w:beforeLines="0" w:before="240" w:after="240"/>
        <w:rPr>
          <w:rFonts w:ascii="宋体" w:hAnsi="宋体"/>
          <w:szCs w:val="30"/>
        </w:rPr>
      </w:pPr>
      <w:bookmarkStart w:id="4" w:name="_Toc137828448"/>
      <w:r>
        <w:rPr>
          <w:rFonts w:ascii="Times New Roman" w:hAnsi="Times New Roman"/>
          <w:sz w:val="30"/>
        </w:rPr>
        <w:lastRenderedPageBreak/>
        <w:t>一、绪言</w:t>
      </w:r>
      <w:bookmarkEnd w:id="4"/>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国企改革灵活配置混合型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相关法律法规的规定以及《交银施罗德国企改革灵活配置混合型证券投资基金基金合同》（以下简称“基金合同”）编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5" w:name="_Toc137828449"/>
      <w:r>
        <w:rPr>
          <w:rFonts w:ascii="Times New Roman" w:hAnsi="Times New Roman"/>
          <w:sz w:val="30"/>
        </w:rPr>
        <w:lastRenderedPageBreak/>
        <w:t>二、释义</w:t>
      </w:r>
      <w:bookmarkEnd w:id="5"/>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tbl>
      <w:tblPr>
        <w:tblW w:w="5000" w:type="pct"/>
        <w:tblCellMar>
          <w:left w:w="0" w:type="dxa"/>
          <w:right w:w="0" w:type="dxa"/>
        </w:tblCellMar>
        <w:tblLook w:val="0000" w:firstRow="0" w:lastRow="0" w:firstColumn="0" w:lastColumn="0" w:noHBand="0" w:noVBand="0"/>
      </w:tblPr>
      <w:tblGrid>
        <w:gridCol w:w="4325"/>
        <w:gridCol w:w="4325"/>
      </w:tblGrid>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基金或本基金</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指交银施罗德国企改革灵活配置混合型证券投资基金</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基金管理人或本基金管理人</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基金托管人或本基金托管人</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指中国农业银行股份有限公司</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《基金合同》或基金合同</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指《交银施罗德国企改革灵活配置混合型证券投资基金基金合同》及对基金合同的任何有效修订和补充</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托管协议</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指基金管理人与基金托管人就本基金签订之《交银施罗德国企改革灵活配置混合型证券投资基金托管协议》及对该托管协议的任何有效修订和补充</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招募说明书或《招募说明书》或本招募说明书</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指《交银施罗德国企改革灵活配置混合型证券投资基金招募说明书》及其更新</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基金份额发售公告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指《交银施罗德国企改革灵活配置混合型证券投资基金基金份额发售公告》</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《交银施罗德国企改革灵活配置混合型证券投资基金基金产品资料概要》及其更新</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法律法规</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指中国现行有效并公布实施的法律、行政法规、规范性文件、司法解释、行政规章以及其他对基金合同当事人有约束力的决定、决议、通知等</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《基金法》</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2003</w:t>
            </w:r>
            <w:r>
              <w:rPr>
                <w:rFonts w:ascii="Times New Roman" w:hAnsi="Times New Roman"/>
                <w:color w:val="000000"/>
                <w:kern w:val="0"/>
                <w:sz w:val="25"/>
                <w:szCs w:val="24"/>
              </w:rPr>
              <w:t>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28</w:t>
            </w:r>
            <w:r>
              <w:rPr>
                <w:rFonts w:ascii="Times New Roman" w:hAnsi="Times New Roman"/>
                <w:color w:val="000000"/>
                <w:kern w:val="0"/>
                <w:sz w:val="25"/>
                <w:szCs w:val="24"/>
              </w:rPr>
              <w:t>日经第十届全国人民代表大会常务委员会第五次会议通过，并经</w:t>
            </w:r>
            <w:r>
              <w:rPr>
                <w:rFonts w:ascii="Times New Roman" w:hAnsi="Times New Roman"/>
                <w:color w:val="000000"/>
                <w:kern w:val="0"/>
                <w:sz w:val="25"/>
                <w:szCs w:val="24"/>
              </w:rPr>
              <w:t>2012</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28</w:t>
            </w:r>
            <w:r>
              <w:rPr>
                <w:rFonts w:ascii="Times New Roman" w:hAnsi="Times New Roman"/>
                <w:color w:val="000000"/>
                <w:kern w:val="0"/>
                <w:sz w:val="25"/>
                <w:szCs w:val="24"/>
              </w:rPr>
              <w:t>日第十一届全国人民代表大会常务委员会第三十次会议修订，自</w:t>
            </w:r>
            <w:r>
              <w:rPr>
                <w:rFonts w:ascii="Times New Roman" w:hAnsi="Times New Roman"/>
                <w:color w:val="000000"/>
                <w:kern w:val="0"/>
                <w:sz w:val="25"/>
                <w:szCs w:val="24"/>
              </w:rPr>
              <w:t>2013</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日起实施的《中华人民共和国证券投资基金法》及其后颁布机关对其不时做出的修订</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《销售办法》</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2013</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月</w:t>
            </w:r>
            <w:r>
              <w:rPr>
                <w:rFonts w:ascii="Times New Roman" w:hAnsi="Times New Roman"/>
                <w:color w:val="000000"/>
                <w:kern w:val="0"/>
                <w:sz w:val="25"/>
                <w:szCs w:val="24"/>
              </w:rPr>
              <w:t>15</w:t>
            </w:r>
            <w:r>
              <w:rPr>
                <w:rFonts w:ascii="Times New Roman" w:hAnsi="Times New Roman"/>
                <w:color w:val="000000"/>
                <w:kern w:val="0"/>
                <w:sz w:val="25"/>
                <w:szCs w:val="24"/>
              </w:rPr>
              <w:t>日颁布、同年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日实施的《证券投资基金销售管理办法》及颁布机关对其不时做出的修订</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《信息披露办法》</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26</w:t>
            </w:r>
            <w:r>
              <w:rPr>
                <w:rFonts w:ascii="Times New Roman" w:hAnsi="Times New Roman"/>
                <w:color w:val="000000"/>
                <w:kern w:val="0"/>
                <w:sz w:val="25"/>
                <w:szCs w:val="24"/>
              </w:rPr>
              <w:t>日颁布、同年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日实施的《公开募集证券投资基金信息披露管理办法》及颁布机关对其不时做出的修订</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《运作办法》</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2014</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7</w:t>
            </w:r>
            <w:r>
              <w:rPr>
                <w:rFonts w:ascii="Times New Roman" w:hAnsi="Times New Roman"/>
                <w:color w:val="000000"/>
                <w:kern w:val="0"/>
                <w:sz w:val="25"/>
                <w:szCs w:val="24"/>
              </w:rPr>
              <w:t>日颁布、同年</w:t>
            </w:r>
            <w:r>
              <w:rPr>
                <w:rFonts w:ascii="Times New Roman" w:hAnsi="Times New Roman"/>
                <w:color w:val="000000"/>
                <w:kern w:val="0"/>
                <w:sz w:val="25"/>
                <w:szCs w:val="24"/>
              </w:rPr>
              <w:t>8</w:t>
            </w:r>
            <w:r>
              <w:rPr>
                <w:rFonts w:ascii="Times New Roman" w:hAnsi="Times New Roman"/>
                <w:color w:val="000000"/>
                <w:kern w:val="0"/>
                <w:sz w:val="25"/>
                <w:szCs w:val="24"/>
              </w:rPr>
              <w:t>月</w:t>
            </w:r>
            <w:r>
              <w:rPr>
                <w:rFonts w:ascii="Times New Roman" w:hAnsi="Times New Roman"/>
                <w:color w:val="000000"/>
                <w:kern w:val="0"/>
                <w:sz w:val="25"/>
                <w:szCs w:val="24"/>
              </w:rPr>
              <w:t>8</w:t>
            </w:r>
            <w:r>
              <w:rPr>
                <w:rFonts w:ascii="Times New Roman" w:hAnsi="Times New Roman"/>
                <w:color w:val="000000"/>
                <w:kern w:val="0"/>
                <w:sz w:val="25"/>
                <w:szCs w:val="24"/>
              </w:rPr>
              <w:t>日实施的《公开募集证券投资基金运作管理办法》及颁布机关对其不时做出的修订</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《流动性规定》</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2017</w:t>
            </w:r>
            <w:r>
              <w:rPr>
                <w:rFonts w:ascii="Times New Roman" w:hAnsi="Times New Roman"/>
                <w:color w:val="000000"/>
                <w:kern w:val="0"/>
                <w:sz w:val="25"/>
                <w:szCs w:val="24"/>
              </w:rPr>
              <w:t>年</w:t>
            </w:r>
            <w:r>
              <w:rPr>
                <w:rFonts w:ascii="Times New Roman" w:hAnsi="Times New Roman"/>
                <w:color w:val="000000"/>
                <w:kern w:val="0"/>
                <w:sz w:val="25"/>
                <w:szCs w:val="24"/>
              </w:rPr>
              <w:t>8</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日实施的《公开募集开放式证券投资基金流动性风险管理规定》及颁布机关对其不时做出的修订</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指中国证券监督管理委员会</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银行业监督管理机构</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指中国人民银行和</w:t>
            </w:r>
            <w:r>
              <w:rPr>
                <w:rFonts w:ascii="Times New Roman" w:hAnsi="Times New Roman"/>
                <w:color w:val="000000"/>
                <w:kern w:val="0"/>
                <w:sz w:val="25"/>
                <w:szCs w:val="24"/>
              </w:rPr>
              <w:t>/</w:t>
            </w:r>
            <w:r>
              <w:rPr>
                <w:rFonts w:ascii="Times New Roman" w:hAnsi="Times New Roman"/>
                <w:color w:val="000000"/>
                <w:kern w:val="0"/>
                <w:sz w:val="25"/>
                <w:szCs w:val="24"/>
              </w:rPr>
              <w:t>或中国银行业监督管理委员会</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基金合同当事人</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指受基金合同约束，根据基金合同享有权利并承担义务的法律主体，包括基金管理人、基金托管人和基金份额持有人</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个人投资者</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指依据有关法律法规规定可投资于证券投资基金的自然人</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指依法可以投资证券投资基金的、在中华人民共和国境内合法登记并存续或经有关政府部门批准设立并存续的企业法人、事业法人、社会团体或其他组织</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合格境外机构投资者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指符合《合格境外机构投资者境内证券投资管理办法》及相关法律法规规定可以投资于在中国境内依法募集的证券投资基金的中国境外的机构投资者</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人民币合格境外机构投资者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指按照《人民币合格境外机构投资者境内证券投资试点办法》及相关法律法规规定，运用来自境外的人民币资金进行中国境内证券投资的境外机构投资者</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投资人或投资者</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指个人投资者、机构投资者、合格境外机构投资者和人民币合格境外机构投资者以及法律法规或中国证监会允许购买证券投资基金的其他投资人的合称</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指依基金合同和招募说明书合法取得基金份额的投资人</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基金销售业务</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指基金管理人或销售机构宣传推介基金，发售基金份额，办理基金份额的申购、赎回、转换、转托管及定期定额投资等业务</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销售机构</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指交银施罗德基金管理有限公司以及符合《销售办法》和中国证监会规定的其他条件，取得基金销售业务资格并与基金管理人签订了基金销售服务协议，办理基金销售业务的机构</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登记业务</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登记机构</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指办理登记业务的机构。基金的登记机构为交银施罗德基金管理有限公司或接受交银施罗德基金管理有限公司委托代为办理登记业务的机构</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基金账户</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指登记机构为投资人开立的、记录其持有的、基金管理人所管理的基金份额余额及其变动情况的账户</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基金交易账户</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指销售机构为投资人开立的、记录投资人通过该销售机构办理认购、申购、赎回、转换及转托管等业务而引起的基金份额变动及结余情况的账户</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基金合同生效日</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指基金募集达到法律法规规定及基金合同规定的条件，基金管理人向中国证监会办理基金备案手续完毕，并获得中国证监会书面确认的日期</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基金合同终止日</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指基金合同规定的基金合同终止事由出现后，基金财产清算完毕，清算结果报中国证监会备案并予以公告的日期</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基金募集期</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指自基金份额发售之日起至发售结束之日止的期间，最长不得超过</w:t>
            </w:r>
            <w:r>
              <w:rPr>
                <w:rFonts w:ascii="Times New Roman" w:hAnsi="Times New Roman"/>
                <w:color w:val="000000"/>
                <w:kern w:val="0"/>
                <w:sz w:val="25"/>
                <w:szCs w:val="24"/>
              </w:rPr>
              <w:t>3</w:t>
            </w:r>
            <w:r>
              <w:rPr>
                <w:rFonts w:ascii="Times New Roman" w:hAnsi="Times New Roman"/>
                <w:color w:val="000000"/>
                <w:kern w:val="0"/>
                <w:sz w:val="25"/>
                <w:szCs w:val="24"/>
              </w:rPr>
              <w:t>个月</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存续期</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指基金合同生效至终止之间的不定期期限</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工作日</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指上海证券交易所、深圳证券交易所的正常交易日</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T</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指销售机构在规定时间受理投资人申购、赎回或其他业务申请的开放日</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T+n</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w:t>
            </w:r>
            <w:r>
              <w:rPr>
                <w:rFonts w:ascii="Times New Roman" w:hAnsi="Times New Roman"/>
                <w:color w:val="000000"/>
                <w:kern w:val="0"/>
                <w:sz w:val="25"/>
                <w:szCs w:val="24"/>
              </w:rPr>
              <w:t>T</w:t>
            </w:r>
            <w:r>
              <w:rPr>
                <w:rFonts w:ascii="Times New Roman" w:hAnsi="Times New Roman"/>
                <w:color w:val="000000"/>
                <w:kern w:val="0"/>
                <w:sz w:val="25"/>
                <w:szCs w:val="24"/>
              </w:rPr>
              <w:t>日起第</w:t>
            </w:r>
            <w:r>
              <w:rPr>
                <w:rFonts w:ascii="Times New Roman" w:hAnsi="Times New Roman"/>
                <w:color w:val="000000"/>
                <w:kern w:val="0"/>
                <w:sz w:val="25"/>
                <w:szCs w:val="24"/>
              </w:rPr>
              <w:t>n</w:t>
            </w:r>
            <w:r>
              <w:rPr>
                <w:rFonts w:ascii="Times New Roman" w:hAnsi="Times New Roman"/>
                <w:color w:val="000000"/>
                <w:kern w:val="0"/>
                <w:sz w:val="25"/>
                <w:szCs w:val="24"/>
              </w:rPr>
              <w:t>个工作日</w:t>
            </w:r>
            <w:r>
              <w:rPr>
                <w:rFonts w:ascii="Times New Roman" w:hAnsi="Times New Roman"/>
                <w:color w:val="000000"/>
                <w:kern w:val="0"/>
                <w:sz w:val="25"/>
                <w:szCs w:val="24"/>
              </w:rPr>
              <w:t>(</w:t>
            </w:r>
            <w:r>
              <w:rPr>
                <w:rFonts w:ascii="Times New Roman" w:hAnsi="Times New Roman"/>
                <w:color w:val="000000"/>
                <w:kern w:val="0"/>
                <w:sz w:val="25"/>
                <w:szCs w:val="24"/>
              </w:rPr>
              <w:t>不包含</w:t>
            </w:r>
            <w:r>
              <w:rPr>
                <w:rFonts w:ascii="Times New Roman" w:hAnsi="Times New Roman"/>
                <w:color w:val="000000"/>
                <w:kern w:val="0"/>
                <w:sz w:val="25"/>
                <w:szCs w:val="24"/>
              </w:rPr>
              <w:t>T</w:t>
            </w:r>
            <w:r>
              <w:rPr>
                <w:rFonts w:ascii="Times New Roman" w:hAnsi="Times New Roman"/>
                <w:color w:val="000000"/>
                <w:kern w:val="0"/>
                <w:sz w:val="25"/>
                <w:szCs w:val="24"/>
              </w:rPr>
              <w:t>日</w:t>
            </w:r>
            <w:r>
              <w:rPr>
                <w:rFonts w:ascii="Times New Roman" w:hAnsi="Times New Roman"/>
                <w:color w:val="000000"/>
                <w:kern w:val="0"/>
                <w:sz w:val="25"/>
                <w:szCs w:val="24"/>
              </w:rPr>
              <w:t>)</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开放日</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指为投资人办理基金份额申购、赎回或其他业务的工作日</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开放时间</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指开放日基金接受申购、赎回或其他交易的时间段</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《业务规则》</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认购</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指在基金募集期内，投资人根据基金合同和招募说明书的规定申请购买基金份额的行为</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指基金合同生效后，投资人根据基金合同和招募说明书的规定申请购买基金份额的行为</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指基金合同生效后，基金份额持有人按基金合同和招募说明书规定的条件要求将基金份额兑换为现金的行为</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基金转换</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指基金份额持有人按照基金合同和基金管理人届时有效公告规定的条件，申请将其持有基金管理人管理的、某一基金的基金份额转换为基金管理人管理的其他基金基金份额的行为</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转托管</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指基金份额持有人在本基金的不同销售机构之间实施的变更所持基金份额销售机构的操作</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定期定额投资计划</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指投资人通过有关销售机构提出申请，约定每期申购日、扣款金额及扣款方式，由指定的销售机构在投资人指定银行账户内自动完成扣款并于每期约定的申购日受理基金申购申请的一种投资方式</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巨额赎回</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指本基金单个开放日，基金净赎回申请（赎回申请份额总数加上基金转换中转出申请份额总数后扣除申购申请份额总数及基金转换中转入申请份额总数后的余额）超过上一开放日基金总份额的</w:t>
            </w:r>
            <w:r>
              <w:rPr>
                <w:rFonts w:ascii="Times New Roman" w:hAnsi="Times New Roman"/>
                <w:color w:val="000000"/>
                <w:kern w:val="0"/>
                <w:sz w:val="25"/>
                <w:szCs w:val="24"/>
              </w:rPr>
              <w:t>10%</w:t>
            </w:r>
            <w:r>
              <w:rPr>
                <w:rFonts w:ascii="Times New Roman" w:hAnsi="Times New Roman"/>
                <w:color w:val="000000"/>
                <w:kern w:val="0"/>
                <w:sz w:val="25"/>
                <w:szCs w:val="24"/>
              </w:rPr>
              <w:t>的情形</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元</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指人民币元</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基金收益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指基金投资所得红利、股息、债券利息、买卖证券价差、银行存款利息、已实现的其他合法收入及因运用基金财产带来的成本和费用的节约</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基金资产总值</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指基金拥有的各类有价证券、股指期货合约、证券投资基金份额、银行存款本息、基金应收申购款及其他资产的价值总和</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基金资产净值</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指基金资产总值减去基金负债后的价值</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指计算日基金资产净值除以计算日基金份额总数</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基金资产估值</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指计算评估基金资产和负债的价值，以确定基金资产净值和基金份额净值的过程</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销售服务费</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指从基金财产中计提的，用于本基金市场推广、销售以及基金份额持有人服务的费用</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指在投资人申购时收取申购费用且不从本类别基金资产中计提销售服务费的基金份额</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指在投资人申购时不收取申购费用，并从本类别基金资产中计提销售服务费的基金份额</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流动性受限资产</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指由于法律法规、监管、合同或操作障碍等原因无法以合理价格予以变现的资产，包括但不限于到期日在</w:t>
            </w:r>
            <w:r>
              <w:rPr>
                <w:rFonts w:ascii="Times New Roman" w:hAnsi="Times New Roman"/>
                <w:color w:val="000000"/>
                <w:kern w:val="0"/>
                <w:sz w:val="25"/>
                <w:szCs w:val="24"/>
              </w:rPr>
              <w:t>10</w:t>
            </w:r>
            <w:r>
              <w:rPr>
                <w:rFonts w:ascii="Times New Roman" w:hAnsi="Times New Roman"/>
                <w:color w:val="000000"/>
                <w:kern w:val="0"/>
                <w:sz w:val="25"/>
                <w:szCs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指定媒介</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指中国证监会指定的用以进行信息披露的全国性报刊及指定互联网网站（包括基金管理人网站、基金托管人网站、中国证监会基金电子披露网站）等媒介</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侧袋机制</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特定资产</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不可抗力</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指基金合同当事人不能预见、不能避免且不能克服的客观事件</w:t>
            </w:r>
          </w:p>
        </w:tc>
      </w:tr>
    </w:tbl>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6" w:name="_Toc137828450"/>
      <w:r>
        <w:rPr>
          <w:rFonts w:ascii="Times New Roman" w:hAnsi="Times New Roman"/>
          <w:sz w:val="30"/>
        </w:rPr>
        <w:lastRenderedPageBreak/>
        <w:t>三、基金管理人</w:t>
      </w:r>
      <w:bookmarkEnd w:id="6"/>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童洁萍女士，董事，硕士。现任交通银行总行个人金融业务部副总经理。历任交通银行南京分行个人金融业务部副高级经理、江苏省分行个人金融业务部副总经理、总经理、玄武支行行长。</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w:t>
      </w:r>
      <w:r>
        <w:rPr>
          <w:rFonts w:ascii="宋体" w:hAnsi="宋体"/>
          <w:sz w:val="24"/>
        </w:rPr>
        <w:lastRenderedPageBreak/>
        <w:t>中国香港法律部主管。历任香港证券及期货事务监察委员会发牌科经理、的近律师行律师。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沈楠先生:基金经理。复旦大学经济学硕士，14年证券投资行业从业经验。2009年至2011年在长江证券担任高级分析师。2011年加入交银施罗德基金管理有限公司，曾任行业分析师、基金经理助理，现任权益部基金经理。现任交银施罗德主题优选灵活配置混合型证券投资基金(2015年05月05日至今)、交银施罗德国企改革灵活配置混合型证券投资基金(2015年06月10日至今)、交银施罗德瑞思混合型证券投资基金（LOF）(2020年02月21日至今)的基金经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委员：谢卫（总经理）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上述人员之间不存在近亲属关系，上述各项人员信息更新截止日为2023年05月27日，期后变动（如有）敬请关注基金管理人发布的相关公告。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（2）不公平地对待管理的不同基金财产；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建立完备的风险管理指标体系，使风险管理更具客观性和操作性。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w:t>
      </w:r>
      <w:r>
        <w:rPr>
          <w:rFonts w:ascii="宋体" w:hAnsi="宋体"/>
          <w:sz w:val="24"/>
        </w:rPr>
        <w:lastRenderedPageBreak/>
        <w:t>助促进公司风险管理、控制和治理过程的完善，实现合规经营目标。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w:t>
      </w:r>
      <w:r>
        <w:rPr>
          <w:rFonts w:ascii="宋体" w:hAnsi="宋体"/>
          <w:sz w:val="24"/>
        </w:rPr>
        <w:lastRenderedPageBreak/>
        <w:t>控制和规避，尽可能地减少损失。</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7" w:name="_Toc137828451"/>
      <w:r>
        <w:rPr>
          <w:rFonts w:ascii="Times New Roman" w:hAnsi="Times New Roman"/>
          <w:sz w:val="30"/>
        </w:rPr>
        <w:lastRenderedPageBreak/>
        <w:t>四、基金托管人</w:t>
      </w:r>
      <w:bookmarkEnd w:id="7"/>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名称：中国农业银行股份有限公司（简称中国农业银行）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法定代表人：谷澍</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成立日期：2009年1月15日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批准设立机关和批准设立文号：中国银监会银监复[2009]13号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基金托管资格批文及文号：中国证监会证监基字[1998]23号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联系人：秦一楠</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中国农业银行是中国第一批开展托管业务的国内商业银行，经验丰富，服务优质，业绩突出，2004年被英国《全球托管人》评为中国“最佳托管银行”。2007年</w:t>
      </w:r>
      <w:r>
        <w:rPr>
          <w:rFonts w:ascii="宋体" w:hAnsi="宋体"/>
          <w:sz w:val="24"/>
        </w:rPr>
        <w:lastRenderedPageBreak/>
        <w:t>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2021年荣获全国银行间同业拆借中心首次设立的“银行间本币市场优秀托管行”奖；2022年在权威杂志《财资》年度评选中首次荣获“中国最佳保险托管银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证券投资基金托管部于1998年5月经中国证监会和中国人民银行批准成立，目前内设风险合规部/综合管理部、业务管理部、客户一部、客户二部、客户三部、客户四部、系统与信息管理部、营运管理部、营运一部、营运二部，拥有先进的安全防范设施和基金托管业务系统。</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托管业务部现有员工近283名，其中具有高级职称的专家60名，服务团队成员专业水平高、业务素质好、服务能力强，高级管理层均有20年以上金融从业经验和高级技术职称，精通国内外证券市场的运作。</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截止到2023年3月31日，中国农业银行托管的封闭式证券投资基金和开放式证券投资基金共808只。</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（二）基金托管人的内部风险控制制度说明</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2、内部控制组织结构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（三）基金托管人对基金管理人运作基金进行监督的方法和程序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当基金出现异常交易行为时，基金托管人应当针对不同情况进行以下方式的处理：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1、电话提示。对媒体和舆论反映集中的问题，电话提示基金管理人；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2、书面警示。对本基金投资比例接近超标、资金头寸不足等问题，以书面方式对基金管理人进行提示；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3、书面报告。对投资比例超标、清算资金透支以及其他涉嫌违规交易等行为，书面提示有关基金管理人并报中国证监会。</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8" w:name="_Toc137828452"/>
      <w:r>
        <w:rPr>
          <w:rFonts w:ascii="Times New Roman" w:hAnsi="Times New Roman"/>
          <w:sz w:val="30"/>
        </w:rPr>
        <w:lastRenderedPageBreak/>
        <w:t>五、相关服务机构</w:t>
      </w:r>
      <w:bookmarkEnd w:id="8"/>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个人投资者可以通过本公司网上直销交易平台办理开户、本基金的申购、赎回、定期定额投资、转换等业务，具体交易细则请参阅本公司网站。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2、其他销售机构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（1）名称：中国建设银行股份有限公司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传真：（010）66275654</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网址：www.ccb.com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（2）名称：中国农业银行股份有限公司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办公地址：北京市西城区复兴门内大街28号凯晨世贸中心东座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（3）名称：东莞农村商业银行股份有限公司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（4）名称：上海银行股份有限公司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住所：上海市银城中路168号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办公地址：上海市银城中路168号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法定代表人：金煜</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电话：（021）68475888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传真：（021）68476111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联系人：张萍</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客户服务电话：（021）962888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网址：www.bankofshanghai.com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（5）名称：交通银行股份有限公司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传真：（021）58408483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（6）名称：江苏江南农村商业银行股份有限公司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（7）名称：江苏银行股份有限公司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住所：南京市中华路26号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办公地址：南京市中华路26号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法定代表人：夏平</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电话：（025）58587018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传真：（025）58587038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联系人：田春慧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网址：www.jsbchina.cn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（8）名称：平安银行股份有限公司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网址：bank.pingan.com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（9）名称：宁波银行股份有限公司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（10）名称：招商银行股份有限公司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（11）名称：中国光大银行股份有限公司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（12）名称：中信银行股份有限公司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法定代表人：朱鹤新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（13）名称：中国邮政储蓄银行股份有限公司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法定代表人：李国华</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传真：（010）68858117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联系人：陈春林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网址：www.psbc.com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（14）名称：南京银行股份有限公司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住所：南京市玄武区中山路288号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办公地址：南京市玄武区中山路288号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法定代表人：胡升荣</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电话：025-86776111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传真：025-86775054</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客户服务电话：95302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网址：www.njcb.com.cn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（15）名称：上海浦东发展银行股份有限公司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住所：上海市中山东一路12 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办公地址：上海市中山东一路12 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法定代表人：郑杨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电话：（021）61618888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传真：（021）61618888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联系人：朱瑛</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网址：www.spdb.com.cn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（16）名称：光大证券股份有限公司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（17）名称：中国中金财富证券有限公司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（18）名称：华龙证券股份有限公司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（19）名称：华宝证券股份有限公司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办公地址：中国上海市浦东新区世纪大道100号上海环球金融中心57楼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（20）名称：国新证券股份有限公司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（21）名称：西南证券股份有限公司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（22）名称：信达证券股份有限公司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传真：（010）63081344</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（23）名称：国金证券股份有限公司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（24）名称：江海证券有限公司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（25）名称：申万宏源西部证券有限公司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（26）名称：中国银河证券股份有限公司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（27）名称：申万宏源证券有限公司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（28）名称：国都证券股份有限公司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（29）名称：平安证券股份有限公司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网址：www.pingan.com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（30）名称：华西证券股份有限公司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（31）名称：大同证券有限责任公司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邮政编码：030600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 真：（0351）7219891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客服电话：4007121212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（32）名称：东莞证券股份有限公司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住所：广东省东莞市莞城区可园南路一号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办公地址：广东省东莞市莞城区可园南路一号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传真：（0769）22115712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联系人：李荣</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（33）名称：第一创业证券股份有限公司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法定代表人：刘学民</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（34）名称：财通证券股份有限公司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注册地址：杭州市杭大路15号嘉华国际商务中心201、501、502、1103、1601-1615、1701-1716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办公地址：杭州市杭大路15号嘉华国际商务中心201、501、502、1103、1601-1615、1701-1716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沈继宁</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电话：0571-87789160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陶志华</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客户服务电话：95336,40086-96336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网址：www.ctsec.com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（35）名称：东方财富证券股份有限公司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（36）名称：安信证券股份有限公司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住所：深圳市福田区金田路4018号安联大厦35层、28层A02单元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传真：（0755）82558355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（37）名称：天风证券股份有限公司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注册地址：湖北省武汉市东湖新技术开发区关东园路2号高科大厦4楼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办公地址：武汉市武昌区中南路99号保利广场A座37楼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法定代表人：余磊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联系电话：027-87107535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传真：027-87618863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联系人：王雅薇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客户服务电话：95391 / 400-800-5000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网址：www.tfzq.com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（38）名称：方正中期期货有限公司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住所：北京市石景山区金府路32号院3号楼5层512室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办公地址：北京市朝阳区东三环北路38号院1号泰康金融大厦22层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法定代表人：姜志军</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联系电话：010-85881211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传真：010-85881394</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联系人：罗雯</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客户服务电话：4008802277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网址：www.founderfu.com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（39）名称：广发证券股份有限公司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网址：www.gf.com.cn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（40）名称：中信证券（山东）有限责任公司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（41）名称：中信证券股份有限公司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（42）名称：中信证券华南股份有限公司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（43）名称：方正证券股份有限公司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电话：（010）68546765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（44）名称：长江证券股份有限公司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住所：武汉市新华路特8号长江证券大厦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办公地址：武汉市新华路特8号长江证券大厦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法定代表人：胡运钊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电话：（027）65799999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传真：（027）85481900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联系人：李良</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客户服务电话：95579或4008-888-999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网址：www.95579.com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（45）名称：德邦证券有限责任公司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（46）名称：国联证券股份有限公司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住所：江苏省无锡市金融一街8号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办公地址：江苏省无锡市金融一街8号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法定代表人：姚志勇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联系电话：0510-82831662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传真：0510-82830162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联系人：吕胜强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网址：www.glsc.com.cn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（47）名称：海通证券股份有限公司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（48）名称：渤海证券股份有限公司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住所：天津经济技术开发区第二大街42号写字楼101室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办公地址：天津市南开区宾水西道8号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法定代表人：安志勇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电话：（022）28451991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传真：（022）28451892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956066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网址：www.ewww.com.cn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（49）名称：国元证券股份有限公司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住所：中国安徽省合肥市梅山路18号安徽国际金融中心A座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办公地址：中国安徽省合肥市梅山路18号安徽国际金融中心A座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法定代表人：俞仕新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联系电话：0551-62207400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传真：0551-62207148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联系人：汪先哲</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网址：www.gyzq.com.cn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（50）名称：湘财证券股份有限公司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住所：湖南省长沙市黄兴中路63号中山国际大厦12楼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办公地址：湖南省长沙市天心区湘府中路198号标志商务中心11楼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法定代表人：林俊波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电话：（021）68634518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传真：（021）68865680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联系人：钟康莺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客户服务电话：400-888-1551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网址：www.xcsc.com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（51）名称：华泰证券股份有限公司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（52）名称：长城国瑞证券有限公司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传真：（0592）5161640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（53）名称：西部证券股份有限公司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住所：陕西省西安市新城区东新街 319 号 8 幢 10000 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办公地址：陕西省西安市新城区东新街 319 号 8 幢 10000 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法定代表人：徐朝晖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电话：029-87211668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联系人：张吉安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网址：www.west95582.com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（54）名称：东方证券股份有限公司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住所：上海市中山南路318号2号楼22层-29层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法定代表人：王益民</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电话：（021）63325888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传真：（021）63326173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客户服务电话：95503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网址：www.dfzq.com.cn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（55）名称：国信证券股份有限公司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法定代表人：何如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（56）名称：北京展恒基金销售股份有限公司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（57）名称：珠海盈米财富管理有限公司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（58）名称：上海利得基金销售有限公司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（59）名称：上海凯石财富基金销售有限公司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（60）名称：北京虹点基金销售有限公司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法定代表人：胡伟</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（61）名称：上海天天基金销售有限公司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（62）名称：和讯信息科技有限公司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（63）名称：上海好买基金销售有限公司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客户服务电话：400-700-9665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（64）名称：上海长量基金销售投资顾问有限公司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（65）名称：蚂蚁（杭州）基金销售有限公司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（66）名称：天相投资顾问有限公司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（67）名称：上海基煜基金销售有限公司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办公地址：上海市昆明路518号北美广场A1002-A1003室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（68）名称：上海联泰基金销售有限公司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（69）名称：一路财富（北京）信息科技有限公司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（70）名称：诺亚正行(上海)基金销售投资顾问有限公司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传真：（021）38509777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（71）名称：深圳市新兰德证券投资咨询有限公司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（72）名称：中信期货有限公司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（73）名称：上海陆金所资产管理有限公司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联系人：宁博宇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（74）名称：北京钱景财富投资管理有限公司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（75）名称：浙江同花顺基金销售有限公司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（76）名称：北京中植基金销售有限公司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（77）名称：北京汇成基金销售有限公司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（78）名称：奕丰基金销售有限公司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（79）名称：北京创金启富基金销售有限公司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（80）名称：上海云湾投资管理有限公司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办公地址：上海市锦康路308号6号楼6层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（81）名称：中证金牛（北京）投资咨询有限公司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（82）名称：北京新浪仓石基金销售有限公司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（83）名称：北京肯特瑞基金销售有限公司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w:t>
      </w:r>
      <w:r>
        <w:rPr>
          <w:rFonts w:ascii="宋体" w:hAnsi="宋体"/>
          <w:sz w:val="24"/>
        </w:rPr>
        <w:lastRenderedPageBreak/>
        <w:t>A座15层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（84）名称：北京雪球基金销售有限公司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（85）名称：凤凰金信（银川）投资管理有限公司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（86）名称：深圳市金斧子基金销售有限公司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电话：（0755）66892301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（87）名称：宜信普泽投资顾问（北京）有限公司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（88）名称：格上富信投资顾问有限公司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（89）名称：上海万得基金销售有限公司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客户服务电话：400-821-0203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（90）名称：天津万家财富资产管理有限公司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（91）名称：上海挖财金融信息服务有限公司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（92）名称：嘉实财富管理有限公司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（93）名称：南京苏宁基金销售有限公司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住所：南京市玄武区苏宁大道1-5号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（94）名称：北京度小满基金销售有限公司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（95）名称：北京唐鼎耀华投资咨询有限公司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（96）名称：上海华夏财富投资管理有限公司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电话：010-88066632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（97）名称：江苏汇林保大基金销售有限公司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（98）名称：上海大智慧基金销售有限公司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（99）名称：玄元保险代理有限公司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网址：www.licaimofang.cn</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（100）名称：阳光人寿保险股份有限公司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（101）名称：大连网金基金销售有限公司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（102）名称：和耕传承基金销售有限公司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（103）名称：腾安基金销售（深圳）有限公司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住所：深圳市前海深港合作区前湾一路1号A栋201室（入驻深圳市前海商务秘书有限公司）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（104）名称：北京植信基金销售有限公司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（105）名称：上海钜派钰茂基金销售有限公司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（106）名称：中国人寿保险股份有限公司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 www.e-chinalife.com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（107）名称：深圳众禄基金销售有限公司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（108）名称：济安财富（北京）基金销售有限公司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rsidR="005A6BB5" w:rsidRDefault="005A6BB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基金管理人可根据有关法律法规的要求，选择其它符合要求的机构销售本基金，并在管理人网站公示。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名称：上海市通力律师事务所</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联系人：孙睿</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经办律师：黎明、孙睿</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9" w:name="_Toc137828453"/>
      <w:r>
        <w:rPr>
          <w:rFonts w:ascii="Times New Roman" w:hAnsi="Times New Roman"/>
          <w:sz w:val="30"/>
        </w:rPr>
        <w:lastRenderedPageBreak/>
        <w:t>六、基金的募集</w:t>
      </w:r>
      <w:bookmarkEnd w:id="9"/>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本基金由基金管理人依照《基金法》、《运作办法》、基金合同及其他有关规定，并经中国证监会2015年[4]月[14]日证监许可[2015]613号文准予募集注册。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本基金为契约型开放式混合型基金。基金存续期间为不定期。</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本基金募集期间份额净值为人民币1.00元，按初始面值发售。</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本基金自2015年5月25日起至2015年6月5日进行发售。本基金设立募集期共募集3,429,779,242.25份基金份额，有效认购户数为54,422户。</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10" w:name="_Toc137828454"/>
      <w:r>
        <w:rPr>
          <w:rFonts w:ascii="Times New Roman" w:hAnsi="Times New Roman"/>
          <w:sz w:val="30"/>
        </w:rPr>
        <w:lastRenderedPageBreak/>
        <w:t>七、基金合同的生效</w:t>
      </w:r>
      <w:bookmarkEnd w:id="10"/>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根据有关规定，本基金满足基金合同生效条件，基金合同已于2015年6月10日正式生效。自基金合同生效之日起，本基金管理人正式开始管理本基金。</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11" w:name="_Toc137828455"/>
      <w:r>
        <w:rPr>
          <w:rFonts w:ascii="Times New Roman" w:hAnsi="Times New Roman"/>
          <w:sz w:val="30"/>
        </w:rPr>
        <w:lastRenderedPageBreak/>
        <w:t>八、基金份额的申购与赎回</w:t>
      </w:r>
      <w:bookmarkEnd w:id="11"/>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本基金直销机构为基金管理人以及基金管理人的网上直销交易平台。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客户服务热线：400-700-5000（免长途话费），（021）61055000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A类基金份额和C类基金份额的申购、赎回、定期定额投资、转换等业务，具体交易细则请参阅本公司网站。网上直销交易平台网址：www.fund001.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2、除基金管理人之外其他销售机构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（二）申购和赎回的开放日及时间</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w:t>
      </w:r>
      <w:r>
        <w:rPr>
          <w:rFonts w:ascii="宋体" w:hAnsi="宋体"/>
          <w:sz w:val="24"/>
        </w:rPr>
        <w:lastRenderedPageBreak/>
        <w:t>所、深圳证券交易所的正常交易日的交易时间，但基金管理人根据法律法规、中国证监会的要求或基金合同的规定公告暂停申购、赎回时除外。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本基金A类基金份额已于2015年7月10日起开放申购、赎回业务。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本基金C类基金份额已于2023年2月28日起开放申购、赎回业务。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（三）申购和赎回的原则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（四）申购和赎回的数额限定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w:t>
      </w:r>
      <w:r>
        <w:rPr>
          <w:rFonts w:ascii="宋体" w:hAnsi="宋体"/>
          <w:sz w:val="24"/>
        </w:rPr>
        <w:lastRenderedPageBreak/>
        <w:t>元。本基金直销机构单笔申购最低金额可由基金管理人酌情调整。其他销售机构接受申购申请的最低金额为单笔1元，如果销售机构业务规则规定的最低单笔申购金额高于1元，以该销售机构的规定为准。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（五）申购和赎回的程序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内支付赎回款项。在发生巨额赎回时，款项的支付办法参照基金合同有关条款处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3、申购和赎回申请的确认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（六）基金的申购费和赎回费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本基金基金份额分为A类基金份额和C类基金份额。投资人申购A类基金份额在申购时支付申购费用；申购C类基金份额不支付申购费用，并从该类别基金资产中计提销售服务费。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本基金A类基金份额的申购费用由申购A类基金份额的申购人承担，不列入基金财产，主要用于本基金的市场推广、销售、登记等各项费用。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5B1FF5">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A</w:t>
            </w:r>
            <w:r>
              <w:rPr>
                <w:rFonts w:ascii="Times New Roman" w:hAnsi="Times New Roman"/>
                <w:color w:val="000000"/>
                <w:kern w:val="0"/>
                <w:sz w:val="25"/>
                <w:szCs w:val="24"/>
              </w:rPr>
              <w:t>类基金份额的申购费率</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5B1FF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B1FF5" w:rsidRDefault="005B1FF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5B1FF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B1FF5" w:rsidRDefault="005B1FF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5B1FF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B1FF5" w:rsidRDefault="005B1FF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5B1FF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B1FF5" w:rsidRDefault="005B1FF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5B1FF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B1FF5" w:rsidRDefault="005B1FF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本基金对通过基金管理人直销柜台申购本基金A类基金份额的养老金客户实施特定申购费率。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5B1FF5">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类基金份额的申购费率</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5B1FF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B1FF5" w:rsidRDefault="005B1FF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5B1FF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B1FF5" w:rsidRDefault="005B1FF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5B1FF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B1FF5" w:rsidRDefault="005B1FF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0.16%</w:t>
            </w:r>
          </w:p>
        </w:tc>
      </w:tr>
      <w:tr w:rsidR="005B1FF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B1FF5" w:rsidRDefault="005B1FF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5B1FF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B1FF5" w:rsidRDefault="005B1FF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基金A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2）通过本基金管理人网上直销交易平台办理本基金A类基金份额申购及定期定额投资业务的个人投资者享受申购费率及定期定额投资费率优惠，赎回费率标准不</w:t>
      </w:r>
      <w:r>
        <w:rPr>
          <w:rFonts w:ascii="宋体" w:hAnsi="宋体"/>
          <w:sz w:val="24"/>
        </w:rPr>
        <w:lastRenderedPageBreak/>
        <w:t>变。具体优惠费率请参见本基金管理人网站列示的网上直销交易平台申购费率表、定期定额投资费率表或相关公告。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（1）本基金A类基金份额的赎回费率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用由赎回A类基金份额的基金份额持有人承担，在基金份额持有人赎回A类基金份额时收取，对持续持有期少于7日的投资人收取1.5%的赎回费，对持续持有期大于等于7日但少于30日的投资人收取0.75%的赎回费，并将上述赎回费全额计入基金财产；对持续持有期大于等于30日但少于3个月的投资人收取0.5%的赎回费，并将赎回费总额的75%计入基金财产；对持续持有期大于等于3个月但少于6个月的投资人收取0.5%的赎回费，并将赎回费总额的50%计入基金财产；对持续持有期大于等于6个月的投资人，应当将赎回费总额的25%计入基金财产。上述“月”指的是30个自然日。未归入基金财产的部分用于支付登记费和其他必要的手续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5B1FF5">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类基金份额赎回费率</w:t>
            </w:r>
          </w:p>
        </w:tc>
      </w:tr>
      <w:tr w:rsidR="005B1FF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B1FF5" w:rsidRDefault="005B1FF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5B1FF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B1FF5" w:rsidRDefault="005B1FF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rsidR="005B1FF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B1FF5" w:rsidRDefault="005B1FF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5B1FF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B1FF5" w:rsidRDefault="005B1FF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年（含）</w:t>
            </w:r>
            <w:r>
              <w:rPr>
                <w:rFonts w:ascii="Times New Roman" w:hAnsi="Times New Roman"/>
                <w:color w:val="000000"/>
                <w:kern w:val="0"/>
                <w:sz w:val="25"/>
                <w:szCs w:val="24"/>
              </w:rPr>
              <w:t>—2</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0.25%</w:t>
            </w:r>
          </w:p>
        </w:tc>
      </w:tr>
      <w:tr w:rsidR="005B1FF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B1FF5" w:rsidRDefault="005B1FF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年以上（含）</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5B1FF5">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类基金份额赎回费率</w:t>
            </w:r>
          </w:p>
        </w:tc>
      </w:tr>
      <w:tr w:rsidR="005B1FF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B1FF5" w:rsidRDefault="005B1FF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5B1FF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B1FF5" w:rsidRDefault="005B1FF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5B1FF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B1FF5" w:rsidRDefault="005B1FF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本基金C类基金份额的赎回费用由赎回C类基金份额的基金份额持有人承担，在基金份额持有人赎回C类基金份额时收取，对C类基金份额持有人收取的赎回费全额</w:t>
      </w:r>
      <w:r>
        <w:rPr>
          <w:rFonts w:ascii="宋体" w:hAnsi="宋体"/>
          <w:sz w:val="24"/>
        </w:rPr>
        <w:lastRenderedPageBreak/>
        <w:t>计入基金财产。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转换费率。</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（七）申购和赎回的数额和价格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或C类基金份额的有效份额为净申购金额除以当日该类基金份额的基金份额净值，有效份额单位为份，申购份额计算结果按四舍五入方法，保留到小数点后2位，由此产生的收益或损失由基金财产承担。</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A类基金份额或C类基金份额有效赎回份额乘以当日该类基金份额的基金份额净值并扣除相应的费用（如有），赎回金额单位为元。赎回金额计算结果按四舍五入方法，保留到小数点后2位，由此产生的收益或损失由基金财产承担。</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T日A类基金份额净值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例一：某投资者（非养老金客户）投资40,000元申购本基金A类基金份额，假设申购当日A类基金份额净值为1.0400元，申购费率为1.5%，则其可得到的申购份额为：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净申购金额=40,000/（1+1.5%）=39,408.87元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申购份额=（40,000-591.13）/1.0400=37,893.14份</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即：某投资者（非养老金客户）投资40,000元申购本基金A类基金份额，假设申购当日A类基金份额净值为1.0400元，则其可得到37,893.14份A类基金份额。</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例二：某养老金客户投资100,000元通过基金管理人的直销柜台申购本基金A类基金份额，假设申购当日A类基金份额净值为1.0400元，申购费率为0.6%，则其可得到的申购份额为：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净申购金额=100,000/（1+0.6%）=99,403.58元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申购费用=100,000-99,403.58=596.42元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申购份额=（100,000-596.42）/1.0400=95,580.37份</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即：该养老金客户投资100,000元通过基金管理人的直销柜台申购本基金A类基金份额，假设申购当日A类基金份额净值为1.0400元，则其可得到95,580.37份A类基金份额。</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例三：某投资者投资100,000元申购本基金的C类基金份额，假设申购当日C类基金份额净值为1.0400元，则其可得到的申购份额为：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赎回金额为按实际确认的A类基金份额或C类基金份额有效赎回份额乘以当日该类基金份额净值并扣除相应的费用（如有），赎回金额单位为元，计算结果保留到小数点后两位，第三位四舍五入。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投资者赎回A类基金份额，赎回金额的计算方法如下：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赎回费用=赎回份额×T日A类基金份额净值×赎回费率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例四：某投资者赎回持有的10,000份A类基金份额，持有期限为30日，对应的赎回费率为0.5%，假设赎回当日A类基金份额净值是1.0160元，则其可得到的赎回金额为：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10,000×1.0160×0.5% ＝ 50.80元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10,000×1.0160-50.80 ＝ 10,109.20元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即：投资者赎回本基金10,000份A类基金份额，对应的赎回费率为0.5%，假设赎回当日A类基金份额净值是1.0160元，则其可得到的赎回金额为10,109.20元。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例五：某投资者赎回10,000份C类基金份额，持有期限为20日，对应的赎回费率为0.5%，假设赎回当日C类基金份额净值是1.0160元，则其可得到的赎回金额为：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赎回费用=10,000×1.0160×0.5%＝50.80元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赎回金额=10,000×1.0160-50.80＝10,109.20元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即：投资者赎回10,000份C类基金份额，持有期限为20日，对应的赎回费率为0.5%，假设赎回当日C类基金份额净值是1.0160元，则其可得到的赎回金额为10,109.20元。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中国证监会同意，可以适当延迟计算或公告。本基金A类基金份额和C类基金份额的基金份额净值的计算，均保留到小数点后4位，小数点后第5位四舍五入，由此误差产生的收益或损失由基金财产承担。</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（八）拒绝或暂停申购的情形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3、证券、期货交易所交易时间非正常停市，导致基金管理人无法计算当日基金资产净值。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5、基金资产规模过大，使基金管理人无法找到合适的投资品种，或其他可能对基金业绩产生负面影响，或出现其他损害现有基金份额持有人利益的情形。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7、基金管理人接受某笔或者某些申购申请有可能导致单一投资者持有基金份额的比例超过50%，或者变相规避50%集中度的情形。出现上述情形时，基金管理人有权将上述申购申请全部或部分确认失败。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8、法律法规规定或中国证监会认定的其他情形。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8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（九）暂停赎回或延缓支付赎回款项的情形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3、证券、期货交易所交易时间非正常停市，导致基金管理人无法计算当日基金资产净值。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5、继续接受赎回申请将损害现有基金份额持有人利益的情形时，可暂停接受投资人的赎回申请。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7、基金合同约定、法律法规规定或中国证监会认定的其他情形。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w:t>
      </w:r>
      <w:r>
        <w:rPr>
          <w:rFonts w:ascii="宋体" w:hAnsi="宋体"/>
          <w:sz w:val="24"/>
        </w:rPr>
        <w:lastRenderedPageBreak/>
        <w:t>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当发生上述延期赎回并延期办理时，基金管理人应当通过邮寄、传真、刊登公告或者通知销售机构代为告知等方式在3个交易日内通知基金份额持有人，说明有关处理方法，并在2日内在指定媒介上刊登公告。</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（十一）暂停申购或赎回的公告和重新开放申购或赎回的公告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各类基金份额的基金份额净值。</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（十二）基金的非交易过户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w:t>
      </w:r>
      <w:r>
        <w:rPr>
          <w:rFonts w:ascii="宋体" w:hAnsi="宋体"/>
          <w:sz w:val="24"/>
        </w:rPr>
        <w:lastRenderedPageBreak/>
        <w:t>额强制划转给其他自然人、法人或其他组织。办理非交易过户必须提供基金登记机构要求提供的相关资料，对于符合条件的非交易过户申请按基金登记机构的规定办理，并按基金登记机构规定的标准收费。</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（十三）基金的转托管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（十四）定期定额投资计划</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2015年7月9日刊登公告自2015年7月10日起开通A类基金份额的定期定额投资计划业务，本基金2023年2月22日刊登公告自2023年2月28日起增设C类基金份额并开通C类基金份额的定期定额投资计划业务，具体开通销售机构名单和业务规则参见相关公告。</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（十五）定期定额赎回业务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中国农业银行股份有限公司申请办理本基金A类基金份额的定期定额赎回业务。定期定额赎回业务是指投资人可以委托中国农业银行股份有限公司每月固定时间从指定的基金账户代投资人赎回固定份额的基金。本基金2015年7月9日刊登公告自2015年7月10日起在中国农业银行股份有限公司下属各销售网点开通本基金A类基金份额定期定额赎回业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通过中国农业银行股份有限公司办理本基金A类基金份额的定期定额赎回业务，相关流程和业务规则遵循中国农业银行股份有限公司的有关规定。详情请咨询当地中国农业银行股份有限公司的销售网点或中国农业银行股份有限公司客户服务热线（95599）。</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（十六）基金份额的冻结和解冻</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（十七）基金上市交易和场内申购赎回业务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未来系统条件允许的情况下，基金管理人可以根据相关证券交易所上市交易规则安排本基金上市交易和/或开通场内申购赎回业务事宜。具体上市交易和/或开通场内申购赎回的安排由基金管理人届时提前发布公告，并告知基金托管人与相关机构。场内申购赎回业务按照证券交易所及登记机构的相关业务规则办理。</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（十八）基金份额的转让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（十九）实施侧袋机制期间本基金的申购与赎回</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（二十）其他业务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12" w:name="_Toc137828456"/>
      <w:r>
        <w:rPr>
          <w:rFonts w:ascii="Times New Roman" w:hAnsi="Times New Roman"/>
          <w:sz w:val="30"/>
        </w:rPr>
        <w:lastRenderedPageBreak/>
        <w:t>九、基金的转换</w:t>
      </w:r>
      <w:bookmarkEnd w:id="12"/>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本基金2015年8月4日刊登公告自2015年8月5日起开放A类基金份额的日常转换业务。本基金2023年2月22日刊登公告自2023年2月28日起增设C类基金份额并开通C类基金份额的日常转换业务。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正常情况下，T日规定时间受理的申请，基金注册登记机构在T＋1日内为投资人对该交易的有效性进行确认，在T＋2日后（包括该日）投资人可向销售机构查询转换的确认情况。</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在T＋1日为投资人T日的基金转换业务申请进行有效性确认，办理转出基金的权益扣除以及转入基金的权益登记，在T＋2日后（包含该日）投资人可向销售机构查询转换业务的成交情况，并有权转换或赎回该部分基金份额。</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（四）基金转换的数额限制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基金遵循“份额转换”的原则，单笔转换份额不得低于1份。基金持有人可将其全部或部分基金份额转换成其它基金，单笔转换申请不受转入基金最低申购限额限制。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3、转出与转入基金的申购补差费用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4、网上直销的申购补差费率优惠</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w:t>
      </w:r>
      <w:r>
        <w:rPr>
          <w:rFonts w:ascii="宋体" w:hAnsi="宋体"/>
          <w:sz w:val="24"/>
        </w:rPr>
        <w:lastRenderedPageBreak/>
        <w:t>优惠，优惠费率只适用于转出与转入基金申购补差费用，转出基金的赎回费用无优惠。可通过网上直销交易平台办理的转换业务范围及转换费率优惠的具体情况请参阅本基金管理人网站。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管理人可以根据法律法规及基金合同的规定对上述转换费用收费方式和费率进行调整，并应于调整后的收费方式和费率实施前依照《证券投资基金信息披露管理办法》的有关规定在中国证监会指定媒体上公告。</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转入确认金额=101,000-505=100,495元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2、后端收费模式下基金转换份额的计算公式及举例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转入基金确认份额=（124,750-1497）/1.00=123,253.00份</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w:t>
      </w:r>
      <w:r>
        <w:rPr>
          <w:rFonts w:ascii="宋体" w:hAnsi="宋体"/>
          <w:sz w:val="24"/>
        </w:rPr>
        <w:lastRenderedPageBreak/>
        <w:t>1.00元）。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13" w:name="_Toc137828457"/>
      <w:r>
        <w:rPr>
          <w:rFonts w:ascii="Times New Roman" w:hAnsi="Times New Roman"/>
          <w:sz w:val="30"/>
        </w:rPr>
        <w:lastRenderedPageBreak/>
        <w:t>十、基金的投资</w:t>
      </w:r>
      <w:bookmarkEnd w:id="13"/>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（一）投资目标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本基金主要投资受益于国企改革红利的上市公司股票，通过积极主动的投资管理，在合理控制投资风险的基础上，力争实现基金资产的长期稳定增值。</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（二）投资范围</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债券、中期票据、货币市场工具、权证、资产支持证券、股指期货以及法律法规或中国证监会允许基金投资的其他金融工具（但须符合中国证监会相关规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留的现金或者投资于到期日在一年以内的政府债券的比例合计不低于基金资产净值的5%，其中现金不包括结算备付金、存出保证金和应收申购款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（三）投资策略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1、资产配置</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本基金利用经交银施罗德研究团队修正后的投资时钟分析框架，通过“自上而下”的定性分析和定量分析相结合形成对不同资产市场表现的预测和判断，确定基</w:t>
      </w:r>
      <w:r>
        <w:rPr>
          <w:rFonts w:ascii="宋体" w:hAnsi="宋体"/>
          <w:sz w:val="24"/>
        </w:rPr>
        <w:lastRenderedPageBreak/>
        <w:t>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2、行业配置</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其中，本基金将密切跟踪各类行业受益于国企改革红利的程度，把握因直接或间接受益于国企改革红利的相关行业带来的投资机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3、股票投资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本基金将充分发挥研究团队自下而上的选股能力，基于对个股深入的基本面研究和细致的实地调研，精选股票构建股票投资组合。本基金管理人的股票投资具体分以下几个层次进行：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（1）品质筛选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筛选出在公司治理、财务及管理品质上符合基本品质要求的公司，构建备选股票池。主要筛选指标包括：</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盈利能力指标（如P/E、P/Cash Flow、P/FCF、P/S、P/EBIT等）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经营效率指标（如ROE、ROA、Return on operating assets等）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财务状况指标（如D/A、流动比率等）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（2）价值评估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公司备选股票池基础上，本基金将进一步通过对备选上市公司详实的案头分析和深入的实地调研，以定性与定量相结合的方法对公司价值进行综合评估，构建股票组合。其中，本基金重点关注直接或间接受益于国企制度改革红利的上市公司，包括：</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上市公司作为平台，通过产权制度改革（如兼并重组、整合上市、引入多元股权结构等）或管理制度改革（如国有资产管理体制改革、国企管理层股权激励制度、市值利润考核等）等多种方式，提高经营效率和竞争力的上市公司股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受益于混合所有制改革、垄断领域对民营资本开放等制度红利获得发展机遇或盈利水平显著提升的非国企上市公司。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本基金管理人将对所关注的重点上市公司进行内在价值的评估和成长性跟踪研</w:t>
      </w:r>
      <w:r>
        <w:rPr>
          <w:rFonts w:ascii="宋体" w:hAnsi="宋体"/>
          <w:sz w:val="24"/>
        </w:rPr>
        <w:lastRenderedPageBreak/>
        <w:t>究，在明确的价值评估基础上精选优秀质地的投资标的构建股票组合。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（3）存托凭证的投资策略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4、债券投资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5、权证投资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6、资产支持证券投资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7、股指期货投资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基金管理人针对股指期货交易制订严格的授权管理制度和投资决策流程，确保</w:t>
      </w:r>
      <w:r>
        <w:rPr>
          <w:rFonts w:ascii="宋体" w:hAnsi="宋体"/>
          <w:sz w:val="24"/>
        </w:rPr>
        <w:lastRenderedPageBreak/>
        <w:t>研究分析、投资决策、交易执行及风险控制各环节的独立运作，并明确相关岗位职责。此外，基金管理人建立股指期货交易决策部门或小组，并授权特定的管理人员负责股指期货的投资审批事项。</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（四）投资限制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含存托凭证）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（2）保持不低于基金资产净值5％的现金或者到期日在一年以内的政府债券，其中现金不包括结算备付金、存出保证金和应收申购款等；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（6）本基金管理人管理的全部基金持有的同一权证，不得超过该权证的10%；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（7）本基金在任何交易日买入权证的总金额，不得超过上一交易日基金资产净值的0.5%；</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w:t>
      </w:r>
      <w:r>
        <w:rPr>
          <w:rFonts w:ascii="宋体" w:hAnsi="宋体"/>
          <w:sz w:val="24"/>
        </w:rPr>
        <w:lastRenderedPageBreak/>
        <w:t>产，本基金所申报的股票数量不超过拟发行股票公司本次发行股票的总量；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（14）本基金进入全国银行间同业市场进行债券回购的资金余额不得超过基金资产净值的40%，本基金在全国银行间同业市场中的债券回购最长期限为1年，债券回购到期后不得展期；</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（15）本基金若投资股指期货，则：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1）本基金在任何交易日日终，持有的买入股指期货合约价值，不得超过基金资产净值的10%；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3）本基金在任何交易日日终，持有的卖出期货合约价值不得超过基金持有的股票总市值的20%；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6）本基金每个交易日日终在扣除股指期货合约需缴纳的交易保证金后，应当保持不低于基金资产净值5%的现金或到期日在一年以内的政府债券，其中现金不包括结算备付金、存出保证金和应收申购款等。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（16）本基金持有其他证券投资基金（不含货币市场基金），其市值不得超过基金资产净值的10%；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（17）本基金的基金资产总值不得超过基金资产净值的140%；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（19）本基金持有的同一中期票据，其市值不得超过基金资产净值的10%；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（20）本基金的存款银行为具有证券投资基金托管人资格、证券投资基金销售业务资格或合格境外机构投资者托管人资格的商业银行；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（21）本基金投资于定期存款的比例不得超过基金资产净值的30%，根据协议可提前支取且没有利息损失的银行存款，不受此限制；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（24）本基金与私募类证券资管产品及中国证监会认定的其他主体为交易对手开展逆回购交易的，可接受质押品的资质要求应当与本基金合同约定的投资范围保持一致；</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（25）本基金投资存托凭证的比例限制依照境内上市交易的股票执行；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（26）法律法规及中国证监会规定的和《基金合同》约定的其他投资限制。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12）、（23）、（24）项以及第（15）项第6）目外，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（3）从事承担无限责任的投资；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（五）业绩比较基准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60%×沪深300指数+40%×中证综合债券指数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根据本基金的投资范围和投资比例，选用上述业绩比较基准能够客观、合理地反映本基金的风险收益特征。</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（六）风险收益特征</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混合型基金，其风险和预期收益高于债券型基金和货币市场基金，低于股票型基金。属于承担较高风险、预期收益较高的证券投资基金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（七）基金管理人代表基金行使股东及债权人权利的处理原则及方法</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1、基金管理人按照国家有关规定代表基金独立行使股东及债权人权利，保护基金份额持有人的利益；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（八）基金的融资、融券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本基金可以根据届时有效的有关法律法规和政策的规定进行融资、融券。</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（九）侧袋机制的实施和投资运作安排</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侧袋账户的实施条件、实施程序、运作安排、投资安排、特定资产的处置变现和支付等对投资者权益有重大影响的事项详见本招募说明书“侧袋机制”部分的规定。</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（十）投资决策依据和投资流程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w:t>
      </w:r>
      <w:r>
        <w:rPr>
          <w:rFonts w:ascii="宋体" w:hAnsi="宋体"/>
          <w:sz w:val="24"/>
        </w:rPr>
        <w:lastRenderedPageBreak/>
        <w:t>场研究和券种选择、数量分析师的定量投资策略研究，结合本基金产品定位及风险控制的要求，在权限范围内制定具体的投资组合方案；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（十一）基金投资组合报告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基金管理人的董事会及董事保证本报告所载资料不存在虚假记载、误导性陈述或重大遗漏，并对其内容的真实性、准确性和完整性承担个别及连带责任。</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本基金托管人中国农业银行根据本基金合同规定，于2023年04月20日复核了本报告中的财务指标、净值表现和投资组合报告等内容，保证复核内容不存在虚假记载、误导性陈述或者重大遗漏。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本报告期为2023年01月01日至03月31日。本报告财务资料未经审计师审计。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6,421,859,108.91</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86.62</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6,421,859,108.91</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86.62</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407,649,639.83</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5.50</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407,649,639.83</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5.50</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537,264,032.12</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7.25</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8</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46,979,614.22</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0.63</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7,413,752,395.08</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68,515,923.36</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0.93</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3,354,411,331.93</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45.76</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223,812,141.05</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3.05</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77,329.12</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444,832.76</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975,643,974.96</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13.31</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176,701,326.30</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2.41</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154,114,267.06</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2.10</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554,261,733.95</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7.56</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437,781,341.12</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5.97</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61,605,288.00</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0.84</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354,873,809.65</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4.84</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59,542,281.11</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0.81</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73,528.54</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6,421,859,108.91</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87.60</w:t>
            </w:r>
          </w:p>
        </w:tc>
      </w:tr>
    </w:tbl>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1</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002352</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顺丰控股</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8,618,739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477,305,765.82</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6.51</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300750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宁德时代</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935,762</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379,966,160.10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5.18</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002049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紫光国微</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2,783,065</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309,282,013.45</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4.22</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002475</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立讯精密</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8,354,760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253,232,775.60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3.45</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603885</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吉祥航空</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13,290,823</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238,968,997.54</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3.26</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603259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药明康德</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2,789,706</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221,781,627.00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3.03</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001979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招商蛇口</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15,978,154</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217,622,457.48</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2.97</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600276</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恒瑞医药</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5,004,630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214,298,256.60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2.92</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000733</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振华科技</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2,234,709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201,257,892.54</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2.75</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600803</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新奥股份</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8,654,000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180,435,900.00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2.46</w:t>
            </w:r>
          </w:p>
        </w:tc>
      </w:tr>
    </w:tbl>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49,990,589.29</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0.68</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351,749,192.72</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4.80</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351,749,192.72</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4.80</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5,909,857.82</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0.08</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407,649,639.83</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5.56</w:t>
            </w:r>
          </w:p>
        </w:tc>
      </w:tr>
    </w:tbl>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220411</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w:t>
            </w: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1,300,000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130,744,597.26</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1.78</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220308</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进出</w:t>
            </w:r>
            <w:r>
              <w:rPr>
                <w:rFonts w:ascii="Times New Roman" w:hAnsi="Times New Roman"/>
                <w:color w:val="000000"/>
                <w:kern w:val="0"/>
                <w:sz w:val="25"/>
                <w:szCs w:val="24"/>
              </w:rPr>
              <w:t>08</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700,000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70,320,849.32</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0.96</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239914</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贴现国债</w:t>
            </w: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49,990,589.29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0.68</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2204111</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农发贴现</w:t>
            </w: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49,854,779.01</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0.68</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220216</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国开</w:t>
            </w: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40,138,082.19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0.55</w:t>
            </w:r>
          </w:p>
        </w:tc>
      </w:tr>
    </w:tbl>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7、报告期末按公允价值占基金资产净值比例大小排序的前五名贵金属投资明细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1,528,196.56</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5,938,645.21</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5</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39,512,772.45</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right"/>
              <w:rPr>
                <w:rFonts w:ascii="宋体" w:hAnsi="宋体"/>
                <w:color w:val="000000"/>
                <w:kern w:val="0"/>
                <w:sz w:val="25"/>
                <w:szCs w:val="24"/>
              </w:rPr>
            </w:pPr>
            <w:r>
              <w:rPr>
                <w:rFonts w:ascii="Times New Roman" w:hAnsi="Times New Roman"/>
                <w:color w:val="000000"/>
                <w:kern w:val="0"/>
                <w:sz w:val="25"/>
                <w:szCs w:val="24"/>
              </w:rPr>
              <w:t>46,979,614.22</w:t>
            </w:r>
          </w:p>
        </w:tc>
      </w:tr>
    </w:tbl>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14" w:name="_Toc137828458"/>
      <w:r>
        <w:rPr>
          <w:rFonts w:ascii="Times New Roman" w:hAnsi="Times New Roman"/>
          <w:sz w:val="30"/>
        </w:rPr>
        <w:lastRenderedPageBreak/>
        <w:t>十一、基金的业绩</w:t>
      </w:r>
      <w:bookmarkEnd w:id="14"/>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基金业绩截止日为2023年03月31日，所载财务数据未经审计师审计。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（1）交银国企改革灵活配置混合A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3.47%</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0.74%</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3.19%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0.28%</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4.64%</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1.15%</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-12.04%</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0.77%</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16.68%</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20.39%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0.89%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-0.76%</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21.15%</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54.89%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1.38%</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17.63%</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37.26%</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0.53%</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38.59%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1.06%</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23.09%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0.74%</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15.50%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-21.79%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1.29%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-12.93%</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0.80%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-8.86%</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0.49%</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0.29%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0.78%</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12.81%</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-12.52%</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-4.88%</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1.57%</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-5.60%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0.72%</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0.73%</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r>
              <w:rPr>
                <w:rFonts w:ascii="Times New Roman" w:hAnsi="Times New Roman"/>
                <w:color w:val="000000"/>
                <w:kern w:val="0"/>
                <w:sz w:val="25"/>
                <w:szCs w:val="24"/>
              </w:rPr>
              <w:t>2015</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10</w:t>
            </w:r>
            <w:r>
              <w:rPr>
                <w:rFonts w:ascii="Times New Roman" w:hAnsi="Times New Roman"/>
                <w:color w:val="000000"/>
                <w:kern w:val="0"/>
                <w:sz w:val="25"/>
                <w:szCs w:val="24"/>
              </w:rPr>
              <w:t>日至</w:t>
            </w:r>
            <w:r>
              <w:rPr>
                <w:rFonts w:ascii="Times New Roman" w:hAnsi="Times New Roman"/>
                <w:color w:val="000000"/>
                <w:kern w:val="0"/>
                <w:sz w:val="25"/>
                <w:szCs w:val="24"/>
              </w:rPr>
              <w:t>2015</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8.70%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1.78%</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-16.65%</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1.69%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25.35%</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r>
    </w:tbl>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（2）交银国企改革灵活配置混合C：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5B1FF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自基金份额类别首次确认起至</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-1.60%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0.72%</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0.47%</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-1.56%</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r>
    </w:tbl>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注：1、本基金业绩比较基准自2015年10月1日起，由“60%×沪深300指数</w:t>
      </w:r>
      <w:r>
        <w:rPr>
          <w:rFonts w:ascii="宋体" w:hAnsi="宋体"/>
          <w:sz w:val="24"/>
        </w:rPr>
        <w:lastRenderedPageBreak/>
        <w:t>+40%×中信标普全债指数”变更为“60%×沪深300指数+40%×中证综合债券指数”。详情见本基金管理人于2015年9月28日发布的《交银施罗德基金管理有限公司关于旗下部分基金业绩比较基准变更并修改基金合同相关内容的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2、本基金的业绩比较基准每日进行再平衡过程。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rsidR="005B1FF5" w:rsidRDefault="000B1B0D">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交银施罗德国企改革灵活配置混合型证券投资基金</w:t>
      </w:r>
    </w:p>
    <w:p w:rsidR="005B1FF5" w:rsidRDefault="000B1B0D">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rsidR="005B1FF5" w:rsidRDefault="000B1B0D">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（2015年6月10日至2023年03月31日）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（1）交银国企改革灵活配置混合A</w:t>
      </w:r>
    </w:p>
    <w:p w:rsidR="005B1FF5" w:rsidRDefault="00BA70AD">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77840" cy="454914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7840" cy="4549140"/>
                    </a:xfrm>
                    <a:prstGeom prst="rect">
                      <a:avLst/>
                    </a:prstGeom>
                    <a:noFill/>
                    <a:ln>
                      <a:noFill/>
                    </a:ln>
                  </pic:spPr>
                </pic:pic>
              </a:graphicData>
            </a:graphic>
          </wp:inline>
        </w:drawing>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（2）交银国企改革灵活配置混合C</w:t>
      </w:r>
    </w:p>
    <w:p w:rsidR="005B1FF5" w:rsidRDefault="00BA70AD">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77840" cy="454914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7840" cy="4549140"/>
                    </a:xfrm>
                    <a:prstGeom prst="rect">
                      <a:avLst/>
                    </a:prstGeom>
                    <a:noFill/>
                    <a:ln>
                      <a:noFill/>
                    </a:ln>
                  </pic:spPr>
                </pic:pic>
              </a:graphicData>
            </a:graphic>
          </wp:inline>
        </w:drawing>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注：1、本基金建仓期为自基金合同生效日起的6个月。截至建仓期结束，本基金各项资产配置比例符合基金合同及招募说明书有关投资比例的约定。 2、本基金自2023年2月28日起，开始销售C类份额，投资者提交的申购申请于2023年3月1日被确认并将有效份额登记在册。</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15" w:name="_Toc137828459"/>
      <w:r>
        <w:rPr>
          <w:rFonts w:ascii="Times New Roman" w:hAnsi="Times New Roman"/>
          <w:sz w:val="30"/>
        </w:rPr>
        <w:lastRenderedPageBreak/>
        <w:t>十二、基金的财产</w:t>
      </w:r>
      <w:bookmarkEnd w:id="15"/>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（一）基金资产总值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基金资产总值是指基金拥有的各类有价证券、股指期货合约、证券投资基金份额、银行存款本息、基金应收申购款及其他资产的价值总和。</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（二）基金资产净值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（三）基金财产的账户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（四）基金财产的保管和处分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16" w:name="_Toc137828460"/>
      <w:r>
        <w:rPr>
          <w:rFonts w:ascii="Times New Roman" w:hAnsi="Times New Roman"/>
          <w:sz w:val="30"/>
        </w:rPr>
        <w:lastRenderedPageBreak/>
        <w:t>十三、基金资产的估值</w:t>
      </w:r>
      <w:bookmarkEnd w:id="16"/>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（一）估值日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（二）估值对象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基金所拥有的股票、债券、证券投资基金、衍生工具和其它投资等持续以公允价值计量的金融资产及负债。</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（三）估值方法</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（2）交易所市场上市交易或挂牌转让的固定收益品种（另有规定的除外），选取第三方估值机构提供的相应品种当日的估值净价进行估值；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（3）交易所市场上市交易的可转换债券，按估值日收盘价减去可转换债券收盘价中所含债券应收利息后得到的净价进行估值；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（4）交易所市场挂牌转让的资产支持证券和私募债券，采用估值技术确定公允价值。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2、证券交易所发行未上市期间的有价证券应区分如下情况处理：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（2）首次公开发行未上市的股票和权证，采用估值技术确定公允价值；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（3）首次公开发行有明确锁定期的股票，同一股票在交易所上市后，按交易所上市的同一股票的估值方法估值；非公开发行有明确锁定期的股票，按监管机构或行业协会有关规定确定公允价值。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（4）交易所市场发行未上市或未挂牌转让的债券，采用估值技术确定公允价</w:t>
      </w:r>
      <w:r>
        <w:rPr>
          <w:rFonts w:ascii="宋体" w:hAnsi="宋体"/>
          <w:sz w:val="24"/>
        </w:rPr>
        <w:lastRenderedPageBreak/>
        <w:t>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3、银行间市场上市交易的固定收益品种，选取第三方估值机构提供的相应品种当日的估值净价进行估值。银行间市场发行未上市的固定收益品种，采用估值技术确定公允价值。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4、本基金投资股指期货合约，一般以估值当日结算价进行估值，估值当日无结算价的，且最近交易日后经济环境未发生重大变化的，采用最近交易日结算价估值。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5、如有确凿证据表明按上述方法进行估值不能客观反映其公允价值的，基金管理人可根据具体情况与基金托管人商定后，按最能反映公允价值的方法估值。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6、本基金投资存托凭证的估值核算依照境内上市交易的股票执行。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7、相关法律法规以及监管部门有强制规定的，从其规定。如有新增事项，按法律法规以及监管部门最新规定估值。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（四）估值程序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1、各类基金份额的基金份额净值是按照每个工作日闭市后，该类基金份额的基金资产净值除以当日该类基金份额的余额数量计算，精确到0.0001元，小数点后第五位四舍五入。国家另有规定的，从其规定。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基金管理人于每个工作日计算各类基金份额的基金资产净值及基金份额净值，并按规定公告。如遇特殊情况，经中国证监会同意，可以适当延迟计算或公告。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（五）估值错误的处理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基金管理人和基金托管人将采取必要、适当、合理的措施确保基金资产估值的准确性、及时性。当基金份额净值小数点后第4位以内（含第4位) 发生估值错误时，视为基金份额净值错误。</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w:t>
      </w:r>
      <w:r>
        <w:rPr>
          <w:rFonts w:ascii="宋体" w:hAnsi="宋体"/>
          <w:sz w:val="24"/>
        </w:rPr>
        <w:lastRenderedPageBreak/>
        <w:t>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（六）暂停估值的情形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w:t>
      </w:r>
      <w:r>
        <w:rPr>
          <w:rFonts w:ascii="宋体" w:hAnsi="宋体"/>
          <w:sz w:val="24"/>
        </w:rPr>
        <w:lastRenderedPageBreak/>
        <w:t>认后，基金管理人应当暂停估值；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4、中国证监会和基金合同认定的其它情形。</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（七）基金净值的确认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（八）特殊情形的处理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1、基金管理人或基金托管人按估值方法的第5项进行估值时，所造成的误差不作为基金资产估值错误处理。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（九）实施侧袋机制期间的基金资产估值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17" w:name="_Toc137828461"/>
      <w:r>
        <w:rPr>
          <w:rFonts w:ascii="Times New Roman" w:hAnsi="Times New Roman"/>
          <w:sz w:val="30"/>
        </w:rPr>
        <w:lastRenderedPageBreak/>
        <w:t>十四、基金收益与分配</w:t>
      </w:r>
      <w:bookmarkEnd w:id="17"/>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（一）基金利润的构成</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（二）基金可供分配利润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（三）基金收益分配原则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本基金每年收益分配次数最多为6次，每份基金份额每次分配比例不得低于收益分配基准日每份基金份额可供分配利润的10%，若《基金合同》生效不满3个月可不进行收益分配；</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3、基金收益分配后任一类基金份额净值不能低于面值，即基金收益分配基准日的任一类基金份额净值减去每单位该类基金份额收益分配金额后不能低于面值；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4、由于本基金A类基金份额不收取销售服务费，C类基金份额收取销售服务费，各基金份额类别对应的可供分配利润将有所不同；本基金同一基金份额类别的每一基金份额享有同等分配权；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（四）收益分配方案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（五）收益分配方案的确定、公告与实施</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基金红利发放日距离收益分配基准日（即可供分配利润计算截止日）的时间不得超过15个工作日。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法律法规或监管机关另有规定的，从其规定。</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（六）基金收益分配中发生的费用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登记机构可将基金份额持有人的现金红利自动转为相应类别的基金份额。红利再投资的计算方法，依照《业务规则》执行。</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（七）收益分配方式的修改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（八）实施侧袋机制期间的收益分配</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18" w:name="_Toc137828462"/>
      <w:r>
        <w:rPr>
          <w:rFonts w:ascii="Times New Roman" w:hAnsi="Times New Roman"/>
          <w:sz w:val="30"/>
        </w:rPr>
        <w:lastRenderedPageBreak/>
        <w:t>十五、基金的费用与税收</w:t>
      </w:r>
      <w:bookmarkEnd w:id="18"/>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（一）基金费用的种类</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4、《基金合同》生效后与基金相关的会计师费、律师费和诉讼费；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6、基金的证券、期货交易费用；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（二）基金费用计提方法、计提标准和支付方式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本基金的管理费按前一日基金资产净值的1.</w:t>
      </w:r>
      <w:r w:rsidR="00DE4ABF">
        <w:rPr>
          <w:rFonts w:ascii="宋体" w:hAnsi="宋体"/>
          <w:sz w:val="24"/>
        </w:rPr>
        <w:t>2</w:t>
      </w:r>
      <w:r>
        <w:rPr>
          <w:rFonts w:ascii="宋体" w:hAnsi="宋体"/>
          <w:sz w:val="24"/>
        </w:rPr>
        <w:t>%年费率计提。管理费的计算方法如下：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H＝E×1.</w:t>
      </w:r>
      <w:r w:rsidR="00DE4ABF">
        <w:rPr>
          <w:rFonts w:ascii="宋体" w:hAnsi="宋体"/>
          <w:sz w:val="24"/>
        </w:rPr>
        <w:t>2</w:t>
      </w:r>
      <w:r>
        <w:rPr>
          <w:rFonts w:ascii="宋体" w:hAnsi="宋体"/>
          <w:sz w:val="24"/>
        </w:rPr>
        <w:t>%÷当年天数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基金管理费每日计提，按月支付。由基金管理人向基金托管人发送基金管理费划付指令，经基金托管人复核后于次月首日起3个工作日内从基金资产中一次性支付给基金管理人。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本基金的托管费按前一日基金资产净值的0.2%的年费率计提。托管费的计算方法如下：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H＝E×0.2%÷当年天数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基金托管费每日计提，按月支付。由基金管理人向基金托管人发送基金托管费划付指令，经基金托管人复核后于次月首日起3个工作日内从基金资产中一次性支付给基金托管人。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本基金A类基金份额不收取销售服务费，C类基金份额的销售服务费按前一日C类基金资产净值的0.6%年费率计提。计算方法如下：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H＝E×0.6%÷当年天数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提，按月支付。由基金管理人向基金托管人发送销售服务费划款指令，经基金托管人复核后于次月首日起5个工作日内从基金财产中一次性支付给基金管理人，由基金管理人代付给销售机构。若遇法定节假日、休息日或不可抗力致使无法按时支付的，顺延至最近可支付日支付。</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C类基金份额的销售服务费将专门用于本基金的市场推广、销售与基金份额持有人服务。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（3）转换费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本基金转换费的费率水平、计算公式和收取方式详见“基金的转换”一章。</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（三）不列入基金费用的项目</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管理人和基金托管人可根据基金发展情况调整基金管理费率、基金托管费率、销售服务费率等相关费率。降低基金管理费率、基金托管费率、销售服务费率，无须召开基金份额持有人大会。基金管理人必须依照有关规定于新的费率实施日前在指定媒介上刊登公告。</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（五）实施侧袋机制期间的基金费用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（六）基金税收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19" w:name="_Toc137828463"/>
      <w:r>
        <w:rPr>
          <w:rFonts w:ascii="Times New Roman" w:hAnsi="Times New Roman"/>
          <w:sz w:val="30"/>
        </w:rPr>
        <w:lastRenderedPageBreak/>
        <w:t>十六、基金的会计与审计</w:t>
      </w:r>
      <w:bookmarkEnd w:id="19"/>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（一）基金会计政策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（二）基金的年度审计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1、基金管理人聘请与基金管理人、基金托管人相互独立的具有证券从业资格证券、期货相关从业资格的会计师事务所及其注册会计师对本基金的年度财务报表进行审计。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20" w:name="_Toc137828464"/>
      <w:r>
        <w:rPr>
          <w:rFonts w:ascii="Times New Roman" w:hAnsi="Times New Roman"/>
          <w:sz w:val="30"/>
        </w:rPr>
        <w:lastRenderedPageBreak/>
        <w:t>十七、基金的信息披露</w:t>
      </w:r>
      <w:bookmarkEnd w:id="20"/>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（一）本基金的信息披露应符合《基金法》、《运作办法》、《信息披露办法》、《流动性规定》、《基金合同》及其他有关规定。</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（二）信息披露义务人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（三）本基金信息披露义务人承诺公开披露的基金信息，不得有下列行为：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（四）本基金公开披露的信息应采用中文文本。如同时采用外文文本的，基金信息披露义务人应保证不同文本的内容一致。不同文本之间发生歧义的，以中文文本为准。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（五）公开披露的基金信息</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w:t>
      </w:r>
      <w:r>
        <w:rPr>
          <w:rFonts w:ascii="宋体" w:hAnsi="宋体"/>
          <w:sz w:val="24"/>
        </w:rPr>
        <w:lastRenderedPageBreak/>
        <w:t>金份额持有人大会召开的规则及具体程序，说明基金产品的特性等涉及基金投资者重大利益的事项的法律文件。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报刊和网站上；基金管理人、基金托管人应当将《基金合同》、基金托管协议登载在网站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《基金合同》生效后，在开始办理基金份额申购或者赎回前，基金管理人应当至少每周在指定网站分别披露一次A类基金份额和C类基金份额所对应的基金份额净值和基金份额累计净值。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w:t>
      </w:r>
      <w:r>
        <w:rPr>
          <w:rFonts w:ascii="宋体" w:hAnsi="宋体"/>
          <w:sz w:val="24"/>
        </w:rPr>
        <w:lastRenderedPageBreak/>
        <w:t>次日，通过指定网站、基金销售机构网站或者营业网点分别披露开放日A类基金份额和C类基金份额所对应的基金份额净值和基金份额累计净值。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基金管理人应当在不晚于半年度和年度最后一日的次日，在指定网站披露半年度和年度最后一日A类基金份额和C类基金份额所对应的基金份额净值和基金份额累计净值。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（1）基金份额持有人大会的召开及决定的事项；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（20）本基金暂停接受申购、赎回申请或重新接受申购、赎回申请；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（22）本基金增加或调整基金份额类别；</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（23）基金信息披露义务人认为可能对基金份额持有人权益或者基金份额的价格产生重大影响的其他事项或中国证监会规定的其他事项。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10、清算报告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投资股指期货，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投资资产支持证券，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13、实施侧袋机制期间的信息披露</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14、中国证监会规定的其他信息。</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（六）信息披露事务管理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（七）信息披露文件的存放与查阅</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（八）本基金信息披露事项以法律法规规定及本章节约定的内容为准。</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rsidR="005B1FF5" w:rsidRDefault="000B1B0D">
      <w:pPr>
        <w:pStyle w:val="1"/>
        <w:snapToGrid w:val="0"/>
        <w:spacing w:beforeLines="0" w:before="240" w:after="240"/>
        <w:rPr>
          <w:rFonts w:ascii="宋体" w:hAnsi="宋体"/>
          <w:szCs w:val="30"/>
        </w:rPr>
      </w:pPr>
      <w:bookmarkStart w:id="21" w:name="_Toc137828465"/>
      <w:r>
        <w:rPr>
          <w:rFonts w:ascii="Times New Roman" w:hAnsi="Times New Roman"/>
          <w:sz w:val="30"/>
        </w:rPr>
        <w:lastRenderedPageBreak/>
        <w:t>十八、侧袋机制</w:t>
      </w:r>
      <w:bookmarkEnd w:id="21"/>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（一）侧袋机制的实施条件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（二）实施侧袋机制期间基金份额的申购与赎回</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（三）实施侧袋机制期间的基金投资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（四）实施侧袋机制期间的基金估值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（五）实施侧袋账户期间的基金费用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1、本基金实施侧袋机制的，管理费和托管费等按主袋账户基金资产净值作为基数计提。</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（六）侧袋账户中特定资产的处置变现和支付</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（七）侧袋机制的信息披露</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rsidR="005B1FF5" w:rsidRDefault="000B1B0D">
      <w:pPr>
        <w:pStyle w:val="1"/>
        <w:snapToGrid w:val="0"/>
        <w:spacing w:beforeLines="0" w:before="240" w:after="240"/>
        <w:rPr>
          <w:rFonts w:ascii="宋体" w:hAnsi="宋体"/>
          <w:szCs w:val="30"/>
        </w:rPr>
      </w:pPr>
      <w:bookmarkStart w:id="22" w:name="_Toc137828466"/>
      <w:r>
        <w:rPr>
          <w:rFonts w:ascii="Times New Roman" w:hAnsi="Times New Roman"/>
          <w:sz w:val="30"/>
        </w:rPr>
        <w:lastRenderedPageBreak/>
        <w:t>十九、风险揭示</w:t>
      </w:r>
      <w:bookmarkEnd w:id="22"/>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w:t>
      </w:r>
      <w:r>
        <w:rPr>
          <w:rFonts w:ascii="宋体" w:hAnsi="宋体"/>
          <w:sz w:val="24"/>
        </w:rPr>
        <w:lastRenderedPageBreak/>
        <w:t>担。</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（一）市场风险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（二）管理风险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（三）流动性风险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w:t>
      </w:r>
      <w:r>
        <w:rPr>
          <w:rFonts w:ascii="宋体" w:hAnsi="宋体"/>
          <w:sz w:val="24"/>
        </w:rPr>
        <w:lastRenderedPageBreak/>
        <w:t>资产变现能力差，可能会产生基金仓位调整的困难，导致流动性风险，可能影响基金份额净值。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w:t>
      </w:r>
      <w:r>
        <w:rPr>
          <w:rFonts w:ascii="宋体" w:hAnsi="宋体"/>
          <w:sz w:val="24"/>
        </w:rPr>
        <w:lastRenderedPageBreak/>
        <w:t>赎回处理。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体上进行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基金管理人将根据主袋账户运作情况合理确定申购政策，因此实施侧袋机制后主袋账户份额存在暂停申购的可能。</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（四）信用风险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（五）本基金投资策略所特有的风险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（2）本基金可投资创业板股票，创业板个股上市后的前五个交易日不设价格涨跌幅限制，第六个交易日开始涨跌幅限制比例为20%。</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（六）投资股指期货的特定风险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（1）市场风险是指由于股指期货价格变动而给投资者带来的风险。市场风险是股指期货投资中最主要的风险。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（2）流动性风险是指由于股指期货合约无法及时变现所带来的风险。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（3）基差风险是指股指期货合约价格和指数价格之间的价格差的波动所造成的风险，以及不同股指期货合约价格之间价格差的波动所造成的期现价差风险。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（5）信用风险是指期货经纪公司违约而产生损失的风险。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（6）操作风险是指由于内部流程的不完善，业务人员出现差错或者疏漏，或</w:t>
      </w:r>
      <w:r>
        <w:rPr>
          <w:rFonts w:ascii="宋体" w:hAnsi="宋体"/>
          <w:sz w:val="24"/>
        </w:rPr>
        <w:lastRenderedPageBreak/>
        <w:t>者系统出现故障等原因造成损失的风险。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（七）投资科创板股票的特定风险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科创板企业均为市场认可度较高的科技创新企业，在企业经营及盈利模式上存在趋同，所以科创板个股相关性较高，市场表现不佳时，系统性风险将更为显著。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（八）投资存托凭证的特定风险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（九）其他风险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23" w:name="_Toc137828467"/>
      <w:r>
        <w:rPr>
          <w:rFonts w:ascii="Times New Roman" w:hAnsi="Times New Roman"/>
          <w:sz w:val="30"/>
        </w:rPr>
        <w:lastRenderedPageBreak/>
        <w:t>二十、基金合同的变更、终止与基金财产的清算</w:t>
      </w:r>
      <w:bookmarkEnd w:id="23"/>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（一）《基金合同》的变更</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（二）《基金合同》的终止事由</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（三）基金财产的清算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（5）聘请会计师事务所对清算报告进行外部审计，聘请律师事务所对清算报告出具法律意见书；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（四）清算费用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（五）基金财产清算剩余资产的分配</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（六）基金财产清算的公告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（七）基金财产清算账册及文件的保存</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24" w:name="_Toc137828468"/>
      <w:r>
        <w:rPr>
          <w:rFonts w:ascii="Times New Roman" w:hAnsi="Times New Roman"/>
          <w:sz w:val="30"/>
        </w:rPr>
        <w:lastRenderedPageBreak/>
        <w:t>二十一、基金合同内容摘要</w:t>
      </w:r>
      <w:bookmarkEnd w:id="24"/>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（一）基金份额持有人、基金管理人和基金托管人的权利与义务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根据《基金法》、《运作办法》及其他有关规定，基金管理人的权利包括但不限于：</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（13）在法律法规允许的前提下，为基金的利益依法为基金进行融资、融券；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（15）选择、更换律师事务所、会计师事务所、证券经纪商、期货经纪机构或其他为基金提供服务的外部机构；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（16）在符合有关法律、法规的前提下，制定和调整有关基金认购、申购、赎回、转换等的业务规则；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根据《基金法》、《运作办法》及其他有关规定，基金管理人的义务包括但不限于：</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（1）依法募集资金，办理或者委托经中国证监会认定的其他机构代为办理基金份额的发售、申购、赎回和登记事宜；</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（14）按规定受理申购与赎回申请，及时、足额支付赎回款项；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根据《基金法》、《运作办法》及其他有关规定，基金托管人的权利包括但不限于：</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（1）自《基金合同》生效之日起，依法律法规和《基金合同》的规定安全保管基金财产；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（4）根据相关市场规则，为基金开设资金账户、证券账户等投资所需账户、协助开立股指期货业务相关账户及交易编码、为基金办理证券交易资金清算；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根据《基金法》、《运作办法》及其他有关规定，基金托管人的义务包括但不限于：</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（6）按规定开设基金财产的资金账户和证券账户等投资所需账户，协助开立股指期货业务相关账户及交易编码，按照《基金合同》的约定，根据基金管理人的投资指令，及时办理清算、交割事宜；</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（8）复核、审查基金管理人计算的基金资产净值、各类基金份额净值、基金</w:t>
      </w:r>
      <w:r>
        <w:rPr>
          <w:rFonts w:ascii="宋体" w:hAnsi="宋体"/>
          <w:sz w:val="24"/>
        </w:rPr>
        <w:lastRenderedPageBreak/>
        <w:t>份额申购、赎回价格；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同一类别的每份基金份额具有同等的合法权益。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根据《基金法》、《运作办法》及其他有关规定，基金份额持有人的权利包括但不限于：</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根据《基金法》、《运作办法》及其他有关规定，基金份额持有人的义务包括但不限于：</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w:t>
      </w:r>
      <w:r>
        <w:rPr>
          <w:rFonts w:ascii="宋体" w:hAnsi="宋体"/>
          <w:sz w:val="24"/>
        </w:rPr>
        <w:lastRenderedPageBreak/>
        <w:t>充，并保证其真实性；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（二）基金份额持有人大会召集、议事及表决的程序和规则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1）终止《基金合同》，法律法规和中国证监会另有规定的除外；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4）转换基金运作方式，法律法规和中国证监会另有规定的除外；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5）提高基金管理人、基金托管人的报酬标准或提高销售服务费率，但法律法规要求提高该等报酬标准的除外；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7）本基金与其他基金的合并，法律法规和中国证监会另有规定的除外；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8）变更基金投资目标、范围或策略，法律法规和中国证监会另有规定的除外；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9）变更基金份额持有人大会程序，法律法规和中国证监会另有规定的除外；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（2）以下情况可由基金管理人和基金托管人协商后修改，不需召开基金份额持有人大会：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1）调低基金管理费、基金托管费和其他应由本基金或基金份额持有人承担的</w:t>
      </w:r>
      <w:r>
        <w:rPr>
          <w:rFonts w:ascii="宋体" w:hAnsi="宋体"/>
          <w:sz w:val="24"/>
        </w:rPr>
        <w:lastRenderedPageBreak/>
        <w:t>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3）在法律法规和《基金合同》规定的范围内，且在对现有基金份额持有人利益无实质性不利影响的前提下调整本基金的申购费率、调低赎回费率及销售服务费率、变更或增加收费方式；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4）在符合法律法规及本基金合同规定、并且对基金份额持有人利益无实质不利影响的前提下，调整本基金份额类别的设置、对基金份额分类办法及规则进行调整；</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5）因相应的法律法规发生变动而应当对《基金合同》进行修改；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6）对《基金合同》的修改对基金份额持有人利益无实质性不利影响或修改不涉及《基金合同》当事人权利义务关系发生重大变化；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7）在法律法规允许的情况下，且在对现有基金份额持有人利益无实质性不利影响的前提下，基金推出新业务或服务；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8）按照法律法规和《基金合同》规定不需召开基金份额持有人大会的以外的其他情形。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60日内召开；基金管理人决定不召集，代表基金份额10%以上（含10%）的基金</w:t>
      </w:r>
      <w:r>
        <w:rPr>
          <w:rFonts w:ascii="宋体" w:hAnsi="宋体"/>
          <w:sz w:val="24"/>
        </w:rPr>
        <w:lastRenderedPageBreak/>
        <w:t>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w:t>
      </w:r>
      <w:r>
        <w:rPr>
          <w:rFonts w:ascii="宋体" w:hAnsi="宋体"/>
          <w:sz w:val="24"/>
        </w:rPr>
        <w:lastRenderedPageBreak/>
        <w:t>力。</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（2）通讯开会。通讯开会系指基金份额持有人将其对表决事项的投票以书面形式在表决截至日以前送达至召集人指定的地址。通讯开会应以书面方式进行表决。</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3）本人直接出具书面意见或授权他人代表出具书面意见的，基金份额持有人</w:t>
      </w:r>
      <w:r>
        <w:rPr>
          <w:rFonts w:ascii="宋体" w:hAnsi="宋体"/>
          <w:sz w:val="24"/>
        </w:rPr>
        <w:lastRenderedPageBreak/>
        <w:t>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w:t>
      </w:r>
      <w:r>
        <w:rPr>
          <w:rFonts w:ascii="宋体" w:hAnsi="宋体"/>
          <w:sz w:val="24"/>
        </w:rPr>
        <w:lastRenderedPageBreak/>
        <w:t>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（1）现场开会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基金份额持有人大会的决定的事项自表决通过之日起生效，召集人应当自通过之日起5日内报中国证监会备案。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（三）基金合同解除和终止的事由、程序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7）对基金剩余财产进行分配。</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（四）争议解决方式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（五）基金合同存放及投资者取得基金合同的方式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25" w:name="_Toc137828469"/>
      <w:r>
        <w:rPr>
          <w:rFonts w:ascii="Times New Roman" w:hAnsi="Times New Roman"/>
          <w:sz w:val="30"/>
        </w:rPr>
        <w:lastRenderedPageBreak/>
        <w:t>二十二、托管协议的内容摘要</w:t>
      </w:r>
      <w:bookmarkEnd w:id="25"/>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注册地址：中国(上海)自由贸易试验区银城中路188号交通银行大楼二层（裙）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注册地址：北京市东城区建国门内大街69号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办公地址：北京市西城区复兴门内大街28号凯晨世贸中心东座九层</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邮政编码：100031</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法定代表人：谷澎</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成立时间：2009年1月15日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基金托管资格批准文号：中国证监会证监基字[1998]23号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w:t>
      </w:r>
      <w:r>
        <w:rPr>
          <w:rFonts w:ascii="宋体" w:hAnsi="宋体"/>
          <w:sz w:val="24"/>
        </w:rPr>
        <w:lastRenderedPageBreak/>
        <w:t>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债券、中期票据、货币市场工具、权证、资产支持证券、股指期货以及法律法规或中国证监会允许基金投资的其他金融工具（但须符合中国证监会相关规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比例为：股票资产（含存托凭证）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留的现金或者投资于到期日在一年以内的政府债券的比例合计不低于基金资产净值的5%，其中现金不包括结算备付金、存出保证金和应收申购款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w:t>
      </w:r>
      <w:r>
        <w:rPr>
          <w:rFonts w:ascii="宋体" w:hAnsi="宋体"/>
          <w:sz w:val="24"/>
        </w:rPr>
        <w:lastRenderedPageBreak/>
        <w:t>资、融券比例进行监督。基金托管人按下述比例和调整期限进行监督：</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（1）本基金持有一家公司发行的证券，其市值不超过基金资产净值的10%；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（2）本基金与本基金管理人管理的、且由本基金托管人托管的其他基金持有一家公司发行的证券，其市值不超过该证券的10%；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（3）本基金进入全国银行间同业市场进行债券回购的资金余额不超过基金资产净值的40%。债券回购最长期限为１年，债券回购到期后不得展期。本基金的基金资产总值不得超过基金资产净值的140%；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（4）本基金持有其他证券投资基金（不含货币市场基金），其市值不得超过基金资产净值的10%；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（5）本基金的存款银行为具有证券投资基金托管人资格、证券投资基金销售业务资格或合格境外机构投资者托管人资格的商业银行；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（6）本基金投资于定期存款的比例不得超过基金资产净值的30%，根据协议可提前支取且没有利息损失的银行存款，不受此限制；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（7）本基金参与股票发行申购，本基金所申报的金额不超过本基金的总资产，本基金所申报的股票数量不超过拟发行股票公司本次发行股票的总量；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在任何交易日买入权证的总金额，不得超过上一交易日基金资产净值的0.5%；本基金持有的全部权证，其市值不得超过基金资产净值的3%；本基金与本基金管理人管理的、且由本基金托管人托管的其他基金持有的同一权证，不得超过该权证的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本基金投资于同一原始权益人的各类资产支持证券的比例，不得超过基金资产净值的10%；本基金管理人管理的、且由本基金托管人托管的全部证券投资基金投资于同一原始权益人的各类资产支持证券，不得超过其各类资产支持证券合计规模的10%；本基金持有的全部资产支持证券，其市值不得超过基金资产净值的20%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（11）本基金持有的同一中期票据，其市值不得超过基金资产净值的10%；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（12）本基金持有的同一流通受限证券，其公允价值不得超过本基金资产净值</w:t>
      </w:r>
      <w:r>
        <w:rPr>
          <w:rFonts w:ascii="宋体" w:hAnsi="宋体"/>
          <w:sz w:val="24"/>
        </w:rPr>
        <w:lastRenderedPageBreak/>
        <w:t>的10%；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股票资产（含存托凭证）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本基金保持不低于基金资产净值5%的现金或者到期日在一年以内的政府债券，其中现金不包括结算备付金、存出保证金和应收申购款等；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（14）本基金若投资股指期货，则：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1）本基金在任何交易日日终，持有的买入股指期货合约价值，不得超过基金资产净值的10%；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3）本基金在任何交易日日终，持有的卖出期货合约价值不得超过基金持有的股票总市值的20%；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6）本基金每个交易日日终在扣除股指期货合约需缴纳的交易保证金后，应当保持不低于基金资产净值5%的现金或到期日在一年以内的政府债券，其中现金不包括结算备付金、存出保证金和应收申购款等；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（15）本基金不得违反基金合同中有关投资范围、投资策略、投资比例的规定；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（18）本基金与私募类证券资管产品及中国证监会认定的其他主体为交易对手开展逆回购交易的，可接受质押品的资质要求应当与基金合同约定的投资范围保持一致；</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（19）本基金投资存托凭证的比例限制依照境内上市交易的股票执行；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（20）法律法规或监管部门对上述比例限制另有规定的，从其规定；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（21）法律法规及中国证监会规定的和基金合同约定的其他投资限制。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9）、（17）、（18）项、第（13）项第二款以及第（14）项第6）目外，因证券、期货市场波动、证券发行人合并、基金规模变动、股权分置改革中支付对价等基金管理人之外的因素致使基金投资比例不符合上述规定的投资比例的，基金管理人应当在10个交易日内进行调整，但中国证监会规定的特殊情形除外。法律法规另有规定的，从其规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3、基金托管人根据有关法律法规的规定及基金合同的约定，对本协议第十五条第九项基金投资禁止行为进行监督。</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w:t>
      </w:r>
      <w:r>
        <w:rPr>
          <w:rFonts w:ascii="宋体" w:hAnsi="宋体"/>
          <w:sz w:val="24"/>
        </w:rPr>
        <w:lastRenderedPageBreak/>
        <w:t>仍违规进行关联交易，并造成基金资产损失的，由基金管理人承担责任，基金托管人并有权向中国证监会报告。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5、基金托管人根据有关法律法规的规定及基金合同的约定，对基金管理人选择存款银行进行监督。</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基金投资银行定期存款的，基金管理人应根据法律法规的规定及基金合同的约定选择存款银行。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（2）基金托管人应加强对基金银行存款业务的监督与核查，严格审查、复核相关协议、账户资料、投资指令、存款证实书等有关文件，切实履行托管职责。</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（3）基金管理人与基金托管人在开展基金存款业务时，应严格遵守《基金法》、《运作办法》等有关法律法规，以及国家有关账户管理、利率管理、支付结算</w:t>
      </w:r>
      <w:r>
        <w:rPr>
          <w:rFonts w:ascii="宋体" w:hAnsi="宋体"/>
          <w:sz w:val="24"/>
        </w:rPr>
        <w:lastRenderedPageBreak/>
        <w:t>等的各项规定。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如果基金管理人未经基金托管人的审核擅自将不实的业绩表现数据印制在宣传推介材料上，则基金托管人对此不承担任何责任，并将在发现后立即报告中国证监会。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7、基金托管人根据有关法律法规的规定及基金合同的约定，对基金投资流通受限证券进行监督。</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（1）基金投资流通受限证券，应遵守《关于规范基金投资非公开发行证券行为的紧急通知》、《关于基金投资非公开发行股票等流通受限证券有关问题的通知》等有关法律法规规定。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（4）在投资流通受限证券之前，基金管理人应至少提前一个交易日向基金托</w:t>
      </w:r>
      <w:r>
        <w:rPr>
          <w:rFonts w:ascii="宋体" w:hAnsi="宋体"/>
          <w:sz w:val="24"/>
        </w:rPr>
        <w:lastRenderedPageBreak/>
        <w:t>管人提供有关非公开定向增发流通受限证券的相关信息，具体应当包括但不限于如下文件（如有）：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w:t>
      </w:r>
      <w:r>
        <w:rPr>
          <w:rFonts w:ascii="宋体" w:hAnsi="宋体"/>
          <w:sz w:val="24"/>
        </w:rPr>
        <w:lastRenderedPageBreak/>
        <w:t>监会。基金托管人发现基金管理人依据交易程序已经生效的投资指令违反法律、行政法规和其他有关规定，或者违反基金合同约定的，应当立即通知基金管理人，并报告中国证监会。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各类基金份额净值、根据基金管理人指令办理清算交收、相关信息披露和监督基金投资运作等行为。</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w:t>
      </w:r>
      <w:r>
        <w:rPr>
          <w:rFonts w:ascii="宋体" w:hAnsi="宋体"/>
          <w:sz w:val="24"/>
        </w:rPr>
        <w:lastRenderedPageBreak/>
        <w:t>由，拒绝、阻挠对方根据本协议规定行使监督权，或采取拖延、欺诈等手段妨碍对方进行有效监督，情节严重或经基金管理人提出警告仍不改正的，基金管理人应报告中国证监会。</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（四）基金财产保管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（2）基金托管人应安全保管基金财产。未经基金管理人依据合法程序作出的合法合规指令，基金托管人不得自行运用、处分、分配基金的任何财产。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（3）基金托管人按照规定开设基金财产的资金账户和证券账户，协助开立股指期货业务相关账户及交易编码。</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（1）基金募集期间的认购款项应存于专用账户。该账户由基金管理人或基金管理人委托的登记机构开立并管理。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2名或2名以上中国注册会计师签字方为有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（3）若基金募集期限届满，未能达到基金备案的条件，由基金管理人按规定</w:t>
      </w:r>
      <w:r>
        <w:rPr>
          <w:rFonts w:ascii="宋体" w:hAnsi="宋体"/>
          <w:sz w:val="24"/>
        </w:rPr>
        <w:lastRenderedPageBreak/>
        <w:t>办理退款等事宜，基金托管人应提供充分协助。</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3、基金托管资金账户的开立和管理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（1）基金托管人应负责本基金的资金账户的开设和管理。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（4）基金托管资金账户的开立和管理应符合相关法律法规的有关规定。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（5）在符合法律法规规定的条件下，基金托管人可以通过基金托管人专用账户办理基金资产的支付。</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（1）基金托管人在中国证券登记结算有限责任公司上海分公司、深圳分公司为本基金开立基金托管人与基金联名的证券账户。</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（4）基金证券账户的开立和证券账户卡的保管由基金托管人负责，账户资产的管理和运用由基金管理人负责。</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w:t>
      </w:r>
      <w:r>
        <w:rPr>
          <w:rFonts w:ascii="宋体" w:hAnsi="宋体"/>
          <w:sz w:val="24"/>
        </w:rPr>
        <w:lastRenderedPageBreak/>
        <w:t>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（1）因业务发展需要而开立的其他账户，可以根据法律法规和基金合同的规定，在基金管理人和基金托管人商议后开立。新账户按有关规则使用并管理。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（五）基金资产净值计算与复核</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份额净值是指计算日该类基金份额的基金资产净值除以计算日该类基金份额总数后得到的数值。各类基金份额的基金份额净值的计算，均精确到0.0001元，小数点后第五位四舍五入，由此产生的误差计入基金财产。国家另有规定的，从其规定。</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基金管理人于每工作日计算各类基金份额的基金资产净值及基金份额净值，并按规定公告，但根据法律法规或基金合同的规定暂停估值时除外。</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基金管理人每工作日对基金资产进行估值后，将各类基金份额净值结果发送基</w:t>
      </w:r>
      <w:r>
        <w:rPr>
          <w:rFonts w:ascii="宋体" w:hAnsi="宋体"/>
          <w:sz w:val="24"/>
        </w:rPr>
        <w:lastRenderedPageBreak/>
        <w:t>金托管人，经基金托管人复核无误后，由基金管理人依据基金合同和相关法律法规的规定对外公布。月末、年中和年末估值复核与基金会计账目的核对同时进行。</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（六）基金份额持有人名册的登记与保管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（七）争议解决方式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本协议适用中华人民共和国法律并从其解释。</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（八）托管协议的变更与终止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本协议双方当事人经协商一致，可以对协议进行修改。修改后的新协议，其内容不得与基金合同的规定有任何冲突。基金托管协议的变更应报中国证监会备案后生效。</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（4）发生法律法规、中国证监会或基金合同规定的其他终止事项。</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26" w:name="_Toc137828470"/>
      <w:r>
        <w:rPr>
          <w:rFonts w:ascii="Times New Roman" w:hAnsi="Times New Roman"/>
          <w:sz w:val="30"/>
        </w:rPr>
        <w:lastRenderedPageBreak/>
        <w:t>二十三、对基金份额持有人的服务</w:t>
      </w:r>
      <w:bookmarkEnd w:id="26"/>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（一）持有人交易资料的寄送服务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（二）网上直销服务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公司网站的网上直销交易平台办理开户和本基金A类基金份额和C类基金份额的申购、赎回、定期定额投资和转换等业务。通过网上直销交易平台办理本基金A类基金份额申购和定期定额投资业务的个人投资者将享受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投资人可以拨打本基金管理人客户服务电话投诉直销机构的人员和服务。</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（四）基金转换业务</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本基金已开通基金转换业务，具体实施方法请参见相关公告。</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（五）定期定额投资计划</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rsidR="005B1FF5" w:rsidRDefault="000B1B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（六）如本招募说明书存在任何您/贵机构无法理解的内容，请通过上述方式联系基金管理人。请确保投资前，您/贵机构已经全面理解了本招募说明书。</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27" w:name="_Toc137828471"/>
      <w:r>
        <w:rPr>
          <w:rFonts w:ascii="Times New Roman" w:hAnsi="Times New Roman"/>
          <w:sz w:val="30"/>
        </w:rPr>
        <w:lastRenderedPageBreak/>
        <w:t>二十四、其他应披露事项</w:t>
      </w:r>
      <w:bookmarkEnd w:id="27"/>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交银施罗德国企改革灵活配置混合型证券投资基金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交银施罗德国企改革灵活配置混合型证券投资基金基金产品资料概要更新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交银施罗德基金管理有限公司关于增加招商银行股份有限公司为旗下基金销售机构的公告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2022-06-30</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交银施罗德基金管理有限公司关于增加中国光大银行股份有限公司为旗下基金的销售机构的公告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2022-07-12</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交银施罗德国企改革灵活配置混合型证券投资基金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交银施罗德基金管理有限公司关于增加中国邮政储蓄银行股份有限公司为旗下基金的销售机构的公告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2022-08-10</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交银施罗德国企改革灵活配置混合型证券投资基金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交银施罗德基金管理有限公司关于增加中国人寿保险股份有限公司为旗下基金的销售机构的公告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2022-08-31</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交银施罗德基金管理有限公司关于增加长江证券股份有限公司为旗下基金的销售机构的公告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2022-09-09</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交银施罗德基金管理有限公司关于交银施罗德国企改革灵活配置混合型证券投资基金暂停及恢复大额申购（转换转入、定期定额投资）业务的公告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2022-09-26</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交银施罗德基金管理有限公司关于交银施罗德国企改革灵活配置混合型证券投资基金分红公告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2022-09-28</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交银施罗德基金管理有限公司关于增加德邦证券股份有限公司为旗下基金的销售机构的公告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2022-09-29</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2022-10-19</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交银施罗德国企改革灵活配置混合型证券投资基金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交银施罗德基金管理有限公司关于增加国联证券股份有限公司为旗下基金的销售机构的公告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2022-10-28</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交银施罗德基金管理有限公司关于增加海通证券股份有限公司为旗下基金销售机构的公告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2022-11-11</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交银施罗德基金管理有限公司关于增加方正证券股份有限公司为旗下基金的销售机构的公告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2022-12-09</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交银施罗德基金管理有限公司关于交银施罗德国企改革灵活配置混合型证券投资基金暂停及恢复大额申购（转换转入、定期定额投资）业务的公告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2022-12-20</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交银施罗德基金管理有限公司关于交银施罗德国企改革灵活配置混合型证券投资基金分红公告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2022-12-22</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交银施罗德基金管理有限公司关于增加渤海证券股份有限公司为旗下基金销售机构的公告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2023-01-06</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交银施罗德基金管理有限公司关于增加国元证券股份有限公司为旗下基金的销售机构的公告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2023-01-13</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交银施罗德基金管理有限公司关于增加深圳众禄基金销售股份有限公司为旗下基金销售机构的公告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2023-01-18</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交银施罗德国企改革灵活配置混合型证券投资基金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交银施罗德基金管理有限公司关于增加湘财证券股份有限公司为旗下基金的销售机构的公告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交银施罗德基金管理有限公司关于旗下部分基金在交通银行股份有限公司恢复原前端申购（含定期定额投资）费率的公告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交银施罗德基金管理有限公司关于增加华泰证券股份有限公司为旗下基金的销售机构的公告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2023-02-03</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交银施罗德基金管理有限公司关于增加长城国瑞券有限公司为旗下基金销售机构的公告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2023-02-09</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30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交银施罗德基金管理有限公司关于增加西部证券股份有限公司为旗下基金销售机构的公告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32</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交银施罗德基金管理有限公司关于增加国信证券股份有限公司为旗下基金的销售机构的公告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2023-02-17</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33</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交银施罗德基金管理有限公司关于增加国元证券股份有限公司为旗下基金的销售机构的公告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2023-02-17</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34</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交银施罗德国企改革灵活配置混合型证券投资基金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2023-02-22</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35</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交银施罗德国企改革灵活配置混合型证券投资基金基金合同</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2023-02-22</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36</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交银施罗德国企改革灵活配置混合型证券投资基金托管协议</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2023-02-22</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37</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交银施罗德国企改革灵活配置混合型证券投资基金（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2023-02-22</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38</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交银施罗德国企改革灵活配置混合型证券投资基金（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2023-02-22</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39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交银施罗德基金管理有限公司关于交银施罗德国企改革灵活配置混合型证券投资基金增加</w:t>
            </w:r>
            <w:r>
              <w:rPr>
                <w:rFonts w:ascii="Times New Roman" w:hAnsi="Times New Roman"/>
                <w:color w:val="000000"/>
                <w:kern w:val="0"/>
                <w:sz w:val="25"/>
                <w:szCs w:val="24"/>
              </w:rPr>
              <w:t>C</w:t>
            </w:r>
            <w:r>
              <w:rPr>
                <w:rFonts w:ascii="Times New Roman" w:hAnsi="Times New Roman"/>
                <w:color w:val="000000"/>
                <w:kern w:val="0"/>
                <w:sz w:val="25"/>
                <w:szCs w:val="24"/>
              </w:rPr>
              <w:t>类基金份额、增加侧袋机制、调整基金份额净值计算小数点后保留位数并修改基金合同和托管协议的公告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2023-02-22</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40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交银施罗德基金管理有限公司关于增加南京银行股份有限公司为旗下基金销售机构的公告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2023-03-03</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41</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交银施罗德基金管理有限公司关于增加交通银行股份有限公司为旗下部分基金的销售机构的公告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2023-03-06</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42</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交银施罗德基金管理有限公司关于增加东方证券股份有限公司为旗下基金销售机构的公告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2023-03-10</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43</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交银施罗德基金管理有限公司关于增加中信证券股份有限公司、中信证券（山东）有限责任公司、中信期货有限公司、中信证券华南股份有限公司为旗下基金销售机构的公告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2023-03-15</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44</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交银施罗德基金管理有限公司关于增加招商银行股份有限公司为旗下基金销售机构的公告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2023-03-28</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45</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交银施罗德国企改革灵活配置混合型证券投资基金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46</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交银施罗德基金管理有限公司关于增加国信证券股份有限公司为旗下基金的销售机构的公告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2023-04-14</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47</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交银施罗德基金管理有限公司关于增加广发证券股份有限公司为旗下基金的销售机构的公告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2023-04-14</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48</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交银施罗德国企改革灵活配置混合型证券投资基金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49</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交银施罗德基金管理有限公司关于增加海通证券股份有限公司为旗下基金的销售机构的公告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50</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交银施罗德基金管理有限公司关于增加上海浦东发展银行股份有限公司为旗下基金销售机构的公告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2023-04-27</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51</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交银施罗德基金管理有限公司关于增加平安银行股份有限公司为旗下基金销售机构的公告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2023-04-27</w:t>
            </w:r>
          </w:p>
        </w:tc>
      </w:tr>
      <w:tr w:rsidR="005B1FF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52</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交银施罗德基金管理有限公司关于增加宁波银行股份有限公司为旗下基金的销售机构的公告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B1FF5" w:rsidRDefault="000B1B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2023-05-24</w:t>
            </w:r>
          </w:p>
        </w:tc>
      </w:tr>
    </w:tbl>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28" w:name="_Toc137828472"/>
      <w:r>
        <w:rPr>
          <w:rFonts w:ascii="Times New Roman" w:hAnsi="Times New Roman"/>
          <w:sz w:val="30"/>
        </w:rPr>
        <w:lastRenderedPageBreak/>
        <w:t>二十五、招募说明书的存放及查阅方式</w:t>
      </w:r>
      <w:bookmarkEnd w:id="28"/>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B439CC" w:rsidRDefault="000B1B0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B1FF5" w:rsidRDefault="000B1B0D">
      <w:pPr>
        <w:pStyle w:val="1"/>
        <w:snapToGrid w:val="0"/>
        <w:spacing w:beforeLines="0" w:before="240" w:after="240"/>
        <w:rPr>
          <w:rFonts w:ascii="宋体" w:hAnsi="宋体"/>
          <w:szCs w:val="30"/>
        </w:rPr>
      </w:pPr>
      <w:bookmarkStart w:id="29" w:name="_Toc137828473"/>
      <w:r>
        <w:rPr>
          <w:rFonts w:ascii="Times New Roman" w:hAnsi="Times New Roman"/>
          <w:sz w:val="30"/>
        </w:rPr>
        <w:lastRenderedPageBreak/>
        <w:t>二十六、备查文件</w:t>
      </w:r>
      <w:bookmarkEnd w:id="29"/>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（一）中国证监会准予交银施罗德国企改革灵活配置混合型证券投资基金募集注册的文件</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（二）《交银施罗德国企改革灵活配置混合型证券投资基金基金合同》</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（三）《交银施罗德国企改革灵活配置混合型证券投资基金托管协议》</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5B1FF5" w:rsidRDefault="000B1B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（六）关于申请募集注册交银施罗德国企改革灵活配置混合型证券投资基金的法律意见书</w:t>
      </w:r>
    </w:p>
    <w:sectPr w:rsidR="005B1FF5">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CBF" w:rsidRDefault="00E40CBF">
      <w:r>
        <w:separator/>
      </w:r>
    </w:p>
  </w:endnote>
  <w:endnote w:type="continuationSeparator" w:id="0">
    <w:p w:rsidR="00E40CBF" w:rsidRDefault="00E4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F5" w:rsidRDefault="00BA70AD">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FF5" w:rsidRDefault="000B1B0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B77A8">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rsidR="005B1FF5" w:rsidRDefault="000B1B0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B77A8">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F5" w:rsidRDefault="00BA70AD">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FF5" w:rsidRDefault="000B1B0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B77A8">
                            <w:rPr>
                              <w:rFonts w:ascii="Times New Roman" w:hAnsi="Times New Roman"/>
                              <w:noProof/>
                              <w:kern w:val="0"/>
                              <w:sz w:val="18"/>
                              <w:szCs w:val="18"/>
                            </w:rPr>
                            <w:t>160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rsidR="005B1FF5" w:rsidRDefault="000B1B0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B77A8">
                      <w:rPr>
                        <w:rFonts w:ascii="Times New Roman" w:hAnsi="Times New Roman"/>
                        <w:noProof/>
                        <w:kern w:val="0"/>
                        <w:sz w:val="18"/>
                        <w:szCs w:val="18"/>
                      </w:rPr>
                      <w:t>160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CBF" w:rsidRDefault="00E40CBF">
      <w:r>
        <w:separator/>
      </w:r>
    </w:p>
  </w:footnote>
  <w:footnote w:type="continuationSeparator" w:id="0">
    <w:p w:rsidR="00E40CBF" w:rsidRDefault="00E40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D0" w:rsidRDefault="00BA70AD">
    <w:pPr>
      <w:pStyle w:val="a3"/>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5B1FF5" w:rsidRDefault="000B1B0D">
    <w:pPr>
      <w:pStyle w:val="a3"/>
      <w:jc w:val="right"/>
      <w:rPr>
        <w:rFonts w:ascii="宋体" w:hAnsi="宋体"/>
      </w:rPr>
    </w:pPr>
    <w:r>
      <w:rPr>
        <w:rFonts w:ascii="宋体" w:hAnsi="宋体" w:hint="eastAsia"/>
      </w:rPr>
      <w:t>交银施罗德国企改革灵活配置混合型证券投资基金(更新)招募说明书(2023年第2号)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F5" w:rsidRDefault="005B1FF5">
    <w:pPr>
      <w:pStyle w:val="10"/>
      <w:jc w:val="right"/>
    </w:pPr>
  </w:p>
  <w:p w:rsidR="005B1FF5" w:rsidRDefault="005B1FF5">
    <w:pPr>
      <w:pStyle w:val="10"/>
      <w:jc w:val="right"/>
    </w:pPr>
  </w:p>
  <w:p w:rsidR="005B1FF5" w:rsidRDefault="005B1FF5">
    <w:pPr>
      <w:pStyle w:val="a3"/>
      <w:jc w:val="right"/>
    </w:pPr>
  </w:p>
  <w:p w:rsidR="009E65D0" w:rsidRDefault="00BA70AD">
    <w:pPr>
      <w:pStyle w:val="a3"/>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5B1FF5" w:rsidRDefault="000B1B0D">
    <w:pPr>
      <w:pStyle w:val="a3"/>
      <w:jc w:val="right"/>
      <w:rPr>
        <w:rFonts w:ascii="宋体" w:hAnsi="宋体"/>
      </w:rPr>
    </w:pPr>
    <w:r>
      <w:rPr>
        <w:rFonts w:ascii="宋体" w:hAnsi="宋体" w:hint="eastAsia"/>
      </w:rPr>
      <w:t>交银施罗德国企改革灵活配置混合型证券投资基金(更新)招募说明书(2023年第</w:t>
    </w:r>
    <w:r w:rsidR="00DE4ABF">
      <w:rPr>
        <w:rFonts w:ascii="宋体" w:hAnsi="宋体" w:hint="eastAsia"/>
      </w:rPr>
      <w:t>3</w:t>
    </w:r>
    <w:r>
      <w:rPr>
        <w:rFonts w:ascii="宋体" w:hAnsi="宋体" w:hint="eastAsia"/>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F5" w:rsidRDefault="005B1FF5">
    <w:pPr>
      <w:pStyle w:val="a3"/>
      <w:jc w:val="right"/>
    </w:pPr>
  </w:p>
  <w:p w:rsidR="005B1FF5" w:rsidRDefault="005B1FF5">
    <w:pPr>
      <w:pStyle w:val="a3"/>
      <w:jc w:val="right"/>
    </w:pPr>
  </w:p>
  <w:p w:rsidR="005B1FF5" w:rsidRDefault="005B1FF5">
    <w:pPr>
      <w:pStyle w:val="a3"/>
      <w:jc w:val="right"/>
    </w:pPr>
  </w:p>
  <w:p w:rsidR="009E65D0" w:rsidRDefault="00BA70AD">
    <w:pPr>
      <w:pStyle w:val="a3"/>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5B1FF5" w:rsidRDefault="000B1B0D">
    <w:pPr>
      <w:pStyle w:val="a3"/>
      <w:jc w:val="right"/>
      <w:rPr>
        <w:rFonts w:ascii="宋体" w:hAnsi="宋体"/>
      </w:rPr>
    </w:pPr>
    <w:r>
      <w:rPr>
        <w:rFonts w:ascii="宋体" w:hAnsi="宋体" w:hint="eastAsia"/>
      </w:rPr>
      <w:t>交银施罗德国企改革灵活配置混合型证券投资基金(更新)招募说明书(2023年第</w:t>
    </w:r>
    <w:r w:rsidR="00DE4ABF">
      <w:rPr>
        <w:rFonts w:ascii="宋体" w:hAnsi="宋体" w:hint="eastAsia"/>
      </w:rPr>
      <w:t>3</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1B0D"/>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B77A8"/>
    <w:rsid w:val="004C0BC8"/>
    <w:rsid w:val="004C461A"/>
    <w:rsid w:val="004C7D23"/>
    <w:rsid w:val="004D0783"/>
    <w:rsid w:val="004D11CB"/>
    <w:rsid w:val="004D49E3"/>
    <w:rsid w:val="004D7163"/>
    <w:rsid w:val="004E0366"/>
    <w:rsid w:val="004E1C30"/>
    <w:rsid w:val="004E3342"/>
    <w:rsid w:val="004E45AC"/>
    <w:rsid w:val="004E4672"/>
    <w:rsid w:val="004E5593"/>
    <w:rsid w:val="004E7511"/>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BB5"/>
    <w:rsid w:val="005A6E51"/>
    <w:rsid w:val="005A7C7F"/>
    <w:rsid w:val="005A7D88"/>
    <w:rsid w:val="005B130C"/>
    <w:rsid w:val="005B14FF"/>
    <w:rsid w:val="005B1FF5"/>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B7535"/>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A70AD"/>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2E44"/>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4ABF"/>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0CBF"/>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D82CFC-CCCA-4A5A-A02A-9DF52682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4">
    <w:name w:val="annotation subject"/>
    <w:basedOn w:val="a5"/>
    <w:next w:val="a5"/>
    <w:link w:val="Char0"/>
    <w:uiPriority w:val="99"/>
    <w:unhideWhenUsed/>
    <w:rPr>
      <w:b/>
      <w:bCs/>
    </w:rPr>
  </w:style>
  <w:style w:type="paragraph" w:styleId="a5">
    <w:name w:val="annotation text"/>
    <w:basedOn w:val="a"/>
    <w:link w:val="Char1"/>
    <w:unhideWhenUsed/>
    <w:pPr>
      <w:jc w:val="left"/>
    </w:pPr>
  </w:style>
  <w:style w:type="paragraph" w:styleId="a6">
    <w:name w:val="Document Map"/>
    <w:basedOn w:val="a"/>
    <w:link w:val="Char2"/>
    <w:uiPriority w:val="99"/>
    <w:unhideWhenUsed/>
    <w:rPr>
      <w:rFonts w:ascii="宋体"/>
      <w:sz w:val="18"/>
      <w:szCs w:val="18"/>
    </w:rPr>
  </w:style>
  <w:style w:type="paragraph" w:styleId="a7">
    <w:name w:val="Balloon Text"/>
    <w:basedOn w:val="a"/>
    <w:semiHidden/>
    <w:rPr>
      <w:sz w:val="18"/>
      <w:szCs w:val="18"/>
    </w:rPr>
  </w:style>
  <w:style w:type="paragraph" w:styleId="a8">
    <w:name w:val="footer"/>
    <w:basedOn w:val="a"/>
    <w:link w:val="Char3"/>
    <w:uiPriority w:val="99"/>
    <w:unhideWhenUsed/>
    <w:pPr>
      <w:tabs>
        <w:tab w:val="center" w:pos="4153"/>
        <w:tab w:val="right" w:pos="8306"/>
      </w:tabs>
      <w:snapToGrid w:val="0"/>
      <w:jc w:val="left"/>
    </w:pPr>
    <w:rPr>
      <w:kern w:val="0"/>
      <w:sz w:val="18"/>
      <w:szCs w:val="18"/>
    </w:rPr>
  </w:style>
  <w:style w:type="paragraph" w:styleId="10">
    <w:name w:val="toc 1"/>
    <w:basedOn w:val="a"/>
    <w:next w:val="a"/>
    <w:uiPriority w:val="39"/>
    <w:unhideWhenUsed/>
  </w:style>
  <w:style w:type="paragraph" w:styleId="a9">
    <w:name w:val="Subtitle"/>
    <w:basedOn w:val="a"/>
    <w:next w:val="a"/>
    <w:link w:val="Char4"/>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pPr>
      <w:ind w:leftChars="200" w:left="480"/>
    </w:pPr>
  </w:style>
  <w:style w:type="character" w:styleId="aa">
    <w:name w:val="Hyperlink"/>
    <w:uiPriority w:val="99"/>
    <w:unhideWhenUsed/>
    <w:rPr>
      <w:color w:val="0000FF"/>
      <w:u w:val="single"/>
    </w:rPr>
  </w:style>
  <w:style w:type="character" w:styleId="ab">
    <w:name w:val="annotation reference"/>
    <w:unhideWhenUsed/>
    <w:rPr>
      <w:sz w:val="21"/>
      <w:szCs w:val="21"/>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d">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9"/>
    <w:next w:val="4"/>
    <w:qFormat/>
    <w:pPr>
      <w:keepNext/>
      <w:keepLines/>
      <w:numPr>
        <w:ilvl w:val="5"/>
        <w:numId w:val="1"/>
      </w:numPr>
      <w:ind w:left="0" w:firstLine="0"/>
      <w:jc w:val="left"/>
    </w:pPr>
    <w:rPr>
      <w:bCs w:val="0"/>
      <w:sz w:val="24"/>
    </w:rPr>
  </w:style>
  <w:style w:type="paragraph" w:customStyle="1" w:styleId="ae">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9"/>
    <w:next w:val="4"/>
    <w:qFormat/>
    <w:pPr>
      <w:keepNext/>
      <w:keepLines/>
      <w:numPr>
        <w:ilvl w:val="1"/>
        <w:numId w:val="1"/>
      </w:numPr>
      <w:jc w:val="left"/>
    </w:pPr>
    <w:rPr>
      <w:bCs w:val="0"/>
      <w:sz w:val="24"/>
    </w:rPr>
  </w:style>
  <w:style w:type="paragraph" w:customStyle="1" w:styleId="XBRLTitle3">
    <w:name w:val="XBRLTitle3"/>
    <w:basedOn w:val="a9"/>
    <w:next w:val="4"/>
    <w:qFormat/>
    <w:pPr>
      <w:keepNext/>
      <w:keepLines/>
      <w:numPr>
        <w:ilvl w:val="2"/>
        <w:numId w:val="1"/>
      </w:numPr>
      <w:ind w:left="0" w:firstLine="0"/>
      <w:jc w:val="left"/>
    </w:pPr>
    <w:rPr>
      <w:bCs w:val="0"/>
      <w:sz w:val="24"/>
    </w:rPr>
  </w:style>
  <w:style w:type="paragraph" w:customStyle="1" w:styleId="XBRLTitle5">
    <w:name w:val="XBRLTitle5"/>
    <w:basedOn w:val="a9"/>
    <w:next w:val="4"/>
    <w:qFormat/>
    <w:pPr>
      <w:keepNext/>
      <w:keepLines/>
      <w:numPr>
        <w:ilvl w:val="4"/>
        <w:numId w:val="1"/>
      </w:numPr>
      <w:ind w:left="0" w:firstLine="0"/>
      <w:jc w:val="left"/>
    </w:pPr>
    <w:rPr>
      <w:bCs w:val="0"/>
      <w:sz w:val="24"/>
    </w:rPr>
  </w:style>
  <w:style w:type="paragraph" w:customStyle="1" w:styleId="XBRLTitle4">
    <w:name w:val="XBRLTitle4"/>
    <w:basedOn w:val="a9"/>
    <w:next w:val="4"/>
    <w:qFormat/>
    <w:pPr>
      <w:keepNext/>
      <w:keepLines/>
      <w:numPr>
        <w:ilvl w:val="3"/>
        <w:numId w:val="1"/>
      </w:numPr>
      <w:ind w:left="0" w:firstLine="0"/>
      <w:jc w:val="left"/>
    </w:pPr>
    <w:rPr>
      <w:bCs w:val="0"/>
      <w:sz w:val="24"/>
    </w:rPr>
  </w:style>
  <w:style w:type="character" w:customStyle="1" w:styleId="Char10">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Char1">
    <w:name w:val="批注文字 Char"/>
    <w:link w:val="a5"/>
    <w:rPr>
      <w:kern w:val="2"/>
      <w:sz w:val="21"/>
      <w:szCs w:val="22"/>
    </w:rPr>
  </w:style>
  <w:style w:type="character" w:customStyle="1" w:styleId="Char0">
    <w:name w:val="批注主题 Char"/>
    <w:link w:val="a4"/>
    <w:uiPriority w:val="99"/>
    <w:semiHidden/>
    <w:rPr>
      <w:b/>
      <w:bCs/>
      <w:kern w:val="2"/>
      <w:sz w:val="21"/>
      <w:szCs w:val="22"/>
    </w:rPr>
  </w:style>
  <w:style w:type="character" w:customStyle="1" w:styleId="Char">
    <w:name w:val="页眉 Char"/>
    <w:link w:val="a3"/>
    <w:uiPriority w:val="99"/>
    <w:rPr>
      <w:sz w:val="18"/>
      <w:szCs w:val="18"/>
    </w:rPr>
  </w:style>
  <w:style w:type="character" w:customStyle="1" w:styleId="Char4">
    <w:name w:val="副标题 Char"/>
    <w:link w:val="a9"/>
    <w:rPr>
      <w:rFonts w:ascii="Cambria" w:hAnsi="Cambria" w:cs="Times New Roman"/>
      <w:b/>
      <w:bCs/>
      <w:kern w:val="28"/>
      <w:sz w:val="32"/>
      <w:szCs w:val="32"/>
    </w:rPr>
  </w:style>
  <w:style w:type="character" w:customStyle="1" w:styleId="Char2">
    <w:name w:val="文档结构图 Char"/>
    <w:link w:val="a6"/>
    <w:uiPriority w:val="99"/>
    <w:semiHidden/>
    <w:rPr>
      <w:rFonts w:ascii="宋体"/>
      <w:kern w:val="2"/>
      <w:sz w:val="18"/>
      <w:szCs w:val="18"/>
    </w:rPr>
  </w:style>
  <w:style w:type="character" w:customStyle="1" w:styleId="Char3">
    <w:name w:val="页脚 Char"/>
    <w:link w:val="a8"/>
    <w:uiPriority w:val="99"/>
    <w:rPr>
      <w:sz w:val="18"/>
      <w:szCs w:val="1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1Char">
    <w:name w:val="标题 1 Char"/>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17012</Words>
  <Characters>96970</Characters>
  <Application>Microsoft Office Word</Application>
  <DocSecurity>0</DocSecurity>
  <Lines>808</Lines>
  <Paragraphs>227</Paragraphs>
  <ScaleCrop>false</ScaleCrop>
  <Company>Microsoft</Company>
  <LinksUpToDate>false</LinksUpToDate>
  <CharactersWithSpaces>113755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戴梦菲</cp:lastModifiedBy>
  <cp:revision>5</cp:revision>
  <cp:lastPrinted>2013-02-18T03:10:00Z</cp:lastPrinted>
  <dcterms:created xsi:type="dcterms:W3CDTF">2023-07-07T10:56:00Z</dcterms:created>
  <dcterms:modified xsi:type="dcterms:W3CDTF">2023-07-10T07:03:00Z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