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2459A9">
      <w:pPr>
        <w:rPr>
          <w:sz w:val="32"/>
        </w:rPr>
      </w:pPr>
      <w:bookmarkStart w:id="0" w:name="_GoBack"/>
      <w:bookmarkEnd w:id="0"/>
    </w:p>
    <w:p w:rsidR="00C92FC0" w:rsidRPr="00EB07BC" w:rsidRDefault="002459A9">
      <w:pPr>
        <w:rPr>
          <w:sz w:val="32"/>
        </w:rPr>
      </w:pPr>
    </w:p>
    <w:p w:rsidR="00C92FC0" w:rsidRPr="00EB07BC" w:rsidRDefault="002459A9">
      <w:pPr>
        <w:rPr>
          <w:sz w:val="32"/>
        </w:rPr>
      </w:pPr>
    </w:p>
    <w:p w:rsidR="00C92FC0" w:rsidRPr="00EB07BC" w:rsidRDefault="002B4EE9">
      <w:pPr>
        <w:jc w:val="center"/>
        <w:rPr>
          <w:sz w:val="32"/>
        </w:rPr>
      </w:pPr>
      <w:r>
        <w:rPr>
          <w:noProof/>
        </w:rPr>
        <w:drawing>
          <wp:inline distT="0" distB="0" distL="0" distR="0">
            <wp:extent cx="4343400" cy="571500"/>
            <wp:effectExtent l="0" t="0" r="0" b="0"/>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B33D26" w:rsidRDefault="00B33D2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B33D26" w:rsidRDefault="00B33D2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B33D26" w:rsidRDefault="00103397">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交银施罗德国证新能源指数证券投资基金（</w:t>
      </w:r>
      <w:r>
        <w:rPr>
          <w:rFonts w:ascii="Times New Roman" w:hAnsi="Times New Roman"/>
          <w:b/>
          <w:spacing w:val="2"/>
          <w:w w:val="99"/>
          <w:kern w:val="0"/>
          <w:position w:val="-4"/>
          <w:sz w:val="44"/>
          <w:szCs w:val="44"/>
        </w:rPr>
        <w:t>LOF</w:t>
      </w:r>
      <w:r>
        <w:rPr>
          <w:rFonts w:ascii="Times New Roman" w:hAnsi="Times New Roman"/>
          <w:b/>
          <w:spacing w:val="2"/>
          <w:w w:val="99"/>
          <w:kern w:val="0"/>
          <w:position w:val="-4"/>
          <w:sz w:val="44"/>
          <w:szCs w:val="44"/>
        </w:rPr>
        <w:t>）</w:t>
      </w:r>
    </w:p>
    <w:p w:rsidR="00B33D26" w:rsidRDefault="0010339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B33D26" w:rsidRDefault="00103397">
      <w:pPr>
        <w:snapToGrid w:val="0"/>
        <w:spacing w:line="360" w:lineRule="auto"/>
        <w:jc w:val="center"/>
        <w:rPr>
          <w:rFonts w:ascii="宋体" w:hAnsi="宋体"/>
          <w:b/>
          <w:sz w:val="30"/>
          <w:szCs w:val="30"/>
        </w:rPr>
      </w:pPr>
      <w:r>
        <w:rPr>
          <w:rFonts w:ascii="Times New Roman" w:hAnsi="Times New Roman"/>
          <w:b/>
          <w:color w:val="000000"/>
          <w:sz w:val="32"/>
          <w:szCs w:val="32"/>
        </w:rPr>
        <w:t>(</w:t>
      </w:r>
      <w:r w:rsidR="008B046E">
        <w:rPr>
          <w:rFonts w:ascii="Times New Roman" w:hAnsi="Times New Roman"/>
          <w:b/>
          <w:color w:val="000000"/>
          <w:sz w:val="32"/>
          <w:szCs w:val="32"/>
        </w:rPr>
        <w:t>2023</w:t>
      </w:r>
      <w:r>
        <w:rPr>
          <w:rFonts w:ascii="Times New Roman" w:hAnsi="Times New Roman"/>
          <w:b/>
          <w:color w:val="000000"/>
          <w:sz w:val="32"/>
          <w:szCs w:val="32"/>
        </w:rPr>
        <w:t>年第</w:t>
      </w:r>
      <w:r>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rsidR="00B33D26" w:rsidRDefault="00B33D2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33D26" w:rsidRDefault="00B33D2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33D26" w:rsidRDefault="00B33D2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33D26" w:rsidRDefault="00B33D2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33D26" w:rsidRDefault="00B33D2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33D26" w:rsidRDefault="00B33D2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33D26" w:rsidRDefault="0010339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B33D26" w:rsidRDefault="0010339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基金托管人：中国建设银行股份有限公司</w:t>
      </w:r>
    </w:p>
    <w:p w:rsidR="00B33D26" w:rsidRDefault="00B33D2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33D26" w:rsidRDefault="00B33D2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33D26" w:rsidRDefault="00103397">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8B046E">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8B046E">
        <w:rPr>
          <w:rFonts w:ascii="Times New Roman" w:hAnsi="Times New Roman"/>
          <w:b/>
          <w:spacing w:val="2"/>
          <w:w w:val="99"/>
          <w:kern w:val="0"/>
          <w:sz w:val="28"/>
          <w:szCs w:val="32"/>
        </w:rPr>
        <w:t>七</w:t>
      </w:r>
      <w:r>
        <w:rPr>
          <w:rFonts w:ascii="Times New Roman" w:hAnsi="Times New Roman"/>
          <w:b/>
          <w:spacing w:val="2"/>
          <w:w w:val="99"/>
          <w:kern w:val="0"/>
          <w:sz w:val="28"/>
          <w:szCs w:val="32"/>
        </w:rPr>
        <w:t>月</w:t>
      </w:r>
    </w:p>
    <w:p w:rsidR="00B33D26" w:rsidRDefault="00B33D26">
      <w:pPr>
        <w:autoSpaceDE w:val="0"/>
        <w:autoSpaceDN w:val="0"/>
        <w:adjustRightInd w:val="0"/>
        <w:snapToGrid w:val="0"/>
        <w:spacing w:line="360" w:lineRule="auto"/>
        <w:ind w:left="1347" w:rightChars="6" w:right="13"/>
        <w:rPr>
          <w:rFonts w:ascii="宋体" w:hAnsi="宋体"/>
          <w:kern w:val="0"/>
          <w:sz w:val="32"/>
          <w:szCs w:val="32"/>
        </w:rPr>
        <w:sectPr w:rsidR="00B33D26">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B33D26" w:rsidRDefault="00103397">
      <w:pPr>
        <w:pStyle w:val="1"/>
        <w:snapToGrid w:val="0"/>
        <w:spacing w:beforeLines="0" w:before="240" w:after="240"/>
        <w:rPr>
          <w:rFonts w:ascii="宋体" w:hAnsi="宋体"/>
          <w:kern w:val="0"/>
        </w:rPr>
      </w:pPr>
      <w:bookmarkStart w:id="1" w:name="_Toc324920538"/>
      <w:bookmarkStart w:id="2" w:name="_Toc496884613"/>
      <w:bookmarkStart w:id="3" w:name="_Toc116465333"/>
      <w:r>
        <w:rPr>
          <w:rFonts w:ascii="Times New Roman" w:hAnsi="Times New Roman"/>
          <w:kern w:val="0"/>
        </w:rPr>
        <w:lastRenderedPageBreak/>
        <w:t>重要提示</w:t>
      </w:r>
      <w:bookmarkEnd w:id="1"/>
      <w:bookmarkEnd w:id="2"/>
      <w:bookmarkEnd w:id="3"/>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交银施罗德国证新能源指数证券投资基金（</w:t>
      </w:r>
      <w:r>
        <w:rPr>
          <w:rFonts w:ascii="Times New Roman" w:hAnsi="Times New Roman"/>
          <w:kern w:val="0"/>
          <w:sz w:val="24"/>
        </w:rPr>
        <w:t>LOF</w:t>
      </w:r>
      <w:r>
        <w:rPr>
          <w:rFonts w:ascii="Times New Roman" w:hAnsi="Times New Roman"/>
          <w:kern w:val="0"/>
          <w:sz w:val="24"/>
        </w:rPr>
        <w:t>）（以下简称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）由交银施罗德国证新能源指数分级证券投资基金变更而来。</w:t>
      </w:r>
      <w:r>
        <w:rPr>
          <w:rFonts w:ascii="Times New Roman" w:hAnsi="Times New Roman"/>
          <w:kern w:val="0"/>
          <w:sz w:val="24"/>
        </w:rPr>
        <w:t>2020</w:t>
      </w:r>
      <w:r>
        <w:rPr>
          <w:rFonts w:ascii="Times New Roman" w:hAnsi="Times New Roman"/>
          <w:kern w:val="0"/>
          <w:sz w:val="24"/>
        </w:rPr>
        <w:t>年</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16</w:t>
      </w:r>
      <w:r>
        <w:rPr>
          <w:rFonts w:ascii="Times New Roman" w:hAnsi="Times New Roman"/>
          <w:kern w:val="0"/>
          <w:sz w:val="24"/>
        </w:rPr>
        <w:t>日至</w:t>
      </w:r>
      <w:r>
        <w:rPr>
          <w:rFonts w:ascii="Times New Roman" w:hAnsi="Times New Roman"/>
          <w:kern w:val="0"/>
          <w:sz w:val="24"/>
        </w:rPr>
        <w:t>2020</w:t>
      </w:r>
      <w:r>
        <w:rPr>
          <w:rFonts w:ascii="Times New Roman" w:hAnsi="Times New Roman"/>
          <w:kern w:val="0"/>
          <w:sz w:val="24"/>
        </w:rPr>
        <w:t>年</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27</w:t>
      </w:r>
      <w:r>
        <w:rPr>
          <w:rFonts w:ascii="Times New Roman" w:hAnsi="Times New Roman"/>
          <w:kern w:val="0"/>
          <w:sz w:val="24"/>
        </w:rPr>
        <w:t>日交银施罗德国证新能源指数分级证券投资基金以通讯方式召开基金份额持有人大会，会议审议通过了《关于交银施罗德国证新能源指数分级证券投资基金转型及修改基金合同有关事项的议案》，同意交银施罗德国证新能源指数分级证券投资基金变更基金名称、运作方式、基金份额类别设置、投资范围、投资策略、投资限制、风险收益特征、基金资产估值、基金的收益和分配以及其他部分条款，补充基金合同自动终止条款，授权基金管理人办理本次基金转型及修改基金合同有关具体事宜。上述基金份额持有人大会决议自表决通过之日起生效。自</w:t>
      </w:r>
      <w:r>
        <w:rPr>
          <w:rFonts w:ascii="Times New Roman" w:hAnsi="Times New Roman"/>
          <w:kern w:val="0"/>
          <w:sz w:val="24"/>
        </w:rPr>
        <w:t>2020</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30</w:t>
      </w:r>
      <w:r>
        <w:rPr>
          <w:rFonts w:ascii="Times New Roman" w:hAnsi="Times New Roman"/>
          <w:kern w:val="0"/>
          <w:sz w:val="24"/>
        </w:rPr>
        <w:t>日起，《交银施罗德国证新能源指数证券投资基金（</w:t>
      </w:r>
      <w:r>
        <w:rPr>
          <w:rFonts w:ascii="Times New Roman" w:hAnsi="Times New Roman"/>
          <w:kern w:val="0"/>
          <w:sz w:val="24"/>
        </w:rPr>
        <w:t>LOF</w:t>
      </w:r>
      <w:r>
        <w:rPr>
          <w:rFonts w:ascii="Times New Roman" w:hAnsi="Times New Roman"/>
          <w:kern w:val="0"/>
          <w:sz w:val="24"/>
        </w:rPr>
        <w:t>）基金合同》生效。</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交银施罗德国证新能源指数分级证券投资基金的注册以及变更注册，并不表明其对本基金的投资价值和市场前景作出实质性判断或保证，也不表明投资于本基金没有风险。</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运作过程中产生的基金管理风险；流动性风险；信用风险；本基金投资策略所特有的指数化投资风险；投资股指期货的特定风险；投资资产支持证券的特定风险；投资流通受限证券的特定风险；投资科创板股票的特定风险；连续</w:t>
      </w:r>
      <w:r>
        <w:rPr>
          <w:rFonts w:ascii="Times New Roman" w:hAnsi="Times New Roman"/>
          <w:kern w:val="0"/>
          <w:sz w:val="24"/>
        </w:rPr>
        <w:t>50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w:t>
      </w:r>
      <w:r>
        <w:rPr>
          <w:rFonts w:ascii="Times New Roman" w:hAnsi="Times New Roman"/>
          <w:kern w:val="0"/>
          <w:sz w:val="24"/>
        </w:rPr>
        <w:lastRenderedPageBreak/>
        <w:t>基金管理人可依基金合同约定提前终止基金合同的风险；基金上市交易的风险；基金份额二级市场交易价格折溢价的风险；退市风险；投资本基金的其他风险等等。其中指数化投资风险主要包括：标的指数回报与股票市场平均回报偏离的风险、标的指数波动的风险、基金投资组合回报与标的指数回报偏离的风险、标的指数变更的风险、跟踪误差控制未达约定目标的风险、指数编制机构停止服务的风险、成份股停牌的风险等。</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股票型基金，其预期风险和预期收益高于混合型基金、债券型基金和货币市场基金。本基金为指数型基金，主要采用组合复制策略跟踪国证新能源指数，具有与标的指数以及标的指数所代表的股票市场相似的风险收益特征。</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本基金为指数基金，投资者投资于本基金面临跟踪误差控制未达约定目标、指数编制机构停止服务、成份券停牌等潜在风险。</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本基金标的指数为国证新能源指数。</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、选样空间</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在深圳证券交易所、上海证券交易所上市交易且满足下列条件的所有</w:t>
      </w:r>
      <w:r>
        <w:rPr>
          <w:rFonts w:ascii="Times New Roman" w:hAnsi="Times New Roman"/>
          <w:kern w:val="0"/>
          <w:sz w:val="24"/>
        </w:rPr>
        <w:t>A</w:t>
      </w:r>
      <w:r>
        <w:rPr>
          <w:rFonts w:ascii="Times New Roman" w:hAnsi="Times New Roman"/>
          <w:kern w:val="0"/>
          <w:sz w:val="24"/>
        </w:rPr>
        <w:t>股：</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）非</w:t>
      </w:r>
      <w:r>
        <w:rPr>
          <w:rFonts w:ascii="Times New Roman" w:hAnsi="Times New Roman"/>
          <w:kern w:val="0"/>
          <w:sz w:val="24"/>
        </w:rPr>
        <w:t>ST</w:t>
      </w:r>
      <w:r>
        <w:rPr>
          <w:rFonts w:ascii="Times New Roman" w:hAnsi="Times New Roman"/>
          <w:kern w:val="0"/>
          <w:sz w:val="24"/>
        </w:rPr>
        <w:t>、</w:t>
      </w:r>
      <w:r>
        <w:rPr>
          <w:rFonts w:ascii="Times New Roman" w:hAnsi="Times New Roman"/>
          <w:kern w:val="0"/>
          <w:sz w:val="24"/>
        </w:rPr>
        <w:t>*ST</w:t>
      </w:r>
      <w:r>
        <w:rPr>
          <w:rFonts w:ascii="Times New Roman" w:hAnsi="Times New Roman"/>
          <w:kern w:val="0"/>
          <w:sz w:val="24"/>
        </w:rPr>
        <w:t>股票；</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w:t>
      </w:r>
      <w:r>
        <w:rPr>
          <w:rFonts w:ascii="Times New Roman" w:hAnsi="Times New Roman"/>
          <w:kern w:val="0"/>
          <w:sz w:val="24"/>
        </w:rPr>
        <w:t>）上市时间超过</w:t>
      </w:r>
      <w:r>
        <w:rPr>
          <w:rFonts w:ascii="Times New Roman" w:hAnsi="Times New Roman"/>
          <w:kern w:val="0"/>
          <w:sz w:val="24"/>
        </w:rPr>
        <w:t>6</w:t>
      </w:r>
      <w:r>
        <w:rPr>
          <w:rFonts w:ascii="Times New Roman" w:hAnsi="Times New Roman"/>
          <w:kern w:val="0"/>
          <w:sz w:val="24"/>
        </w:rPr>
        <w:t>个月；</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3</w:t>
      </w:r>
      <w:r>
        <w:rPr>
          <w:rFonts w:ascii="Times New Roman" w:hAnsi="Times New Roman"/>
          <w:kern w:val="0"/>
          <w:sz w:val="24"/>
        </w:rPr>
        <w:t>）公司最近一年无重大违规、财务报告无重大问题；</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4</w:t>
      </w:r>
      <w:r>
        <w:rPr>
          <w:rFonts w:ascii="Times New Roman" w:hAnsi="Times New Roman"/>
          <w:kern w:val="0"/>
          <w:sz w:val="24"/>
        </w:rPr>
        <w:t>）公司最近一年经营无异常、无重大亏损；</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5</w:t>
      </w:r>
      <w:r>
        <w:rPr>
          <w:rFonts w:ascii="Times New Roman" w:hAnsi="Times New Roman"/>
          <w:kern w:val="0"/>
          <w:sz w:val="24"/>
        </w:rPr>
        <w:t>）考察期内股价无异常波动；</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6</w:t>
      </w:r>
      <w:r>
        <w:rPr>
          <w:rFonts w:ascii="Times New Roman" w:hAnsi="Times New Roman"/>
          <w:kern w:val="0"/>
          <w:sz w:val="24"/>
        </w:rPr>
        <w:t>）公司所处行业属于新能源或新能源汽车行业。其中，新能源包括核能、太阳能、风能、生物质能等；新能源汽车包括动力电池、电机和电控、充电桩和整车等。</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w:t>
      </w:r>
      <w:r>
        <w:rPr>
          <w:rFonts w:ascii="Times New Roman" w:hAnsi="Times New Roman"/>
          <w:kern w:val="0"/>
          <w:sz w:val="24"/>
        </w:rPr>
        <w:t>、选样方法</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首先，计算入围选样空间股票在最近半年的</w:t>
      </w:r>
      <w:r>
        <w:rPr>
          <w:rFonts w:ascii="Times New Roman" w:hAnsi="Times New Roman"/>
          <w:kern w:val="0"/>
          <w:sz w:val="24"/>
        </w:rPr>
        <w:t>A</w:t>
      </w:r>
      <w:r>
        <w:rPr>
          <w:rFonts w:ascii="Times New Roman" w:hAnsi="Times New Roman"/>
          <w:kern w:val="0"/>
          <w:sz w:val="24"/>
        </w:rPr>
        <w:t>股日均总市值和</w:t>
      </w:r>
      <w:r>
        <w:rPr>
          <w:rFonts w:ascii="Times New Roman" w:hAnsi="Times New Roman"/>
          <w:kern w:val="0"/>
          <w:sz w:val="24"/>
        </w:rPr>
        <w:t>A</w:t>
      </w:r>
      <w:r>
        <w:rPr>
          <w:rFonts w:ascii="Times New Roman" w:hAnsi="Times New Roman"/>
          <w:kern w:val="0"/>
          <w:sz w:val="24"/>
        </w:rPr>
        <w:t>股日均成交金额；</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然后，对入围股票最近半年的</w:t>
      </w:r>
      <w:r>
        <w:rPr>
          <w:rFonts w:ascii="Times New Roman" w:hAnsi="Times New Roman"/>
          <w:kern w:val="0"/>
          <w:sz w:val="24"/>
        </w:rPr>
        <w:t>A</w:t>
      </w:r>
      <w:r>
        <w:rPr>
          <w:rFonts w:ascii="Times New Roman" w:hAnsi="Times New Roman"/>
          <w:kern w:val="0"/>
          <w:sz w:val="24"/>
        </w:rPr>
        <w:t>股日均成交金额从高到低排序，剔除排名后</w:t>
      </w:r>
      <w:r>
        <w:rPr>
          <w:rFonts w:ascii="Times New Roman" w:hAnsi="Times New Roman"/>
          <w:kern w:val="0"/>
          <w:sz w:val="24"/>
        </w:rPr>
        <w:t>10%</w:t>
      </w:r>
      <w:r>
        <w:rPr>
          <w:rFonts w:ascii="Times New Roman" w:hAnsi="Times New Roman"/>
          <w:kern w:val="0"/>
          <w:sz w:val="24"/>
        </w:rPr>
        <w:t>的股票；</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最后，对选样空间剩余股票按照最近半年的</w:t>
      </w:r>
      <w:r>
        <w:rPr>
          <w:rFonts w:ascii="Times New Roman" w:hAnsi="Times New Roman"/>
          <w:kern w:val="0"/>
          <w:sz w:val="24"/>
        </w:rPr>
        <w:t>A</w:t>
      </w:r>
      <w:r>
        <w:rPr>
          <w:rFonts w:ascii="Times New Roman" w:hAnsi="Times New Roman"/>
          <w:kern w:val="0"/>
          <w:sz w:val="24"/>
        </w:rPr>
        <w:t>股日均总市值从高到低排序，选取前</w:t>
      </w:r>
      <w:r>
        <w:rPr>
          <w:rFonts w:ascii="Times New Roman" w:hAnsi="Times New Roman"/>
          <w:kern w:val="0"/>
          <w:sz w:val="24"/>
        </w:rPr>
        <w:t>50</w:t>
      </w:r>
      <w:r>
        <w:rPr>
          <w:rFonts w:ascii="Times New Roman" w:hAnsi="Times New Roman"/>
          <w:kern w:val="0"/>
          <w:sz w:val="24"/>
        </w:rPr>
        <w:t>名股票构成国证新能源指数样本股。</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3</w:t>
      </w:r>
      <w:r>
        <w:rPr>
          <w:rFonts w:ascii="Times New Roman" w:hAnsi="Times New Roman"/>
          <w:kern w:val="0"/>
          <w:sz w:val="24"/>
        </w:rPr>
        <w:t>、指数计算</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指数采用派氏加权法，依据下列公式逐日连锁实时计算：</w:t>
      </w:r>
    </w:p>
    <w:p w:rsidR="00B33D26" w:rsidRDefault="002B4EE9">
      <w:pPr>
        <w:autoSpaceDE w:val="0"/>
        <w:autoSpaceDN w:val="0"/>
        <w:adjustRightInd w:val="0"/>
        <w:snapToGrid w:val="0"/>
        <w:spacing w:line="360" w:lineRule="auto"/>
        <w:ind w:leftChars="50" w:left="105" w:firstLineChars="200" w:firstLine="480"/>
        <w:rPr>
          <w:rFonts w:ascii="宋体" w:hAnsi="宋体"/>
          <w:kern w:val="0"/>
          <w:sz w:val="24"/>
        </w:rPr>
      </w:pPr>
      <w:r>
        <w:rPr>
          <w:rFonts w:ascii="宋体" w:hAnsi="宋体"/>
          <w:noProof/>
          <w:kern w:val="0"/>
          <w:sz w:val="24"/>
        </w:rPr>
        <w:drawing>
          <wp:inline distT="0" distB="0" distL="0" distR="0">
            <wp:extent cx="5585460" cy="1074420"/>
            <wp:effectExtent l="0" t="0" r="0" b="0"/>
            <wp:docPr id="5"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5460" cy="1074420"/>
                    </a:xfrm>
                    <a:prstGeom prst="rect">
                      <a:avLst/>
                    </a:prstGeom>
                    <a:noFill/>
                    <a:ln>
                      <a:noFill/>
                    </a:ln>
                  </pic:spPr>
                </pic:pic>
              </a:graphicData>
            </a:graphic>
          </wp:inline>
        </w:drawing>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有关标的指数具体编制方案及成份股信息详见深圳证券信息有限公司国证指数网网站，网址：</w:t>
      </w:r>
      <w:r>
        <w:rPr>
          <w:rFonts w:ascii="Times New Roman" w:hAnsi="Times New Roman"/>
          <w:kern w:val="0"/>
          <w:sz w:val="24"/>
        </w:rPr>
        <w:t>www.cnindex.com.cn</w:t>
      </w:r>
      <w:r>
        <w:rPr>
          <w:rFonts w:ascii="Times New Roman" w:hAnsi="Times New Roman"/>
          <w:kern w:val="0"/>
          <w:sz w:val="24"/>
        </w:rPr>
        <w:t>。</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B33D26" w:rsidRDefault="0010339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rsidR="00B33D26" w:rsidRDefault="008B046E">
      <w:pPr>
        <w:autoSpaceDE w:val="0"/>
        <w:autoSpaceDN w:val="0"/>
        <w:adjustRightInd w:val="0"/>
        <w:snapToGrid w:val="0"/>
        <w:spacing w:line="360" w:lineRule="auto"/>
        <w:ind w:leftChars="50" w:left="105" w:firstLineChars="200" w:firstLine="480"/>
        <w:rPr>
          <w:rFonts w:ascii="宋体" w:hAnsi="宋体"/>
          <w:kern w:val="0"/>
          <w:sz w:val="24"/>
        </w:rPr>
      </w:pPr>
      <w:r w:rsidRPr="008B046E">
        <w:rPr>
          <w:rFonts w:ascii="Times New Roman" w:hAnsi="Times New Roman" w:hint="eastAsia"/>
          <w:kern w:val="0"/>
          <w:sz w:val="24"/>
        </w:rPr>
        <w:t>本次更新招募说明书主要对调整管理费率和</w:t>
      </w:r>
      <w:r w:rsidRPr="008B046E">
        <w:rPr>
          <w:rFonts w:ascii="Times New Roman" w:hAnsi="Times New Roman" w:hint="eastAsia"/>
          <w:kern w:val="0"/>
          <w:sz w:val="24"/>
        </w:rPr>
        <w:t>/</w:t>
      </w:r>
      <w:r w:rsidRPr="008B046E">
        <w:rPr>
          <w:rFonts w:ascii="Times New Roman" w:hAnsi="Times New Roman" w:hint="eastAsia"/>
          <w:kern w:val="0"/>
          <w:sz w:val="24"/>
        </w:rPr>
        <w:t>或托管费率相关事项进行了相应更新，更新截止日为</w:t>
      </w:r>
      <w:r w:rsidRPr="008B046E">
        <w:rPr>
          <w:rFonts w:ascii="Times New Roman" w:hAnsi="Times New Roman" w:hint="eastAsia"/>
          <w:kern w:val="0"/>
          <w:sz w:val="24"/>
        </w:rPr>
        <w:t>2023</w:t>
      </w:r>
      <w:r w:rsidRPr="008B046E">
        <w:rPr>
          <w:rFonts w:ascii="Times New Roman" w:hAnsi="Times New Roman" w:hint="eastAsia"/>
          <w:kern w:val="0"/>
          <w:sz w:val="24"/>
        </w:rPr>
        <w:t>年</w:t>
      </w:r>
      <w:r w:rsidRPr="008B046E">
        <w:rPr>
          <w:rFonts w:ascii="Times New Roman" w:hAnsi="Times New Roman" w:hint="eastAsia"/>
          <w:kern w:val="0"/>
          <w:sz w:val="24"/>
        </w:rPr>
        <w:t>07</w:t>
      </w:r>
      <w:r w:rsidRPr="008B046E">
        <w:rPr>
          <w:rFonts w:ascii="Times New Roman" w:hAnsi="Times New Roman" w:hint="eastAsia"/>
          <w:kern w:val="0"/>
          <w:sz w:val="24"/>
        </w:rPr>
        <w:t>月</w:t>
      </w:r>
      <w:r w:rsidRPr="008B046E">
        <w:rPr>
          <w:rFonts w:ascii="Times New Roman" w:hAnsi="Times New Roman" w:hint="eastAsia"/>
          <w:kern w:val="0"/>
          <w:sz w:val="24"/>
        </w:rPr>
        <w:t>10</w:t>
      </w:r>
      <w:r w:rsidRPr="008B046E">
        <w:rPr>
          <w:rFonts w:ascii="Times New Roman" w:hAnsi="Times New Roman" w:hint="eastAsia"/>
          <w:kern w:val="0"/>
          <w:sz w:val="24"/>
        </w:rPr>
        <w:t>日，除非另有说明，</w:t>
      </w:r>
      <w:r w:rsidR="00103397">
        <w:rPr>
          <w:rFonts w:ascii="Times New Roman" w:hAnsi="Times New Roman"/>
          <w:kern w:val="0"/>
          <w:sz w:val="24"/>
        </w:rPr>
        <w:t>本招募说明书</w:t>
      </w:r>
      <w:r>
        <w:rPr>
          <w:rFonts w:ascii="Times New Roman" w:hAnsi="Times New Roman"/>
          <w:kern w:val="0"/>
          <w:sz w:val="24"/>
        </w:rPr>
        <w:t>其他</w:t>
      </w:r>
      <w:r w:rsidR="00103397">
        <w:rPr>
          <w:rFonts w:ascii="Times New Roman" w:hAnsi="Times New Roman"/>
          <w:kern w:val="0"/>
          <w:sz w:val="24"/>
        </w:rPr>
        <w:t>所载内容截止日为</w:t>
      </w:r>
      <w:r w:rsidR="00103397">
        <w:rPr>
          <w:rFonts w:ascii="Times New Roman" w:hAnsi="Times New Roman"/>
          <w:kern w:val="0"/>
          <w:sz w:val="24"/>
        </w:rPr>
        <w:t>2022</w:t>
      </w:r>
      <w:r w:rsidR="00103397">
        <w:rPr>
          <w:rFonts w:ascii="Times New Roman" w:hAnsi="Times New Roman"/>
          <w:kern w:val="0"/>
          <w:sz w:val="24"/>
        </w:rPr>
        <w:t>年</w:t>
      </w:r>
      <w:r w:rsidR="00103397">
        <w:rPr>
          <w:rFonts w:ascii="Times New Roman" w:hAnsi="Times New Roman"/>
          <w:kern w:val="0"/>
          <w:sz w:val="24"/>
        </w:rPr>
        <w:t>09</w:t>
      </w:r>
      <w:r w:rsidR="00103397">
        <w:rPr>
          <w:rFonts w:ascii="Times New Roman" w:hAnsi="Times New Roman"/>
          <w:kern w:val="0"/>
          <w:sz w:val="24"/>
        </w:rPr>
        <w:t>月</w:t>
      </w:r>
      <w:r w:rsidR="00103397">
        <w:rPr>
          <w:rFonts w:ascii="Times New Roman" w:hAnsi="Times New Roman"/>
          <w:kern w:val="0"/>
          <w:sz w:val="24"/>
        </w:rPr>
        <w:t>10</w:t>
      </w:r>
      <w:r w:rsidR="00103397">
        <w:rPr>
          <w:rFonts w:ascii="Times New Roman" w:hAnsi="Times New Roman"/>
          <w:kern w:val="0"/>
          <w:sz w:val="24"/>
        </w:rPr>
        <w:t>日，有关财务数据和净值表现截止日为</w:t>
      </w:r>
      <w:r w:rsidR="00103397">
        <w:rPr>
          <w:rFonts w:ascii="Times New Roman" w:hAnsi="Times New Roman"/>
          <w:kern w:val="0"/>
          <w:sz w:val="24"/>
        </w:rPr>
        <w:t>2022</w:t>
      </w:r>
      <w:r w:rsidR="00103397">
        <w:rPr>
          <w:rFonts w:ascii="Times New Roman" w:hAnsi="Times New Roman"/>
          <w:kern w:val="0"/>
          <w:sz w:val="24"/>
        </w:rPr>
        <w:t>年</w:t>
      </w:r>
      <w:r w:rsidR="00103397">
        <w:rPr>
          <w:rFonts w:ascii="Times New Roman" w:hAnsi="Times New Roman"/>
          <w:kern w:val="0"/>
          <w:sz w:val="24"/>
        </w:rPr>
        <w:t>06</w:t>
      </w:r>
      <w:r w:rsidR="00103397">
        <w:rPr>
          <w:rFonts w:ascii="Times New Roman" w:hAnsi="Times New Roman"/>
          <w:kern w:val="0"/>
          <w:sz w:val="24"/>
        </w:rPr>
        <w:t>月</w:t>
      </w:r>
      <w:r w:rsidR="00103397">
        <w:rPr>
          <w:rFonts w:ascii="Times New Roman" w:hAnsi="Times New Roman"/>
          <w:kern w:val="0"/>
          <w:sz w:val="24"/>
        </w:rPr>
        <w:t>30</w:t>
      </w:r>
      <w:r w:rsidR="00103397">
        <w:rPr>
          <w:rFonts w:ascii="Times New Roman" w:hAnsi="Times New Roman"/>
          <w:kern w:val="0"/>
          <w:sz w:val="24"/>
        </w:rPr>
        <w:lastRenderedPageBreak/>
        <w:t>日。本招募说明书所载的财务数据未经审计。</w:t>
      </w:r>
    </w:p>
    <w:p w:rsidR="00B33D26" w:rsidRDefault="00B33D26">
      <w:pPr>
        <w:autoSpaceDE w:val="0"/>
        <w:autoSpaceDN w:val="0"/>
        <w:adjustRightInd w:val="0"/>
        <w:snapToGrid w:val="0"/>
        <w:spacing w:before="51" w:line="360" w:lineRule="auto"/>
        <w:ind w:left="120" w:rightChars="6" w:right="13" w:firstLine="480"/>
        <w:rPr>
          <w:rFonts w:ascii="宋体" w:hAnsi="宋体"/>
          <w:kern w:val="0"/>
          <w:szCs w:val="24"/>
        </w:rPr>
        <w:sectPr w:rsidR="00B33D26">
          <w:headerReference w:type="default" r:id="rId13"/>
          <w:pgSz w:w="11920" w:h="16840"/>
          <w:pgMar w:top="1440" w:right="1680" w:bottom="280" w:left="1680" w:header="0" w:footer="1073" w:gutter="0"/>
          <w:pgNumType w:start="1"/>
          <w:cols w:space="720"/>
        </w:sectPr>
      </w:pPr>
    </w:p>
    <w:p w:rsidR="00025CFB" w:rsidRPr="00025CFB" w:rsidRDefault="00103397" w:rsidP="00025CFB">
      <w:pPr>
        <w:pStyle w:val="af3"/>
        <w:snapToGrid w:val="0"/>
        <w:spacing w:after="240" w:line="360" w:lineRule="auto"/>
        <w:jc w:val="center"/>
        <w:rPr>
          <w:rFonts w:ascii="宋体" w:hAnsi="宋体"/>
          <w:noProof/>
          <w:sz w:val="24"/>
        </w:rPr>
      </w:pPr>
      <w:r w:rsidRPr="00025CFB">
        <w:rPr>
          <w:rFonts w:ascii="宋体" w:hAnsi="宋体"/>
          <w:color w:val="000000"/>
          <w:position w:val="-4"/>
          <w:sz w:val="24"/>
          <w:szCs w:val="30"/>
        </w:rPr>
        <w:lastRenderedPageBreak/>
        <w:t>目</w:t>
      </w:r>
      <w:r w:rsidRPr="00025CFB">
        <w:rPr>
          <w:rFonts w:ascii="宋体" w:hAnsi="宋体"/>
          <w:color w:val="000000"/>
          <w:position w:val="-4"/>
          <w:sz w:val="24"/>
          <w:szCs w:val="30"/>
        </w:rPr>
        <w:tab/>
        <w:t>录</w:t>
      </w:r>
      <w:r w:rsidR="00025CFB" w:rsidRPr="00025CFB">
        <w:rPr>
          <w:rFonts w:ascii="宋体" w:hAnsi="宋体"/>
          <w:color w:val="000000"/>
          <w:position w:val="-4"/>
          <w:sz w:val="24"/>
          <w:szCs w:val="30"/>
        </w:rPr>
        <w:fldChar w:fldCharType="begin"/>
      </w:r>
      <w:r w:rsidR="00025CFB" w:rsidRPr="00025CFB">
        <w:rPr>
          <w:rFonts w:ascii="宋体" w:hAnsi="宋体"/>
          <w:color w:val="000000"/>
          <w:position w:val="-4"/>
          <w:sz w:val="24"/>
          <w:szCs w:val="30"/>
        </w:rPr>
        <w:instrText xml:space="preserve"> TOC \o "1-3" \f - \h \t "-1" </w:instrText>
      </w:r>
      <w:r w:rsidR="00025CFB" w:rsidRPr="00025CFB">
        <w:rPr>
          <w:rFonts w:ascii="宋体" w:hAnsi="宋体"/>
          <w:color w:val="000000"/>
          <w:position w:val="-4"/>
          <w:sz w:val="24"/>
          <w:szCs w:val="30"/>
        </w:rPr>
        <w:fldChar w:fldCharType="separate"/>
      </w:r>
    </w:p>
    <w:p w:rsidR="00025CFB" w:rsidRPr="007E747E" w:rsidRDefault="002459A9" w:rsidP="00025CFB">
      <w:pPr>
        <w:pStyle w:val="11"/>
        <w:tabs>
          <w:tab w:val="right" w:leader="dot" w:pos="8550"/>
        </w:tabs>
        <w:spacing w:line="360" w:lineRule="auto"/>
        <w:rPr>
          <w:rFonts w:ascii="宋体" w:hAnsi="宋体"/>
          <w:noProof/>
          <w:sz w:val="24"/>
        </w:rPr>
      </w:pPr>
      <w:hyperlink w:anchor="_Toc116465333" w:history="1">
        <w:r w:rsidR="00025CFB" w:rsidRPr="00025CFB">
          <w:rPr>
            <w:rStyle w:val="af0"/>
            <w:rFonts w:ascii="宋体" w:hAnsi="宋体" w:hint="eastAsia"/>
            <w:noProof/>
            <w:kern w:val="0"/>
            <w:sz w:val="24"/>
          </w:rPr>
          <w:t>重要提示</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_Toc116465333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1</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34" w:history="1">
        <w:r w:rsidR="00025CFB" w:rsidRPr="00025CFB">
          <w:rPr>
            <w:rStyle w:val="af0"/>
            <w:rFonts w:ascii="宋体" w:hAnsi="宋体" w:hint="eastAsia"/>
            <w:noProof/>
            <w:sz w:val="24"/>
          </w:rPr>
          <w:t>一、绪言</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_Toc116465334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5</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35" w:history="1">
        <w:r w:rsidR="00025CFB" w:rsidRPr="00025CFB">
          <w:rPr>
            <w:rStyle w:val="af0"/>
            <w:rFonts w:ascii="宋体" w:hAnsi="宋体" w:hint="eastAsia"/>
            <w:noProof/>
            <w:sz w:val="24"/>
          </w:rPr>
          <w:t>二、释义</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_Toc116465335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6</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36" w:history="1">
        <w:r w:rsidR="00025CFB" w:rsidRPr="00025CFB">
          <w:rPr>
            <w:rStyle w:val="af0"/>
            <w:rFonts w:ascii="宋体" w:hAnsi="宋体" w:hint="eastAsia"/>
            <w:noProof/>
            <w:sz w:val="24"/>
          </w:rPr>
          <w:t>三、基金管理人</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_Toc116465336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12</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37" w:history="1">
        <w:r w:rsidR="00025CFB" w:rsidRPr="00025CFB">
          <w:rPr>
            <w:rStyle w:val="af0"/>
            <w:rFonts w:ascii="宋体" w:hAnsi="宋体" w:hint="eastAsia"/>
            <w:noProof/>
            <w:sz w:val="24"/>
          </w:rPr>
          <w:t>四、基金托管人</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_Toc116465337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20</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38" w:history="1">
        <w:r w:rsidR="00025CFB" w:rsidRPr="00025CFB">
          <w:rPr>
            <w:rStyle w:val="af0"/>
            <w:rFonts w:ascii="宋体" w:hAnsi="宋体" w:hint="eastAsia"/>
            <w:noProof/>
            <w:sz w:val="24"/>
          </w:rPr>
          <w:t>五、相关服务机构</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_Toc116465338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23</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39" w:history="1">
        <w:r w:rsidR="00025CFB" w:rsidRPr="00025CFB">
          <w:rPr>
            <w:rStyle w:val="af0"/>
            <w:rFonts w:ascii="宋体" w:hAnsi="宋体" w:hint="eastAsia"/>
            <w:noProof/>
            <w:sz w:val="24"/>
          </w:rPr>
          <w:t>六、基金的历史沿革与存续</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_Toc116465339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51</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40" w:history="1">
        <w:r w:rsidR="00025CFB" w:rsidRPr="00025CFB">
          <w:rPr>
            <w:rStyle w:val="af0"/>
            <w:rFonts w:ascii="宋体" w:hAnsi="宋体" w:hint="eastAsia"/>
            <w:noProof/>
            <w:sz w:val="24"/>
          </w:rPr>
          <w:t>七、基金的上市交易</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_Toc116465340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52</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41" w:history="1">
        <w:r w:rsidR="00025CFB" w:rsidRPr="00025CFB">
          <w:rPr>
            <w:rStyle w:val="af0"/>
            <w:rFonts w:ascii="宋体" w:hAnsi="宋体" w:hint="eastAsia"/>
            <w:noProof/>
            <w:sz w:val="24"/>
          </w:rPr>
          <w:t>八、基金份额的申购与赎回</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_Toc116465341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54</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42" w:history="1">
        <w:r w:rsidR="00025CFB" w:rsidRPr="00025CFB">
          <w:rPr>
            <w:rStyle w:val="af0"/>
            <w:rFonts w:ascii="宋体" w:hAnsi="宋体" w:hint="eastAsia"/>
            <w:noProof/>
            <w:sz w:val="24"/>
          </w:rPr>
          <w:t>九、基金的投资</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_Toc116465342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70</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43" w:history="1">
        <w:r w:rsidR="00025CFB" w:rsidRPr="00025CFB">
          <w:rPr>
            <w:rStyle w:val="af0"/>
            <w:rFonts w:ascii="宋体" w:hAnsi="宋体" w:hint="eastAsia"/>
            <w:noProof/>
            <w:sz w:val="24"/>
          </w:rPr>
          <w:t>十、基金的业绩</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_Toc116465343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82</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44" w:history="1">
        <w:r w:rsidR="00025CFB" w:rsidRPr="00025CFB">
          <w:rPr>
            <w:rStyle w:val="af0"/>
            <w:rFonts w:ascii="宋体" w:hAnsi="宋体" w:hint="eastAsia"/>
            <w:noProof/>
            <w:sz w:val="24"/>
          </w:rPr>
          <w:t>十一、基金的财产</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_Toc116465344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85</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45" w:history="1">
        <w:r w:rsidR="00025CFB" w:rsidRPr="00025CFB">
          <w:rPr>
            <w:rStyle w:val="af0"/>
            <w:rFonts w:ascii="宋体" w:hAnsi="宋体" w:hint="eastAsia"/>
            <w:noProof/>
            <w:sz w:val="24"/>
          </w:rPr>
          <w:t>十二、基金资产的估值</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_Toc116465345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86</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46" w:history="1">
        <w:r w:rsidR="00025CFB" w:rsidRPr="00025CFB">
          <w:rPr>
            <w:rStyle w:val="af0"/>
            <w:rFonts w:ascii="宋体" w:hAnsi="宋体" w:hint="eastAsia"/>
            <w:noProof/>
            <w:sz w:val="24"/>
          </w:rPr>
          <w:t>十三、基金收益与分配</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_Toc116465346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92</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47" w:history="1">
        <w:r w:rsidR="00025CFB" w:rsidRPr="00025CFB">
          <w:rPr>
            <w:rStyle w:val="af0"/>
            <w:rFonts w:ascii="宋体" w:hAnsi="宋体" w:hint="eastAsia"/>
            <w:noProof/>
            <w:sz w:val="24"/>
          </w:rPr>
          <w:t>十四、基金的费用与税收</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_Toc116465347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94</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48" w:history="1">
        <w:r w:rsidR="00025CFB" w:rsidRPr="00025CFB">
          <w:rPr>
            <w:rStyle w:val="af0"/>
            <w:rFonts w:ascii="宋体" w:hAnsi="宋体" w:hint="eastAsia"/>
            <w:noProof/>
            <w:sz w:val="24"/>
          </w:rPr>
          <w:t>十五、基金的会计与审计</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_Toc116465348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98</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49" w:history="1">
        <w:r w:rsidR="00025CFB" w:rsidRPr="00025CFB">
          <w:rPr>
            <w:rStyle w:val="af0"/>
            <w:rFonts w:ascii="宋体" w:hAnsi="宋体" w:hint="eastAsia"/>
            <w:noProof/>
            <w:sz w:val="24"/>
          </w:rPr>
          <w:t>十六、基金的信息披露</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_Toc116465349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99</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50" w:history="1">
        <w:r w:rsidR="00025CFB" w:rsidRPr="00025CFB">
          <w:rPr>
            <w:rStyle w:val="af0"/>
            <w:rFonts w:ascii="宋体" w:hAnsi="宋体" w:hint="eastAsia"/>
            <w:noProof/>
            <w:sz w:val="24"/>
          </w:rPr>
          <w:t>十七、风险揭示</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_Toc116465350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106</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51" w:history="1">
        <w:r w:rsidR="00025CFB" w:rsidRPr="00025CFB">
          <w:rPr>
            <w:rStyle w:val="af0"/>
            <w:rFonts w:ascii="宋体" w:hAnsi="宋体" w:hint="eastAsia"/>
            <w:noProof/>
            <w:sz w:val="24"/>
          </w:rPr>
          <w:t>十八、基金合同的变更、终止与基金财产的清算</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_Toc116465351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116</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52" w:history="1">
        <w:r w:rsidR="00025CFB" w:rsidRPr="00025CFB">
          <w:rPr>
            <w:rStyle w:val="af0"/>
            <w:rFonts w:ascii="宋体" w:hAnsi="宋体" w:hint="eastAsia"/>
            <w:noProof/>
            <w:sz w:val="24"/>
          </w:rPr>
          <w:t>十九、基金合同内容摘要</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_Toc116465352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118</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53" w:history="1">
        <w:r w:rsidR="00025CFB" w:rsidRPr="00025CFB">
          <w:rPr>
            <w:rStyle w:val="af0"/>
            <w:rFonts w:ascii="宋体" w:hAnsi="宋体" w:hint="eastAsia"/>
            <w:noProof/>
            <w:sz w:val="24"/>
          </w:rPr>
          <w:t>二十、托管协议的内容摘要</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_Toc116465353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134</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54" w:history="1">
        <w:r w:rsidR="00025CFB" w:rsidRPr="00025CFB">
          <w:rPr>
            <w:rStyle w:val="af0"/>
            <w:rFonts w:ascii="宋体" w:hAnsi="宋体" w:hint="eastAsia"/>
            <w:noProof/>
            <w:sz w:val="24"/>
          </w:rPr>
          <w:t>二十一、对基金份额持有人的服务</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_Toc116465354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148</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55" w:history="1">
        <w:r w:rsidR="00025CFB" w:rsidRPr="00025CFB">
          <w:rPr>
            <w:rStyle w:val="af0"/>
            <w:rFonts w:ascii="宋体" w:hAnsi="宋体" w:hint="eastAsia"/>
            <w:noProof/>
            <w:sz w:val="24"/>
          </w:rPr>
          <w:t>二十二、其他应披露事项</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_Toc116465355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150</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56" w:history="1">
        <w:r w:rsidR="00025CFB" w:rsidRPr="00025CFB">
          <w:rPr>
            <w:rStyle w:val="af0"/>
            <w:rFonts w:ascii="宋体" w:hAnsi="宋体" w:hint="eastAsia"/>
            <w:noProof/>
            <w:sz w:val="24"/>
          </w:rPr>
          <w:t>二十三、招募说明书的存放及查阅方式</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_Toc116465356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153</w:t>
        </w:r>
        <w:r w:rsidR="00025CFB" w:rsidRPr="00025CFB">
          <w:rPr>
            <w:rFonts w:ascii="宋体" w:hAnsi="宋体"/>
            <w:noProof/>
            <w:sz w:val="24"/>
          </w:rPr>
          <w:fldChar w:fldCharType="end"/>
        </w:r>
      </w:hyperlink>
    </w:p>
    <w:p w:rsidR="00025CFB" w:rsidRPr="007E747E" w:rsidRDefault="002459A9" w:rsidP="00025CFB">
      <w:pPr>
        <w:pStyle w:val="11"/>
        <w:tabs>
          <w:tab w:val="right" w:leader="dot" w:pos="8550"/>
        </w:tabs>
        <w:spacing w:line="360" w:lineRule="auto"/>
        <w:rPr>
          <w:rFonts w:ascii="宋体" w:hAnsi="宋体"/>
          <w:noProof/>
          <w:sz w:val="24"/>
        </w:rPr>
      </w:pPr>
      <w:hyperlink w:anchor="_Toc116465357" w:history="1">
        <w:r w:rsidR="00025CFB" w:rsidRPr="00025CFB">
          <w:rPr>
            <w:rStyle w:val="af0"/>
            <w:rFonts w:ascii="宋体" w:hAnsi="宋体" w:hint="eastAsia"/>
            <w:noProof/>
            <w:sz w:val="24"/>
          </w:rPr>
          <w:t>二十四、备查文件</w:t>
        </w:r>
        <w:r w:rsidR="00025CFB" w:rsidRPr="00025CFB">
          <w:rPr>
            <w:rFonts w:ascii="宋体" w:hAnsi="宋体"/>
            <w:noProof/>
            <w:sz w:val="24"/>
          </w:rPr>
          <w:tab/>
        </w:r>
        <w:r w:rsidR="00025CFB" w:rsidRPr="00025CFB">
          <w:rPr>
            <w:rFonts w:ascii="宋体" w:hAnsi="宋体"/>
            <w:noProof/>
            <w:sz w:val="24"/>
          </w:rPr>
          <w:fldChar w:fldCharType="begin"/>
        </w:r>
        <w:r w:rsidR="00025CFB" w:rsidRPr="00025CFB">
          <w:rPr>
            <w:rFonts w:ascii="宋体" w:hAnsi="宋体"/>
            <w:noProof/>
            <w:sz w:val="24"/>
          </w:rPr>
          <w:instrText xml:space="preserve"> PAGEREF _Toc116465357 \h </w:instrText>
        </w:r>
        <w:r w:rsidR="00025CFB" w:rsidRPr="00025CFB">
          <w:rPr>
            <w:rFonts w:ascii="宋体" w:hAnsi="宋体"/>
            <w:noProof/>
            <w:sz w:val="24"/>
          </w:rPr>
        </w:r>
        <w:r w:rsidR="00025CFB" w:rsidRPr="00025CFB">
          <w:rPr>
            <w:rFonts w:ascii="宋体" w:hAnsi="宋体"/>
            <w:noProof/>
            <w:sz w:val="24"/>
          </w:rPr>
          <w:fldChar w:fldCharType="separate"/>
        </w:r>
        <w:r w:rsidR="00025CFB" w:rsidRPr="00025CFB">
          <w:rPr>
            <w:rFonts w:ascii="宋体" w:hAnsi="宋体"/>
            <w:noProof/>
            <w:sz w:val="24"/>
          </w:rPr>
          <w:t>154</w:t>
        </w:r>
        <w:r w:rsidR="00025CFB" w:rsidRPr="00025CFB">
          <w:rPr>
            <w:rFonts w:ascii="宋体" w:hAnsi="宋体"/>
            <w:noProof/>
            <w:sz w:val="24"/>
          </w:rPr>
          <w:fldChar w:fldCharType="end"/>
        </w:r>
      </w:hyperlink>
    </w:p>
    <w:p w:rsidR="00B33D26" w:rsidRPr="00025CFB" w:rsidRDefault="00025CFB" w:rsidP="00025CFB">
      <w:pPr>
        <w:pStyle w:val="af3"/>
        <w:snapToGrid w:val="0"/>
        <w:spacing w:after="240" w:line="360" w:lineRule="auto"/>
        <w:jc w:val="center"/>
        <w:rPr>
          <w:rFonts w:ascii="宋体" w:hAnsi="宋体"/>
          <w:color w:val="000000"/>
          <w:sz w:val="24"/>
        </w:rPr>
      </w:pPr>
      <w:r w:rsidRPr="00025CFB">
        <w:rPr>
          <w:rFonts w:ascii="宋体" w:hAnsi="宋体"/>
          <w:color w:val="000000"/>
          <w:position w:val="-4"/>
          <w:sz w:val="24"/>
          <w:szCs w:val="30"/>
        </w:rPr>
        <w:fldChar w:fldCharType="end"/>
      </w:r>
    </w:p>
    <w:p w:rsidR="00B33D26" w:rsidRDefault="00B33D26">
      <w:pPr>
        <w:autoSpaceDE w:val="0"/>
        <w:autoSpaceDN w:val="0"/>
        <w:adjustRightInd w:val="0"/>
        <w:snapToGrid w:val="0"/>
        <w:spacing w:line="360" w:lineRule="auto"/>
        <w:ind w:left="120" w:rightChars="6" w:right="13"/>
        <w:rPr>
          <w:rFonts w:ascii="宋体" w:hAnsi="宋体"/>
          <w:kern w:val="0"/>
          <w:szCs w:val="24"/>
        </w:rPr>
        <w:sectPr w:rsidR="00B33D26">
          <w:pgSz w:w="11920" w:h="16840"/>
          <w:pgMar w:top="1480" w:right="1680" w:bottom="280" w:left="1680" w:header="0" w:footer="1073" w:gutter="0"/>
          <w:cols w:space="720"/>
        </w:sectPr>
      </w:pPr>
    </w:p>
    <w:p w:rsidR="00B33D26" w:rsidRDefault="00103397">
      <w:pPr>
        <w:pStyle w:val="1"/>
        <w:snapToGrid w:val="0"/>
        <w:spacing w:beforeLines="0" w:before="240" w:after="240"/>
        <w:rPr>
          <w:rFonts w:ascii="宋体" w:hAnsi="宋体"/>
          <w:szCs w:val="30"/>
        </w:rPr>
      </w:pPr>
      <w:bookmarkStart w:id="4" w:name="_Toc116465334"/>
      <w:r>
        <w:rPr>
          <w:rFonts w:ascii="Times New Roman" w:hAnsi="Times New Roman"/>
          <w:sz w:val="30"/>
        </w:rPr>
        <w:lastRenderedPageBreak/>
        <w:t>一、绪言</w:t>
      </w:r>
      <w:bookmarkEnd w:id="4"/>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国证新能源指数证券投资基金（LOF）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以下简称“《指数基金指引》”）和其他相关法律法规的规定以及《交银施罗德国证新能源指数证券投资基金（LOF）基金合同》（以下简称“基金合同”）编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5" w:name="_Toc116465335"/>
      <w:r>
        <w:rPr>
          <w:rFonts w:ascii="Times New Roman" w:hAnsi="Times New Roman"/>
          <w:sz w:val="30"/>
        </w:rPr>
        <w:lastRenderedPageBreak/>
        <w:t>二、释义</w:t>
      </w:r>
      <w:bookmarkEnd w:id="5"/>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1、基金或本基金：指交银施罗德国证新能源指数证券投资基金（LOF），由交银施罗德国证新能源指数分级证券投资基金转型而来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2、基金管理人：指交银施罗德基金管理有限公司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3、基金托管人：指中国建设银行股份有限公司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4、基金合同：指《交银施罗德国证新能源指数证券投资基金（LOF）基金合同》及对基金合同的任何有效修订和补充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5、托管协议：指基金管理人与基金托管人就本基金签订之《交银施罗德国证新能源指数证券投资基金（LOF）托管协议》及对该托管协议的任何有效修订和补充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6、招募说明书或本招募说明书：指《交银施罗德国证新能源指数证券投资基金（LOF）招募说明书》及其更新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7、基金产品资料概要：指《交银施罗德国证新能源指数证券投资基金（LOF）基金产品资料概要》及其更新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8、上市交易公告书：指《交银施罗德国证新能源指数证券投资基金（LOF）上市交易公告书》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15、《指数基金指引》：指中国证监会2021年1月22日颁布、同年2月1日实施的《公开募集证券投资基金运作指引第3号——指数基金指引》及颁布机关对其不时做出的修订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17、银行业监督管理机构：指中国人民银行和/或中国银行保险监督管理委员会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20、机构投资者：指依法可以投资证券投资基金的、在中华人民共和国境内合法登记并存续或经有关政府部门批准设立并存续的企业法人、事业法人、社会团体或其他组织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21、合格境外机构投资者：指符合《合格境外机构投资者境内证券投资管理办法》及相关法律法规规定可以投资于在中国境内依法募集的证券投资基金的中国境外的机构投资者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22、人民币合格境外机构投资者：指按照《人民币合格境外机构投资者境内证券投资试点办法》及相关法律法规规定，运用来自境外的人民币资金进行境内证券投资的境外法人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23、投资人、投资者：指个人投资者、机构投资者、合格境外机构投资者和人民币合格境外机构投资者以及法律法规或中国证监会允许购买证券投资基金的其他投资人的合称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24、基金份额持有人：指依基金合同和招募说明书合法取得基金份额的投资人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25、基金销售业务：指基金管理人或销售机构宣传推介基金，销售基金份额，办理基金份额的申购、赎回、转换、转托管及定期定额投资等业务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27、会员单位：指深圳证券交易所会员单位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28、场外：指不通过深圳证券交易所交易系统，而通过直销机构和其它场外销</w:t>
      </w:r>
      <w:r>
        <w:rPr>
          <w:rFonts w:ascii="宋体" w:hAnsi="宋体"/>
          <w:sz w:val="24"/>
        </w:rPr>
        <w:lastRenderedPageBreak/>
        <w:t>售机构的柜台系统或其他交易系统办理基金份额申购和赎回等业务的场所。通过该等场所办理基金份额的申购和赎回也称为场外申购和场外赎回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30、标的指数：指国证新能源指数及其未来可能发生的变更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31、注册登记系统：指中国证券登记结算有限责任公司开放式基金登记结算系统，通过场外申购的基金份额登记在注册登记系统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32、证券登记结算系统：指中国证券登记结算有限责任公司深圳分公司证券登记结算系统，通过场内申购和上市交易的本基金份额登记在证券登记结算系统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33、场外份额：指登记在注册登记系统下的基金份额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34、场内份额：指登记在证券登记结算系统下的基金份额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登记业务：指基金登记、存管、过户、清算和结算业务，具体内容包括投资人开放式基金账户和/或深圳证券账户的建立和管理、基金份额登记、基金销售业务的确认、清算和结算、代理发放红利、建立并保管基金份额持有人名册和办理非交易过户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36、登记机构：指办理登记业务的机构。基金的登记机构为交银施罗德基金管理有限公司或接受交银施罗德基金管理有限公司委托代为办理登记业务的机构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39、基金交易账户：指销售机构为投资人开立的、记录投资人通过该销售机构办理申购、赎回、转换及转托管等业务而引起的基金份额变动及结余情况的账户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40、基金合同生效日：指《交银施罗德国证新能源指数证券投资基金（LOF）基金合同》生效日，原《交银施罗德国证新能源指数分级证券投资基金基金合同》自同一日起失效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41、基金转型实施日：指基金管理人公告的交银施罗德国证新能源指数分级证券投资基金转型为交银施罗德国证新能源指数证券投资基金（LOF）的实施日期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42、基金合同终止日：指基金合同规定的基金合同终止事由出现后，基金财产清算完毕，清算结果报中国证监会备案并予以公告的日期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43、存续期：指《交银施罗德国证新能源指数分级证券投资基金基金合同》生效日至《交银施罗德国证新能源指数证券投资基金（LOF）基金合同》终止之间的不定期期限</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44、工作日：指上海证券交易所、深圳证券交易所的正常交易日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45、T日：指销售机构在规定时间受理投资人申购、赎回或其他业务申请的开放日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46、T+n日：指自T日起第n个工作日（不包含T日）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47、开放日：指为投资人办理基金份额申购、赎回或其他业务的工作日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48、开放时间：指开放日基金接受申购、赎回或其他交易的时间段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49、《业务规则》：指本基金管理人、深圳证券交易所、中国证券登记结算有限责任公司及其他销售机构的相关业务规则及其不时做出的修订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50、申购：指基金合同生效后，投资人根据基金合同和招募说明书的规定申请购买基金份额的行为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51、赎回：指基金合同生效后，基金份额持有人按基金合同和招募说明书规定的条件要求将基金份额兑换为现金的行为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52、上市交易：指基金合同生效后投资人通过场内会员单位以集中竞价的方式买卖基金份额的行为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53、基金转换：指基金份额持有人按照基金合同和基金管理人届时有效公告规定的条件，申请将其持有基金管理人管理的、某一基金的基金份额转换为基金管理人管理的其他基金基金份额的行为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54、转托管：指基金份额持有人在本基金的不同销售机构之间实施的变更所持基金份额销售机构的操作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55、系统内转托管：指基金份额持有人将持有的基金份额在注册登记系统内不同销售机构（网点）之间或证券登记结算系统内不同会员单位（交易单元）之间进行转登记的行为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56、跨系统转托管：指基金份额持有人将持有的A类基金份额在注册登记系统</w:t>
      </w:r>
      <w:r>
        <w:rPr>
          <w:rFonts w:ascii="宋体" w:hAnsi="宋体"/>
          <w:sz w:val="24"/>
        </w:rPr>
        <w:lastRenderedPageBreak/>
        <w:t>和证券登记结算系统间进行转登记的行为。除经基金管理人另行公告，C类基金份额不能进行跨系统转托管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59、元：指人民币元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60、基金收益：指基金投资所得红利、股息、债券利息、买卖证券价差、银行存款利息、已实现的其他合法收入及因运用基金财产带来的成本和费用的节约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61、基金资产总值：指基金拥有的各类有价证券、股指期货合约、银行存款本息、基金应收申购款及其他资产的价值总和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62、基金资产净值：指基金资产总值减去基金负债后的价值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63、基金份额净值：指计算日基金资产净值除以计算日基金份额总数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64、基金资产估值：指计算评估基金资产和负债的价值，以确定基金资产净值和基金份额净值的过程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65、销售服务费：指从基金财产中计提的，用于本基金市场推广、销售以及基金份额持有人服务的费用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66、A类基金份额：指在投资人申购时收取申购费用且不从本类别基金资产中计提销售服务费的基金份额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67、C类基金份额：指在投资人申购时不收取申购费用，并从本类别基金资产中计提销售服务费的基金份额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68、规定媒介：指符合中国证监会规定条件的用以进行信息披露的全国性报刊及《信息披露办法》规定的互联网网站（包括基金管理人网站、基金托管人网站、中国证监会基金电子披露网站）等媒介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w:t>
      </w:r>
      <w:r>
        <w:rPr>
          <w:rFonts w:ascii="宋体" w:hAnsi="宋体"/>
          <w:sz w:val="24"/>
        </w:rPr>
        <w:lastRenderedPageBreak/>
        <w:t>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71、不可抗力：指基金合同当事人不能预见、不能避免且不能克服的客观事件</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6" w:name="_Toc116465336"/>
      <w:r>
        <w:rPr>
          <w:rFonts w:ascii="Times New Roman" w:hAnsi="Times New Roman"/>
          <w:sz w:val="30"/>
        </w:rPr>
        <w:lastRenderedPageBreak/>
        <w:t>三、基金管理人</w:t>
      </w:r>
      <w:bookmarkEnd w:id="6"/>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童洁萍女士，董事，在职工商管理硕士。现任交通银行总行个人金融业务部副总经理。历任交通银行南京分行个人金融业务部副高级经理、江苏省分行个人金融业务部副总经理、总经理、玄武支行行长。</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Debruyne）先生，硕士。现任施罗德集团全球业务总裁, 担任集团管理委员会成员。历任施罗德投资管理有限公司亚洲投资产品总监、亚太区行政总裁、施罗德投资管理（香港）有限公司行政总裁兼亚太区基金业务拓展总监。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梅津芝女士，监事长，学士。高级经济师、审计师。现任交通银行私人银行部总经理。历任交通银行山西省分行个人金融业务部高级经理，交通银行山西省分行副行长，交通银行个人金融业务部副总经理。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林凯珊女士，监事，硕士。现任施罗德投资管理（香港）有限公司中国内地及中国香港法律部主管。历任香港证券及期货事务监察委员会发牌科经理、的近律师行律师。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邵文婷女士:基金经理。英国诺丁汉大学金融与投资硕士、西南财经大学数学与经济学双学士。6年证券投资行业从业经验。2016年加入交银施罗德基金管理有限公司，曾任量化投资部研究员、投资经理，现任量化投资部基金经理。现任交银施罗德深证300价值交易型开放式指数证券投资基金联接基金(2021年04月30日至今)、交银施罗德上证180公司治理交易型开放式指数证券投资基金联接基金(2021年04月30日至今)、深证300价值交易型开放式指数证券投资基金(2021年04月30日</w:t>
      </w:r>
      <w:r>
        <w:rPr>
          <w:rFonts w:ascii="宋体" w:hAnsi="宋体"/>
          <w:sz w:val="24"/>
        </w:rPr>
        <w:lastRenderedPageBreak/>
        <w:t>至今)、交银施罗德中证海外中国互联网指数型证券投资基金(LOF)(2021年04月30日至今)、交银施罗德国证新能源指数证券投资基金（LOF）(2021年04月30日至今)、上证180公司治理交易型开放式指数证券投资基金(2021年04月30日至今)、交银施罗德创业板50指数型证券投资基金(2021年04月30日至今)、交银施罗德中证环境治理指数型证券投资基金(LOF)(2021年04月30日至今)的基金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蔡铮先生(2015年03月26日至2021年04月30日)。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上述人员之间不存在近亲属关系，上述各项人员信息更新截止日为2022年09月10日，期后变动（如有）敬请关注基金管理人发布的相关公告。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12、有关法律法规和中国证监会规定的其他职责。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w:t>
      </w:r>
      <w:r>
        <w:rPr>
          <w:rFonts w:ascii="宋体" w:hAnsi="宋体"/>
          <w:sz w:val="24"/>
        </w:rPr>
        <w:lastRenderedPageBreak/>
        <w:t>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（6）风险管理部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w:t>
      </w:r>
      <w:r>
        <w:rPr>
          <w:rFonts w:ascii="宋体" w:hAnsi="宋体"/>
          <w:sz w:val="24"/>
        </w:rPr>
        <w:lastRenderedPageBreak/>
        <w:t>公司建立了自下而上的风险报告程序，对风险隐患进行层层汇报，使各个层次的人员及时掌握风险状况，从而以最快速度作出决策。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7" w:name="_Toc116465337"/>
      <w:r>
        <w:rPr>
          <w:rFonts w:ascii="Times New Roman" w:hAnsi="Times New Roman"/>
          <w:sz w:val="30"/>
        </w:rPr>
        <w:lastRenderedPageBreak/>
        <w:t>四、基金托管人</w:t>
      </w:r>
      <w:bookmarkEnd w:id="7"/>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名称：中国建设银行股份有限公司(简称：中国建设银行)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成立时间：2004年09月17日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注册资本：贰仟伍佰亿壹仟零玖拾柒万柒仟肆佰捌拾陆元整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基金托管资格批文及文号：中国证监会证监基字[1998]12号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联系电话：(021)6063 7102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2022年1季度末，中国建设银行已托管</w:t>
      </w:r>
      <w:r>
        <w:rPr>
          <w:rFonts w:ascii="宋体" w:hAnsi="宋体"/>
          <w:sz w:val="24"/>
        </w:rPr>
        <w:lastRenderedPageBreak/>
        <w:t>1203只证券投资基金。中国建设银行专业高效的托管服务能力和业务水平，赢得了业内的高度认同。截至目前，中国建设银行先后多次被《全球托管人》、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2020、2021年分别荣获《亚洲银行家》颁发的“最佳托管系统实施奖”、“中国年度托管业务科技实施奖”、“中国年度托管银行（大型银行）”以及“中国最佳数字化资产托管银行”奖项。</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（二）基金托管人的内部控制制度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1、监督方法</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依照《基金法》及其配套法规和基金合同的约定，监督所托管基金的投资运作。利用自行开发的“新一代托管应用监督子系统”，严格按照现行法律法规以及</w:t>
      </w:r>
      <w:r>
        <w:rPr>
          <w:rFonts w:ascii="宋体" w:hAnsi="宋体"/>
          <w:sz w:val="24"/>
        </w:rPr>
        <w:lastRenderedPageBreak/>
        <w:t>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2、监督流程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(2)收到基金管理人的划款指令后，对指令要素等内容进行核查。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(3)通过技术或非技术手段发现基金涉嫌违规交易，电话或书面要求基金管理人进行解释或举证，如有必要将及时报告中国证监会。</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8" w:name="_Toc116465338"/>
      <w:r>
        <w:rPr>
          <w:rFonts w:ascii="Times New Roman" w:hAnsi="Times New Roman"/>
          <w:sz w:val="30"/>
        </w:rPr>
        <w:lastRenderedPageBreak/>
        <w:t>五、相关服务机构</w:t>
      </w:r>
      <w:bookmarkEnd w:id="8"/>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个人投资者可以通过基金管理人网上直销交易平台办理开户、本基金的场外申购、赎回、定期定额投资等业务，具体交易细则请参阅基金管理人网站。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2、A类基金份额的场内销售机构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具有基金销售业务资格、经深圳证券交易所和中国证券登记结算有限责任公司认可的、通过深圳证券交易所交易系统办理基金销售业务的深圳证券交易所场内会员单位（具体名单见深圳证券交易所网站）。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3、除基金管理人之外的其他场外销售机构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本基金A类基金份额除基金管理人外的其他场外销售机构：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传真：（010）66275654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（2）名称：东莞农村商业银行股份有限公司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（4）名称：交通银行股份有限公司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（5）名称：江苏江南农村商业银行股份有限公司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（6）名称：平安银行股份有限公司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（7）名称：中国光大银行股份有限公司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（8）名称：光大证券股份有限公司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法定代表人：薛峰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（9）名称：中信证券股份有限公司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（10）名称：中国中金财富证券有限公司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（11）名称：华福证券有限责任公司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（12）名称：安信证券股份有限公司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（13）名称：中信建投证券股份有限公司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（14）名称：国信证券股份有限公司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（15）名称：广发证券股份有限公司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法定代表人：孙树明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（16）名称：华宝证券股份有限公司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（17）名称：国泰君安证券股份有限公司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（18）名称：联讯证券股份有限公司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传真：（021）33606760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（19）名称：华融证券股份有限公司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网址：www.hrsec.com.cn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（20）名称：西南证券股份有限公司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（21）名称：信达证券股份有限公司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网址：www.cindasc.com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（22）名称：国金证券股份有限公司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（23）名称：长城证券有限责任公司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（24）名称：中国银河证券股份有限公司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（25）名称：申万宏源证券有限公司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电话：（021）33389888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（26）名称：国都证券股份有限公司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（27）名称：平安证券股份有限公司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（28）名称：中信证券（山东）有限责任公司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（29）名称：申万宏源西部证券有限公司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办公地址：北京市西城区太平桥大街19号宏源证券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（30）名称：中泰证券股份有限公司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（31）名称：江海证券有限公司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（32）名称：华西证券股份有限公司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联系人：周志茹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（33）名称：中国国际金融股份有限公司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（34）名称：中信证券华南股份有限公司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（35）名称：北京钱景财富投资管理有限公司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（36）名称：上海利得基金销售有限公司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上海浦东新区峨山路91弄61号陆家嘴软件园10号楼12楼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（37）名称：上海凯石财富基金销售有限公司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（38）名称：北京虹点基金销售有限公司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（39）名称：上海天天基金销售有限公司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电话：（021）54509998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（40）名称：和讯信息科技有限公司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（41）名称：上海好买基金销售有限公司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（42）名称：上海长量基金销售投资顾问有限公司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网址：www.erichfund.com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（43）名称：深圳众禄基金销售有限公司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（44）名称：蚂蚁（杭州）基金销售有限公司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（45）名称：天相投资顾问有限公司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（46）名称：北京展恒基金销售股份有限公司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电话：（010）59601366-7024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（47）名称：上海联泰基金销售有限公司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（48）名称：珠海盈米财富管理有限公司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（49）名称：上海基煜基金销售有限公司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联系人：蓝杰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（50）名称：宜信普泽投资顾问（北京）有限公司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（51）名称：浙江同花顺基金销售有限公司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（52）名称：诺亚正行(上海)基金销售投资顾问有限公司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（53）名称：深圳市新兰德证券投资咨询有限公司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（54）名称：一路财富（北京）信息科技有限公司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（55）名称：中信期货有限公司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（56）名称：上海陆金所资产管理有限公司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住所：上海市浦东新区陆家嘴环路1333号14楼09单元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（57）名称：北京中植基金销售有限公司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（58）名称：北京汇成基金销售有限公司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住所：北京市海淀区中关村大街11号11层1108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办公地址：北京市海淀区中关村大街11号11层1108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联系人：丁向坤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网址：www.fundzone.cn、www.51jijinhui.com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（59）名称：奕丰基金销售有限公司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法定代表人：TEO WEE HOWE</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（60）名称：北京创金启富基金销售有限公司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（61）名称：上海云湾投资管理有限公司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（62）名称：中证金牛（北京）投资咨询有限公司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孟汉霄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（63）名称：北京新浪仓石基金销售有限公司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（64）名称：北京肯特瑞基金销售有限公司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（65）名称：北京蛋卷基金销售有限公司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联系人：侯芳芳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（66）名称：凤凰金信（银川）投资管理有限公司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（67）名称：深圳市金斧子基金销售有限公司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（68）名称：格上富信投资顾问有限公司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网址：www.igesafe.com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（69）名称：上海万得基金销售有限公司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（70）名称：天津万家财富资产管理有限公司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（71）名称：上海挖财金融信息服务有限公司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（72）名称：嘉实财富管理有限公司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办公地址：北京市朝阳区建国路91号金地中心A座6层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（73）名称：南京苏宁基金销售有限公司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（74）名称：北京度小满基金销售有限公司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（75）名称：北京唐鼎耀华投资咨询有限公司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传真：（010）59200800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（76）名称：上海华夏财富投资管理有限公司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（77）名称：江苏汇林保大基金销售有限公司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（78）名称：上海大智慧基金销售有限公司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网址：https://www.wg.com.cn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（79）名称：玄元保险代理有限公司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（80）名称：阳光人寿保险股份有限公司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（81）名称：大连网金基金销售有限公司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（82）名称：泛华普益基金销售有限公司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法定代表人：于海锋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（83）名称：和耕传承基金销售有限公司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（84）名称：腾安基金销售（深圳）有限公司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（85）名称：北京植信基金销售有限公司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传真：010-67767615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（86）名称：上海钜派钰茂基金销售有限公司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经办律师：黎明、丁媛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住所：中国(上海)自由贸易试验区陆家嘴环路1318号星展银行大厦507单元01室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经办注册会计师：童咏静、金诗涛</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9" w:name="_Toc116465339"/>
      <w:r>
        <w:rPr>
          <w:rFonts w:ascii="Times New Roman" w:hAnsi="Times New Roman"/>
          <w:sz w:val="30"/>
        </w:rPr>
        <w:lastRenderedPageBreak/>
        <w:t>六、基金的历史沿革与存续</w:t>
      </w:r>
      <w:bookmarkEnd w:id="9"/>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一、本基金的历史沿革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交银施罗德国证新能源指数证券投资基金（LOF）由交银施罗德国证新能源指数分级证券投资基金变更而来。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国证新能源指数分级证券投资基金经中国证监会证监许可【2014】1442号文注册，自2015年3月9日起向社会公开募集，于2015年3月20日结束募集工作，并于2015年3月26日获得中国证监会的书面确认，《交银施罗德国证新能源指数分级证券投资基金基金合同》自该日起生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关于实施&lt;公开募集证券投资基金运作管理办法&gt;有关问题的规定》、《交银施罗德国证新能源指数分级证券投资基金基金合同》，交银施罗德国证新能源指数分级证券投资基金以通讯方式召开基金份额持有人大会，大会于2020年10月28日表决通过了《关于交银施罗德国证新能源指数分级证券投资基金转型及修改基金合同有关事项的议案》，同意交银施罗德国证新能源指数分级证券投资基金变更基金名称、运作方式、基金份额类别设置、投资范围、投资策略、投资限制、风险收益特征、基金资产估值、基金的收益和分配以及其他部分条款，补充基金合同自动终止条款，授权基金管理人办理本次基金转型及修改基金合同有关具体事宜。基金份额持有人大会决议自表决通过之日起生效，基金管理人根据基金份额持有人大会的授权，定于2020年11月30日正式实施基金转型，自基金转型实施日起，《交银施罗德国证新能源指数分级证券投资基金基金合同》失效，且《交银施罗德国证新能源指数证券投资基金（LOF）基金合同》同时生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二、基金存续期内的基金份额持有人数量和资产规模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10" w:name="_Toc116465340"/>
      <w:r>
        <w:rPr>
          <w:rFonts w:ascii="Times New Roman" w:hAnsi="Times New Roman"/>
          <w:sz w:val="30"/>
        </w:rPr>
        <w:lastRenderedPageBreak/>
        <w:t>七、基金的上市交易</w:t>
      </w:r>
      <w:bookmarkEnd w:id="10"/>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一、基金份额的上市交易</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基金合同生效后，在本基金符合法律法规和深圳证券交易所规定的上市条件的情况下，基金管理人可以申请本基金A类基金份额上市交易。如无特别说明，本部分约定仅适用于本基金A类基金份额。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上市后，登记在证券登记结算系统中的A类基金份额可直接在深圳证券交易所上市；登记在注册登记系统中的A类基金份额可通过办理跨系统转托管业务将基金份额转托管在证券登记结算系统中后，再上市交易。</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未来，基金管理人在符合法律法规的情况下也可申请本基金C类基金份额的上市交易，基金管理人可根据需要修改基金合同相关内容，但应在实施日前依照《信息披露办法》的有关规定在规定媒介上公告。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1、上市交易的地点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深圳证券交易所。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2、上市交易的时间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在确定上市交易的时间后，基金管理人应依据法律法规规定在规定媒介上刊登A类基金份额上市交易公告书。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二、上市交易的规则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本基金A类基金份额上市交易遵循《深圳证券交易所交易规则》及《深圳证券交易所证券投资基金上市规则》等相关规定。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三、上市交易的费用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本基金A类基金份额上市交易的费用按照深圳证券交易所的有关规定办理。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四、上市交易的行情揭示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本基金A类基金份额在深圳证券交易所挂牌交易，交易行情通过行情发布系统揭示。行情发布系统同时揭示前一交易日本基金A类基金份额的基金份额净值。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五、上市交易的停复牌、暂停上市、恢复上市和终止上市</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A类基金份额的停复牌、暂停上市、恢复上市和终止上市按照相关法律法规、中国证监会及深圳证券交易所的相关业务规则执行。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当基金发生深圳证券交易所相关业务规则规定的原因不再具备上市条件而应当终止上市的情形时，本基金将转型为非上市开放式基金，本基金的基金名称将变更</w:t>
      </w:r>
      <w:r>
        <w:rPr>
          <w:rFonts w:ascii="宋体" w:hAnsi="宋体"/>
          <w:sz w:val="24"/>
        </w:rPr>
        <w:lastRenderedPageBreak/>
        <w:t>为“交银施罗德国证新能源指数证券投资基金”，除此之外，本基金的基金费率，基金的投资范围和投资策略等均不变，届时无需召开基金份额持有人大会。基金终止上市后，对于本基金场内份额的处理规则由基金管理人提前制定并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六、相关法律法规、中国证监会及深圳证券交易所对基金上市交易的规则等相关规定内容进行调整的，本基金基金合同相应予以修改，并按照新规定执行，且此项修改无须召开基金份额持有人大会。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七、若深圳证券交易所、中国证券登记结算有限责任公司增加了基金上市交易的新功能，本基金管理人可以在履行适当的程序后增加相应功能。</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11" w:name="_Toc116465341"/>
      <w:r>
        <w:rPr>
          <w:rFonts w:ascii="Times New Roman" w:hAnsi="Times New Roman"/>
          <w:sz w:val="30"/>
        </w:rPr>
        <w:lastRenderedPageBreak/>
        <w:t>八、基金份额的申购与赎回</w:t>
      </w:r>
      <w:bookmarkEnd w:id="11"/>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基金合同生效后，本基金A类基金份额可接受场内和场外申购与赎回，本基金C类基金份额暂时仅接受场外申购和赎回。登记在注册登记系统中的各类基金份额可直接办理场外申购与赎回等场外基金业务，登记在注册登记系统中的A类基金份额可通过办理跨系统转托管业务将基金份额转登记到证券登记结算系统中，再办理场内申购、赎回业务；登记在证券登记结算系统中的A类基金份额可直接办理场内申购、赎回业务，也可以通过办理跨系统转托管业务将基金份额转登记到注册登记系统中，再办理场外申购与赎回等场外基金业务。</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个人投资者可以通过基金管理人网上直销交易平台办理开户、本基金的申购、赎回、定期定额投资等业务，具体交易细则请参阅基金管理人网站。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2、场内销售机构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具有基金销售业务资格、经深圳证券交易所和中国证券登记结算有限责任公司认可的、通过深圳证券交易所交易系统办理基金销售业务的深圳证券交易所场内会员单位（具体名单见深圳证券交易所网站）。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3、除基金管理人之外的其他场外销售机构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本基金除基金管理人之外的其他场外销售机构参见本招募说明书“五、相关服</w:t>
      </w:r>
      <w:r>
        <w:rPr>
          <w:rFonts w:ascii="宋体" w:hAnsi="宋体"/>
          <w:sz w:val="24"/>
        </w:rPr>
        <w:lastRenderedPageBreak/>
        <w:t>务机构”章节或拨打本公司客户服务电话进行咨询。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投资人应当通过上述销售机构办理基金申购、赎回业务的营业场所或按上述销售机构提供的其他方式进行申购或赎回。本基金管理人可根据情况变更或增减基金场外销售机构，并在管理人网站公示。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本基金A类基金份额已于2020年11月30日起开放申购、赎回业务。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本基金C类基金份额已于2021年9月29日起开放申购、赎回业务。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3、当日的场外申购与赎回申请可以在基金管理人规定的时间以内撤销，但申请经登记机构受理的不得撤销；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场外赎回时，除指定赎回外，基金管理人按“先进先出”的原则，对该持有人账户在该销售机构托管的基金份额进行处理，即登记确认日期在先的基金份额先赎回，登记确认日期在后的基金份额后赎回，以确定被赎回基金</w:t>
      </w:r>
      <w:r>
        <w:rPr>
          <w:rFonts w:ascii="宋体" w:hAnsi="宋体"/>
          <w:sz w:val="24"/>
        </w:rPr>
        <w:lastRenderedPageBreak/>
        <w:t>份额的持有期限和所适用的赎回费率；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6、投资人办理基金份额的场外申购、赎回应使用开放式基金账户，办理基金份额的场内申购、赎回应使用深圳证券账户；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投资人通过深圳证券交易所交易系统办理本基金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基金管理人可在法律法规允许的情况下，对上述原则进行调整。基金管理人必须在新规则开始实施前依照《信息披露办法》的有关规定在规定媒介上公告。</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场外申购时，除基金管理人之外的场外销售机构每个账户单笔申购的最低金额为单笔1元（含申购费），如果销售机构业务规则规定的最低单笔申购金额高于1元，以销售机构的规定为准。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场内申购时，每笔申购金额最低为1元（含申购费）。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w:t>
      </w:r>
      <w:r>
        <w:rPr>
          <w:rFonts w:ascii="宋体" w:hAnsi="宋体"/>
          <w:sz w:val="24"/>
        </w:rPr>
        <w:lastRenderedPageBreak/>
        <w:t>权将投资人在该账户保留的本基金份额一次性全部赎回。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5、对于场内申购、赎回及持有场内本基金份额的数量限制，深圳证券交易所和中国证券登记结算有限责任公司的相关业务规则有规定的，从其最新规定办理。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6、基金管理人可在法律法规允许的情况下，调整上述规定申购金额和赎回份额的数量限制。基金管理人必须在调整实施前依照《信息披露办法》的有关规定在规定媒介上公告。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投资人申购基金份额时，必须全额交付申购款项，若申购资金在规定时间内未全额到账则申购不成立。投资人全额交付申购款项，申购成立；基金登记机构确认基金份额时，申购生效。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w:t>
      </w:r>
      <w:r>
        <w:rPr>
          <w:rFonts w:ascii="宋体" w:hAnsi="宋体"/>
          <w:sz w:val="24"/>
        </w:rPr>
        <w:lastRenderedPageBreak/>
        <w:t>请的确认情况。若申购不成功，则申购款项本金退还给投资人。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基金管理人可在法律法规允许的范围内，依法对上述申购和赎回申请的确认时间进行调整，并必须在调整实施日前按照《信息披露办法》的有关规定在规定媒介上公告。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（3）基金管理人可在法律法规允许的范围内，对上述登记办理时间进行调整，并于开始实施前按照《信息披露办法》的有关规定在规定媒介上公告。</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本基金基金份额分为A类基金份额和C类基金份额。投资人申购A类基金份额在申购时支付申购费用；申购C类基金份额不支付申购费用，并从该类别基金资产中计提销售服务费。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本基金A类基金份额的申购费用由申购A类基金份额的基金申购人承担，不列入基金财产，主要用于本基金的市场推广、销售、登记等各项费用。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本基金A类基金份额（非养老金客户）的场外申购费率如下：</w:t>
      </w:r>
    </w:p>
    <w:tbl>
      <w:tblPr>
        <w:tblW w:w="5000" w:type="pct"/>
        <w:tblCellMar>
          <w:left w:w="0" w:type="dxa"/>
          <w:right w:w="0" w:type="dxa"/>
        </w:tblCellMar>
        <w:tblLook w:val="0000" w:firstRow="0" w:lastRow="0" w:firstColumn="0" w:lastColumn="0" w:noHBand="0" w:noVBand="0"/>
      </w:tblPr>
      <w:tblGrid>
        <w:gridCol w:w="4325"/>
        <w:gridCol w:w="4325"/>
      </w:tblGrid>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类基金份额场外申购费率</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本基金A类基金份额的场内申购费率由场内销售机构参照上表场外申购费率设</w:t>
      </w:r>
      <w:r>
        <w:rPr>
          <w:rFonts w:ascii="宋体" w:hAnsi="宋体"/>
          <w:sz w:val="24"/>
        </w:rPr>
        <w:lastRenderedPageBreak/>
        <w:t>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通过基金管理人直销柜台申购A类基金份额的养老金客户特定场外申购费率如下表：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类基金份额特定场外申购费率</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0.24%</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本基金A类基金份额和C类基金份额的赎回费用由赎回该类基金份额的基金份额持有人承担，在基金份额持有人赎回基金份额时收取。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持续持有期少于7日的基金份额持有人收取1.5%的赎回费并全额计入基金财产；对持续持有期大于等于7日的基金份额持有人，应当将赎回费总额的25%归入基金财产，未归入基金财产的部分用于支付登记费和其他必要的手续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本基金A类基金份额的场外赎回费率如下：</w:t>
      </w:r>
    </w:p>
    <w:tbl>
      <w:tblPr>
        <w:tblW w:w="5000" w:type="pct"/>
        <w:tblCellMar>
          <w:left w:w="0" w:type="dxa"/>
          <w:right w:w="0" w:type="dxa"/>
        </w:tblCellMar>
        <w:tblLook w:val="0000" w:firstRow="0" w:lastRow="0" w:firstColumn="0" w:lastColumn="0" w:noHBand="0" w:noVBand="0"/>
      </w:tblPr>
      <w:tblGrid>
        <w:gridCol w:w="4325"/>
        <w:gridCol w:w="4325"/>
      </w:tblGrid>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类基金份额场外赎回费率</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本基金A类基金份额的场内赎回费率如下：</w:t>
      </w:r>
    </w:p>
    <w:tbl>
      <w:tblPr>
        <w:tblW w:w="5000" w:type="pct"/>
        <w:tblCellMar>
          <w:left w:w="0" w:type="dxa"/>
          <w:right w:w="0" w:type="dxa"/>
        </w:tblCellMar>
        <w:tblLook w:val="0000" w:firstRow="0" w:lastRow="0" w:firstColumn="0" w:lastColumn="0" w:noHBand="0" w:noVBand="0"/>
      </w:tblPr>
      <w:tblGrid>
        <w:gridCol w:w="4325"/>
        <w:gridCol w:w="4325"/>
      </w:tblGrid>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类基金份额场内赎回费率</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000" w:firstRow="0" w:lastRow="0" w:firstColumn="0" w:lastColumn="0" w:noHBand="0" w:noVBand="0"/>
      </w:tblPr>
      <w:tblGrid>
        <w:gridCol w:w="4325"/>
        <w:gridCol w:w="4325"/>
      </w:tblGrid>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类基金份额赎回费率</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4、当本基金发生大额申购或赎回情形时，基金管理人可以采用摆动定价机制，以确保基金估值的公平性。具体处理原则与操作规范遵循相关法律法规以及监管部门、自律规则的规定。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场内申购、赎回业务应遵守深圳证券交易所及中国证券登记结算有限责任公司的有关业务规则。若相关法律法规、中国证监会、深圳证券交易所或中国证券登记结算有限责任公司对场内申购、赎回业务规则有新的规定，基金合同相应予以修改，并按照新规定执行，且此项修改无需召开基金份额持有人大会审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场外申购份额计算结果按四舍五入方法，保留到小数点后2位，由此产生的收益或损失由基金财产承担。场内申购份</w:t>
      </w:r>
      <w:r>
        <w:rPr>
          <w:rFonts w:ascii="宋体" w:hAnsi="宋体"/>
          <w:sz w:val="24"/>
        </w:rPr>
        <w:lastRenderedPageBreak/>
        <w:t>额计算结果先按四舍五入的原则保留到小数点后2位，再按截位法保留到整数位，小数部分对应的剩余金额退还投资者。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A类基金份额和C类基金份额有效赎回份额乘以当日该类基金份额的基金份额净值并扣除相应的费用（如有），赎回金额单位为元。赎回金额计算结果按四舍五入方法，保留到小数点后2位，由此产生的收益或损失由基金财产承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申购份额=（申购总金额-申购费用）/T日A类基金份额净值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例一：某投资者（非养老金客户）投资40,000元场外申购本基金A类基金份额，假设申购当日A类基金份额净值为1.0400元，申购费率为1.2%，则其可得到的申购份额为：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净申购金额=40,000/（1+1.2%）=39,525.69元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申购费用=40,000-39,525.69=474.31元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申购份额=（40,000-474.31）/1.0400=38,005.47份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即：该投资者（非养老金客户）投资40,000元场外申购本基金A类基金份额，假设申购当日A类基金份额净值为1.0400元，则其可得到38,005.47份A类基金份额。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例二：某投资者（非养老金客户）投资40,000元场内申购本基金A类基金份额，假设申购当日A类基金份额净值为1.0400元，申购费率为1.2%，则其可得到的申购份额为：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净申购金额=40,000/（1+1.2%）=39,525.69元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申购费用=40,000-39,525.69=474.31元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申购份额=（40,000-474.31）/1.0400=38,005.47份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因场内份额保留至整数份，故投资者申购所得份额为38,005份，小数部分对应的剩余金额退还投资者。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实际净申购金额=38,005*1.0400=39,525.20元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退还金额=40,000-39,525.20-474.31=0.49元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即：该投资者（非养老金客户）投资40,000元场内申购本基金A类基金份额，假设申购当日A类基金份额净值为1.0400元，则其可得到38,005份A类基金份额。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例三：某养老金客户投资100,000元通过基金管理人的直销柜台申购本基金A类，假设申购当日A类基金份额净值为1.0400元，申购费率为0.24%，则其可得到的申购份额为：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净申购金额=100,000/（1+0.24%）=99,760.57元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申购费用=100,000-99,760.57=239.43元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申购份额=（100,000-239.43）/1.0400=95,923.63份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即：该养老金客户投资100,000元通过基金管理人的直销柜台申购本基金A类基金份额，假设申购当日A类基金份额净值为1.0400元，则其可得到95,923.63份A类基金份额。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例四：某投资者投资100,000元申购本基金的C类基金份额，假设申购当日C类基金份额净值为1.0400元，则其可得到的申购份额为：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投资者赎回A类基金份额，赎回金额的计算方法如下：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赎回费用=赎回份额×T日A类基金份额净值×赎回费率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例五：某投资者在场外赎回持有的50,000份A类基金份额，持有期限为1.5年，对应的赎回费率为0.2%，假设赎回当日A类基金份额净值是1.0160元，则其可得到的赎回金额为：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50,000×1.0160×0.2%＝101.60元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50,000×1.0160-101.60＝50,698.40元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即：投资者在场外赎回50,000份A类基金份额，对应的赎回费率为0.2%，假设赎回当日A类基金份额净值是1.0160元，则其可得到的赎回金额为50,698.40元。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例六：某投资者在场内赎回持有的50,000份A类基金份额，持有期限为1.5年，对应的赎回费率固定值为0.5%，假设赎回当日A类基金份额净值是1.0160元，则其可得到的赎回金额为：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50,000×1.0160×0.5%＝254.00元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50,000×1.0160-254.00＝50,546.00元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即：投资者在场内赎回50,000份A类基金份额，对应的赎回费率为0.5%，假设赎回当日A类基金份额净值是1.0160元，则其可得到的赎回金额为50,546.00元。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例七：某投资者赎回100,000份C类基金份额，持有期限为20日，对应的赎回费率为0，假设赎回当日C类基金份额净值是1.0160元，则其可得到的赎回金额为：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赎回金额=100,000×1.0160-0＝101,600.00元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即：投资者赎回100,000份C类基金份额，持有期限为20日，对应的赎回费率为0，假设赎回当日C类基金份额净值是1.0160元，则其可得到的赎回金额为101,600.00元。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C类基金份额净值＝C类基金份额的基金资产净值总额/发行在外的C类基金份额总数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履行适当程序，可以适当延迟计算或公告。本基金A类基金份额和C类基金份额的基金份额净值的计算，均保留到小数点后4位，小数点后第5位四舍五入，由此产生的收益或损失由基金财产承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7、基金管理人接受某笔或者某些申购申请有可能导致单一投资者持有基金份额的比例超过50%，或者变相规避50%集中度的。出现上述情形时，基金管理人有权将上述申购申请全部或部分确认失败。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8、指数编制单位或指数发布机构因异常情况使指数数据无法正常计算、计算错误或发布异常时。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9、法律法规规定、中国证监会认定或基金合同约定的其他情形。</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发生上述第1、2、3、5、6、8、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发生下列情形时，基金管理人可暂停接受投资人的赎回申请或延缓支付赎回款项：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7、指数编制单位或指数发布机构因异常情况使指数数据无法正常计算、计算错误或发布异常时。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8、法律法规规定、中国证监会认定或基金合同约定的其他情形。</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发生上述情形之一且基金管理人决定暂停接受基金份额持有人的赎回申请或延缓支付赎回款项时，基金管理人应及时报中国证监会备案，已确认的赎回申请，基金管理人应足额支付；如暂时不能足额支付，对于场外的赎回申请，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对于场内赎回部分，按照深圳证券交易所及中国证券登记结算有限责任公司的有关规定办理。在暂停赎回的情况消除时，基金管理人应及时恢复赎回业务的办理并公告。</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2、巨额赎回的场外处理方式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当基金出现巨额赎回时，基金管理人可以根据基金当时的资产组合状况决定全额赎回或部分延期赎回。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w:t>
      </w:r>
      <w:r>
        <w:rPr>
          <w:rFonts w:ascii="宋体" w:hAnsi="宋体"/>
          <w:sz w:val="24"/>
        </w:rPr>
        <w:lastRenderedPageBreak/>
        <w:t>款项，但不得超过20个工作日，并应当在规定媒介上进行公告。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3、当出现巨额赎回时，场内赎回申请按照深圳证券交易所相应规则进行处理；基金转换中转出份额的申请的处理方式遵照相关的业务规则及届时开展转换业务的公告。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4、巨额赎回的公告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当发生上述巨额赎回并延期办理时，基金管理人应当通过邮寄、传真或者通知销售机构代为告知等方式在3个交易日内通知基金份额持有人，说明有关处理方法，并在两日内在规定媒介上刊登公告。</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1、发生上述暂停申购或赎回情况的，基金管理人应在规定期限内在规定媒介上刊登暂停公告。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2、如发生暂停的时间为1日，基金管理人应于重新开放日，在规定媒介上刊登基金重新开放申购或赎回公告，并公布最近1个开放日各类基金份额的基金份额净值。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（十二）基金转换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（十三）基金的非交易过户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w:t>
      </w:r>
      <w:r>
        <w:rPr>
          <w:rFonts w:ascii="宋体" w:hAnsi="宋体"/>
          <w:sz w:val="24"/>
        </w:rPr>
        <w:lastRenderedPageBreak/>
        <w:t>额强制划转给其他自然人、法人或其他组织。办理非交易过户必须提供基金登记机构要求提供的相关资料，对于符合条件的非交易过户申请按基金登记机构的规定办理，并按基金登记机构规定的标准收费。</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（十四）基金的转托管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1、基金份额的登记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份额采用分系统登记的原则。场外申购的本基金基金份额，登记在注册登记系统中基金份额持有人的开放式基金账户下；场内申购或上市交易买入的本基金基金份额，登记在证券登记结算系统基金份额持有人深圳证券账户下。登记在证券登记结算系统中的基金份额既可以在深圳证券交易所上市交易，也可以直接申请场内赎回。登记在注册登记系统基金账户下的基金份额可申请场外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2、系统内转托管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（1）系统内转托管是指基金份额持有人将持有的基金份额在注册登记系统内不同销售机构之间，或在证券登记结算系统内不同会员单位（交易单元）之间进行转登记的行为。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（2）基金份额登记在注册登记系统的基金份额持有人在变更办理基金份额场外赎回业务的销售机构时，需办理已持有基金份额的系统内转托管。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登记在证券登记结算系统的基金份额持有人在变更办理基金份额场内赎回的会员单位（交易单元）、或变更办理基金份额上市交易的会员单位（交易单元）时，需办理已持有基金份额的系统内转托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3、跨系统转托管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（1）跨系统转托管是指基金份额持有人将持有的A类基金份额在注册登记系统和证券登记结算系统之间进行转登记的行为。除经基金管理人另行公告，C类基金份额不能进行跨系统转托管。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（2）本基金跨系统转托管具体业务按照中国证券登记结算有限责任公司及深圳证券交易所的相关规定办理。</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（十五）定期定额投资计划</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w:t>
      </w:r>
      <w:r>
        <w:rPr>
          <w:rFonts w:ascii="宋体" w:hAnsi="宋体"/>
          <w:sz w:val="24"/>
        </w:rPr>
        <w:lastRenderedPageBreak/>
        <w:t>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本基金2021年12月11日刊登公告自2021年12月14日起开通定期定额投资计划业务，具体开通销售机构名单和业务规则参见相关公告。</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（十六）基金份额的冻结和解冻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（十七）基金份额的转让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（十八）其他业务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12" w:name="_Toc116465342"/>
      <w:r>
        <w:rPr>
          <w:rFonts w:ascii="Times New Roman" w:hAnsi="Times New Roman"/>
          <w:sz w:val="30"/>
        </w:rPr>
        <w:lastRenderedPageBreak/>
        <w:t>九、基金的投资</w:t>
      </w:r>
      <w:bookmarkEnd w:id="12"/>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本基金采用指数化投资，紧密跟踪标的指数，追求跟踪偏离度与跟踪误差最小化。本基金力争控制本基金日均跟踪偏离度的绝对值不超过0.35%，年跟踪误差不超过4%。</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基金的投资组合比例为：本基金的股票资产投资比例不低于基金资产的 90%，本基金投资于国证新能源指数的成份股及其备选成份股的比例不低于非现金基金资产的90%，每个交易日日终在扣除股指期货合约需缴纳的交易保证金以后，持有现金或到期日在一年以内的政府债券的比例不低于基金资产净值的5%，其中现金不包括结算备付金、存出保证金、应收申购款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w:t>
      </w:r>
      <w:r>
        <w:rPr>
          <w:rFonts w:ascii="宋体" w:hAnsi="宋体"/>
          <w:sz w:val="24"/>
        </w:rPr>
        <w:lastRenderedPageBreak/>
        <w:t>金日均跟踪偏离度的绝对值不超过0.35%，年跟踪误差不超过4%。如因指数编制规则调整或其他因素导致跟踪偏离度和跟踪误差超过上述范围，基金管理人应采取合理措施避免跟踪偏离度、跟踪误差进一步扩大。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（1）本基金的股票资产投资比例不低于基金资产的90%，本基金投资于国证新能源指数的成份股及其备选成份股的比例不低于非现金基金资产的90%；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（2）本基金每个交易日日终在扣除股指期货合约需缴纳的交易保证金后，保持不低于基金资产净值5％的现金或者到期日在一年以内的政府债券，其中现金不包括结算备付金、存出保证金、应收申购款等；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（3）本基金投资于同一原始权益人的各类资产支持证券的比例，不得超过基金资产净值的10%；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（4）本基金持有的全部资产支持证券，其市值不得超过基金资产净值的20%；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（5）本基金持有的同一(指同一信用级别)资产支持证券的比例，不得超过该</w:t>
      </w:r>
      <w:r>
        <w:rPr>
          <w:rFonts w:ascii="宋体" w:hAnsi="宋体"/>
          <w:sz w:val="24"/>
        </w:rPr>
        <w:lastRenderedPageBreak/>
        <w:t>资产支持证券规模的10%；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（6）本基金管理人管理的全部基金投资于同一原始权益人的各类资产支持证券，不得超过其各类资产支持证券合计规模的10%；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（7）本基金应投资于信用级别评级为BBB以上(含BBB)的资产支持证券。基金持有资产支持证券期间，如果其信用等级下降、不再符合投资标准，应在评级报告发布之日起3个月内予以全部卖出；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（8）基金财产参与股票发行申购，本基金所申报的金额不超过本基金的总资产，本基金所申报的股票数量不超过拟发行股票公司本次发行股票的总量；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（9）本基金进入全国银行间同业市场进行债券回购的资金余额不得超过基金资产净值的40%，进入全国银行间同业市场进行债券回购的最长期限为1年，债券回购到期后不得展期；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（10）本基金参与股指期货交易，则：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3）本基金在任何交易日日终，持有的卖出股指期货合约价值不得超过基金持有的股票总市值的20%；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（11）本基金的基金资产总值不得超过基金资产净值的140%；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（13）本基金与私募类证券资管产品及中国证监会认定的其他主体为交易对手</w:t>
      </w:r>
      <w:r>
        <w:rPr>
          <w:rFonts w:ascii="宋体" w:hAnsi="宋体"/>
          <w:sz w:val="24"/>
        </w:rPr>
        <w:lastRenderedPageBreak/>
        <w:t>开展逆回购交易的，可接受质押品的资质要求应当与基金合同约定的投资范围保持一致；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7）、（12）、（13）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如法律、行政法规或监管部门取消上述规定，如适用于本基金，基金管理人在履行适当程序后，本基金可不受上述规定的限制。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国证新能源指数收益率×95%＋银行活期存款利率（税后）×5%</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本基金的标的指数为国证新能源指数。国证新能源指数是由深圳证券信息有限公司编制，代表性和可投资性受到市场认可。</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若基金标的指数发生变更，基金业绩比较基准随之变更，由基金管理人根据标的指数变更情形履行对应适当程序，并在调整实施前依照《信息披露办法》的有关规定在中国证监会指定媒介上刊登公告。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股票型基金，其预期风险与预期收益高于混合型基金、债券型基金和货币市场基金。本基金为指数型基金，主要采用组合复制策略跟踪标的指数，具有与标的指数以及标的指数所代表的股票市场相似的风险收益特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（七）基金管理人代表基金行使股东或债权人权利的处理原则及方法</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1、基金管理人按照国家有关规定代表基金独立行使股东或债权人权利，保护基金份额持有人的利益；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3、有利于基金财产的安全与增值；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（八）投资决策依据和投资流程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w:t>
      </w:r>
      <w:r>
        <w:rPr>
          <w:rFonts w:ascii="宋体" w:hAnsi="宋体"/>
          <w:sz w:val="24"/>
        </w:rPr>
        <w:lastRenderedPageBreak/>
        <w:t>场研究和券种选择、数量分析师的定量投资策略研究，结合本基金产品定位及风险控制的要求，在权限范围内制定具体的投资组合方案；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（九）基金的投资组合报告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本基金托管人中国建设银行根据本基金合同规定，于2022年07月19日复核了本报告中的财务指标、净值表现和投资组合报告等内容，保证复核内容不存在虚假记载、误导性陈述或者重大遗漏。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本报告期为2022年04月01日起至06月30日。本报告财务资料未经审计师审计。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576,696,184.35</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91.70</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576,696,184.35</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91.70</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41,077,561.80</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6.53</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11,096,344.53</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1.76</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628,870,090.68</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报告期末指数投资按行业分类的境内股票投资组合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532,188,103.02</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86.43</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25,560,427.02</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4.15</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12,522,735.00</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2.03</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4,463,841.00</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0.72</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B33D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574,735,106.04</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93.34</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报告期末积极投资按行业分类的境内股票投资组合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1,372,513.20</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D</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33,438.70</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17,099.50</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332,594.34</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12,046.02</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193,386.55</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B33D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1,961,078.31</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0.32</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 报告期末按行业分类的港股通投资股票投资组合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报告期末指数投资按公允价值占基金资产净值比例大小排序的前十名股票投资明细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167,187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89,277,858.00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14.50</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601012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隆基绿能</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909,236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60,582,394.68</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9.84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002594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比亚迪</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133,614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44,558,932.86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7.24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600438</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通威股份</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415,904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24,896,013.44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4.04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002129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TCL</w:t>
            </w:r>
            <w:r>
              <w:rPr>
                <w:rFonts w:ascii="Times New Roman" w:hAnsi="Times New Roman"/>
                <w:color w:val="000000"/>
                <w:kern w:val="0"/>
                <w:sz w:val="25"/>
                <w:szCs w:val="24"/>
              </w:rPr>
              <w:t>中环</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373,000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21,965,970.00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3.57</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002812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恩捷股份</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79,516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19,914,782.20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3.23</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300124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汇川技术</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293,459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19,330,144.33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3.14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300014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亿纬锂能</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197,760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19,281,600.00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3.13</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603799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华友钴业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198,572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18,987,454.64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3.08</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002460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赣锋锂业</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126,186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18,763,858.20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3.05</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 报告期末积极投资按公允价值占基金资产净值比例大小排序的前五名股票投资明细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688223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晶科能源</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54,883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794,157.01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688238</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和元生物</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12,836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325,007.52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688400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凌云光</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9,765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214,146.45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301239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普瑞</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5,747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193,386.55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688237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超卓航科</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2,891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119,311.57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57,252.94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79,784.07</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10,959,307.52</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11,096,344.53</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报告期末股票中存在流通受限情况的说明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报告期末指数投资前十名股票中存在流通受限情况的说明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报告期末积极投资前五名股票中存在流通受限情况的说明</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流通受限部分的公允价值（元）</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688223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晶科能源</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794,157.01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限售股</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688238</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和元生物</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325,007.52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限售股</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688400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凌云光</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214,146.45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新股未上市</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301239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普瑞眼科</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174,037.80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新股未上市</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301239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普瑞眼科</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19,348.75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限售股</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688237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超卓</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119,311.57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新股未上市</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13" w:name="_Toc116465343"/>
      <w:r>
        <w:rPr>
          <w:rFonts w:ascii="Times New Roman" w:hAnsi="Times New Roman"/>
          <w:sz w:val="30"/>
        </w:rPr>
        <w:lastRenderedPageBreak/>
        <w:t>十、基金的业绩</w:t>
      </w:r>
      <w:bookmarkEnd w:id="13"/>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基金业绩截止日为2022年06月30日，所载财务数据未经审计师审计。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1、本报告期基金份额净值增长率及其与同期业绩比较基准收益率的比较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（1）交银国证新能源指数（LOF）A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17.42%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2.40%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17.21%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2.42%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-1.32%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2.26%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-1.55%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2.29%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39.20%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37.11%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2.09%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12.88%</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1.87%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12.57%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1.89%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0.31%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（2）交银国证新能源指数（LOF）C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17.37%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2.40%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17.21%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2.42%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-1.42%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2.26%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-1.55%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2.29%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B33D2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2021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4.99%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1.79%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5.02%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1.81%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bl>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注：本基金的业绩比较基准为国证新能源指数收益率×95%＋银行活期存款利率（税后）×5%，每日进行再平衡过程。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w:t>
      </w:r>
      <w:r>
        <w:rPr>
          <w:rFonts w:ascii="宋体" w:hAnsi="宋体"/>
          <w:sz w:val="24"/>
        </w:rPr>
        <w:lastRenderedPageBreak/>
        <w:t>准收益率变动的比较</w:t>
      </w:r>
    </w:p>
    <w:p w:rsidR="00B33D26" w:rsidRDefault="0010339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交银施罗德国证新能源指数证券投资基金</w:t>
      </w:r>
    </w:p>
    <w:p w:rsidR="00B33D26" w:rsidRDefault="0010339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B33D26" w:rsidRDefault="0010339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（2020年11月30日至2022年06月30日）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（1）交银国证新能源指数（LOF）A</w:t>
      </w:r>
    </w:p>
    <w:p w:rsidR="00B33D26" w:rsidRDefault="002B4EE9">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（2）交银国证新能源指数（LOF）C</w:t>
      </w:r>
    </w:p>
    <w:p w:rsidR="00B33D26" w:rsidRDefault="002B4EE9">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注：1、本基金建仓期为自基金合同生效日起的6个月。截至建仓期结束，本基金各项资产配置比例符合基金合同及招募说明书有关投资比例的约定。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2、本基金自2021年9月29日起，开始销售C类份额，投资者提交的申购申请于2021年9月30日被确认并将有效份额登记在册。</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14" w:name="_Toc116465344"/>
      <w:r>
        <w:rPr>
          <w:rFonts w:ascii="Times New Roman" w:hAnsi="Times New Roman"/>
          <w:sz w:val="30"/>
        </w:rPr>
        <w:lastRenderedPageBreak/>
        <w:t>十一、基金的财产</w:t>
      </w:r>
      <w:bookmarkEnd w:id="14"/>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基金资产总值是指基金拥有的各类有价证券、股指期货合约、银行存款本息、基金应收申购款及其他资产的价值总和。</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15" w:name="_Toc116465345"/>
      <w:r>
        <w:rPr>
          <w:rFonts w:ascii="Times New Roman" w:hAnsi="Times New Roman"/>
          <w:sz w:val="30"/>
        </w:rPr>
        <w:lastRenderedPageBreak/>
        <w:t>十二、基金资产的估值</w:t>
      </w:r>
      <w:bookmarkEnd w:id="15"/>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基金所拥有的股票、债券、衍生工具和其他投资等持续以公允价值计量的金融资产及负债。</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（三）估值原则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（四）估值方法</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（2）交易所上市交易或挂牌转让的固定收益品种（另有规定的除外），选取估值日第三方估值机构提供的相应品种当日的估值净价进行估值；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（4）交易所上市实行全价交易的债券（可转债除外），选取第三方估值机构提供的估值全价减去估值全价中所含的债券（税后）应收利息得到的净价进行估值；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（5）交易所上市不存在活跃市场的有价证券，采用估值技术确定公允价值。交易所市场挂牌转让的资产支持证券，采用估值技术确定公允价值；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（1）送股、转增股、配股和公开增发的新股，按估值日在证券交易所挂牌的同一股票的估值方法估值；该日无交易的，以最近一日的市价（收盘价）估值；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（2）首次公开发行未上市的股票和债券，采用估值技术确定公允价值，在估值技术难以可靠计量公允价值的情况下，按成本估值；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（3）在发行时明确一定期限限售期的股票，包括但不限于非公开发行股票、首次公开发行股票时公司股东公开发售股份、通过大宗交易取得的带限售期的股票</w:t>
      </w:r>
      <w:r>
        <w:rPr>
          <w:rFonts w:ascii="宋体" w:hAnsi="宋体"/>
          <w:sz w:val="24"/>
        </w:rPr>
        <w:lastRenderedPageBreak/>
        <w:t>等，不包括停牌、新发行未上市、回购交易中的质押券等流通受限股票，按监管机构或行业协会有关规定确定公允价值。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6、当发生大额申购或赎回情形时，基金管理人可以采用摆动定价机制，以确保基金估值的公平性。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基金管理人于每个工作日计算各类基金份额的基金资产净值及基金份额净值，并按规定公告。如遇特殊情况，经履行适当程序，可以适当延迟计算或公告。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（六）估值错误的处理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基金管理人和基金托管人将采取必要、适当、合理的措施确保基金资产估值的准确性、及时性。当任一类基金份额净值小数点后4位以内（含第4位）发生估值错误时，视为该类基金份额净值错误。</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（2）估值错误的责任方对有关当事人的直接损失负责，不对间接损失负责，并且仅对估值错误的有关直接当事人负责，不对第三方负责。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（2）错误偏差达到该类基金份额净值的0.25%时，基金管理人应当通报基金托管人并报中国证监会备案；错误偏差达到该类基金份额净值的0.5%时，基金管理人应当公告，并报中国证监会备案。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（七）暂停估值的情形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w:t>
      </w:r>
      <w:r>
        <w:rPr>
          <w:rFonts w:ascii="宋体" w:hAnsi="宋体"/>
          <w:sz w:val="24"/>
        </w:rPr>
        <w:lastRenderedPageBreak/>
        <w:t>业时；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3、当前一估值日基金资产净值50%以上的资产出现无可参考的活跃市场价格且采用估值技术仍导致公允价值存在重大不确定性时，经与基金托管人协商确认后，基金管理人应当暂停估值；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（八）基金净值的确认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（九）特殊情形的处理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16" w:name="_Toc116465346"/>
      <w:r>
        <w:rPr>
          <w:rFonts w:ascii="Times New Roman" w:hAnsi="Times New Roman"/>
          <w:sz w:val="30"/>
        </w:rPr>
        <w:lastRenderedPageBreak/>
        <w:t>十三、基金收益与分配</w:t>
      </w:r>
      <w:bookmarkEnd w:id="16"/>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1、在符合有关基金分红条件的前提下，本基金管理人可以根据实际情况进行收益分配，具体分配方案以公告为准；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场外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场内基金份额具体收益分配程序等有关事项遵循深圳证券交易所及登记机构的相关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3、基金收益分配后任一类基金份额净值不能低于面值；即基金收益分配基准日的任一类基金份额净值减去每单位该类基金份额收益分配金额后不能低于面值；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4、由于本基金A类基金份额不收取销售服务费，C类基金份额收取销售服务费，各基金份额类别对应的可供分配利润将有所不同；本基金同一基金份额类别的每一基金份额享有同等分配权；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本基金收益分配方案由基金管理人拟定，并由基金托管人复核，依照《信息披露办法》的规定在规定媒介公告。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（六）基金收益分配中发生的费用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于场外份额，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对于场内份额，现金分红的计算方法等有关事项遵循深圳证券交易所及中国证券登记结算有限责任公司的相关规定。</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17" w:name="_Toc116465347"/>
      <w:r>
        <w:rPr>
          <w:rFonts w:ascii="Times New Roman" w:hAnsi="Times New Roman"/>
          <w:sz w:val="30"/>
        </w:rPr>
        <w:lastRenderedPageBreak/>
        <w:t>十四、基金的费用与税收</w:t>
      </w:r>
      <w:bookmarkEnd w:id="17"/>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3、基金标的指数许可使用费；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4、基金上市初费及上市年费；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5、《基金合同》生效后与基金相关的信息披露费用；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6、《基金合同》生效后与基金相关的会计师费、律师费、仲裁费和诉讼费；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7、基金份额持有人大会费用；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8、基金的证券、期货交易费用；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9、基金的银行汇划费用；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10、基金的开户费用、账户维护费用；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11、本基金从C类基金份额的基金财产中计提的销售服务费；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12、按照国家有关规定和《基金合同》约定，可以在基金财产中列支的其他费用。</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本基金的管理费按前一日基金资产净值的1.0%年费率计提。管理费的计算方法如下：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H＝E×年管理费率÷当年天数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合同生效日起，基金管理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本基金的托管费按前一日基金资产净值的0.2%年费率计提。托管费的计算方法如下：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H＝E×年托管费率÷当年天数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合同生效日起，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本基金A类基金份额不收取销售服务费，C类基金份额的销售服务费按前一日C类基金资产净值的0.2%年费率计提。计算方法如下：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C类基金份额的销售服务费将专门用于本基金的市场推广、销售与基金份额持有人服务。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（4）标的指数许可使用费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作为指数基金，需根据与深圳证券信息有限公司签署的指数使用许可协议的约定向深圳证券信息有限公司支付标的指数许可使用费。本基金标的指数许可使用费年费率为0.02%，标的指数许可使用费的收取下限为每季度5万元，若季度不足5万元时按照5万元收取。标的指数许可使用费在通常情况下按前一日基金资产净值的0.02%的年费率计提，计算方法如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H＝E×0.02%÷当年天数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H为每日应计提的基金标的指数许可使用费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规定媒介进行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（5）上述“（一）基金费用的种类”中第4－10项、第12项费用，根据有关法规及相应协议规定，按费用实际支出金额列入当期费用，由基金托管人从基金财产中支付。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3、《交银施罗德国证新能源指数分级证券投资基金基金合同》生效前的相关费用；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（四）基金税收</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本基金运作过程中涉及的各纳税主体，其纳税义务按国家税收法律、法规执</w:t>
      </w:r>
      <w:r w:rsidRPr="00BB248E">
        <w:rPr>
          <w:rFonts w:ascii="宋体" w:hAnsi="宋体" w:hint="eastAsia"/>
          <w:b/>
          <w:kern w:val="0"/>
          <w:sz w:val="24"/>
        </w:rPr>
        <w:lastRenderedPageBreak/>
        <w:t>行。基金财产投资的相关税收，由基金份额持有人承担，基金管理人或者其他扣缴义务人按照国家有关税收征收的规定代扣代缴。</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18" w:name="_Toc116465348"/>
      <w:r>
        <w:rPr>
          <w:rFonts w:ascii="Times New Roman" w:hAnsi="Times New Roman"/>
          <w:sz w:val="30"/>
        </w:rPr>
        <w:lastRenderedPageBreak/>
        <w:t>十五、基金的会计与审计</w:t>
      </w:r>
      <w:bookmarkEnd w:id="18"/>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1、基金管理人聘请与基金管理人、基金托管人相互独立的符合《中华人民共和国证券法》规定的会计师事务所及其注册会计师对本基金的年度财务报表进行审计。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3、基金管理人认为有充足理由更换会计师事务所，须通报基金托管人。更换会计师事务所需依照《信息披露办法》的规定在规定媒介公告。</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19" w:name="_Toc116465349"/>
      <w:r>
        <w:rPr>
          <w:rFonts w:ascii="Times New Roman" w:hAnsi="Times New Roman"/>
          <w:sz w:val="30"/>
        </w:rPr>
        <w:lastRenderedPageBreak/>
        <w:t>十六、基金的信息披露</w:t>
      </w:r>
      <w:bookmarkEnd w:id="19"/>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公开披露的基金信息包括：</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证监会变更注册后，并在本基金正式实施转型前，基金管理人按照《信息披露办法》的规定，将基金招募说明书提示性公告和《基金合同》提示性公告登载在规定报刊上，将基金招募说明书、基金产品资料概要、《基金合同》和基金托管协议登载在规定网站上，并将基金产品资料概要登载在基金销售机构网站或营业网点；基金托管人应当同时将《基金合同》、基金托管协议登载在网站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2、上市交易公告书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基金份额获准在深圳证券交易所上市交易的，基金管理人应当在基金份额上市交易3个工作日前，将基金份额上市交易公告书登载在规定网站上，并将上市交易公告书提示性公告登载在规定报刊上。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3、基金净值信息</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《基金合同》生效后，在开始办理基金份额申购或者赎回前，基金管理人应当至少每周在规定网站分别披露一次A类基金份额和C类基金份额所对应的基金份额净值和基金份额累计净值。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开始办理基金份额申购或者赎回后，基金管理人应当在不晚于每个开放日的次日，通过规定网站、基金销售机构网站或者营业网点分别披露开放日的A类基金份额和C类基金份额所对应的基金份额净值和基金份额累计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基金管理人应当在不晚于半年度和年度最后一日的次日，在规定网站披露半年度和年度最后一日A类基金份额和C类基金份额所对应的基金份额净值和基金份额累计净值。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4、基金份额申购、赎回价格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5、基金定期报告，包括基金年度报告、基金中期报告和基金季度报告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6、临时报告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本基金发生重大事件，有关信息披露义务人应当依照《信息披露办法》的规定编制临时报告书，并登载在规定报刊和规定网站上。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（1）基金份额持有人大会的召开及决定的事项；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（8）基金管理人的高级管理人员、基金经理和基金托管人专门基金托管部门负责人发生变动；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（9）基金管理人的董事在最近12个月内变更超过百分之五十，基金管理人、基金托管人专门基金托管部门的主要业务人员在最近12个月内变动超过百分之三十；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（10）涉及基金财产、基金管理业务、基金托管业务的诉讼或仲裁；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（11）基金管理人或其高级管理人员、基金经理因基金管理业务相关行为受到重大行政处罚、刑事处罚，基金托管人或其专门基金托管部门负责人因基金托管业务相关行为受到重大行政处罚、刑事处罚；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（13）基金收益分配事项；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（14）管理费、托管费、销售服务费、申购费、赎回费、标的指数许可使用费等费用计提标准、计提方式和费率发生变更；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（15）任一类基金份额净值计价错误达该类基金份额净值百分之零点五；</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（16）本基金开始办理申购、赎回；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（17）本基金发生巨额赎回并延期办理；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（18）本基金连续发生巨额赎回并暂停接受赎回申请或延缓支付赎回款项；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（19）本基金暂停接受申购、赎回申请或重新接受申购、赎回申请；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（20）发生涉及基金申购、赎回事项调整或潜在影响投资者赎回等重大事项时；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（21）基金管理人采用摆动定价机制进行估值；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（22）基金份额停牌、复牌、暂停上市、恢复上市或终止上市交易；</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（25）《基金合同》生效后，本基金连续30、40、45个工作日出现基金份额持有人数量不满200人或者基金资产净值低于5000万元情形，基金管理人应当发布提示性公告；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7、澄清公告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8、基金份额持有人大会决议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9、清算报告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事由出现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10、基金投资资产支持证券情况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w:t>
      </w:r>
      <w:r>
        <w:rPr>
          <w:rFonts w:ascii="宋体" w:hAnsi="宋体"/>
          <w:sz w:val="24"/>
        </w:rPr>
        <w:lastRenderedPageBreak/>
        <w:t>券总额、资产支持证券市值占基金净资产的比例和报告期末按市值占基金净资产比例大小排序的前10名资产支持证券明细。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11、基金投资股指期货情况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基金上市交易的证券交易所网站披露信息，并且在不同媒介上披露同一信息的内容应当一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（七）信息披露文件的存放与查阅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依法必须披露的信息发布后，基金管理人、基金托管人应当按照相关法律法规规定将信息置备于各自办公场所、基金上市交易的证券交易所网站，供社会公众查阅、复制。</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20" w:name="_Toc116465350"/>
      <w:r>
        <w:rPr>
          <w:rFonts w:ascii="Times New Roman" w:hAnsi="Times New Roman"/>
          <w:sz w:val="30"/>
        </w:rPr>
        <w:lastRenderedPageBreak/>
        <w:t>十七、风险揭示</w:t>
      </w:r>
      <w:bookmarkEnd w:id="20"/>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投资人应当认真阅读《基金合同》、《招募说明书》等基金法律文件，了解基金的风险收益特征，并根据自身的投资目的、投资期限、投资经验、资产状况等判断基金是否和投资人的风险承受能力相适应。</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基金份额持有人须了解并承受以下风险：</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w:t>
      </w:r>
      <w:r>
        <w:rPr>
          <w:rFonts w:ascii="宋体" w:hAnsi="宋体"/>
          <w:sz w:val="24"/>
        </w:rPr>
        <w:lastRenderedPageBreak/>
        <w:t>金份额净值。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巨额赎回的场外处理方式：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的基金份额净值为基础计算赎回金额，以此类推，直到全部赎回为止。如投资人在提交赎回申请时未作明确选择，投资人未能赎回部分</w:t>
      </w:r>
      <w:r>
        <w:rPr>
          <w:rFonts w:ascii="宋体" w:hAnsi="宋体"/>
          <w:sz w:val="24"/>
        </w:rPr>
        <w:lastRenderedPageBreak/>
        <w:t>作自动延期赎回处理。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的基金份额净值为基础计算赎回金额，以此类推，直到全部赎回为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场内赎回申请按照深圳证券交易所相应规则进行处理。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场外巨额赎回申请（场内赎回申请按照深圳证券交易所相应规则进行处理）、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（四）信用风险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基金在交易过程中发生交收违约，或者基金所投资债券之发行人出现违约、拒绝支付到期本息，都可能导致基金资产损失和收益变化，从而产生风险。</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（五）本基金投资策略所特有的指数化投资风险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1、标的指数回报与股票市场平均回报偏离的风险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标的指数并不能完全代表整个股票市场。标的指数成份股的平均回报率与整个股票市场的平均回报率可能存在偏离。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2、标的指数波动的风险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标的指数成份股的价格可能受到政治因素、经济因素、上市公司经营状况、投资人心理和交易制度等各种因素的影响而波动，导致指数波动，从而使基金收益水平发生变化，产生风险。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3、基金投资组合回报与标的指数回报偏离的风险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以下因素可能使基金投资组合的收益率与标的指数的收益率发生偏离：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（1）由于标的指数调整成份股或变更编制方法，使本基金在相应的组合调整中产生跟踪偏离度与跟踪误差。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（2）由于标的指数成份股发生配股、增发等行为导致成份股在标的指数中的权重发生变化，使本基金在相应的组合调整中产生跟踪偏离度和跟踪误差。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（3）标的指数成份股派发现金红利、新股市值配售收益将导致基金收益率超过标的指数收益率，产生正的跟踪偏离度。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（4）由于标的指数成份股停牌、摘牌或流动性差等原因使本基金无法及时调整投资组合或承担冲击成本而产生跟踪偏离度和跟踪误差。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（5）因法律法规的限制或其他限制，本基金可能不能投资于部分标的指数成份股。在使用替代方法，如投资同行业中相关性较高的股票以替代上述投资受限股票时，会产生一定的跟踪偏离度和跟踪误差。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（6）基金有投资成本、各种费用及税收，而指数编制不考虑费用和税收，这将导致基金收益率落后于标的指数收益率，产生负的跟踪偏离度。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（7）在本基金指数化投资过程中，基金管理人的管理能力，例如跟踪指数的水平、技术手段、买入卖出的时机选择等，都会对本基金的收益产生影响，从而影响本基金对标的指数的跟踪程度。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4、标的指数变更的风险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可能性很小，但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5、跟踪误差控制未达约定目标的风险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本基金力争控制本基金日均跟踪偏离度的绝对值不超过0.35%，年跟踪误差不超过4%。但因标的指数编制规则调整或其他因素可能导致跟踪误差超过上述范围，本基金净值表现与指数价格走势可能发生较大偏离。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6、指数编制机构停止服务的风险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7、成份股停牌的风险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标的指数成份股可能因各种原因临时或长期停牌，发生成份股停牌时可能面临如下风险：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（1）基金可能因无法及时调整投资组合而导致跟踪偏离度和跟踪误差扩大。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（2）若成份股停牌时间较长，在约定时间内仍未能及时买入或卖出的，由此可能影响投资者的投资损益并使基金产生跟踪偏离度和跟踪误差。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极端情况下，标的指数成份股可能大面积停牌，基金可能无法及时卖出成份股以获取足额的符合要求的赎回款项，由此基金管理人可能采取暂停赎回的措施，投资者将面临无法赎回全部或部分基金份额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（六）本基金的特有风险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1、基金上市交易的风险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在符合相关法律法规要求的前提下将申请在深圳证券交易所挂牌上市，由于上市期间可能因信息披露导致基金停牌，投资者在停牌期间不能买卖本基金上市交易份额，产生风险；同时，可能因上市后交易对手不足而产生流动性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2、基金份额二级市场交易价格折溢价的风险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本基金将通过有效的套利机制使A类基金份额二级市场交易价格的折溢价控制在一定范围内，但A类基金份额在证券交易所的交易价格受诸多因素影响，存在不同于A类基金份额的基金份额净值的情形，即存在价格折溢价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因本基金A类基金份额不再符合证券交易所上市条件被终止上市，或被基金份额持有人大会决议提前终止上市，导致A类基金份额不能继续进行二级市场交易的风险。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4、本基金为股票型基金，投资于国证新能源指数成份股及其备选成份股的比例不低于非现金基金资产的90%，因投资权益类资产而面临权益类资产市场的系统性风险和个股风险；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5、基金合同提前终止风险。连续50个工作日出现基金份额持有人数量不满200人或者基金资产净值低于5000万元情形的，基金管理人提前终止基金合同，不需召开基金份额持有人大会。</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（七）投资股指期货的特定风险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w:t>
      </w:r>
      <w:r>
        <w:rPr>
          <w:rFonts w:ascii="宋体" w:hAnsi="宋体"/>
          <w:sz w:val="24"/>
        </w:rPr>
        <w:lastRenderedPageBreak/>
        <w:t>是股指期货投资中最主要的风险。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（八）投资资产支持证券的特定风险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（九）投资流通受限证券的特定风险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（十）投资科创板股票的特定风险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w:t>
      </w:r>
      <w:r>
        <w:rPr>
          <w:rFonts w:ascii="宋体" w:hAnsi="宋体"/>
          <w:sz w:val="24"/>
        </w:rPr>
        <w:lastRenderedPageBreak/>
        <w:t>盈利、现金流、估值均存在不确定性，与传统二级市场投资存在差异，整体投资难度加大，个股市场风险加大。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（十一）其他风险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6、战争、自然灾害等不可抗力可能导致基金财产的损失，影响基金收益水平，从而带来风险；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21" w:name="_Toc116465351"/>
      <w:r>
        <w:rPr>
          <w:rFonts w:ascii="Times New Roman" w:hAnsi="Times New Roman"/>
          <w:sz w:val="30"/>
        </w:rPr>
        <w:lastRenderedPageBreak/>
        <w:t>十八、基金合同的变更、终止与基金财产的清算</w:t>
      </w:r>
      <w:bookmarkEnd w:id="21"/>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3、基金财产清算小组职责：基金财产清算小组负责基金财产的保管、清理、估价、变现和分配。基金财产清算小组可以依法进行必要的民事活动。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22" w:name="_Toc116465352"/>
      <w:r>
        <w:rPr>
          <w:rFonts w:ascii="Times New Roman" w:hAnsi="Times New Roman"/>
          <w:sz w:val="30"/>
        </w:rPr>
        <w:lastRenderedPageBreak/>
        <w:t>十九、基金合同内容摘要</w:t>
      </w:r>
      <w:bookmarkEnd w:id="22"/>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（15）选择、更换律师事务所、会计师事务所、证券经纪商、期货经纪机构或其他为基金提供服务的外部机构；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（16）在符合有关法律、法规的前提下，制定和调整有关基金申购、赎回、转换等的业务规则；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（1）依法募集资金，办理或者委托经中国证监会认定的其他机构办理基金份额的销售、申购、赎回和登记事宜；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（8）采取适当合理的措施使计算基金份额申购、赎回和注销价格的方法符合《基金合同》等法律文件的规定，按有关规定计算并公告基金净值信息，确定基金份额申购、赎回的价格；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（24）执行生效的基金份额持有人大会的决议；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（25）建立并保存基金份额持有人名册；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（26）法律法规及中国证监会规定的和《基金合同》约定的其他义务。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w:t>
      </w:r>
      <w:r>
        <w:rPr>
          <w:rFonts w:ascii="宋体" w:hAnsi="宋体"/>
          <w:sz w:val="24"/>
        </w:rPr>
        <w:lastRenderedPageBreak/>
        <w:t>的其他费用；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（4）根据相关市场规则，为基金开设资金账户、证券账户等投资所需账户、为基金办理证券、期货交易资金清算；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（8）复核、审查基金管理人计算的基金资产净值、各类基金份额净值、基金份额申购、赎回价格；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w:t>
      </w:r>
      <w:r>
        <w:rPr>
          <w:rFonts w:ascii="宋体" w:hAnsi="宋体"/>
          <w:sz w:val="24"/>
        </w:rPr>
        <w:lastRenderedPageBreak/>
        <w:t>管理人有未执行《基金合同》规定的行为，还应当说明基金托管人是否采取了适当的措施；</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同一类别的每份基金份额具有同等的合法权益。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（2）参与分配清算后的剩余基金财产；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（3）依法并按照基金合同和招募说明书的规定转让或者申请赎回其持有的基金份额；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（4）交纳基金申购款项及法律法规和《基金合同》所规定的费用；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（9）遵守基金管理人、基金托管人、深圳证券交易所、销售机构和登记机构的相关交易及业务规则；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w:t>
      </w:r>
      <w:r>
        <w:rPr>
          <w:rFonts w:ascii="宋体" w:hAnsi="宋体"/>
          <w:sz w:val="24"/>
        </w:rPr>
        <w:lastRenderedPageBreak/>
        <w:t>有权代表基金份额持有人出席会议并表决。基金份额持有人持有的每一基金份额拥有平等的投票权。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5）调整基金管理人、基金托管人的报酬标准或提高销售服务费率；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13）终止基金份额上市，但因基金不再具备上市条件而被深圳证券交易所终止上市的、以及基金合同另有约定的除外；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14）法律法规、《基金合同》或中国证监会规定的其他应当召开基金份额持有人大会的事项。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1）法律法规要求增加的基金费用的收取；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2）在法律法规和《基金合同》规定的范围内调整本基金的申购费率、调低赎回费率及销售服务费率、在对现有基金份额持有人利益无实质性不利影响的前提下</w:t>
      </w:r>
      <w:r>
        <w:rPr>
          <w:rFonts w:ascii="宋体" w:hAnsi="宋体"/>
          <w:sz w:val="24"/>
        </w:rPr>
        <w:lastRenderedPageBreak/>
        <w:t>变更收费方式；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3）因相应的法律法规、深圳证券交易所或登记机构的相关业务规则发生变动而应当对《基金合同》进行修改；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4）对《基金合同》的修改对基金份额持有人利益无实质性不利影响或修改不涉及《基金合同》当事人权利义务关系发生重大变化；</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5）在法律法规允许的情况下，且在对现有基金份额持有人利益无实质性不利影响的前提下，基金推出新业务或服务；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6）在符合法律法规及本基金合同规定、并且对基金份额持有人利益无实质不利影响的前提下，调整本基金份额类别的设置；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7）在不违反法律法规及对基金份额持有人利益无实质性不利影响的前提下，基金管理人、登记机构、销售机构调整有关基金申购、赎回、转换、收益分配、非交易过户、转托管、上市交易等业务的规则；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8）标的指数调整指数编制方法，以及变更业绩比较基准；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9）根据基金管理人与标的指数提供商签订的相应指数使用许可协议变更标的指数许可使用费费率和计费方式；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10）按照法律法规和《基金合同》规定不需召开基金份额持有人大会的其他情形。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w:t>
      </w:r>
      <w:r>
        <w:rPr>
          <w:rFonts w:ascii="宋体" w:hAnsi="宋体"/>
          <w:sz w:val="24"/>
        </w:rPr>
        <w:lastRenderedPageBreak/>
        <w:t>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w:t>
      </w:r>
      <w:r>
        <w:rPr>
          <w:rFonts w:ascii="宋体" w:hAnsi="宋体"/>
          <w:sz w:val="24"/>
        </w:rPr>
        <w:lastRenderedPageBreak/>
        <w:t>通知基金管理人和基金托管人到指定地点对表决意见的计票进行监督。基金管理人或基金托管人拒不派代表对表决意见的计票进行监督的，不影响表决意见的计票效力。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w:t>
      </w:r>
      <w:r>
        <w:rPr>
          <w:rFonts w:ascii="宋体" w:hAnsi="宋体"/>
          <w:sz w:val="24"/>
        </w:rPr>
        <w:lastRenderedPageBreak/>
        <w:t>加收取表决意见的，不影响表决效力；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w:t>
      </w:r>
      <w:r>
        <w:rPr>
          <w:rFonts w:ascii="宋体" w:hAnsi="宋体"/>
          <w:sz w:val="24"/>
        </w:rPr>
        <w:lastRenderedPageBreak/>
        <w:t>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w:t>
      </w:r>
      <w:r>
        <w:rPr>
          <w:rFonts w:ascii="宋体" w:hAnsi="宋体"/>
          <w:sz w:val="24"/>
        </w:rPr>
        <w:lastRenderedPageBreak/>
        <w:t>议、逐项表决。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（1）基金财产清算小组：自出现《基金合同》终止事由之日起30个工作日内成立清算小组，基金管理人组织基金财产清算小组并在中国证监会的监督下进行基金清算。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w:t>
      </w:r>
      <w:r>
        <w:rPr>
          <w:rFonts w:ascii="宋体" w:hAnsi="宋体"/>
          <w:sz w:val="24"/>
        </w:rPr>
        <w:lastRenderedPageBreak/>
        <w:t>个工作日内由基金财产清算小组进行公告，基金财产清算小组应当将清算报告登载在规定网站上，并将清算报告提示性公告登载在规定报刊上。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（五）基金合同存放地和投资者取得基金合同的方式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23" w:name="_Toc116465353"/>
      <w:r>
        <w:rPr>
          <w:rFonts w:ascii="Times New Roman" w:hAnsi="Times New Roman"/>
          <w:sz w:val="30"/>
        </w:rPr>
        <w:lastRenderedPageBreak/>
        <w:t>二十、托管协议的内容摘要</w:t>
      </w:r>
      <w:bookmarkEnd w:id="23"/>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注册资本：贰亿元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名称：中国建设银行股份有限公司(简称：中国建设银行)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邮政编码：100033</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成立日期：2004年09月17日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基金托管业务批准文号：中国证监会证监基字[1998]12号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注册资本：贰仟伍佰亿壹仟零玖拾柒万柒仟肆佰捌拾陆元整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Pr>
          <w:rFonts w:ascii="宋体" w:hAnsi="宋体"/>
          <w:sz w:val="24"/>
        </w:rPr>
        <w:lastRenderedPageBreak/>
        <w:t>信用证服务及担保；代理收付款项及代理保险业务；提供保管箱服务；经中国银行业监督管理机构等监管部门批准的其他业务。</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基金的投资组合比例为：本基金的股票资产投资比例不低于基金资产的 90%，本基金投资于国证新能源指数的成份股及其备选成份股的比例不低于非现金基金资产的90%，每个交易日日终在扣除股指期货合约需缴纳的交易保证金以后，持有现金或到期日在一年以内的政府债券的比例不低于基金资产净值的5%，其中现金不包括结算备付金、存出保证金、应收申购款等。如果法律法规或中国证监会变更投资品种的投资比例限制，基金管理人在履行适当程序后，可以调整上述投资品种的投资比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（1）本基金的股票资产投资比例不低于基金资产的90%，本基金投资于国证新能源指数的成份股及其备选成份股的比例不低于非现金基金资产的90%；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（2）本基金每个交易日日终在扣除股指期货合约需缴纳的交易保证金后，保持不低于基金资产净值5％的现金或者到期日在一年以内的政府债券，其中现金不包括结算备付金、存出保证金、应收申购款等；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（3）本基金投资于同一原始权益人的各类资产支持证券的比例，不得超过基金资产净值的10%；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（4）本基金持有的全部资产支持证券，其市值不得超过基金资产净值的20%；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（5）本基金持有的同一(指同一信用级别)资产支持证券的比例，不得超过该资产支持证券规模的10%；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（6）本基金管理人管理且由本基金托管人托管的全部基金投资于同一原始权益人的各类资产支持证券，不得超过其各类资产支持证券合计规模的10%；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（7）本基金应投资于信用级别评级为BBB以上(含BBB)的资产支持证券。基金持有资产支持证券期间，如果其信用等级下降、不再符合投资标准，应在评级报告发布之日起3个月内予以全部卖出；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（8）基金财产参与股票发行申购，本基金所申报的金额不超过本基金的总资产，本基金所申报的股票数量不超过拟发行股票公司本次发行股票的总量；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（9）本基金进入全国银行间同业市场进行债券回购的资金余额不得超过基金资产净值的40%，进入全国银行间同业市场进行债券回购的最长期限为1年，债券回购到期后不得展期；</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（10）本基金参与股指期货交易，则：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3）本基金在任何交易日日终，持有的卖出股指期货合约价值不得超过基金持有的股票总市值的20%；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（11）本基金的基金资产总值不得超过基金资产净值的140%；</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（12）本基金主动投资于流动性受限资产的市值合计不得超过基金资产净值的</w:t>
      </w:r>
      <w:r>
        <w:rPr>
          <w:rFonts w:ascii="宋体" w:hAnsi="宋体"/>
          <w:sz w:val="24"/>
        </w:rPr>
        <w:lastRenderedPageBreak/>
        <w:t>15%；因证券市场波动、上市公司股票停牌、基金规模变动等基金管理人之外的因素致使基金不符合该比例限制的，基金管理人不得主动新增流动性受限资产的投资；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（13）法律法规及中国证监会规定的和《基金合同》约定的其他投资限制。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7）、（12）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3、基金托管人根据有关法律法规的规定及《基金合同》的约定，对本托管协议第十五条第九款基金投资禁止行为通过事后监督方式进行监督。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w:t>
      </w:r>
      <w:r>
        <w:rPr>
          <w:rFonts w:ascii="宋体" w:hAnsi="宋体"/>
          <w:sz w:val="24"/>
        </w:rPr>
        <w:lastRenderedPageBreak/>
        <w:t>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5、基金托管人根据有关法律法规的规定及《基金合同》的约定，对基金管理人投资流通受限证券进行监督。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本基金投资的流通受限证券限于可由中国证券登记结算有限责任公司或中央国债登记结算有限责任公司负责登记和存管，并可在证券交易所或全国银行间债券市场交易的证券。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w:t>
      </w:r>
      <w:r>
        <w:rPr>
          <w:rFonts w:ascii="宋体" w:hAnsi="宋体"/>
          <w:sz w:val="24"/>
        </w:rPr>
        <w:lastRenderedPageBreak/>
        <w:t>失，及因流通受限证券存管直接影响本基金安全的责任及损失，由基金管理人承担。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本基金投资流通受限证券，不得预付任何形式的保证金。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1）中国证监会批准发行非公开发行股票的批准文件。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2）非公开发行股票有关发行数量、发行价格、锁定期等发行资料。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3）非公开发行股票发行人与中国证券登记结算有限责任公司或中央国债登记结算有限责任公司签订的证券登记及服务协议。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4）基金拟认购的数量、价格、总成本、账面价值。</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本基金有关投资流通受限证券比例如违反有关限制规定，在合理期限内未能进行及时调整，基金管理人应依照《信息披露办法》的规定编制临时报告书，予以公告。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（5）基金托管人根据有关规定有权对基金管理人进行以下事项监督：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1）本基金投资流通受限证券时的法律法规遵守情况。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2）在基金投资流通受限证券管理工作方面有关制度、流动性风险处置预案的建立与完善情况。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3）有关比例限制的执行情况。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4）信息披露情况。</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（6）相关法律法规对基金投资流通受限证券有新规定的，从其规定。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9、若基金托管人发现基金管理人依据交易程序已经生效的指令违反法律、行政法规和其他有关规定，或者违反《基金合同》约定的，应当立即通知基金管理人，由此造成的损失由基金管理人承担。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w:t>
      </w:r>
      <w:r>
        <w:rPr>
          <w:rFonts w:ascii="宋体" w:hAnsi="宋体"/>
          <w:sz w:val="24"/>
        </w:rPr>
        <w:lastRenderedPageBreak/>
        <w:t>碍对方进行有效监督，情节严重或经基金托管人提出警告仍不改正的，基金托管人应报告中国证监会。</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w:t>
      </w:r>
      <w:r>
        <w:rPr>
          <w:rFonts w:ascii="宋体" w:hAnsi="宋体"/>
          <w:sz w:val="24"/>
        </w:rPr>
        <w:lastRenderedPageBreak/>
        <w:t>司结算数据完成场内交易交收、开户银行或交易/登记结算机构扣收交易费、结算费和账户维护费等费用）。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2、基金银行账户的开立和管理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（1）基金托管人应以本基金的名义在其营业机构开立基金的银行账户，并根据基金管理人合法合规的指令办理资金收付。本基金的银行预留印鉴由基金托管人保管和使用。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（3）基金银行账户的开立和管理应符合银行业监督管理机构的有关规定。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（4）在符合法律法规规定的条件下，基金托管人可以通过基金托管人专用账户办理基金资产的支付。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（5）管理人应于托管产品清盘后及时完成收益兑付、费用结清及其他应收应付款项资金划转，在确保后续不再发生款项进出后的10个工作日内向托管人发出销户申请。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3、基金证券账户和结算备付金账户的开立和管理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（1）基金托管人在中国证券登记结算有限责任公司为基金开立基金托管人与本基金联名的证券账户。</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证券账户开户费由基金管理人先行垫付，待托管产品启始运营后，基金管理人</w:t>
      </w:r>
      <w:r>
        <w:rPr>
          <w:rFonts w:ascii="宋体" w:hAnsi="宋体"/>
          <w:sz w:val="24"/>
        </w:rPr>
        <w:lastRenderedPageBreak/>
        <w:t>可向基金托管人发送划款指令，将代垫开户费从本基金托管资金账户中扣还基金管理人。</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（5）账户注销时，在遵守中国证券登记结算公司的相关规定下，由管理人和托管人协商确认主要办理人。账户注销期间，主要办理人如需另一方提供配合的，另一方应予以配合。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4、债券托管专户的开设和管理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5、其他账户的开立和管理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6、基金财产投资的有关有价凭证等的保管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基金财产投资的有关实物证券、银行存款开户证实书等有价凭证由基金托管人存放于基金托管人的保管库，也可存入中央国债登记结算有限责任公司、中国证券</w:t>
      </w:r>
      <w:r>
        <w:rPr>
          <w:rFonts w:ascii="宋体" w:hAnsi="宋体"/>
          <w:sz w:val="24"/>
        </w:rPr>
        <w:lastRenderedPageBreak/>
        <w:t>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7、与基金财产有关的重大合同的保管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金额。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月末、年中和年末估值复核与基金会计账目的核对同时进行。</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（六）基金份额持有人名册的登记与保管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w:t>
      </w:r>
      <w:r>
        <w:rPr>
          <w:rFonts w:ascii="宋体" w:hAnsi="宋体"/>
          <w:sz w:val="24"/>
        </w:rPr>
        <w:lastRenderedPageBreak/>
        <w:t>和基金托管人应分别保管基金份额持有人名册，保存期不少于15年。如不能妥善保管，则按相关法规承担责任。</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本协议受中国法律（不含港澳台地区法律）管辖。</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本协议双方当事人经协商一致，可以对协议进行修改。修改后的新协议，其内容不得与《基金合同》的规定有任何冲突。基金托管协议的变更报中国证监会备案后生效。</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2、托管协议终止的情形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（4）发生法律法规、中国证监会规定或《基金合同》约定的终止事项。</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w:t>
      </w:r>
      <w:r>
        <w:rPr>
          <w:rFonts w:ascii="宋体" w:hAnsi="宋体"/>
          <w:sz w:val="24"/>
        </w:rPr>
        <w:lastRenderedPageBreak/>
        <w:t>成立清算小组，基金管理人组织基金财产清算小组并在中国证监会的监督下进行基金清算。</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（6）清算费用</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（7）基金财产清算剩余资产的分配：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（8）基金财产清算的公告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w:t>
      </w:r>
      <w:r>
        <w:rPr>
          <w:rFonts w:ascii="宋体" w:hAnsi="宋体"/>
          <w:sz w:val="24"/>
        </w:rPr>
        <w:lastRenderedPageBreak/>
        <w:t>登载在规定网站上，并将清算报告提示性公告登载在规定报刊上。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（9）基金财产清算账册及文件的保存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24" w:name="_Toc116465354"/>
      <w:r>
        <w:rPr>
          <w:rFonts w:ascii="Times New Roman" w:hAnsi="Times New Roman"/>
          <w:sz w:val="30"/>
        </w:rPr>
        <w:lastRenderedPageBreak/>
        <w:t>二十一、对基金份额持有人的服务</w:t>
      </w:r>
      <w:bookmarkEnd w:id="24"/>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和本基金场外申购、赎回、定期定额投资等业务。通过网上直销交易平台办理本基金A类基金份额申购业务的个人投资者将享受申购费率的优惠，其他费率标准不变。</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（四）基金红利再投资</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本基金收益分配时，基金份额持有人持有的基金份额可选择现金红利或选择红利再投将现金红利自动转为相应类别的基金份额进行再投资，若投资人不选择，本</w:t>
      </w:r>
      <w:r>
        <w:rPr>
          <w:rFonts w:ascii="宋体" w:hAnsi="宋体"/>
          <w:sz w:val="24"/>
        </w:rPr>
        <w:lastRenderedPageBreak/>
        <w:t>基金默认的收益分配方式是现金分红。再投资红利按红利再投日（即除息日）除息后的基金份额净值自动转为相应类别的基金份额，并免收申购费用。场内基金份额具体收益分配程序等有关事项遵循深圳证券交易所及登记机构的相关规定。</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B33D26" w:rsidRDefault="0010339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25" w:name="_Toc116465355"/>
      <w:r>
        <w:rPr>
          <w:rFonts w:ascii="Times New Roman" w:hAnsi="Times New Roman"/>
          <w:sz w:val="30"/>
        </w:rPr>
        <w:lastRenderedPageBreak/>
        <w:t>二十二、其他应披露事项</w:t>
      </w:r>
      <w:bookmarkEnd w:id="25"/>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）基金合同</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）（更新）招募说明书（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）增加</w:t>
            </w:r>
            <w:r>
              <w:rPr>
                <w:rFonts w:ascii="Times New Roman" w:hAnsi="Times New Roman"/>
                <w:color w:val="000000"/>
                <w:kern w:val="0"/>
                <w:sz w:val="25"/>
                <w:szCs w:val="24"/>
              </w:rPr>
              <w:t>C</w:t>
            </w:r>
            <w:r>
              <w:rPr>
                <w:rFonts w:ascii="Times New Roman" w:hAnsi="Times New Roman"/>
                <w:color w:val="000000"/>
                <w:kern w:val="0"/>
                <w:sz w:val="25"/>
                <w:szCs w:val="24"/>
              </w:rPr>
              <w:t>类基金份额并修改基金合同和托管协议的公告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2021-10-15</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2021-10-15</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2021-10-15</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2021-10-26</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交银施罗德基金管理有限公司关于增加方正证券股份有限公司为旗下基金销售机构的公告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2021-11-26</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交银施罗德基金管理有限公司关于调整旗下部分开放式基金转换业务规则的公告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2021-11-30</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）开放定期定额投资业务的公告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交银施罗德基金管理有限公司关于增加上海钜派钰茂基金销售有限公司为旗下基金销售机构的公告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交银施罗德基金管理有限公司关于旗下基金在中国建设银行股份有限公司开通定期定额投资业务的公告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2022-06-08</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2022-06-30</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22</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交银施罗德基金管理有限公司关于增加中国光大银行股份有限公司为旗下基金的销售机构的公告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2022-07-12</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交银施罗德基金管理有限公司关于增加中邮证券有限责任公司为旗下基金销售机构的公告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2022-07-28</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2022-08-04</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交银施罗德基金管理有限公司关于增加开源证券股份有限公司为旗下基金销售机构的公告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2022-08-12</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交银施罗德国证新能源指数证券投资基金（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B33D2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33D26" w:rsidRDefault="0010339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bl>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26" w:name="_Toc116465356"/>
      <w:r>
        <w:rPr>
          <w:rFonts w:ascii="Times New Roman" w:hAnsi="Times New Roman"/>
          <w:sz w:val="30"/>
        </w:rPr>
        <w:lastRenderedPageBreak/>
        <w:t>二十三、招募说明书的存放及查阅方式</w:t>
      </w:r>
      <w:bookmarkEnd w:id="26"/>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10339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33D26" w:rsidRDefault="00103397">
      <w:pPr>
        <w:pStyle w:val="1"/>
        <w:snapToGrid w:val="0"/>
        <w:spacing w:beforeLines="0" w:before="240" w:after="240"/>
        <w:rPr>
          <w:rFonts w:ascii="宋体" w:hAnsi="宋体"/>
          <w:szCs w:val="30"/>
        </w:rPr>
      </w:pPr>
      <w:bookmarkStart w:id="27" w:name="_Toc116465357"/>
      <w:r>
        <w:rPr>
          <w:rFonts w:ascii="Times New Roman" w:hAnsi="Times New Roman"/>
          <w:sz w:val="30"/>
        </w:rPr>
        <w:lastRenderedPageBreak/>
        <w:t>二十四、备查文件</w:t>
      </w:r>
      <w:bookmarkEnd w:id="27"/>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（一）中国证监会准予交银施罗德国证新能源指数分级证券投资基金变更注册的文件</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（二）《交银施罗德国证新能源指数证券投资基金（LOF）基金合同》</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（三）《交银施罗德国证新能源指数证券投资基金（LOF）托管协议》</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B33D26" w:rsidRDefault="00103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（六）关于申请交银施罗德国证新能源指数分级证券投资基金变更注册为交银施罗德国证新能源指数证券投资基金（LOF）的法律意见书</w:t>
      </w:r>
    </w:p>
    <w:sectPr w:rsidR="00B33D26">
      <w:footerReference w:type="default" r:id="rId16"/>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9A9" w:rsidRDefault="002459A9">
      <w:r>
        <w:separator/>
      </w:r>
    </w:p>
  </w:endnote>
  <w:endnote w:type="continuationSeparator" w:id="0">
    <w:p w:rsidR="002459A9" w:rsidRDefault="0024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26" w:rsidRDefault="002B4EE9">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D26" w:rsidRDefault="0010339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0740B">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B33D26" w:rsidRDefault="0010339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0740B">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26" w:rsidRDefault="002B4EE9">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D26" w:rsidRDefault="0010339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0740B">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B33D26" w:rsidRDefault="0010339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0740B">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9A9" w:rsidRDefault="002459A9">
      <w:r>
        <w:separator/>
      </w:r>
    </w:p>
  </w:footnote>
  <w:footnote w:type="continuationSeparator" w:id="0">
    <w:p w:rsidR="002459A9" w:rsidRDefault="00245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2B4EE9">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7"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B33D26" w:rsidRDefault="00103397">
    <w:pPr>
      <w:pStyle w:val="a3"/>
      <w:jc w:val="right"/>
      <w:rPr>
        <w:rFonts w:ascii="宋体" w:hAnsi="宋体"/>
      </w:rPr>
    </w:pPr>
    <w:r>
      <w:rPr>
        <w:rFonts w:ascii="宋体" w:hAnsi="宋体" w:hint="eastAsia"/>
      </w:rPr>
      <w:t>交银施罗德国证新能源指数证券投资基金（LOF）(更新)招募说明书(2022年第1号)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26" w:rsidRDefault="00B33D26">
    <w:pPr>
      <w:pStyle w:val="11"/>
      <w:jc w:val="right"/>
    </w:pPr>
  </w:p>
  <w:p w:rsidR="00B33D26" w:rsidRDefault="00B33D26">
    <w:pPr>
      <w:pStyle w:val="11"/>
      <w:jc w:val="right"/>
    </w:pPr>
  </w:p>
  <w:p w:rsidR="00B33D26" w:rsidRDefault="00B33D26">
    <w:pPr>
      <w:pStyle w:val="a3"/>
      <w:jc w:val="right"/>
    </w:pPr>
  </w:p>
  <w:p w:rsidR="009E65D0" w:rsidRDefault="002B4EE9">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B33D26" w:rsidRDefault="00103397">
    <w:pPr>
      <w:pStyle w:val="a3"/>
      <w:jc w:val="right"/>
      <w:rPr>
        <w:rFonts w:ascii="宋体" w:hAnsi="宋体"/>
      </w:rPr>
    </w:pPr>
    <w:r>
      <w:rPr>
        <w:rFonts w:ascii="宋体" w:hAnsi="宋体" w:hint="eastAsia"/>
      </w:rPr>
      <w:t>交银施罗德国证新能源指数证券投资基金（LOF）(更新)招募说明书(</w:t>
    </w:r>
    <w:r w:rsidR="008B046E">
      <w:rPr>
        <w:rFonts w:ascii="宋体" w:hAnsi="宋体" w:hint="eastAsia"/>
      </w:rPr>
      <w:t>202</w:t>
    </w:r>
    <w:r w:rsidR="008B046E">
      <w:rPr>
        <w:rFonts w:ascii="宋体" w:hAnsi="宋体"/>
      </w:rPr>
      <w:t>3</w:t>
    </w:r>
    <w:r>
      <w:rPr>
        <w:rFonts w:ascii="宋体" w:hAnsi="宋体" w:hint="eastAsia"/>
      </w:rPr>
      <w:t>年第1号)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26" w:rsidRDefault="00B33D26">
    <w:pPr>
      <w:pStyle w:val="a3"/>
      <w:jc w:val="right"/>
    </w:pPr>
  </w:p>
  <w:p w:rsidR="00B33D26" w:rsidRDefault="00B33D26">
    <w:pPr>
      <w:pStyle w:val="a3"/>
      <w:jc w:val="right"/>
    </w:pPr>
  </w:p>
  <w:p w:rsidR="00B33D26" w:rsidRDefault="00B33D26">
    <w:pPr>
      <w:pStyle w:val="a3"/>
      <w:jc w:val="right"/>
    </w:pPr>
  </w:p>
  <w:p w:rsidR="009E65D0" w:rsidRDefault="002B4EE9">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B33D26" w:rsidRDefault="00103397">
    <w:pPr>
      <w:pStyle w:val="a3"/>
      <w:jc w:val="right"/>
      <w:rPr>
        <w:rFonts w:ascii="宋体" w:hAnsi="宋体"/>
      </w:rPr>
    </w:pPr>
    <w:r>
      <w:rPr>
        <w:rFonts w:ascii="宋体" w:hAnsi="宋体" w:hint="eastAsia"/>
      </w:rPr>
      <w:t>交银施罗德国证新能源指数证券投资基金（LOF）(更新)招募说明书(</w:t>
    </w:r>
    <w:r w:rsidR="008B046E">
      <w:rPr>
        <w:rFonts w:ascii="宋体" w:hAnsi="宋体" w:hint="eastAsia"/>
      </w:rPr>
      <w:t>202</w:t>
    </w:r>
    <w:r w:rsidR="008B046E">
      <w:rPr>
        <w:rFonts w:ascii="宋体" w:hAnsi="宋体"/>
      </w:rPr>
      <w:t>3</w:t>
    </w:r>
    <w:r>
      <w:rPr>
        <w:rFonts w:ascii="宋体" w:hAnsi="宋体" w:hint="eastAsia"/>
      </w:rPr>
      <w:t>年第1号)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5CFB"/>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03397"/>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59A9"/>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4EE9"/>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5637C"/>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E747E"/>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46E"/>
    <w:rsid w:val="008B0702"/>
    <w:rsid w:val="008B2397"/>
    <w:rsid w:val="008B33B5"/>
    <w:rsid w:val="008B3CD6"/>
    <w:rsid w:val="008B5D5F"/>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0740B"/>
    <w:rsid w:val="00B17DE2"/>
    <w:rsid w:val="00B2096A"/>
    <w:rsid w:val="00B20E8D"/>
    <w:rsid w:val="00B32541"/>
    <w:rsid w:val="00B3267F"/>
    <w:rsid w:val="00B33D26"/>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9231C5-2830-463D-95BC-92B5F003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15935</Words>
  <Characters>90836</Characters>
  <Application>Microsoft Office Word</Application>
  <DocSecurity>0</DocSecurity>
  <Lines>756</Lines>
  <Paragraphs>213</Paragraphs>
  <ScaleCrop>false</ScaleCrop>
  <Company>Microsoft</Company>
  <LinksUpToDate>false</LinksUpToDate>
  <CharactersWithSpaces>106558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许帆</cp:lastModifiedBy>
  <cp:revision>4</cp:revision>
  <cp:lastPrinted>2013-02-18T03:10:00Z</cp:lastPrinted>
  <dcterms:created xsi:type="dcterms:W3CDTF">2023-07-07T10:54:00Z</dcterms:created>
  <dcterms:modified xsi:type="dcterms:W3CDTF">2023-07-10T07:49:00Z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